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6144" w:rsidRDefault="00656144" w:rsidP="004E142B">
      <w:pPr>
        <w:spacing w:line="360" w:lineRule="auto"/>
        <w:rPr>
          <w:b/>
          <w:sz w:val="24"/>
          <w:szCs w:val="24"/>
          <w:u w:val="single"/>
        </w:rPr>
      </w:pPr>
    </w:p>
    <w:p w:rsidR="00656144" w:rsidRDefault="00656144" w:rsidP="004E142B">
      <w:pPr>
        <w:spacing w:line="360" w:lineRule="auto"/>
        <w:rPr>
          <w:b/>
          <w:sz w:val="24"/>
          <w:szCs w:val="24"/>
          <w:u w:val="single"/>
        </w:rPr>
      </w:pPr>
    </w:p>
    <w:sdt>
      <w:sdtPr>
        <w:id w:val="-72598896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96D6F" w:rsidRPr="00696D6F" w:rsidRDefault="00696D6F">
          <w:pPr>
            <w:pStyle w:val="TOCHeading"/>
            <w:rPr>
              <w:b/>
              <w:color w:val="auto"/>
              <w:sz w:val="52"/>
              <w:u w:val="single"/>
            </w:rPr>
          </w:pPr>
          <w:r w:rsidRPr="00696D6F">
            <w:rPr>
              <w:b/>
              <w:color w:val="auto"/>
              <w:sz w:val="52"/>
              <w:u w:val="single"/>
            </w:rPr>
            <w:t>Contents</w:t>
          </w:r>
        </w:p>
        <w:p w:rsidR="00696D6F" w:rsidRPr="00696D6F" w:rsidRDefault="00696D6F">
          <w:pPr>
            <w:pStyle w:val="TOC1"/>
            <w:tabs>
              <w:tab w:val="right" w:leader="dot" w:pos="9016"/>
            </w:tabs>
            <w:rPr>
              <w:noProof/>
              <w:sz w:val="40"/>
            </w:rPr>
          </w:pPr>
          <w:r w:rsidRPr="00696D6F">
            <w:rPr>
              <w:b/>
              <w:bCs/>
              <w:noProof/>
              <w:sz w:val="40"/>
            </w:rPr>
            <w:fldChar w:fldCharType="begin"/>
          </w:r>
          <w:r w:rsidRPr="00696D6F">
            <w:rPr>
              <w:b/>
              <w:bCs/>
              <w:noProof/>
              <w:sz w:val="40"/>
            </w:rPr>
            <w:instrText xml:space="preserve"> TOC \o "1-3" \h \z \u </w:instrText>
          </w:r>
          <w:r w:rsidRPr="00696D6F">
            <w:rPr>
              <w:b/>
              <w:bCs/>
              <w:noProof/>
              <w:sz w:val="40"/>
            </w:rPr>
            <w:fldChar w:fldCharType="separate"/>
          </w:r>
          <w:hyperlink w:anchor="_Toc2602194" w:history="1">
            <w:r w:rsidRPr="00696D6F">
              <w:rPr>
                <w:rStyle w:val="Hyperlink"/>
                <w:noProof/>
                <w:sz w:val="40"/>
              </w:rPr>
              <w:t>Aims, Focus and Purpose of the Research</w:t>
            </w:r>
            <w:r w:rsidRPr="00696D6F">
              <w:rPr>
                <w:noProof/>
                <w:webHidden/>
                <w:sz w:val="40"/>
              </w:rPr>
              <w:tab/>
            </w:r>
            <w:r w:rsidRPr="00696D6F">
              <w:rPr>
                <w:noProof/>
                <w:webHidden/>
                <w:sz w:val="40"/>
              </w:rPr>
              <w:fldChar w:fldCharType="begin"/>
            </w:r>
            <w:r w:rsidRPr="00696D6F">
              <w:rPr>
                <w:noProof/>
                <w:webHidden/>
                <w:sz w:val="40"/>
              </w:rPr>
              <w:instrText xml:space="preserve"> PAGEREF _Toc2602194 \h </w:instrText>
            </w:r>
            <w:r w:rsidRPr="00696D6F">
              <w:rPr>
                <w:noProof/>
                <w:webHidden/>
                <w:sz w:val="40"/>
              </w:rPr>
            </w:r>
            <w:r w:rsidRPr="00696D6F">
              <w:rPr>
                <w:noProof/>
                <w:webHidden/>
                <w:sz w:val="40"/>
              </w:rPr>
              <w:fldChar w:fldCharType="separate"/>
            </w:r>
            <w:r w:rsidR="00D03C7C">
              <w:rPr>
                <w:noProof/>
                <w:webHidden/>
                <w:sz w:val="40"/>
              </w:rPr>
              <w:t>2</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195" w:history="1">
            <w:r w:rsidRPr="00696D6F">
              <w:rPr>
                <w:rStyle w:val="Hyperlink"/>
                <w:noProof/>
                <w:sz w:val="40"/>
              </w:rPr>
              <w:t>Research Context</w:t>
            </w:r>
            <w:r w:rsidRPr="00696D6F">
              <w:rPr>
                <w:noProof/>
                <w:webHidden/>
                <w:sz w:val="40"/>
              </w:rPr>
              <w:tab/>
            </w:r>
            <w:r w:rsidRPr="00696D6F">
              <w:rPr>
                <w:noProof/>
                <w:webHidden/>
                <w:sz w:val="40"/>
              </w:rPr>
              <w:fldChar w:fldCharType="begin"/>
            </w:r>
            <w:r w:rsidRPr="00696D6F">
              <w:rPr>
                <w:noProof/>
                <w:webHidden/>
                <w:sz w:val="40"/>
              </w:rPr>
              <w:instrText xml:space="preserve"> PAGEREF _Toc2602195 \h </w:instrText>
            </w:r>
            <w:r w:rsidRPr="00696D6F">
              <w:rPr>
                <w:noProof/>
                <w:webHidden/>
                <w:sz w:val="40"/>
              </w:rPr>
            </w:r>
            <w:r w:rsidRPr="00696D6F">
              <w:rPr>
                <w:noProof/>
                <w:webHidden/>
                <w:sz w:val="40"/>
              </w:rPr>
              <w:fldChar w:fldCharType="separate"/>
            </w:r>
            <w:r w:rsidR="00D03C7C">
              <w:rPr>
                <w:noProof/>
                <w:webHidden/>
                <w:sz w:val="40"/>
              </w:rPr>
              <w:t>2</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196" w:history="1">
            <w:r w:rsidRPr="00696D6F">
              <w:rPr>
                <w:rStyle w:val="Hyperlink"/>
                <w:noProof/>
                <w:sz w:val="40"/>
              </w:rPr>
              <w:t>Ethical Considerations</w:t>
            </w:r>
            <w:r w:rsidRPr="00696D6F">
              <w:rPr>
                <w:noProof/>
                <w:webHidden/>
                <w:sz w:val="40"/>
              </w:rPr>
              <w:tab/>
            </w:r>
            <w:r w:rsidRPr="00696D6F">
              <w:rPr>
                <w:noProof/>
                <w:webHidden/>
                <w:sz w:val="40"/>
              </w:rPr>
              <w:fldChar w:fldCharType="begin"/>
            </w:r>
            <w:r w:rsidRPr="00696D6F">
              <w:rPr>
                <w:noProof/>
                <w:webHidden/>
                <w:sz w:val="40"/>
              </w:rPr>
              <w:instrText xml:space="preserve"> PAGEREF _Toc2602196 \h </w:instrText>
            </w:r>
            <w:r w:rsidRPr="00696D6F">
              <w:rPr>
                <w:noProof/>
                <w:webHidden/>
                <w:sz w:val="40"/>
              </w:rPr>
            </w:r>
            <w:r w:rsidRPr="00696D6F">
              <w:rPr>
                <w:noProof/>
                <w:webHidden/>
                <w:sz w:val="40"/>
              </w:rPr>
              <w:fldChar w:fldCharType="separate"/>
            </w:r>
            <w:r w:rsidR="00D03C7C">
              <w:rPr>
                <w:noProof/>
                <w:webHidden/>
                <w:sz w:val="40"/>
              </w:rPr>
              <w:t>3</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197" w:history="1">
            <w:r w:rsidRPr="00696D6F">
              <w:rPr>
                <w:rStyle w:val="Hyperlink"/>
                <w:noProof/>
                <w:sz w:val="40"/>
              </w:rPr>
              <w:t>Literature Review</w:t>
            </w:r>
            <w:r w:rsidRPr="00696D6F">
              <w:rPr>
                <w:noProof/>
                <w:webHidden/>
                <w:sz w:val="40"/>
              </w:rPr>
              <w:tab/>
            </w:r>
            <w:r w:rsidRPr="00696D6F">
              <w:rPr>
                <w:noProof/>
                <w:webHidden/>
                <w:sz w:val="40"/>
              </w:rPr>
              <w:fldChar w:fldCharType="begin"/>
            </w:r>
            <w:r w:rsidRPr="00696D6F">
              <w:rPr>
                <w:noProof/>
                <w:webHidden/>
                <w:sz w:val="40"/>
              </w:rPr>
              <w:instrText xml:space="preserve"> PAGEREF _Toc2602197 \h </w:instrText>
            </w:r>
            <w:r w:rsidRPr="00696D6F">
              <w:rPr>
                <w:noProof/>
                <w:webHidden/>
                <w:sz w:val="40"/>
              </w:rPr>
            </w:r>
            <w:r w:rsidRPr="00696D6F">
              <w:rPr>
                <w:noProof/>
                <w:webHidden/>
                <w:sz w:val="40"/>
              </w:rPr>
              <w:fldChar w:fldCharType="separate"/>
            </w:r>
            <w:r w:rsidR="00D03C7C">
              <w:rPr>
                <w:noProof/>
                <w:webHidden/>
                <w:sz w:val="40"/>
              </w:rPr>
              <w:t>4</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198" w:history="1">
            <w:r w:rsidRPr="00696D6F">
              <w:rPr>
                <w:rStyle w:val="Hyperlink"/>
                <w:noProof/>
                <w:sz w:val="40"/>
              </w:rPr>
              <w:t>Lesson Study Design</w:t>
            </w:r>
            <w:r w:rsidRPr="00696D6F">
              <w:rPr>
                <w:noProof/>
                <w:webHidden/>
                <w:sz w:val="40"/>
              </w:rPr>
              <w:tab/>
            </w:r>
            <w:r w:rsidRPr="00696D6F">
              <w:rPr>
                <w:noProof/>
                <w:webHidden/>
                <w:sz w:val="40"/>
              </w:rPr>
              <w:fldChar w:fldCharType="begin"/>
            </w:r>
            <w:r w:rsidRPr="00696D6F">
              <w:rPr>
                <w:noProof/>
                <w:webHidden/>
                <w:sz w:val="40"/>
              </w:rPr>
              <w:instrText xml:space="preserve"> PAGEREF _Toc2602198 \h </w:instrText>
            </w:r>
            <w:r w:rsidRPr="00696D6F">
              <w:rPr>
                <w:noProof/>
                <w:webHidden/>
                <w:sz w:val="40"/>
              </w:rPr>
            </w:r>
            <w:r w:rsidRPr="00696D6F">
              <w:rPr>
                <w:noProof/>
                <w:webHidden/>
                <w:sz w:val="40"/>
              </w:rPr>
              <w:fldChar w:fldCharType="separate"/>
            </w:r>
            <w:r w:rsidR="00D03C7C">
              <w:rPr>
                <w:noProof/>
                <w:webHidden/>
                <w:sz w:val="40"/>
              </w:rPr>
              <w:t>7</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199" w:history="1">
            <w:r w:rsidRPr="00696D6F">
              <w:rPr>
                <w:rStyle w:val="Hyperlink"/>
                <w:noProof/>
                <w:sz w:val="40"/>
              </w:rPr>
              <w:t>Lesson Study 1 – Results and Analysis</w:t>
            </w:r>
            <w:r w:rsidRPr="00696D6F">
              <w:rPr>
                <w:noProof/>
                <w:webHidden/>
                <w:sz w:val="40"/>
              </w:rPr>
              <w:tab/>
            </w:r>
            <w:r w:rsidRPr="00696D6F">
              <w:rPr>
                <w:noProof/>
                <w:webHidden/>
                <w:sz w:val="40"/>
              </w:rPr>
              <w:fldChar w:fldCharType="begin"/>
            </w:r>
            <w:r w:rsidRPr="00696D6F">
              <w:rPr>
                <w:noProof/>
                <w:webHidden/>
                <w:sz w:val="40"/>
              </w:rPr>
              <w:instrText xml:space="preserve"> PAGEREF _Toc2602199 \h </w:instrText>
            </w:r>
            <w:r w:rsidRPr="00696D6F">
              <w:rPr>
                <w:noProof/>
                <w:webHidden/>
                <w:sz w:val="40"/>
              </w:rPr>
            </w:r>
            <w:r w:rsidRPr="00696D6F">
              <w:rPr>
                <w:noProof/>
                <w:webHidden/>
                <w:sz w:val="40"/>
              </w:rPr>
              <w:fldChar w:fldCharType="separate"/>
            </w:r>
            <w:r w:rsidR="00D03C7C">
              <w:rPr>
                <w:noProof/>
                <w:webHidden/>
                <w:sz w:val="40"/>
              </w:rPr>
              <w:t>9</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200" w:history="1">
            <w:r w:rsidRPr="00696D6F">
              <w:rPr>
                <w:rStyle w:val="Hyperlink"/>
                <w:noProof/>
                <w:sz w:val="40"/>
              </w:rPr>
              <w:t>Lesson Study 2 – Results and Analysis</w:t>
            </w:r>
            <w:r w:rsidRPr="00696D6F">
              <w:rPr>
                <w:noProof/>
                <w:webHidden/>
                <w:sz w:val="40"/>
              </w:rPr>
              <w:tab/>
            </w:r>
            <w:r w:rsidRPr="00696D6F">
              <w:rPr>
                <w:noProof/>
                <w:webHidden/>
                <w:sz w:val="40"/>
              </w:rPr>
              <w:fldChar w:fldCharType="begin"/>
            </w:r>
            <w:r w:rsidRPr="00696D6F">
              <w:rPr>
                <w:noProof/>
                <w:webHidden/>
                <w:sz w:val="40"/>
              </w:rPr>
              <w:instrText xml:space="preserve"> PAGEREF _Toc2602200 \h </w:instrText>
            </w:r>
            <w:r w:rsidRPr="00696D6F">
              <w:rPr>
                <w:noProof/>
                <w:webHidden/>
                <w:sz w:val="40"/>
              </w:rPr>
            </w:r>
            <w:r w:rsidRPr="00696D6F">
              <w:rPr>
                <w:noProof/>
                <w:webHidden/>
                <w:sz w:val="40"/>
              </w:rPr>
              <w:fldChar w:fldCharType="separate"/>
            </w:r>
            <w:r w:rsidR="00D03C7C">
              <w:rPr>
                <w:noProof/>
                <w:webHidden/>
                <w:sz w:val="40"/>
              </w:rPr>
              <w:t>11</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201" w:history="1">
            <w:r w:rsidRPr="00696D6F">
              <w:rPr>
                <w:rStyle w:val="Hyperlink"/>
                <w:noProof/>
                <w:sz w:val="40"/>
              </w:rPr>
              <w:t>Discussion</w:t>
            </w:r>
            <w:r w:rsidRPr="00696D6F">
              <w:rPr>
                <w:noProof/>
                <w:webHidden/>
                <w:sz w:val="40"/>
              </w:rPr>
              <w:tab/>
            </w:r>
            <w:r w:rsidRPr="00696D6F">
              <w:rPr>
                <w:noProof/>
                <w:webHidden/>
                <w:sz w:val="40"/>
              </w:rPr>
              <w:fldChar w:fldCharType="begin"/>
            </w:r>
            <w:r w:rsidRPr="00696D6F">
              <w:rPr>
                <w:noProof/>
                <w:webHidden/>
                <w:sz w:val="40"/>
              </w:rPr>
              <w:instrText xml:space="preserve"> PAGEREF _Toc2602201 \h </w:instrText>
            </w:r>
            <w:r w:rsidRPr="00696D6F">
              <w:rPr>
                <w:noProof/>
                <w:webHidden/>
                <w:sz w:val="40"/>
              </w:rPr>
            </w:r>
            <w:r w:rsidRPr="00696D6F">
              <w:rPr>
                <w:noProof/>
                <w:webHidden/>
                <w:sz w:val="40"/>
              </w:rPr>
              <w:fldChar w:fldCharType="separate"/>
            </w:r>
            <w:r w:rsidR="00D03C7C">
              <w:rPr>
                <w:noProof/>
                <w:webHidden/>
                <w:sz w:val="40"/>
              </w:rPr>
              <w:t>14</w:t>
            </w:r>
            <w:r w:rsidRPr="00696D6F">
              <w:rPr>
                <w:noProof/>
                <w:webHidden/>
                <w:sz w:val="40"/>
              </w:rPr>
              <w:fldChar w:fldCharType="end"/>
            </w:r>
          </w:hyperlink>
          <w:bookmarkStart w:id="0" w:name="_GoBack"/>
          <w:bookmarkEnd w:id="0"/>
        </w:p>
        <w:p w:rsidR="00696D6F" w:rsidRPr="00696D6F" w:rsidRDefault="00696D6F">
          <w:pPr>
            <w:pStyle w:val="TOC1"/>
            <w:tabs>
              <w:tab w:val="right" w:leader="dot" w:pos="9016"/>
            </w:tabs>
            <w:rPr>
              <w:noProof/>
              <w:sz w:val="40"/>
            </w:rPr>
          </w:pPr>
          <w:hyperlink w:anchor="_Toc2602202" w:history="1">
            <w:r w:rsidRPr="00696D6F">
              <w:rPr>
                <w:rStyle w:val="Hyperlink"/>
                <w:noProof/>
                <w:sz w:val="40"/>
              </w:rPr>
              <w:t>Conclusion</w:t>
            </w:r>
            <w:r w:rsidRPr="00696D6F">
              <w:rPr>
                <w:noProof/>
                <w:webHidden/>
                <w:sz w:val="40"/>
              </w:rPr>
              <w:tab/>
            </w:r>
            <w:r w:rsidRPr="00696D6F">
              <w:rPr>
                <w:noProof/>
                <w:webHidden/>
                <w:sz w:val="40"/>
              </w:rPr>
              <w:fldChar w:fldCharType="begin"/>
            </w:r>
            <w:r w:rsidRPr="00696D6F">
              <w:rPr>
                <w:noProof/>
                <w:webHidden/>
                <w:sz w:val="40"/>
              </w:rPr>
              <w:instrText xml:space="preserve"> PAGEREF _Toc2602202 \h </w:instrText>
            </w:r>
            <w:r w:rsidRPr="00696D6F">
              <w:rPr>
                <w:noProof/>
                <w:webHidden/>
                <w:sz w:val="40"/>
              </w:rPr>
            </w:r>
            <w:r w:rsidRPr="00696D6F">
              <w:rPr>
                <w:noProof/>
                <w:webHidden/>
                <w:sz w:val="40"/>
              </w:rPr>
              <w:fldChar w:fldCharType="separate"/>
            </w:r>
            <w:r w:rsidR="00D03C7C">
              <w:rPr>
                <w:noProof/>
                <w:webHidden/>
                <w:sz w:val="40"/>
              </w:rPr>
              <w:t>15</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203" w:history="1">
            <w:r w:rsidRPr="00696D6F">
              <w:rPr>
                <w:rStyle w:val="Hyperlink"/>
                <w:noProof/>
                <w:sz w:val="40"/>
              </w:rPr>
              <w:t>Recommendations</w:t>
            </w:r>
            <w:r w:rsidRPr="00696D6F">
              <w:rPr>
                <w:noProof/>
                <w:webHidden/>
                <w:sz w:val="40"/>
              </w:rPr>
              <w:tab/>
            </w:r>
            <w:r w:rsidRPr="00696D6F">
              <w:rPr>
                <w:noProof/>
                <w:webHidden/>
                <w:sz w:val="40"/>
              </w:rPr>
              <w:fldChar w:fldCharType="begin"/>
            </w:r>
            <w:r w:rsidRPr="00696D6F">
              <w:rPr>
                <w:noProof/>
                <w:webHidden/>
                <w:sz w:val="40"/>
              </w:rPr>
              <w:instrText xml:space="preserve"> PAGEREF _Toc2602203 \h </w:instrText>
            </w:r>
            <w:r w:rsidRPr="00696D6F">
              <w:rPr>
                <w:noProof/>
                <w:webHidden/>
                <w:sz w:val="40"/>
              </w:rPr>
            </w:r>
            <w:r w:rsidRPr="00696D6F">
              <w:rPr>
                <w:noProof/>
                <w:webHidden/>
                <w:sz w:val="40"/>
              </w:rPr>
              <w:fldChar w:fldCharType="separate"/>
            </w:r>
            <w:r w:rsidR="00D03C7C">
              <w:rPr>
                <w:noProof/>
                <w:webHidden/>
                <w:sz w:val="40"/>
              </w:rPr>
              <w:t>17</w:t>
            </w:r>
            <w:r w:rsidRPr="00696D6F">
              <w:rPr>
                <w:noProof/>
                <w:webHidden/>
                <w:sz w:val="40"/>
              </w:rPr>
              <w:fldChar w:fldCharType="end"/>
            </w:r>
          </w:hyperlink>
        </w:p>
        <w:p w:rsidR="00696D6F" w:rsidRPr="00696D6F" w:rsidRDefault="00696D6F">
          <w:pPr>
            <w:pStyle w:val="TOC1"/>
            <w:tabs>
              <w:tab w:val="right" w:leader="dot" w:pos="9016"/>
            </w:tabs>
            <w:rPr>
              <w:noProof/>
              <w:sz w:val="40"/>
            </w:rPr>
          </w:pPr>
          <w:hyperlink w:anchor="_Toc2602204" w:history="1">
            <w:r w:rsidRPr="00696D6F">
              <w:rPr>
                <w:rStyle w:val="Hyperlink"/>
                <w:noProof/>
                <w:sz w:val="40"/>
              </w:rPr>
              <w:t>References</w:t>
            </w:r>
            <w:r w:rsidRPr="00696D6F">
              <w:rPr>
                <w:noProof/>
                <w:webHidden/>
                <w:sz w:val="40"/>
              </w:rPr>
              <w:tab/>
            </w:r>
            <w:r w:rsidRPr="00696D6F">
              <w:rPr>
                <w:noProof/>
                <w:webHidden/>
                <w:sz w:val="40"/>
              </w:rPr>
              <w:fldChar w:fldCharType="begin"/>
            </w:r>
            <w:r w:rsidRPr="00696D6F">
              <w:rPr>
                <w:noProof/>
                <w:webHidden/>
                <w:sz w:val="40"/>
              </w:rPr>
              <w:instrText xml:space="preserve"> PAGEREF _Toc2602204 \h </w:instrText>
            </w:r>
            <w:r w:rsidRPr="00696D6F">
              <w:rPr>
                <w:noProof/>
                <w:webHidden/>
                <w:sz w:val="40"/>
              </w:rPr>
            </w:r>
            <w:r w:rsidRPr="00696D6F">
              <w:rPr>
                <w:noProof/>
                <w:webHidden/>
                <w:sz w:val="40"/>
              </w:rPr>
              <w:fldChar w:fldCharType="separate"/>
            </w:r>
            <w:r w:rsidR="00D03C7C">
              <w:rPr>
                <w:noProof/>
                <w:webHidden/>
                <w:sz w:val="40"/>
              </w:rPr>
              <w:t>19</w:t>
            </w:r>
            <w:r w:rsidRPr="00696D6F">
              <w:rPr>
                <w:noProof/>
                <w:webHidden/>
                <w:sz w:val="40"/>
              </w:rPr>
              <w:fldChar w:fldCharType="end"/>
            </w:r>
          </w:hyperlink>
        </w:p>
        <w:p w:rsidR="00696D6F" w:rsidRDefault="00696D6F">
          <w:r w:rsidRPr="00696D6F">
            <w:rPr>
              <w:b/>
              <w:bCs/>
              <w:noProof/>
              <w:sz w:val="40"/>
            </w:rPr>
            <w:fldChar w:fldCharType="end"/>
          </w:r>
        </w:p>
      </w:sdtContent>
    </w:sdt>
    <w:p w:rsidR="00656144" w:rsidRDefault="00656144" w:rsidP="004E142B">
      <w:pPr>
        <w:spacing w:line="360" w:lineRule="auto"/>
        <w:rPr>
          <w:b/>
          <w:sz w:val="24"/>
          <w:szCs w:val="24"/>
          <w:u w:val="single"/>
        </w:rPr>
      </w:pPr>
    </w:p>
    <w:p w:rsidR="00656144" w:rsidRDefault="00656144" w:rsidP="004E142B">
      <w:pPr>
        <w:spacing w:line="360" w:lineRule="auto"/>
        <w:rPr>
          <w:b/>
          <w:sz w:val="24"/>
          <w:szCs w:val="24"/>
          <w:u w:val="single"/>
        </w:rPr>
      </w:pPr>
    </w:p>
    <w:p w:rsidR="00656144" w:rsidRDefault="00656144" w:rsidP="004E142B">
      <w:pPr>
        <w:spacing w:line="360" w:lineRule="auto"/>
        <w:rPr>
          <w:b/>
          <w:sz w:val="24"/>
          <w:szCs w:val="24"/>
          <w:u w:val="single"/>
        </w:rPr>
      </w:pPr>
    </w:p>
    <w:p w:rsidR="00656144" w:rsidRDefault="00656144" w:rsidP="004E142B">
      <w:pPr>
        <w:spacing w:line="360" w:lineRule="auto"/>
        <w:rPr>
          <w:b/>
          <w:sz w:val="24"/>
          <w:szCs w:val="24"/>
          <w:u w:val="single"/>
        </w:rPr>
      </w:pPr>
    </w:p>
    <w:p w:rsidR="00656144" w:rsidRDefault="00656144" w:rsidP="004E142B">
      <w:pPr>
        <w:spacing w:line="360" w:lineRule="auto"/>
        <w:rPr>
          <w:b/>
          <w:sz w:val="24"/>
          <w:szCs w:val="24"/>
          <w:u w:val="single"/>
        </w:rPr>
      </w:pPr>
    </w:p>
    <w:p w:rsidR="00696D6F" w:rsidRDefault="00696D6F" w:rsidP="00E01FE5">
      <w:pPr>
        <w:pStyle w:val="Heading1"/>
        <w:spacing w:line="360" w:lineRule="auto"/>
        <w:rPr>
          <w:rFonts w:eastAsiaTheme="minorHAnsi" w:cstheme="minorBidi"/>
          <w:szCs w:val="24"/>
        </w:rPr>
      </w:pPr>
      <w:bookmarkStart w:id="1" w:name="_Toc2602194"/>
    </w:p>
    <w:p w:rsidR="00F4521E" w:rsidRDefault="00F4521E" w:rsidP="00E01FE5">
      <w:pPr>
        <w:pStyle w:val="Heading1"/>
        <w:spacing w:line="360" w:lineRule="auto"/>
      </w:pPr>
      <w:r w:rsidRPr="004E142B">
        <w:t>Aims, Focus and Purpose of the Research</w:t>
      </w:r>
      <w:bookmarkEnd w:id="1"/>
    </w:p>
    <w:p w:rsidR="00207A2B" w:rsidRPr="004E142B" w:rsidRDefault="0083666B" w:rsidP="00E01FE5">
      <w:pPr>
        <w:spacing w:line="360" w:lineRule="auto"/>
        <w:rPr>
          <w:sz w:val="24"/>
          <w:szCs w:val="24"/>
        </w:rPr>
      </w:pPr>
      <w:proofErr w:type="gramStart"/>
      <w:r w:rsidRPr="004E142B">
        <w:rPr>
          <w:sz w:val="24"/>
          <w:szCs w:val="24"/>
        </w:rPr>
        <w:t>As a consequence of</w:t>
      </w:r>
      <w:proofErr w:type="gramEnd"/>
      <w:r w:rsidR="00207A2B" w:rsidRPr="004E142B">
        <w:rPr>
          <w:sz w:val="24"/>
          <w:szCs w:val="24"/>
        </w:rPr>
        <w:t xml:space="preserve"> the Labour Party’s White Paper criticising the practice of mixed ability teaching in the UK and instead suggesting that the use of ability teaching asserts teacher excellence (</w:t>
      </w:r>
      <w:proofErr w:type="spellStart"/>
      <w:r w:rsidR="00207A2B" w:rsidRPr="004E142B">
        <w:rPr>
          <w:sz w:val="24"/>
          <w:szCs w:val="24"/>
        </w:rPr>
        <w:t>DfEE</w:t>
      </w:r>
      <w:proofErr w:type="spellEnd"/>
      <w:r w:rsidR="00207A2B" w:rsidRPr="004E142B">
        <w:rPr>
          <w:sz w:val="24"/>
          <w:szCs w:val="24"/>
        </w:rPr>
        <w:t xml:space="preserve">, 1997), many schools throughout the country followed this viewpoint. Furthermore, since its popularity, ability grouping has remained part of educational research for many decades across Western Countries, including the United Kingdom (Francis et al., 2016). </w:t>
      </w:r>
    </w:p>
    <w:p w:rsidR="00403E16" w:rsidRPr="004E142B" w:rsidRDefault="00F4521E" w:rsidP="004E142B">
      <w:pPr>
        <w:spacing w:line="360" w:lineRule="auto"/>
        <w:rPr>
          <w:sz w:val="24"/>
          <w:szCs w:val="24"/>
        </w:rPr>
      </w:pPr>
      <w:r w:rsidRPr="004E142B">
        <w:rPr>
          <w:sz w:val="24"/>
          <w:szCs w:val="24"/>
        </w:rPr>
        <w:t xml:space="preserve">This research project has a sole focus on the grouping inside a classroom, to determine the effect of pairing high-ability children with lower-ability children has on engagement and motivation towards learning. </w:t>
      </w:r>
      <w:r w:rsidR="00403E16" w:rsidRPr="004E142B">
        <w:rPr>
          <w:sz w:val="24"/>
          <w:szCs w:val="24"/>
        </w:rPr>
        <w:t>Within one of the settings</w:t>
      </w:r>
      <w:r w:rsidRPr="004E142B">
        <w:rPr>
          <w:sz w:val="24"/>
          <w:szCs w:val="24"/>
        </w:rPr>
        <w:t>, the classroom I am currently undertaken my professional practice within,</w:t>
      </w:r>
      <w:r w:rsidR="00403E16" w:rsidRPr="004E142B">
        <w:rPr>
          <w:sz w:val="24"/>
          <w:szCs w:val="24"/>
        </w:rPr>
        <w:t xml:space="preserve"> which </w:t>
      </w:r>
      <w:r w:rsidRPr="004E142B">
        <w:rPr>
          <w:sz w:val="24"/>
          <w:szCs w:val="24"/>
        </w:rPr>
        <w:t>is</w:t>
      </w:r>
      <w:r w:rsidR="00403E16" w:rsidRPr="004E142B">
        <w:rPr>
          <w:sz w:val="24"/>
          <w:szCs w:val="24"/>
        </w:rPr>
        <w:t xml:space="preserve"> </w:t>
      </w:r>
      <w:r w:rsidR="00091BF8" w:rsidRPr="004E142B">
        <w:rPr>
          <w:sz w:val="24"/>
          <w:szCs w:val="24"/>
        </w:rPr>
        <w:t xml:space="preserve">a year 2 class in the Foundation Phase, grouping </w:t>
      </w:r>
      <w:r w:rsidRPr="004E142B">
        <w:rPr>
          <w:sz w:val="24"/>
          <w:szCs w:val="24"/>
        </w:rPr>
        <w:t>is</w:t>
      </w:r>
      <w:r w:rsidR="00091BF8" w:rsidRPr="004E142B">
        <w:rPr>
          <w:sz w:val="24"/>
          <w:szCs w:val="24"/>
        </w:rPr>
        <w:t xml:space="preserve"> done accordingly to ability. </w:t>
      </w:r>
      <w:r w:rsidR="00C95C6D" w:rsidRPr="004E142B">
        <w:rPr>
          <w:sz w:val="24"/>
          <w:szCs w:val="24"/>
        </w:rPr>
        <w:t xml:space="preserve">This was an area that interested </w:t>
      </w:r>
      <w:proofErr w:type="gramStart"/>
      <w:r w:rsidR="00C95C6D" w:rsidRPr="004E142B">
        <w:rPr>
          <w:sz w:val="24"/>
          <w:szCs w:val="24"/>
        </w:rPr>
        <w:t>myself</w:t>
      </w:r>
      <w:proofErr w:type="gramEnd"/>
      <w:r w:rsidR="00C95C6D" w:rsidRPr="004E142B">
        <w:rPr>
          <w:sz w:val="24"/>
          <w:szCs w:val="24"/>
        </w:rPr>
        <w:t xml:space="preserve"> as children work within these ability groups through most aspects of the curriculum. Therefore, the children have restraints to work with and collaborate with children from the different attainment groups. </w:t>
      </w:r>
    </w:p>
    <w:p w:rsidR="00E01FE5" w:rsidRDefault="00B80CF7" w:rsidP="00E01FE5">
      <w:pPr>
        <w:pStyle w:val="Heading1"/>
        <w:spacing w:line="360" w:lineRule="auto"/>
      </w:pPr>
      <w:bookmarkStart w:id="2" w:name="_Toc2602195"/>
      <w:r w:rsidRPr="004E142B">
        <w:t>Research Context</w:t>
      </w:r>
      <w:bookmarkEnd w:id="2"/>
    </w:p>
    <w:p w:rsidR="00636492" w:rsidRPr="004E142B" w:rsidRDefault="00636492" w:rsidP="00E01FE5">
      <w:pPr>
        <w:spacing w:line="360" w:lineRule="auto"/>
        <w:rPr>
          <w:sz w:val="24"/>
          <w:szCs w:val="24"/>
        </w:rPr>
      </w:pPr>
      <w:r w:rsidRPr="004E142B">
        <w:rPr>
          <w:sz w:val="24"/>
          <w:szCs w:val="24"/>
        </w:rPr>
        <w:t xml:space="preserve">This method of ability and attainment grouping is one that is done throughout the school in question. From discussing this with my research partner, it was known that in the setting he is currently based, (a Year 3 Class) within a school of a different catchment area, this was the opposite. Instead, the grouping of the children was not done according to ability levels, it was due to collaboration levels, with the classroom teacher grouping the children with students in which they excelled, allowing the children to enhance their learning with peers through effective discussions and collaborated work. </w:t>
      </w:r>
      <w:r w:rsidR="009B79D7" w:rsidRPr="004E142B">
        <w:rPr>
          <w:sz w:val="24"/>
          <w:szCs w:val="24"/>
        </w:rPr>
        <w:t xml:space="preserve">This led for us to create our research question, “Does grouping lower-ability children with higher-ability children influence the lower learners’ motivation to engage with their learning?” </w:t>
      </w:r>
      <w:r w:rsidRPr="004E142B">
        <w:rPr>
          <w:sz w:val="24"/>
          <w:szCs w:val="24"/>
        </w:rPr>
        <w:t xml:space="preserve">From undertaking this research, we can determine if children of a lower attainment and ability can be more engaged and motivated with their learning if working alongside a child with high attainment and ability levels. </w:t>
      </w:r>
    </w:p>
    <w:p w:rsidR="00B80CF7" w:rsidRPr="004E142B" w:rsidRDefault="00B80CF7" w:rsidP="004E142B">
      <w:pPr>
        <w:spacing w:line="360" w:lineRule="auto"/>
        <w:rPr>
          <w:b/>
          <w:sz w:val="24"/>
          <w:szCs w:val="24"/>
          <w:u w:val="single"/>
        </w:rPr>
      </w:pPr>
      <w:r w:rsidRPr="004E142B">
        <w:rPr>
          <w:sz w:val="24"/>
          <w:szCs w:val="24"/>
        </w:rPr>
        <w:lastRenderedPageBreak/>
        <w:t>Participants of the research were children from two small schools situated in South Wales. 18 children (</w:t>
      </w:r>
      <w:r w:rsidR="001A6592" w:rsidRPr="004E142B">
        <w:rPr>
          <w:sz w:val="24"/>
          <w:szCs w:val="24"/>
        </w:rPr>
        <w:t>7</w:t>
      </w:r>
      <w:r w:rsidRPr="004E142B">
        <w:rPr>
          <w:sz w:val="24"/>
          <w:szCs w:val="24"/>
        </w:rPr>
        <w:t xml:space="preserve"> Male; </w:t>
      </w:r>
      <w:r w:rsidR="001A6592" w:rsidRPr="004E142B">
        <w:rPr>
          <w:sz w:val="24"/>
          <w:szCs w:val="24"/>
        </w:rPr>
        <w:t>11</w:t>
      </w:r>
      <w:r w:rsidRPr="004E142B">
        <w:rPr>
          <w:sz w:val="24"/>
          <w:szCs w:val="24"/>
        </w:rPr>
        <w:t xml:space="preserve"> female) in a year 2 class were involved from School 1, from a total of 19 pupils. One child did not display any form of assent when the class were asked to display their thumb position, therefore it was decided that instead of asking this child and using them for a response, the child would therefore be exempt from such research. </w:t>
      </w:r>
      <w:r w:rsidR="001A6592" w:rsidRPr="004E142B">
        <w:rPr>
          <w:sz w:val="24"/>
          <w:szCs w:val="24"/>
        </w:rPr>
        <w:t xml:space="preserve">22 </w:t>
      </w:r>
      <w:r w:rsidRPr="004E142B">
        <w:rPr>
          <w:sz w:val="24"/>
          <w:szCs w:val="24"/>
        </w:rPr>
        <w:t>students participated from school 2 (</w:t>
      </w:r>
      <w:r w:rsidR="001A6592" w:rsidRPr="004E142B">
        <w:rPr>
          <w:sz w:val="24"/>
          <w:szCs w:val="24"/>
        </w:rPr>
        <w:t>7</w:t>
      </w:r>
      <w:r w:rsidRPr="004E142B">
        <w:rPr>
          <w:sz w:val="24"/>
          <w:szCs w:val="24"/>
        </w:rPr>
        <w:t xml:space="preserve">male; </w:t>
      </w:r>
      <w:r w:rsidR="001A6592" w:rsidRPr="004E142B">
        <w:rPr>
          <w:sz w:val="24"/>
          <w:szCs w:val="24"/>
        </w:rPr>
        <w:t>15</w:t>
      </w:r>
      <w:r w:rsidRPr="004E142B">
        <w:rPr>
          <w:sz w:val="24"/>
          <w:szCs w:val="24"/>
        </w:rPr>
        <w:t xml:space="preserve"> female)</w:t>
      </w:r>
      <w:r w:rsidR="001A6592" w:rsidRPr="004E142B">
        <w:rPr>
          <w:sz w:val="24"/>
          <w:szCs w:val="24"/>
        </w:rPr>
        <w:t xml:space="preserve">. </w:t>
      </w:r>
      <w:r w:rsidR="00665567" w:rsidRPr="004E142B">
        <w:rPr>
          <w:sz w:val="24"/>
          <w:szCs w:val="24"/>
        </w:rPr>
        <w:t>Three</w:t>
      </w:r>
      <w:r w:rsidR="005526FC" w:rsidRPr="004E142B">
        <w:rPr>
          <w:sz w:val="24"/>
          <w:szCs w:val="24"/>
        </w:rPr>
        <w:t xml:space="preserve"> </w:t>
      </w:r>
      <w:r w:rsidRPr="004E142B">
        <w:rPr>
          <w:sz w:val="24"/>
          <w:szCs w:val="24"/>
        </w:rPr>
        <w:t xml:space="preserve">children chose not to give assent during the session, therefore again, were exempt from the research and being observed. Two out of three target children for this setting did not give assent, therefore, my research partner identified an additional two lower ability children to be closely observed by myself. </w:t>
      </w:r>
    </w:p>
    <w:p w:rsidR="00D57132" w:rsidRPr="004E142B" w:rsidRDefault="00D57132" w:rsidP="00E01FE5">
      <w:pPr>
        <w:pStyle w:val="Heading1"/>
        <w:spacing w:line="360" w:lineRule="auto"/>
      </w:pPr>
      <w:bookmarkStart w:id="3" w:name="_Toc2602196"/>
      <w:r w:rsidRPr="004E142B">
        <w:t>Ethical Considerations</w:t>
      </w:r>
      <w:bookmarkEnd w:id="3"/>
    </w:p>
    <w:p w:rsidR="008B4304" w:rsidRPr="004E142B" w:rsidRDefault="00E93AC3" w:rsidP="00E01FE5">
      <w:pPr>
        <w:spacing w:line="360" w:lineRule="auto"/>
        <w:rPr>
          <w:sz w:val="24"/>
          <w:szCs w:val="24"/>
        </w:rPr>
      </w:pPr>
      <w:r w:rsidRPr="004E142B">
        <w:rPr>
          <w:sz w:val="24"/>
          <w:szCs w:val="24"/>
        </w:rPr>
        <w:t xml:space="preserve">Many ethical considerations were taken prior to and during the research process. </w:t>
      </w:r>
      <w:r w:rsidR="00564CEB" w:rsidRPr="004E142B">
        <w:rPr>
          <w:sz w:val="24"/>
          <w:szCs w:val="24"/>
        </w:rPr>
        <w:t xml:space="preserve">The inclusion of children </w:t>
      </w:r>
      <w:r w:rsidR="00F35CB5" w:rsidRPr="004E142B">
        <w:rPr>
          <w:sz w:val="24"/>
          <w:szCs w:val="24"/>
        </w:rPr>
        <w:t xml:space="preserve">in research projects requires precise ethical guidelines to ensure the safety, safeguarding and wellbeing for all involved. </w:t>
      </w:r>
      <w:r w:rsidR="00152424" w:rsidRPr="004E142B">
        <w:rPr>
          <w:sz w:val="24"/>
          <w:szCs w:val="24"/>
        </w:rPr>
        <w:t>Prior to any research being undertaken, an Ethics form was completed and had to be approved to determine if the research was conducted following the guidance of BERA (2018)</w:t>
      </w:r>
      <w:r w:rsidR="00F35CB5" w:rsidRPr="004E142B">
        <w:rPr>
          <w:sz w:val="24"/>
          <w:szCs w:val="24"/>
        </w:rPr>
        <w:t xml:space="preserve">, </w:t>
      </w:r>
      <w:r w:rsidR="00152424" w:rsidRPr="004E142B">
        <w:rPr>
          <w:sz w:val="24"/>
          <w:szCs w:val="24"/>
        </w:rPr>
        <w:t>EWC (</w:t>
      </w:r>
      <w:r w:rsidR="00C7253B" w:rsidRPr="004E142B">
        <w:rPr>
          <w:sz w:val="24"/>
          <w:szCs w:val="24"/>
        </w:rPr>
        <w:t>2019</w:t>
      </w:r>
      <w:r w:rsidR="00152424" w:rsidRPr="004E142B">
        <w:rPr>
          <w:sz w:val="24"/>
          <w:szCs w:val="24"/>
        </w:rPr>
        <w:t>)</w:t>
      </w:r>
      <w:r w:rsidR="00F35CB5" w:rsidRPr="004E142B">
        <w:rPr>
          <w:sz w:val="24"/>
          <w:szCs w:val="24"/>
        </w:rPr>
        <w:t xml:space="preserve"> and the current university code of practice (UWTSD, 2017)</w:t>
      </w:r>
      <w:r w:rsidR="00152424" w:rsidRPr="004E142B">
        <w:rPr>
          <w:sz w:val="24"/>
          <w:szCs w:val="24"/>
        </w:rPr>
        <w:t>.</w:t>
      </w:r>
      <w:r w:rsidR="00F35CB5" w:rsidRPr="004E142B">
        <w:rPr>
          <w:sz w:val="24"/>
          <w:szCs w:val="24"/>
        </w:rPr>
        <w:t xml:space="preserve"> </w:t>
      </w:r>
      <w:r w:rsidR="008B4304" w:rsidRPr="004E142B">
        <w:rPr>
          <w:sz w:val="24"/>
          <w:szCs w:val="24"/>
        </w:rPr>
        <w:t>All children participating in the research had informed parental consent as they are under the legal age to provide such content for themselves</w:t>
      </w:r>
      <w:r w:rsidR="003C4863" w:rsidRPr="004E142B">
        <w:rPr>
          <w:sz w:val="24"/>
          <w:szCs w:val="24"/>
        </w:rPr>
        <w:t xml:space="preserve">. </w:t>
      </w:r>
      <w:r w:rsidR="008B4304" w:rsidRPr="004E142B">
        <w:rPr>
          <w:sz w:val="24"/>
          <w:szCs w:val="24"/>
        </w:rPr>
        <w:t xml:space="preserve">The parental consent forms outlined that research was going to be conducted with the children’s class by myself. </w:t>
      </w:r>
    </w:p>
    <w:p w:rsidR="00E93AC3" w:rsidRPr="004E142B" w:rsidRDefault="00FA1D63" w:rsidP="004E142B">
      <w:pPr>
        <w:spacing w:line="360" w:lineRule="auto"/>
        <w:rPr>
          <w:sz w:val="24"/>
          <w:szCs w:val="24"/>
        </w:rPr>
      </w:pPr>
      <w:r w:rsidRPr="004E142B">
        <w:rPr>
          <w:sz w:val="24"/>
          <w:szCs w:val="24"/>
        </w:rPr>
        <w:t>Throughout the research sessions</w:t>
      </w:r>
      <w:r w:rsidR="00EC736E" w:rsidRPr="004E142B">
        <w:rPr>
          <w:sz w:val="24"/>
          <w:szCs w:val="24"/>
        </w:rPr>
        <w:t xml:space="preserve">, there was many opportunities for the children to give assent </w:t>
      </w:r>
      <w:proofErr w:type="gramStart"/>
      <w:r w:rsidR="00EC736E" w:rsidRPr="004E142B">
        <w:rPr>
          <w:sz w:val="24"/>
          <w:szCs w:val="24"/>
        </w:rPr>
        <w:t>through the use of</w:t>
      </w:r>
      <w:proofErr w:type="gramEnd"/>
      <w:r w:rsidR="00EC736E" w:rsidRPr="004E142B">
        <w:rPr>
          <w:sz w:val="24"/>
          <w:szCs w:val="24"/>
        </w:rPr>
        <w:t xml:space="preserve"> the thumbs up approach. It was made clear that the children had the right to withdraw from the research process at any given time. If the children did not wish to continue with the research, then it was clear that if the children showed their thumbs down that they will no longer be included with the research. </w:t>
      </w:r>
      <w:r w:rsidR="00F02C64" w:rsidRPr="004E142B">
        <w:rPr>
          <w:sz w:val="24"/>
          <w:szCs w:val="24"/>
        </w:rPr>
        <w:t>No incentives were given to the participated target children and participating children, with all children treated equally throughout. Many steps were taken to ensure the participants felt comfortable; the interviews were conducted</w:t>
      </w:r>
      <w:r w:rsidR="00563937" w:rsidRPr="004E142B">
        <w:rPr>
          <w:sz w:val="24"/>
          <w:szCs w:val="24"/>
        </w:rPr>
        <w:t xml:space="preserve"> on site, with an open space being familiar to the pupils, with an additional adult (research partner) present. The choice of a comfortable environment is important (</w:t>
      </w:r>
      <w:proofErr w:type="spellStart"/>
      <w:r w:rsidR="00563937" w:rsidRPr="004E142B">
        <w:rPr>
          <w:sz w:val="24"/>
          <w:szCs w:val="24"/>
        </w:rPr>
        <w:t>Legard</w:t>
      </w:r>
      <w:proofErr w:type="spellEnd"/>
      <w:r w:rsidR="00563937" w:rsidRPr="004E142B">
        <w:rPr>
          <w:sz w:val="24"/>
          <w:szCs w:val="24"/>
        </w:rPr>
        <w:t xml:space="preserve"> et al., 2003) and can help produce valid results (Snape and Spencer, 2003). </w:t>
      </w:r>
    </w:p>
    <w:p w:rsidR="008B5CC8" w:rsidRPr="004E142B" w:rsidRDefault="008B5CC8" w:rsidP="004E142B">
      <w:pPr>
        <w:autoSpaceDE w:val="0"/>
        <w:autoSpaceDN w:val="0"/>
        <w:adjustRightInd w:val="0"/>
        <w:spacing w:line="360" w:lineRule="auto"/>
        <w:rPr>
          <w:sz w:val="24"/>
          <w:szCs w:val="24"/>
        </w:rPr>
      </w:pPr>
      <w:r w:rsidRPr="004E142B">
        <w:rPr>
          <w:sz w:val="24"/>
          <w:szCs w:val="24"/>
        </w:rPr>
        <w:lastRenderedPageBreak/>
        <w:t xml:space="preserve">Interview questions were designed to be open, avoiding and researcher or viewpoint bias, thus, collecting a more honest data sample. </w:t>
      </w:r>
      <w:proofErr w:type="gramStart"/>
      <w:r w:rsidR="00C07701" w:rsidRPr="004E142B">
        <w:rPr>
          <w:sz w:val="24"/>
          <w:szCs w:val="24"/>
        </w:rPr>
        <w:t>With regard</w:t>
      </w:r>
      <w:r w:rsidRPr="004E142B">
        <w:rPr>
          <w:sz w:val="24"/>
          <w:szCs w:val="24"/>
        </w:rPr>
        <w:t xml:space="preserve"> to</w:t>
      </w:r>
      <w:proofErr w:type="gramEnd"/>
      <w:r w:rsidRPr="004E142B">
        <w:rPr>
          <w:sz w:val="24"/>
          <w:szCs w:val="24"/>
        </w:rPr>
        <w:t xml:space="preserve"> storing the data, we followed the data protection act (Department for Digital, Culture, Media &amp; Sport, 2018), and ensured that all data results were kept confidential, protecting all participants. </w:t>
      </w:r>
      <w:r w:rsidR="00145F00" w:rsidRPr="004E142B">
        <w:rPr>
          <w:sz w:val="24"/>
          <w:szCs w:val="24"/>
        </w:rPr>
        <w:t xml:space="preserve">My research partner and I ensured that all manual paper files were stored in a locked cupboard, as well as ensuring that all electronic devices used were password protected with copies of information backed up the cloud having double-layer passwords. </w:t>
      </w:r>
    </w:p>
    <w:p w:rsidR="00031684" w:rsidRPr="004E142B" w:rsidRDefault="00031684" w:rsidP="00E01FE5">
      <w:pPr>
        <w:pStyle w:val="Heading1"/>
        <w:spacing w:line="360" w:lineRule="auto"/>
      </w:pPr>
      <w:bookmarkStart w:id="4" w:name="_Toc2602197"/>
      <w:r w:rsidRPr="004E142B">
        <w:t>Literature Review</w:t>
      </w:r>
      <w:bookmarkEnd w:id="4"/>
    </w:p>
    <w:p w:rsidR="00787463" w:rsidRPr="004E142B" w:rsidRDefault="00787463" w:rsidP="00E01FE5">
      <w:pPr>
        <w:spacing w:line="360" w:lineRule="auto"/>
        <w:rPr>
          <w:sz w:val="24"/>
          <w:szCs w:val="24"/>
        </w:rPr>
      </w:pPr>
      <w:r w:rsidRPr="004E142B">
        <w:rPr>
          <w:sz w:val="24"/>
          <w:szCs w:val="24"/>
        </w:rPr>
        <w:t>Ability grouping features globally throughout professional, policy, political and research areas (Penney and Evans, 1997). There are many arguments for and against both, ability and mixed-ability grouping in education. Firstly, mixed-ability grouping challenges and promotes the ethos that all children achieve through collaboration and peer-instruction (Kulik</w:t>
      </w:r>
      <w:r w:rsidR="00701752" w:rsidRPr="004E142B">
        <w:rPr>
          <w:sz w:val="24"/>
          <w:szCs w:val="24"/>
        </w:rPr>
        <w:t xml:space="preserve"> and Kulik, </w:t>
      </w:r>
      <w:r w:rsidRPr="004E142B">
        <w:rPr>
          <w:sz w:val="24"/>
          <w:szCs w:val="24"/>
        </w:rPr>
        <w:t>1992; Allan, 1991). Furthermore, mixed ability grouping is believed to increase interaction between learners inside a classroom (Cole et al., 19</w:t>
      </w:r>
      <w:r w:rsidR="00701752" w:rsidRPr="004E142B">
        <w:rPr>
          <w:sz w:val="24"/>
          <w:szCs w:val="24"/>
        </w:rPr>
        <w:t>78</w:t>
      </w:r>
      <w:r w:rsidRPr="004E142B">
        <w:rPr>
          <w:sz w:val="24"/>
          <w:szCs w:val="24"/>
        </w:rPr>
        <w:t xml:space="preserve">). </w:t>
      </w:r>
    </w:p>
    <w:p w:rsidR="00787463" w:rsidRPr="004E142B" w:rsidRDefault="00787463" w:rsidP="004E142B">
      <w:pPr>
        <w:spacing w:line="360" w:lineRule="auto"/>
        <w:rPr>
          <w:sz w:val="24"/>
          <w:szCs w:val="24"/>
        </w:rPr>
      </w:pPr>
      <w:r w:rsidRPr="004E142B">
        <w:rPr>
          <w:sz w:val="24"/>
          <w:szCs w:val="24"/>
        </w:rPr>
        <w:t xml:space="preserve">Moreover, Goetz and </w:t>
      </w:r>
      <w:proofErr w:type="spellStart"/>
      <w:r w:rsidRPr="004E142B">
        <w:rPr>
          <w:sz w:val="24"/>
          <w:szCs w:val="24"/>
        </w:rPr>
        <w:t>Frenzel</w:t>
      </w:r>
      <w:proofErr w:type="spellEnd"/>
      <w:r w:rsidRPr="004E142B">
        <w:rPr>
          <w:sz w:val="24"/>
          <w:szCs w:val="24"/>
        </w:rPr>
        <w:t xml:space="preserve"> (2006) advocate that mixed ability grouping encourages greater engagement with learning as it develops greater learning variables, thus developing a wider learner. Therefore, pupils are given not only chances to learn from one another, but this also allows for the higher ability children to develop their explanation and discussion skills when working alongside children from lower ability groups. </w:t>
      </w:r>
    </w:p>
    <w:p w:rsidR="00787463" w:rsidRPr="004E142B" w:rsidRDefault="00787463" w:rsidP="004E142B">
      <w:pPr>
        <w:spacing w:line="360" w:lineRule="auto"/>
        <w:rPr>
          <w:sz w:val="24"/>
          <w:szCs w:val="24"/>
        </w:rPr>
      </w:pPr>
      <w:r w:rsidRPr="004E142B">
        <w:rPr>
          <w:sz w:val="24"/>
          <w:szCs w:val="24"/>
        </w:rPr>
        <w:t>Gamoran (20</w:t>
      </w:r>
      <w:r w:rsidR="001A29FA" w:rsidRPr="004E142B">
        <w:rPr>
          <w:sz w:val="24"/>
          <w:szCs w:val="24"/>
        </w:rPr>
        <w:t>0</w:t>
      </w:r>
      <w:r w:rsidRPr="004E142B">
        <w:rPr>
          <w:sz w:val="24"/>
          <w:szCs w:val="24"/>
        </w:rPr>
        <w:t>2) cites a range of empirical studies; explaining that insufficient planning and a lack of clear structures in the planning process of practitioners results in a lack of positive effects on pupil’s learning and engagement when using mixed ability grouping. Therefore, mixed ability grouping requires excellent teaching and planning, because in many cases, it fails to enhance the educational attainment of the higher-ability pupils and to respond to the needs of the learners who have underperformed (</w:t>
      </w:r>
      <w:proofErr w:type="spellStart"/>
      <w:r w:rsidRPr="004E142B">
        <w:rPr>
          <w:sz w:val="24"/>
          <w:szCs w:val="24"/>
        </w:rPr>
        <w:t>DfEE</w:t>
      </w:r>
      <w:proofErr w:type="spellEnd"/>
      <w:r w:rsidRPr="004E142B">
        <w:rPr>
          <w:sz w:val="24"/>
          <w:szCs w:val="24"/>
        </w:rPr>
        <w:t xml:space="preserve">, 1997). Nevertheless, Slaven (1990) observed that ability grouping in the United States allows the teacher to be more effective in their differentiation of tasks, as it easily allows the teacher to provide more difficult material for the higher ability groups and allows for more support given to the children of lower ability. </w:t>
      </w:r>
    </w:p>
    <w:p w:rsidR="00787463" w:rsidRPr="004E142B" w:rsidRDefault="00787463" w:rsidP="004E142B">
      <w:pPr>
        <w:spacing w:line="360" w:lineRule="auto"/>
        <w:rPr>
          <w:sz w:val="24"/>
          <w:szCs w:val="24"/>
        </w:rPr>
      </w:pPr>
      <w:r w:rsidRPr="004E142B">
        <w:rPr>
          <w:sz w:val="24"/>
          <w:szCs w:val="24"/>
        </w:rPr>
        <w:lastRenderedPageBreak/>
        <w:t xml:space="preserve">Piaget (1936) believed that peer interaction enhances cognitive conflicts. For example, learners can express the differences between their own and their peers’ knowledge. Nonetheless, Piaget proposed that pupils should be grouped with those of a similar ability, so they can participate with effective discussions and sharing of thoughts and ideas (Meggitt, 2012). Therefore, research explaining the benefits of homogeneous grouping support the Piagetian thinking. </w:t>
      </w:r>
    </w:p>
    <w:p w:rsidR="00787463" w:rsidRPr="004E142B" w:rsidRDefault="00787463" w:rsidP="004E142B">
      <w:pPr>
        <w:spacing w:line="360" w:lineRule="auto"/>
        <w:rPr>
          <w:sz w:val="24"/>
          <w:szCs w:val="24"/>
        </w:rPr>
      </w:pPr>
      <w:r w:rsidRPr="004E142B">
        <w:rPr>
          <w:sz w:val="24"/>
          <w:szCs w:val="24"/>
        </w:rPr>
        <w:t xml:space="preserve">Mixed-ability grouping also relates to the theory of Zone of Proximal Development outlined by Vygotsky (1978). When outlining the Zone of Proximal Development, Vygotsky (1978) explained that as well as adults, more competent peers can aid a child’s development through collaboration.  Vygotsky’s (1978) Zone of Proximal Development is the area in which a child cannot do transferred to what a child can do. Furthermore, a skill that is too difficult for a child to conquer by themselves, but one in which can be done with support and guidance from a ‘more knowledgeable other’; thus, being an adult or a more competent peer in that skill or area (Vygotsky, 1978). Through mixed ability grouping, there is peer-tutoring and scaffolding taking place. Moreover, Roberts (2016) explains that through collaboration on a range of tasks, the students deemed lower ability can also become useful learning tools for their more capable peers. </w:t>
      </w:r>
    </w:p>
    <w:p w:rsidR="00787463" w:rsidRPr="004E142B" w:rsidRDefault="00787463" w:rsidP="004E142B">
      <w:pPr>
        <w:spacing w:line="360" w:lineRule="auto"/>
        <w:rPr>
          <w:sz w:val="24"/>
          <w:szCs w:val="24"/>
        </w:rPr>
      </w:pPr>
      <w:r w:rsidRPr="004E142B">
        <w:rPr>
          <w:sz w:val="24"/>
          <w:szCs w:val="24"/>
        </w:rPr>
        <w:t xml:space="preserve">Nevertheless, </w:t>
      </w:r>
      <w:proofErr w:type="spellStart"/>
      <w:r w:rsidRPr="004E142B">
        <w:rPr>
          <w:sz w:val="24"/>
          <w:szCs w:val="24"/>
        </w:rPr>
        <w:t>Bekiryazıcı</w:t>
      </w:r>
      <w:proofErr w:type="spellEnd"/>
      <w:r w:rsidRPr="004E142B">
        <w:rPr>
          <w:sz w:val="24"/>
          <w:szCs w:val="24"/>
        </w:rPr>
        <w:t xml:space="preserve"> (2015) explains that if more capable peers are often assisting the lower-ability children, they may face diminishing educational attainment themselves, as they are in a position of regression. Therefore, to obtain an effective teaching practice, practitioners must develop session plans and tasks that are also challenging for the higher-ability children. Furthermore, </w:t>
      </w:r>
      <w:proofErr w:type="spellStart"/>
      <w:r w:rsidRPr="004E142B">
        <w:rPr>
          <w:sz w:val="24"/>
          <w:szCs w:val="24"/>
        </w:rPr>
        <w:t>Slavin</w:t>
      </w:r>
      <w:proofErr w:type="spellEnd"/>
      <w:r w:rsidRPr="004E142B">
        <w:rPr>
          <w:sz w:val="24"/>
          <w:szCs w:val="24"/>
        </w:rPr>
        <w:t xml:space="preserve"> et al. (2009) believe that practitioners must ensure to plan and structure the interaction amongst learners for consistency throughout the zones of their proximal development. </w:t>
      </w:r>
    </w:p>
    <w:p w:rsidR="00787463" w:rsidRPr="004E142B" w:rsidRDefault="00787463" w:rsidP="004E142B">
      <w:pPr>
        <w:spacing w:line="360" w:lineRule="auto"/>
        <w:rPr>
          <w:sz w:val="24"/>
          <w:szCs w:val="24"/>
        </w:rPr>
      </w:pPr>
      <w:r w:rsidRPr="004E142B">
        <w:rPr>
          <w:sz w:val="24"/>
          <w:szCs w:val="24"/>
        </w:rPr>
        <w:t>Even though throughout education, the idea of scaffolding has a reliance of the teacher to break down learning to support children (</w:t>
      </w:r>
      <w:r w:rsidR="00AA6444" w:rsidRPr="004E142B">
        <w:rPr>
          <w:sz w:val="24"/>
          <w:szCs w:val="24"/>
        </w:rPr>
        <w:t>Beed et al., 1991; Larkin, 2001</w:t>
      </w:r>
      <w:r w:rsidRPr="004E142B">
        <w:rPr>
          <w:sz w:val="24"/>
          <w:szCs w:val="24"/>
        </w:rPr>
        <w:t xml:space="preserve">), the function of scaffolding can often be used by the students themselves (Franke et al., 2015). This research has shown that pupils within a primary setting scaffolded peers learning by using language in a diatonic manner (Franke et al., 2015). Cole (1985) reiterates this, explaining that more capable learners support less capable peers when they are unable to do such tasks independently. After this initial support, the less capable learners have the competence to </w:t>
      </w:r>
      <w:r w:rsidRPr="004E142B">
        <w:rPr>
          <w:sz w:val="24"/>
          <w:szCs w:val="24"/>
        </w:rPr>
        <w:lastRenderedPageBreak/>
        <w:t xml:space="preserve">preform said activities independently, because of the actions of the more capable peers. Thus, the more capable learners are helping to scaffold the skills and knowledge of their peers through aided support. </w:t>
      </w:r>
    </w:p>
    <w:p w:rsidR="00787463" w:rsidRPr="004E142B" w:rsidRDefault="00787463" w:rsidP="004E142B">
      <w:pPr>
        <w:spacing w:line="360" w:lineRule="auto"/>
        <w:rPr>
          <w:sz w:val="24"/>
          <w:szCs w:val="24"/>
        </w:rPr>
      </w:pPr>
      <w:r w:rsidRPr="004E142B">
        <w:rPr>
          <w:sz w:val="24"/>
          <w:szCs w:val="24"/>
        </w:rPr>
        <w:t xml:space="preserve">Moreover, </w:t>
      </w:r>
      <w:proofErr w:type="spellStart"/>
      <w:r w:rsidRPr="004E142B">
        <w:rPr>
          <w:sz w:val="24"/>
          <w:szCs w:val="24"/>
        </w:rPr>
        <w:t>Dillenbourg</w:t>
      </w:r>
      <w:proofErr w:type="spellEnd"/>
      <w:r w:rsidRPr="004E142B">
        <w:rPr>
          <w:sz w:val="24"/>
          <w:szCs w:val="24"/>
        </w:rPr>
        <w:t xml:space="preserve"> et al. (1996) suggest that grouping children together with different ability levels does not guarantee collaboration, discussion and the children learning from each other. </w:t>
      </w:r>
    </w:p>
    <w:p w:rsidR="00787463" w:rsidRPr="004E142B" w:rsidRDefault="00787463" w:rsidP="004E142B">
      <w:pPr>
        <w:spacing w:line="360" w:lineRule="auto"/>
        <w:rPr>
          <w:sz w:val="24"/>
          <w:szCs w:val="24"/>
        </w:rPr>
      </w:pPr>
      <w:r w:rsidRPr="004E142B">
        <w:rPr>
          <w:sz w:val="24"/>
          <w:szCs w:val="24"/>
        </w:rPr>
        <w:t xml:space="preserve">Galton et al. (1980) explains that effective teaching occurs when the children are grouped by ability, but the work given was individual to a child. With this method, collaboration can be used effectively, as lower-ability children are more motivated and engaged to gain extra support from the higher-ability children, rather than asking the classroom teacher for help or support (Galton et al., 1980). </w:t>
      </w:r>
    </w:p>
    <w:p w:rsidR="00787463" w:rsidRPr="004E142B" w:rsidRDefault="00787463" w:rsidP="004E142B">
      <w:pPr>
        <w:spacing w:line="360" w:lineRule="auto"/>
        <w:rPr>
          <w:sz w:val="24"/>
          <w:szCs w:val="24"/>
        </w:rPr>
      </w:pPr>
      <w:proofErr w:type="spellStart"/>
      <w:r w:rsidRPr="004E142B">
        <w:rPr>
          <w:sz w:val="24"/>
          <w:szCs w:val="24"/>
        </w:rPr>
        <w:t>Slavin</w:t>
      </w:r>
      <w:proofErr w:type="spellEnd"/>
      <w:r w:rsidRPr="004E142B">
        <w:rPr>
          <w:sz w:val="24"/>
          <w:szCs w:val="24"/>
        </w:rPr>
        <w:t xml:space="preserve"> (1990) advocates that when ability grouped, motivated, gifted students are often at risk to not progress in as accelerated manner as the lower-ability students, enhancing the opportunity for the gifted students to become ‘bored’ and off-topic. Thus, diminishing pupil progression. </w:t>
      </w:r>
      <w:r w:rsidR="006B50C0">
        <w:rPr>
          <w:sz w:val="24"/>
          <w:szCs w:val="24"/>
        </w:rPr>
        <w:t>Coope</w:t>
      </w:r>
      <w:r w:rsidRPr="004E142B">
        <w:rPr>
          <w:sz w:val="24"/>
          <w:szCs w:val="24"/>
        </w:rPr>
        <w:t xml:space="preserve">r and McIntire (1996) reiterate this point, explaining that more-able students experience boredom more frequently than their less-able peers. </w:t>
      </w:r>
    </w:p>
    <w:p w:rsidR="00787463" w:rsidRPr="004E142B" w:rsidRDefault="00787463" w:rsidP="004E142B">
      <w:pPr>
        <w:spacing w:line="360" w:lineRule="auto"/>
        <w:rPr>
          <w:sz w:val="24"/>
          <w:szCs w:val="24"/>
        </w:rPr>
      </w:pPr>
      <w:r w:rsidRPr="004E142B">
        <w:rPr>
          <w:sz w:val="24"/>
          <w:szCs w:val="24"/>
        </w:rPr>
        <w:t xml:space="preserve">Pupil grouping by practitioners potentially creates social environments in which the learners can learn independently and flourish. With the introduction of Successful Futures throughout Wales, this is an important aspect to consider. For example, all practitioners must create more opportunity for children to take responsibility for their own learning (Donaldson, 2015). </w:t>
      </w:r>
    </w:p>
    <w:p w:rsidR="00EB4C92" w:rsidRPr="004E142B" w:rsidRDefault="00EB4C92" w:rsidP="004E142B">
      <w:pPr>
        <w:spacing w:line="360" w:lineRule="auto"/>
        <w:rPr>
          <w:sz w:val="24"/>
          <w:szCs w:val="24"/>
        </w:rPr>
      </w:pPr>
      <w:r w:rsidRPr="004E142B">
        <w:rPr>
          <w:sz w:val="24"/>
          <w:szCs w:val="24"/>
        </w:rPr>
        <w:t xml:space="preserve">Despite there </w:t>
      </w:r>
      <w:r w:rsidR="00A16A51" w:rsidRPr="004E142B">
        <w:rPr>
          <w:sz w:val="24"/>
          <w:szCs w:val="24"/>
        </w:rPr>
        <w:t xml:space="preserve">being vast amounts of research on the benefits and limitations of mixed ability grouping, there is a lack of research highlighting the pairing of lower ability and higher ability children together and the effects this has on the self-esteem and motivation to engage with their learning, especially for those who </w:t>
      </w:r>
      <w:proofErr w:type="gramStart"/>
      <w:r w:rsidR="00A16A51" w:rsidRPr="004E142B">
        <w:rPr>
          <w:sz w:val="24"/>
          <w:szCs w:val="24"/>
        </w:rPr>
        <w:t>are considered to be</w:t>
      </w:r>
      <w:proofErr w:type="gramEnd"/>
      <w:r w:rsidR="00A16A51" w:rsidRPr="004E142B">
        <w:rPr>
          <w:sz w:val="24"/>
          <w:szCs w:val="24"/>
        </w:rPr>
        <w:t xml:space="preserve"> of a lower ability. Because of such findings, the research undertaken was to determine if pairing lower-ability children with higher-ability children resulted in the lower-ability children to become more motivated to engage with their learning.</w:t>
      </w:r>
    </w:p>
    <w:p w:rsidR="008B4304" w:rsidRPr="004E142B" w:rsidRDefault="008B4304" w:rsidP="00E01FE5">
      <w:pPr>
        <w:pStyle w:val="Heading1"/>
        <w:spacing w:line="360" w:lineRule="auto"/>
      </w:pPr>
      <w:bookmarkStart w:id="5" w:name="_Toc2602198"/>
      <w:r w:rsidRPr="004E142B">
        <w:lastRenderedPageBreak/>
        <w:t>Lesson Study Design</w:t>
      </w:r>
      <w:bookmarkEnd w:id="5"/>
    </w:p>
    <w:p w:rsidR="001F3B1A" w:rsidRPr="004E142B" w:rsidRDefault="007769D1" w:rsidP="00E01FE5">
      <w:pPr>
        <w:spacing w:line="360" w:lineRule="auto"/>
        <w:rPr>
          <w:sz w:val="24"/>
          <w:szCs w:val="24"/>
        </w:rPr>
      </w:pPr>
      <w:r w:rsidRPr="004E142B">
        <w:rPr>
          <w:sz w:val="24"/>
          <w:szCs w:val="24"/>
        </w:rPr>
        <w:t>The research used a Lesson Study approach, outlined by Dudley (2011). Lesson Study (LS)</w:t>
      </w:r>
      <w:r w:rsidR="0098475E" w:rsidRPr="004E142B">
        <w:rPr>
          <w:sz w:val="24"/>
          <w:szCs w:val="24"/>
        </w:rPr>
        <w:t xml:space="preserve"> is a form of action research, </w:t>
      </w:r>
      <w:r w:rsidRPr="004E142B">
        <w:rPr>
          <w:sz w:val="24"/>
          <w:szCs w:val="24"/>
        </w:rPr>
        <w:t>originat</w:t>
      </w:r>
      <w:r w:rsidR="0098475E" w:rsidRPr="004E142B">
        <w:rPr>
          <w:sz w:val="24"/>
          <w:szCs w:val="24"/>
        </w:rPr>
        <w:t>ing</w:t>
      </w:r>
      <w:r w:rsidRPr="004E142B">
        <w:rPr>
          <w:sz w:val="24"/>
          <w:szCs w:val="24"/>
        </w:rPr>
        <w:t xml:space="preserve"> in Japan in the 1980’s and is related to teachers working collaboratively; planning, teaching and thus observing and analysing the teaching and learning through research lessons (Dudley, 2011).</w:t>
      </w:r>
      <w:r w:rsidR="006D7DA9" w:rsidRPr="004E142B">
        <w:rPr>
          <w:sz w:val="24"/>
          <w:szCs w:val="24"/>
        </w:rPr>
        <w:t xml:space="preserve"> </w:t>
      </w:r>
      <w:r w:rsidR="00DD09B1" w:rsidRPr="004E142B">
        <w:rPr>
          <w:sz w:val="24"/>
          <w:szCs w:val="24"/>
        </w:rPr>
        <w:t xml:space="preserve">LS has become globally known for enhancing both teachers pedagogical and subject knowledge as well as improving the involved student’s educational attainment levels (Dudley, 2011).  </w:t>
      </w:r>
      <w:r w:rsidR="0081343B" w:rsidRPr="004E142B">
        <w:rPr>
          <w:sz w:val="24"/>
          <w:szCs w:val="24"/>
        </w:rPr>
        <w:t xml:space="preserve">However, there has been </w:t>
      </w:r>
      <w:r w:rsidR="00731BD9" w:rsidRPr="004E142B">
        <w:rPr>
          <w:sz w:val="24"/>
          <w:szCs w:val="24"/>
        </w:rPr>
        <w:t xml:space="preserve">research discrediting this statement made by Dudley. For example, </w:t>
      </w:r>
      <w:r w:rsidR="00A90DF1" w:rsidRPr="004E142B">
        <w:rPr>
          <w:sz w:val="24"/>
          <w:szCs w:val="24"/>
        </w:rPr>
        <w:t xml:space="preserve">conclusions from a </w:t>
      </w:r>
      <w:r w:rsidR="008172BF" w:rsidRPr="004E142B">
        <w:rPr>
          <w:sz w:val="24"/>
          <w:szCs w:val="24"/>
        </w:rPr>
        <w:t>UK large-scale effectiveness LS concluded that there is a lack of evidence that the model enhances attainment levels. Nevertheless, LS allows teachers to become engaged with developing different techniques to improve performance for identified pupils (Department for Children, Schools and Families, 200</w:t>
      </w:r>
      <w:r w:rsidR="00D84F49">
        <w:rPr>
          <w:sz w:val="24"/>
          <w:szCs w:val="24"/>
        </w:rPr>
        <w:t>8</w:t>
      </w:r>
      <w:r w:rsidR="008172BF" w:rsidRPr="004E142B">
        <w:rPr>
          <w:sz w:val="24"/>
          <w:szCs w:val="24"/>
        </w:rPr>
        <w:t xml:space="preserve">). </w:t>
      </w:r>
      <w:r w:rsidR="00F80077" w:rsidRPr="004E142B">
        <w:rPr>
          <w:sz w:val="24"/>
          <w:szCs w:val="24"/>
        </w:rPr>
        <w:t xml:space="preserve">Moreover, a longitudinal LS conducted to determine if a coaching approach enhanced both writing and mathematics in eleven-year olds concluded that this LS had considerable impact year on year (Dudley, 2012). </w:t>
      </w:r>
      <w:r w:rsidR="008172BF" w:rsidRPr="004E142B">
        <w:rPr>
          <w:sz w:val="24"/>
          <w:szCs w:val="24"/>
        </w:rPr>
        <w:t xml:space="preserve">Therefore, LS is an effective model in improving a teacher practice and is beneficial in for a teachers’ overall development (EEF, 2017). In this instance, the identified pupils are those of a lower ability. With this research, we wanted to determine if pairing such children with children of high ability resulted in the lower ability children to become more motivated and engaged with their learning. Therefore, through using a LS approach, I am identifying features to improve future learning and teaching throughout my personal practice, a benefit of a LS outlined by </w:t>
      </w:r>
      <w:proofErr w:type="spellStart"/>
      <w:r w:rsidR="008172BF" w:rsidRPr="004E142B">
        <w:rPr>
          <w:sz w:val="24"/>
          <w:szCs w:val="24"/>
        </w:rPr>
        <w:t>Cordingley</w:t>
      </w:r>
      <w:proofErr w:type="spellEnd"/>
      <w:r w:rsidR="008172BF" w:rsidRPr="004E142B">
        <w:rPr>
          <w:sz w:val="24"/>
          <w:szCs w:val="24"/>
        </w:rPr>
        <w:t xml:space="preserve"> et al. (2004).</w:t>
      </w:r>
    </w:p>
    <w:p w:rsidR="00483B28" w:rsidRPr="004E142B" w:rsidRDefault="00483B28" w:rsidP="004E142B">
      <w:pPr>
        <w:spacing w:line="360" w:lineRule="auto"/>
        <w:rPr>
          <w:sz w:val="24"/>
          <w:szCs w:val="24"/>
        </w:rPr>
      </w:pPr>
      <w:r w:rsidRPr="004E142B">
        <w:rPr>
          <w:sz w:val="24"/>
          <w:szCs w:val="24"/>
        </w:rPr>
        <w:t xml:space="preserve">The three focus children were chosen as a sample due to their ability levels. Having discussed the research project and the research question with the classroom teachers in both settings, a conclusion was made on what children were best suited for research project. In both settings, we identified five children that would be best suited for the research, with special care and thought taken that some of the children will not give their assent towards the research. </w:t>
      </w:r>
    </w:p>
    <w:p w:rsidR="006B21C8" w:rsidRPr="004E142B" w:rsidRDefault="00570CC1" w:rsidP="004E142B">
      <w:pPr>
        <w:spacing w:line="360" w:lineRule="auto"/>
        <w:rPr>
          <w:sz w:val="24"/>
          <w:szCs w:val="24"/>
        </w:rPr>
      </w:pPr>
      <w:r w:rsidRPr="004E142B">
        <w:rPr>
          <w:sz w:val="24"/>
          <w:szCs w:val="24"/>
        </w:rPr>
        <w:t xml:space="preserve">Semi-structured interviews and </w:t>
      </w:r>
      <w:r w:rsidR="00851DBC" w:rsidRPr="004E142B">
        <w:rPr>
          <w:sz w:val="24"/>
          <w:szCs w:val="24"/>
        </w:rPr>
        <w:t xml:space="preserve">whole-class </w:t>
      </w:r>
      <w:r w:rsidRPr="004E142B">
        <w:rPr>
          <w:sz w:val="24"/>
          <w:szCs w:val="24"/>
        </w:rPr>
        <w:t xml:space="preserve">observations were the primarily tools used to determine whether grouping lower ability children with higher ability children motivated the lower ability children to be more engaged with their learning. </w:t>
      </w:r>
      <w:r w:rsidR="00BC6016" w:rsidRPr="004E142B">
        <w:rPr>
          <w:sz w:val="24"/>
          <w:szCs w:val="24"/>
        </w:rPr>
        <w:t xml:space="preserve">This can increase the validity and reliability of our results, as through using both methods, we are able to reduce </w:t>
      </w:r>
      <w:r w:rsidR="00BC6016" w:rsidRPr="004E142B">
        <w:rPr>
          <w:sz w:val="24"/>
          <w:szCs w:val="24"/>
        </w:rPr>
        <w:lastRenderedPageBreak/>
        <w:t xml:space="preserve">researcher bias, thus, enabling us to publish and analyse larger data that can aid our future professional practices. </w:t>
      </w:r>
      <w:r w:rsidR="00D23B03" w:rsidRPr="004E142B">
        <w:rPr>
          <w:sz w:val="24"/>
          <w:szCs w:val="24"/>
        </w:rPr>
        <w:t xml:space="preserve">From using semi-structured interviews, </w:t>
      </w:r>
      <w:r w:rsidR="009453C7" w:rsidRPr="004E142B">
        <w:rPr>
          <w:sz w:val="24"/>
          <w:szCs w:val="24"/>
        </w:rPr>
        <w:t xml:space="preserve">we were able to ask the participants a variety of predetermined, open-ended questions. A possible downfall of this approach is that the discussion with participants may lead to wider, irrelevant answers (Wood and Smith, 2016). However, this may also allow for the participants to highlight areas in which the researcher has not previously considered (Wilson, 2009). </w:t>
      </w:r>
      <w:r w:rsidR="006B21C8" w:rsidRPr="004E142B">
        <w:rPr>
          <w:sz w:val="24"/>
          <w:szCs w:val="24"/>
        </w:rPr>
        <w:t xml:space="preserve">In both settings, the interviews were conducted by solely the student teacher of that practice. Cohen et al. (2011) proposed that when interviewing children, it is vital to keep them focussed, which we as researchers, believed the best way to achieve this is to have the children interviewed by a familiar figure. </w:t>
      </w:r>
    </w:p>
    <w:p w:rsidR="00CE161E" w:rsidRPr="004E142B" w:rsidRDefault="00CE161E" w:rsidP="004E142B">
      <w:pPr>
        <w:spacing w:line="360" w:lineRule="auto"/>
        <w:rPr>
          <w:sz w:val="24"/>
          <w:szCs w:val="24"/>
        </w:rPr>
      </w:pPr>
      <w:r w:rsidRPr="004E142B">
        <w:rPr>
          <w:sz w:val="24"/>
          <w:szCs w:val="24"/>
        </w:rPr>
        <w:t>The observational notes were conducted using an observational checklist (see appendix</w:t>
      </w:r>
      <w:r w:rsidR="00CB5936" w:rsidRPr="004E142B">
        <w:rPr>
          <w:sz w:val="24"/>
          <w:szCs w:val="24"/>
        </w:rPr>
        <w:t xml:space="preserve"> A</w:t>
      </w:r>
      <w:r w:rsidRPr="004E142B">
        <w:rPr>
          <w:sz w:val="24"/>
          <w:szCs w:val="24"/>
        </w:rPr>
        <w:t xml:space="preserve">). </w:t>
      </w:r>
      <w:r w:rsidR="00DC1279" w:rsidRPr="004E142B">
        <w:rPr>
          <w:sz w:val="24"/>
          <w:szCs w:val="24"/>
        </w:rPr>
        <w:t>This is a structured observation as it is being determined along with a ‘schedule’, looking at the body language, work ethic, collaboration and quality of work from each of the six target children (</w:t>
      </w:r>
      <w:r w:rsidR="00AA1CE3" w:rsidRPr="004E142B">
        <w:rPr>
          <w:sz w:val="24"/>
          <w:szCs w:val="24"/>
        </w:rPr>
        <w:t xml:space="preserve">three lower-ability children </w:t>
      </w:r>
      <w:r w:rsidR="00DC1279" w:rsidRPr="004E142B">
        <w:rPr>
          <w:sz w:val="24"/>
          <w:szCs w:val="24"/>
        </w:rPr>
        <w:t xml:space="preserve">in each setting). This can be said as being reliable as the characteristics of each area will all be observed in depth (Bryman, 1988). When observing, we have decided that assessing body language will be the most effective and primary tool in assessing the motivation and engagement of the learners. This is supported by </w:t>
      </w:r>
      <w:proofErr w:type="spellStart"/>
      <w:r w:rsidR="00DC1279" w:rsidRPr="004E142B">
        <w:rPr>
          <w:sz w:val="24"/>
          <w:szCs w:val="24"/>
        </w:rPr>
        <w:t>D'Mello</w:t>
      </w:r>
      <w:proofErr w:type="spellEnd"/>
      <w:r w:rsidR="00DC1279" w:rsidRPr="004E142B">
        <w:rPr>
          <w:sz w:val="24"/>
          <w:szCs w:val="24"/>
        </w:rPr>
        <w:t xml:space="preserve"> et al. (2007) who</w:t>
      </w:r>
      <w:r w:rsidR="00AA1CE3" w:rsidRPr="004E142B">
        <w:rPr>
          <w:sz w:val="24"/>
          <w:szCs w:val="24"/>
        </w:rPr>
        <w:t xml:space="preserve"> d</w:t>
      </w:r>
      <w:r w:rsidR="00DC1279" w:rsidRPr="004E142B">
        <w:rPr>
          <w:sz w:val="24"/>
          <w:szCs w:val="24"/>
        </w:rPr>
        <w:t>uring a study on motivation and engagement,</w:t>
      </w:r>
      <w:r w:rsidR="00AA1CE3" w:rsidRPr="004E142B">
        <w:rPr>
          <w:sz w:val="24"/>
          <w:szCs w:val="24"/>
        </w:rPr>
        <w:t xml:space="preserve"> concluded</w:t>
      </w:r>
      <w:r w:rsidR="00DC1279" w:rsidRPr="004E142B">
        <w:rPr>
          <w:sz w:val="24"/>
          <w:szCs w:val="24"/>
        </w:rPr>
        <w:t xml:space="preserve"> that learners who showed positive body language throughout the study (sitting upright, comfortably in position) were more engaged with their learning, thus completing work to a </w:t>
      </w:r>
      <w:r w:rsidR="00BC6016" w:rsidRPr="004E142B">
        <w:rPr>
          <w:sz w:val="24"/>
          <w:szCs w:val="24"/>
        </w:rPr>
        <w:t xml:space="preserve">have increased </w:t>
      </w:r>
      <w:r w:rsidR="00DC1279" w:rsidRPr="004E142B">
        <w:rPr>
          <w:sz w:val="24"/>
          <w:szCs w:val="24"/>
        </w:rPr>
        <w:t>high standard. In contrast, learners displayed signs of ineffective engagement with their learning when they were stretching out, laying back and fidgeting (</w:t>
      </w:r>
      <w:proofErr w:type="spellStart"/>
      <w:r w:rsidR="00DC1279" w:rsidRPr="004E142B">
        <w:rPr>
          <w:sz w:val="24"/>
          <w:szCs w:val="24"/>
        </w:rPr>
        <w:t>D’Mello</w:t>
      </w:r>
      <w:proofErr w:type="spellEnd"/>
      <w:r w:rsidR="00DC1279" w:rsidRPr="004E142B">
        <w:rPr>
          <w:sz w:val="24"/>
          <w:szCs w:val="24"/>
        </w:rPr>
        <w:t xml:space="preserve"> et al., 2007).</w:t>
      </w:r>
      <w:r w:rsidR="008D2D93" w:rsidRPr="004E142B">
        <w:rPr>
          <w:sz w:val="24"/>
          <w:szCs w:val="24"/>
        </w:rPr>
        <w:t xml:space="preserve"> Furthermor</w:t>
      </w:r>
      <w:r w:rsidR="00FE528F" w:rsidRPr="004E142B">
        <w:rPr>
          <w:sz w:val="24"/>
          <w:szCs w:val="24"/>
        </w:rPr>
        <w:t xml:space="preserve">e, when assessing both work ethic and quality of work, we have adapted the Leaven Scale method. </w:t>
      </w:r>
    </w:p>
    <w:p w:rsidR="005A07E3" w:rsidRPr="004E142B" w:rsidRDefault="00C07701" w:rsidP="004E142B">
      <w:pPr>
        <w:spacing w:line="360" w:lineRule="auto"/>
        <w:rPr>
          <w:sz w:val="24"/>
          <w:szCs w:val="24"/>
        </w:rPr>
      </w:pPr>
      <w:r w:rsidRPr="004E142B">
        <w:rPr>
          <w:sz w:val="24"/>
          <w:szCs w:val="24"/>
        </w:rPr>
        <w:t>Before the observation checklist was completed, there needed to be clarity between each characteristic from the both researchers, ensuring that a consistent understanding was developed towards what represents each characteristic.</w:t>
      </w:r>
      <w:r w:rsidR="00D831F2" w:rsidRPr="004E142B">
        <w:rPr>
          <w:sz w:val="24"/>
          <w:szCs w:val="24"/>
        </w:rPr>
        <w:t xml:space="preserve"> For example, we discussed that collaboration will be assessed in action by the non-participant observer, where we will be analysing the number of and the quality of meaningful conservations the lower-ability child has with their partner, linked to the topic. This develops a consistency throughout the research, ensuring that the research is high in validity. </w:t>
      </w:r>
      <w:r w:rsidR="005A07E3" w:rsidRPr="004E142B">
        <w:rPr>
          <w:sz w:val="24"/>
          <w:szCs w:val="24"/>
        </w:rPr>
        <w:t xml:space="preserve">We were aware that </w:t>
      </w:r>
      <w:r w:rsidR="000E4452" w:rsidRPr="004E142B">
        <w:rPr>
          <w:sz w:val="24"/>
          <w:szCs w:val="24"/>
        </w:rPr>
        <w:t xml:space="preserve">due to the </w:t>
      </w:r>
      <w:r w:rsidR="000E4452" w:rsidRPr="004E142B">
        <w:rPr>
          <w:sz w:val="24"/>
          <w:szCs w:val="24"/>
        </w:rPr>
        <w:lastRenderedPageBreak/>
        <w:t>children being aware that they are being observed, an element of the Hawthorne effect could occur. The Hawthorne effect is a concern for research participation as the awareness of being studied may result in a change of behaviour (</w:t>
      </w:r>
      <w:proofErr w:type="spellStart"/>
      <w:r w:rsidR="000E4452" w:rsidRPr="004E142B">
        <w:rPr>
          <w:sz w:val="24"/>
          <w:szCs w:val="24"/>
        </w:rPr>
        <w:t>McCambridge</w:t>
      </w:r>
      <w:proofErr w:type="spellEnd"/>
      <w:r w:rsidR="000E4452" w:rsidRPr="004E142B">
        <w:rPr>
          <w:sz w:val="24"/>
          <w:szCs w:val="24"/>
        </w:rPr>
        <w:t xml:space="preserve"> et al., 2014). </w:t>
      </w:r>
    </w:p>
    <w:p w:rsidR="002C3C75" w:rsidRPr="004E142B" w:rsidRDefault="002C3C75" w:rsidP="004E142B">
      <w:pPr>
        <w:spacing w:line="360" w:lineRule="auto"/>
        <w:rPr>
          <w:sz w:val="24"/>
          <w:szCs w:val="24"/>
        </w:rPr>
      </w:pPr>
      <w:r w:rsidRPr="004E142B">
        <w:rPr>
          <w:sz w:val="24"/>
          <w:szCs w:val="24"/>
        </w:rPr>
        <w:t xml:space="preserve">Coles and McGrath (2010) explain that specific care needs to be taken by researchers when quantitative judgments are made from qualitative data in their guide to Educational Research. Our methods enabled us to collect both qualitative and quantitative data. </w:t>
      </w:r>
      <w:r w:rsidR="0081282D" w:rsidRPr="004E142B">
        <w:rPr>
          <w:sz w:val="24"/>
          <w:szCs w:val="24"/>
        </w:rPr>
        <w:t xml:space="preserve">Our data collection was mainly based upon the subjective responses from the non-participant observers in both settings. With our observation schedule allowing us to gather both quantitative and qualitative data, it enhances the validity of the information gathered.  </w:t>
      </w:r>
    </w:p>
    <w:p w:rsidR="00D62822" w:rsidRPr="004E142B" w:rsidRDefault="00D62822" w:rsidP="004E142B">
      <w:pPr>
        <w:spacing w:line="360" w:lineRule="auto"/>
        <w:rPr>
          <w:sz w:val="24"/>
          <w:szCs w:val="24"/>
        </w:rPr>
      </w:pPr>
      <w:r w:rsidRPr="004E142B">
        <w:rPr>
          <w:sz w:val="24"/>
          <w:szCs w:val="24"/>
        </w:rPr>
        <w:t>The reflections were captured using Brookfield’s (1995) reflective model</w:t>
      </w:r>
      <w:r w:rsidR="0063654F" w:rsidRPr="004E142B">
        <w:rPr>
          <w:sz w:val="24"/>
          <w:szCs w:val="24"/>
        </w:rPr>
        <w:t xml:space="preserve"> (se</w:t>
      </w:r>
      <w:r w:rsidR="00ED1078" w:rsidRPr="004E142B">
        <w:rPr>
          <w:sz w:val="24"/>
          <w:szCs w:val="24"/>
        </w:rPr>
        <w:t>e</w:t>
      </w:r>
      <w:r w:rsidR="0063654F" w:rsidRPr="004E142B">
        <w:rPr>
          <w:sz w:val="24"/>
          <w:szCs w:val="24"/>
        </w:rPr>
        <w:t xml:space="preserve"> appendix</w:t>
      </w:r>
      <w:r w:rsidR="00CB5936" w:rsidRPr="004E142B">
        <w:rPr>
          <w:sz w:val="24"/>
          <w:szCs w:val="24"/>
        </w:rPr>
        <w:t xml:space="preserve"> C</w:t>
      </w:r>
      <w:r w:rsidR="00ED1078" w:rsidRPr="004E142B">
        <w:rPr>
          <w:sz w:val="24"/>
          <w:szCs w:val="24"/>
        </w:rPr>
        <w:t>)</w:t>
      </w:r>
      <w:r w:rsidRPr="004E142B">
        <w:rPr>
          <w:sz w:val="24"/>
          <w:szCs w:val="24"/>
        </w:rPr>
        <w:t xml:space="preserve">. Through using this reflective model, we </w:t>
      </w:r>
      <w:r w:rsidR="005E5B0B" w:rsidRPr="004E142B">
        <w:rPr>
          <w:sz w:val="24"/>
          <w:szCs w:val="24"/>
        </w:rPr>
        <w:t>were</w:t>
      </w:r>
      <w:r w:rsidRPr="004E142B">
        <w:rPr>
          <w:sz w:val="24"/>
          <w:szCs w:val="24"/>
        </w:rPr>
        <w:t xml:space="preserve"> able to consider the research from a variety of viewpoints</w:t>
      </w:r>
      <w:r w:rsidR="005E5B0B" w:rsidRPr="004E142B">
        <w:rPr>
          <w:sz w:val="24"/>
          <w:szCs w:val="24"/>
        </w:rPr>
        <w:t xml:space="preserve">. </w:t>
      </w:r>
      <w:r w:rsidRPr="004E142B">
        <w:rPr>
          <w:sz w:val="24"/>
          <w:szCs w:val="24"/>
        </w:rPr>
        <w:t xml:space="preserve">This model allows for four different reflective viewpoints, in which Brookfield (1995) described as the four lenses. </w:t>
      </w:r>
      <w:r w:rsidR="005E5B0B" w:rsidRPr="004E142B">
        <w:rPr>
          <w:sz w:val="24"/>
          <w:szCs w:val="24"/>
        </w:rPr>
        <w:t xml:space="preserve">It is described that with the four interconnecting lenses, teachers </w:t>
      </w:r>
      <w:r w:rsidR="008E68F9" w:rsidRPr="004E142B">
        <w:rPr>
          <w:sz w:val="24"/>
          <w:szCs w:val="24"/>
        </w:rPr>
        <w:t>can</w:t>
      </w:r>
      <w:r w:rsidR="005E5B0B" w:rsidRPr="004E142B">
        <w:rPr>
          <w:sz w:val="24"/>
          <w:szCs w:val="24"/>
        </w:rPr>
        <w:t xml:space="preserve"> discover and critically examine assumptions (Brookfield, </w:t>
      </w:r>
      <w:r w:rsidR="003A6848" w:rsidRPr="004E142B">
        <w:rPr>
          <w:sz w:val="24"/>
          <w:szCs w:val="24"/>
        </w:rPr>
        <w:t>1995</w:t>
      </w:r>
      <w:r w:rsidR="005E5B0B" w:rsidRPr="004E142B">
        <w:rPr>
          <w:sz w:val="24"/>
          <w:szCs w:val="24"/>
        </w:rPr>
        <w:t xml:space="preserve">), thus diminishing the researcher-bias that can take place. The four lenses are; the autobiographical lens, lens of the student’s eyes, lens of colleagues’ experiences and the lens of theoretical literature. This reflective tool was also chosen as it allows us to examine the research and findings through relating our findings with theoretical literature, allowing us to make connections and find limitations with the current literature, enhancing our research. </w:t>
      </w:r>
      <w:r w:rsidR="00575569" w:rsidRPr="004E142B">
        <w:rPr>
          <w:sz w:val="24"/>
          <w:szCs w:val="24"/>
        </w:rPr>
        <w:t xml:space="preserve">Furthermore, Brookfield’s reflection model allows us to understand </w:t>
      </w:r>
      <w:r w:rsidR="000B502F" w:rsidRPr="004E142B">
        <w:rPr>
          <w:sz w:val="24"/>
          <w:szCs w:val="24"/>
        </w:rPr>
        <w:t xml:space="preserve">and analyse </w:t>
      </w:r>
      <w:r w:rsidR="00575569" w:rsidRPr="004E142B">
        <w:rPr>
          <w:sz w:val="24"/>
          <w:szCs w:val="24"/>
        </w:rPr>
        <w:t xml:space="preserve">the different data </w:t>
      </w:r>
      <w:r w:rsidR="000B502F" w:rsidRPr="004E142B">
        <w:rPr>
          <w:sz w:val="24"/>
          <w:szCs w:val="24"/>
        </w:rPr>
        <w:t>collected, enabling</w:t>
      </w:r>
      <w:r w:rsidR="00575569" w:rsidRPr="004E142B">
        <w:rPr>
          <w:sz w:val="24"/>
          <w:szCs w:val="24"/>
        </w:rPr>
        <w:t xml:space="preserve"> us to identify </w:t>
      </w:r>
      <w:r w:rsidR="00136AC7" w:rsidRPr="004E142B">
        <w:rPr>
          <w:sz w:val="24"/>
          <w:szCs w:val="24"/>
        </w:rPr>
        <w:t xml:space="preserve">our strengths and weaknesses and how we can improve upon such aspects. </w:t>
      </w:r>
    </w:p>
    <w:p w:rsidR="00C5244F" w:rsidRPr="004E142B" w:rsidRDefault="00C5244F" w:rsidP="00E01FE5">
      <w:pPr>
        <w:pStyle w:val="Heading1"/>
        <w:spacing w:line="360" w:lineRule="auto"/>
      </w:pPr>
      <w:bookmarkStart w:id="6" w:name="_Hlk2536743"/>
      <w:bookmarkStart w:id="7" w:name="_Toc2602199"/>
      <w:r w:rsidRPr="004E142B">
        <w:t xml:space="preserve">Lesson Study </w:t>
      </w:r>
      <w:r w:rsidR="007C0574" w:rsidRPr="004E142B">
        <w:t>1</w:t>
      </w:r>
      <w:r w:rsidR="00E01FE5">
        <w:t xml:space="preserve"> – Results and Analysis</w:t>
      </w:r>
      <w:bookmarkEnd w:id="7"/>
    </w:p>
    <w:p w:rsidR="00C2248E" w:rsidRPr="004E142B" w:rsidRDefault="00C2248E" w:rsidP="00E01FE5">
      <w:pPr>
        <w:spacing w:line="360" w:lineRule="auto"/>
        <w:rPr>
          <w:sz w:val="24"/>
          <w:szCs w:val="24"/>
        </w:rPr>
      </w:pPr>
      <w:r w:rsidRPr="004E142B">
        <w:rPr>
          <w:sz w:val="24"/>
          <w:szCs w:val="24"/>
        </w:rPr>
        <w:t xml:space="preserve">In relation to the first Lesson Study, the chosen teaching topic by my research partner was English, where the children were to create a persuasive piece of writing. The reasoning behind this selection was that it allows for a large quantity of discussion between the children and their partners, which can result in effective collaboration between each partnership. As Donaldson (2015) argues, it is important for all children to express and discuss ideas throughout all aspects of the classroom, so making sure this was collaborated into the classroom was crucial for an effective outcome. In addition to this, it allows children </w:t>
      </w:r>
      <w:r w:rsidRPr="004E142B">
        <w:rPr>
          <w:sz w:val="24"/>
          <w:szCs w:val="24"/>
        </w:rPr>
        <w:lastRenderedPageBreak/>
        <w:t>to become active learners in the classroom, and through activities such as discussions with new partners, we feel that this would be highly beneficial to those who have lower learning abilities to engage more in the classroom and become more engaged with their learning through high self-esteem and motivation.</w:t>
      </w:r>
    </w:p>
    <w:p w:rsidR="005242E5" w:rsidRPr="004E142B" w:rsidRDefault="005242E5" w:rsidP="004E142B">
      <w:pPr>
        <w:spacing w:line="360" w:lineRule="auto"/>
        <w:rPr>
          <w:sz w:val="24"/>
          <w:szCs w:val="24"/>
        </w:rPr>
      </w:pPr>
      <w:r w:rsidRPr="004E142B">
        <w:rPr>
          <w:sz w:val="24"/>
          <w:szCs w:val="24"/>
        </w:rPr>
        <w:t>This lesson took place at School 2 and was a follow up session from a previous English lesson. During this session, the children discussed the success criteria of persuasive writing by making note of different ideas in a plan. Implementing the argument that working with different partners in the classroom increases efficiency in outcomes and engagements of the lower-able children, this session utilised the technique of using new partners, whereas the previous session was conducted in the usual groups. This choice was made to determine if this argument is somewhat true.</w:t>
      </w:r>
    </w:p>
    <w:p w:rsidR="0050450E" w:rsidRPr="004E142B" w:rsidRDefault="00D20C30" w:rsidP="004E142B">
      <w:pPr>
        <w:spacing w:line="360" w:lineRule="auto"/>
        <w:rPr>
          <w:sz w:val="24"/>
          <w:szCs w:val="24"/>
        </w:rPr>
      </w:pPr>
      <w:r w:rsidRPr="004E142B">
        <w:rPr>
          <w:sz w:val="24"/>
          <w:szCs w:val="24"/>
        </w:rPr>
        <w:t xml:space="preserve">Throughout this session, </w:t>
      </w:r>
      <w:proofErr w:type="gramStart"/>
      <w:r w:rsidRPr="004E142B">
        <w:rPr>
          <w:sz w:val="24"/>
          <w:szCs w:val="24"/>
        </w:rPr>
        <w:t>the majority of</w:t>
      </w:r>
      <w:proofErr w:type="gramEnd"/>
      <w:r w:rsidRPr="004E142B">
        <w:rPr>
          <w:sz w:val="24"/>
          <w:szCs w:val="24"/>
        </w:rPr>
        <w:t xml:space="preserve"> the children achieved the learning objective and reached the success criteria that was outlined by my research partner. An example of this can be highlighted when analysing the interaction between the children and their partners while discussing and creating persuasive writing, as key factors such as effective collaboration and the inclusion of the eight key features and the ‘wow’ words were illustrated by the majority. </w:t>
      </w:r>
      <w:r w:rsidR="00F4576F" w:rsidRPr="004E142B">
        <w:rPr>
          <w:sz w:val="24"/>
          <w:szCs w:val="24"/>
        </w:rPr>
        <w:t>Out of the three target children, it was observed that Child A and Child B were often disengaged with the session (see appendix</w:t>
      </w:r>
      <w:r w:rsidR="00CB5936" w:rsidRPr="004E142B">
        <w:rPr>
          <w:sz w:val="24"/>
          <w:szCs w:val="24"/>
        </w:rPr>
        <w:t xml:space="preserve"> E</w:t>
      </w:r>
      <w:r w:rsidR="00F4576F" w:rsidRPr="004E142B">
        <w:rPr>
          <w:sz w:val="24"/>
          <w:szCs w:val="24"/>
        </w:rPr>
        <w:t xml:space="preserve">). This was observed by listening carefully to the dialogue between the children and their partners </w:t>
      </w:r>
      <w:r w:rsidRPr="004E142B">
        <w:rPr>
          <w:sz w:val="24"/>
          <w:szCs w:val="24"/>
        </w:rPr>
        <w:t>and</w:t>
      </w:r>
      <w:r w:rsidR="00F4576F" w:rsidRPr="004E142B">
        <w:rPr>
          <w:sz w:val="24"/>
          <w:szCs w:val="24"/>
        </w:rPr>
        <w:t xml:space="preserve"> the body language displayed by the children. </w:t>
      </w:r>
    </w:p>
    <w:p w:rsidR="008A3F59" w:rsidRPr="004E142B" w:rsidRDefault="008A3F59" w:rsidP="004E142B">
      <w:pPr>
        <w:spacing w:line="360" w:lineRule="auto"/>
        <w:rPr>
          <w:sz w:val="24"/>
          <w:szCs w:val="24"/>
        </w:rPr>
      </w:pPr>
      <w:r w:rsidRPr="004E142B">
        <w:rPr>
          <w:sz w:val="24"/>
          <w:szCs w:val="24"/>
        </w:rPr>
        <w:t xml:space="preserve">Moreover, we were able to discover that with Child B, who is an EAL child with difficulties making friends, struggled to engage with their new partner. Because of this, there was very little interaction and discussion. Furthermore, the body language of this child explained that they were displaying signs of discomfort. As a result, this highlights the importance of social friendships and the impact it has on collaboration, motivation and body language of children in a classroom environment. Because of its impact upon the three areas, we have found that this contributes to and effects the end goal; the quality of work produced. </w:t>
      </w:r>
    </w:p>
    <w:bookmarkEnd w:id="6"/>
    <w:p w:rsidR="00D20C30" w:rsidRPr="004E142B" w:rsidRDefault="00D20C30" w:rsidP="004E142B">
      <w:pPr>
        <w:spacing w:line="360" w:lineRule="auto"/>
        <w:rPr>
          <w:sz w:val="24"/>
          <w:szCs w:val="24"/>
        </w:rPr>
      </w:pPr>
      <w:r w:rsidRPr="004E142B">
        <w:rPr>
          <w:sz w:val="24"/>
          <w:szCs w:val="24"/>
        </w:rPr>
        <w:t xml:space="preserve">Through the observational checklist, Child C displayed all positive behaviours, and was always extremely engaged with the session. Child C was rated a 4 and 5 for work ethic, and two 4’s for the overall quality of their work. Throughout the session, Child C was extremely </w:t>
      </w:r>
      <w:r w:rsidRPr="004E142B">
        <w:rPr>
          <w:sz w:val="24"/>
          <w:szCs w:val="24"/>
        </w:rPr>
        <w:lastRenderedPageBreak/>
        <w:t xml:space="preserve">effective in collaborating with their new partner and illustrated a range of in-depth discussions in the task, and they were scaffolding upon each other’s ideas positively. Nevertheless, during the interview, Child C stated that they would “prefer working with (name removed for anonymity)”. Through the reflection process, my research partner explained to myself that the usual partner whom child C sits with is an extremely close friend. Again, we can see the common theme throughout this research session; the importance of social friendships in engaging a child in their learning. </w:t>
      </w:r>
    </w:p>
    <w:p w:rsidR="00D20C30" w:rsidRPr="004E142B" w:rsidRDefault="00D20C30" w:rsidP="004E142B">
      <w:pPr>
        <w:spacing w:line="360" w:lineRule="auto"/>
        <w:rPr>
          <w:sz w:val="24"/>
          <w:szCs w:val="24"/>
        </w:rPr>
      </w:pPr>
      <w:r w:rsidRPr="004E142B">
        <w:rPr>
          <w:sz w:val="24"/>
          <w:szCs w:val="24"/>
        </w:rPr>
        <w:t xml:space="preserve">Through the interview process, a common trend that my research partner and I found was the importance of the social friendships and social interaction. This was an extremely high motivator for the children to become motivated to engage with their learning. For example, Child A was working alongside their good friend, which led to them to become very positive in asking for support as they are normally shy on this aspect. Child A responded to the first question by explaining that the session was “really fun, because I was working with my best friend”.  This instantly reiterated our observations, where Child B was lacking interaction and discussion because of the lack of social interaction of said pupil. </w:t>
      </w:r>
    </w:p>
    <w:p w:rsidR="00D20C30" w:rsidRPr="004E142B" w:rsidRDefault="00D20C30" w:rsidP="00E01FE5">
      <w:pPr>
        <w:spacing w:line="360" w:lineRule="auto"/>
        <w:rPr>
          <w:sz w:val="24"/>
          <w:szCs w:val="24"/>
        </w:rPr>
      </w:pPr>
      <w:r w:rsidRPr="004E142B">
        <w:rPr>
          <w:sz w:val="24"/>
          <w:szCs w:val="24"/>
        </w:rPr>
        <w:t xml:space="preserve">One of the main difficulties I found as the non-participant observer in this instance was the seating arrangements of the target children. All three target children were sat on separate tables, which were spread across the distance of the classroom. This was difficult as I could not observe all three children at once. Therefore, I may have missed some aspects of the children’s behaviours when focussing on one target child at the time. Through conducting the reflection proforma, my research partner and I decided to group all three target children and their partners on one table when undertaking the second Lesson Study, allowing for the observer to closely distinguish the different behaviours and engagement of the three target children quickly and closely throughout. Additionally, we decided that I, the student teacher, would place all three target children with their partners in a focus group with myself, so that both the non-participant observer and I can observe closely the same behaviours displayed from each child at the same given time. </w:t>
      </w:r>
    </w:p>
    <w:p w:rsidR="00D20C30" w:rsidRPr="004E142B" w:rsidRDefault="00D20C30" w:rsidP="00E01FE5">
      <w:pPr>
        <w:pStyle w:val="Heading1"/>
        <w:spacing w:line="360" w:lineRule="auto"/>
      </w:pPr>
      <w:bookmarkStart w:id="8" w:name="_Toc2602200"/>
      <w:r w:rsidRPr="004E142B">
        <w:t>Lesson Study 2</w:t>
      </w:r>
      <w:r w:rsidR="00E01FE5">
        <w:t xml:space="preserve"> – Results and Analysis</w:t>
      </w:r>
      <w:bookmarkEnd w:id="8"/>
    </w:p>
    <w:p w:rsidR="00D20C30" w:rsidRPr="004E142B" w:rsidRDefault="00D20C30" w:rsidP="00E01FE5">
      <w:pPr>
        <w:spacing w:line="360" w:lineRule="auto"/>
        <w:rPr>
          <w:sz w:val="24"/>
          <w:szCs w:val="24"/>
        </w:rPr>
      </w:pPr>
      <w:r w:rsidRPr="004E142B">
        <w:rPr>
          <w:sz w:val="24"/>
          <w:szCs w:val="24"/>
        </w:rPr>
        <w:t xml:space="preserve">This session started with all children sat at the carpet area, sitting alongside their designated partners for the session. During this initial input, the children were discussing and reflecting </w:t>
      </w:r>
      <w:r w:rsidRPr="004E142B">
        <w:rPr>
          <w:sz w:val="24"/>
          <w:szCs w:val="24"/>
        </w:rPr>
        <w:lastRenderedPageBreak/>
        <w:t xml:space="preserve">on the science experiment that we previously undertook, where we constructed bridges using only four sheets of newspaper and Sellotape. Having a write up lesson of the scientific enquiry session was chosen as our research session, as it allows the children to communicate and discuss ideas effectively with their partners. On top of this, it allows them to talk about the different techniques that were utilised, as well as debating what had happened during the constriction process and the </w:t>
      </w:r>
      <w:proofErr w:type="gramStart"/>
      <w:r w:rsidRPr="004E142B">
        <w:rPr>
          <w:sz w:val="24"/>
          <w:szCs w:val="24"/>
        </w:rPr>
        <w:t>various different</w:t>
      </w:r>
      <w:proofErr w:type="gramEnd"/>
      <w:r w:rsidRPr="004E142B">
        <w:rPr>
          <w:sz w:val="24"/>
          <w:szCs w:val="24"/>
        </w:rPr>
        <w:t xml:space="preserve"> predications the children had. </w:t>
      </w:r>
    </w:p>
    <w:p w:rsidR="00D20C30" w:rsidRPr="004E142B" w:rsidRDefault="00D20C30" w:rsidP="004E142B">
      <w:pPr>
        <w:spacing w:line="360" w:lineRule="auto"/>
        <w:rPr>
          <w:sz w:val="24"/>
          <w:szCs w:val="24"/>
        </w:rPr>
      </w:pPr>
      <w:r w:rsidRPr="004E142B">
        <w:rPr>
          <w:sz w:val="24"/>
          <w:szCs w:val="24"/>
        </w:rPr>
        <w:t>As previously discussed, as an improvement on the first session, the three target children, along with their partners, were all seated on the same table during the main activities of this task. My research partner and I had reflected that this would be the most beneficial way to observe all three target children together closely, diminishing the possibility of missing aspects of behaviours outlined in our observational checklist, resulting in the results of our session becoming more valid and reliable.</w:t>
      </w:r>
    </w:p>
    <w:p w:rsidR="00D20C30" w:rsidRPr="004E142B" w:rsidRDefault="00D20C30" w:rsidP="004E142B">
      <w:pPr>
        <w:spacing w:line="360" w:lineRule="auto"/>
        <w:rPr>
          <w:sz w:val="24"/>
          <w:szCs w:val="24"/>
        </w:rPr>
      </w:pPr>
      <w:r w:rsidRPr="004E142B">
        <w:rPr>
          <w:sz w:val="24"/>
          <w:szCs w:val="24"/>
        </w:rPr>
        <w:t>During the introduction to the session, I as the student teacher, ensured that I asked the three target children questions after the discussions with their partners took place. This was to observe if effective discussions and collaboration took place between the children and their partners. All three target children answered successfully when questioned on the carpet, however, Child A and Child C often lacked concentration during this aspect of the session (see appendix</w:t>
      </w:r>
      <w:r w:rsidR="00CB5936" w:rsidRPr="004E142B">
        <w:rPr>
          <w:sz w:val="24"/>
          <w:szCs w:val="24"/>
        </w:rPr>
        <w:t xml:space="preserve"> F</w:t>
      </w:r>
      <w:r w:rsidRPr="004E142B">
        <w:rPr>
          <w:sz w:val="24"/>
          <w:szCs w:val="24"/>
        </w:rPr>
        <w:t>). Additionally, during the questioning, Child B answered very well and articulately, showing us that effective discussions took place between the partnership. However, during the main activities of the session, Child B worked very independently with minimal effort, to collaborate and engage with their partner. This can be interpreted in two ways; firstly, from the initial discussions with the partner, Child B was comfortable and knowledgeable on what to include within their writing, or secondly, Child B was comfortable with the task at hand in the first instance and was comfortable completing the work independently. However, the work ethic and the quality of work from Child C were scored highly by the two researchers (</w:t>
      </w:r>
      <w:r w:rsidR="00CB5936" w:rsidRPr="004E142B">
        <w:rPr>
          <w:sz w:val="24"/>
          <w:szCs w:val="24"/>
        </w:rPr>
        <w:t>s</w:t>
      </w:r>
      <w:r w:rsidRPr="004E142B">
        <w:rPr>
          <w:sz w:val="24"/>
          <w:szCs w:val="24"/>
        </w:rPr>
        <w:t>ee appendix</w:t>
      </w:r>
      <w:r w:rsidR="00CB5936" w:rsidRPr="004E142B">
        <w:rPr>
          <w:sz w:val="24"/>
          <w:szCs w:val="24"/>
        </w:rPr>
        <w:t xml:space="preserve"> F</w:t>
      </w:r>
      <w:r w:rsidRPr="004E142B">
        <w:rPr>
          <w:sz w:val="24"/>
          <w:szCs w:val="24"/>
        </w:rPr>
        <w:t xml:space="preserve">), highlighting that the child was motivated and engaged with their learning. </w:t>
      </w:r>
    </w:p>
    <w:p w:rsidR="00D20C30" w:rsidRPr="004E142B" w:rsidRDefault="00D20C30" w:rsidP="004E142B">
      <w:pPr>
        <w:spacing w:line="360" w:lineRule="auto"/>
        <w:rPr>
          <w:sz w:val="24"/>
          <w:szCs w:val="24"/>
        </w:rPr>
      </w:pPr>
      <w:r w:rsidRPr="004E142B">
        <w:rPr>
          <w:sz w:val="24"/>
          <w:szCs w:val="24"/>
        </w:rPr>
        <w:t xml:space="preserve">Nevertheless, with the interview process, when asked the question “Would you like to work with (name removed for anonymity) again and why?”, Child B answered “Yes, because we helped each other with spellings and (Child X) helped me get my work done”. As observers, </w:t>
      </w:r>
      <w:r w:rsidRPr="004E142B">
        <w:rPr>
          <w:sz w:val="24"/>
          <w:szCs w:val="24"/>
        </w:rPr>
        <w:lastRenderedPageBreak/>
        <w:t xml:space="preserve">it was evident that this was not the circumstance. Therefore, the question could possibly be interpreted as misleading, with the child interpreting and answering from a different viewpoint. Child B may have given us the answer they thought we wanted to hear. </w:t>
      </w:r>
      <w:proofErr w:type="spellStart"/>
      <w:r w:rsidRPr="004E142B">
        <w:rPr>
          <w:sz w:val="24"/>
          <w:szCs w:val="24"/>
        </w:rPr>
        <w:t>Kitwood</w:t>
      </w:r>
      <w:proofErr w:type="spellEnd"/>
      <w:r w:rsidRPr="004E142B">
        <w:rPr>
          <w:sz w:val="24"/>
          <w:szCs w:val="24"/>
        </w:rPr>
        <w:t xml:space="preserve"> (1977) explains that through the interview process, it should be made clear for the participant to answer as honest as they can. </w:t>
      </w:r>
      <w:proofErr w:type="gramStart"/>
      <w:r w:rsidRPr="004E142B">
        <w:rPr>
          <w:sz w:val="24"/>
          <w:szCs w:val="24"/>
        </w:rPr>
        <w:t>Reflecting back</w:t>
      </w:r>
      <w:proofErr w:type="gramEnd"/>
      <w:r w:rsidRPr="004E142B">
        <w:rPr>
          <w:sz w:val="24"/>
          <w:szCs w:val="24"/>
        </w:rPr>
        <w:t>, this was not something that was made clear to the children.</w:t>
      </w:r>
    </w:p>
    <w:p w:rsidR="00D20C30" w:rsidRPr="004E142B" w:rsidRDefault="00D20C30" w:rsidP="004E142B">
      <w:pPr>
        <w:spacing w:line="360" w:lineRule="auto"/>
        <w:rPr>
          <w:sz w:val="24"/>
          <w:szCs w:val="24"/>
        </w:rPr>
      </w:pPr>
      <w:r w:rsidRPr="004E142B">
        <w:rPr>
          <w:sz w:val="24"/>
          <w:szCs w:val="24"/>
        </w:rPr>
        <w:t>A main finding of the interviews was that all three children enjoyed working with their higher-ability partner (see answers to question 1</w:t>
      </w:r>
      <w:r w:rsidR="000734A4" w:rsidRPr="004E142B">
        <w:rPr>
          <w:sz w:val="24"/>
          <w:szCs w:val="24"/>
        </w:rPr>
        <w:t xml:space="preserve"> in appendix F</w:t>
      </w:r>
      <w:r w:rsidRPr="004E142B">
        <w:rPr>
          <w:sz w:val="24"/>
          <w:szCs w:val="24"/>
        </w:rPr>
        <w:t>). When questioned further on this aspect, Child A responded, “it was easier to do the work”.  Also, the same child responded that they “did more work” when working with their new partner than with their ability group. There was high amount of collaboration between Child A and their partner throughout the session (see Appendix</w:t>
      </w:r>
      <w:r w:rsidR="00CB5936" w:rsidRPr="004E142B">
        <w:rPr>
          <w:sz w:val="24"/>
          <w:szCs w:val="24"/>
        </w:rPr>
        <w:t xml:space="preserve"> F</w:t>
      </w:r>
      <w:r w:rsidRPr="004E142B">
        <w:rPr>
          <w:sz w:val="24"/>
          <w:szCs w:val="24"/>
        </w:rPr>
        <w:t xml:space="preserve">). Therefore, this can suggest that Child A was supported throughout, receiving scaffolding from their partner, motivating Child A, thus, Child A being extremely engaged with their learning. </w:t>
      </w:r>
    </w:p>
    <w:p w:rsidR="00464948" w:rsidRPr="004E142B" w:rsidRDefault="00464948" w:rsidP="004E142B">
      <w:pPr>
        <w:spacing w:line="360" w:lineRule="auto"/>
        <w:rPr>
          <w:sz w:val="24"/>
          <w:szCs w:val="24"/>
        </w:rPr>
      </w:pPr>
      <w:r w:rsidRPr="004E142B">
        <w:rPr>
          <w:sz w:val="24"/>
          <w:szCs w:val="24"/>
        </w:rPr>
        <w:t xml:space="preserve">Also, with the interview process, when asked how motivated and how excited the children were on a scale from 1-10 on completing the task, all three children responded that they were </w:t>
      </w:r>
      <w:proofErr w:type="gramStart"/>
      <w:r w:rsidRPr="004E142B">
        <w:rPr>
          <w:sz w:val="24"/>
          <w:szCs w:val="24"/>
        </w:rPr>
        <w:t>really excited</w:t>
      </w:r>
      <w:proofErr w:type="gramEnd"/>
      <w:r w:rsidRPr="004E142B">
        <w:rPr>
          <w:sz w:val="24"/>
          <w:szCs w:val="24"/>
        </w:rPr>
        <w:t xml:space="preserve">, rating this a 9. However, when asked what could make them more excited and what could motivate them more about completing the tasks, there was an element of confusion with Child A and Child B, who therefore, did not answer the question. Child C responded to this by explaining that “working with different people” would make them more excited, as they enjoyed this aspect of the session. Therefore, it can be said that it may not have been </w:t>
      </w:r>
      <w:r w:rsidR="00C86154" w:rsidRPr="004E142B">
        <w:rPr>
          <w:sz w:val="24"/>
          <w:szCs w:val="24"/>
        </w:rPr>
        <w:t xml:space="preserve">the motivation from the higher ability pupil, instead, the interest of working with different children throughout the classroom can stimulate the motivation for such child to become engaged with their learning. </w:t>
      </w:r>
      <w:r w:rsidR="00D20C30" w:rsidRPr="004E142B">
        <w:rPr>
          <w:sz w:val="24"/>
          <w:szCs w:val="24"/>
        </w:rPr>
        <w:t xml:space="preserve">In general, the interview process again highlighted an importance of social friendship and social interaction with motivation. For example, Child C stated that they would like to work with their current partner in the future as they are good friends. </w:t>
      </w:r>
      <w:r w:rsidR="00F81A6E" w:rsidRPr="004E142B">
        <w:rPr>
          <w:sz w:val="24"/>
          <w:szCs w:val="24"/>
        </w:rPr>
        <w:t xml:space="preserve">In addition to this, Child B stated that they enjoyed the task as “we don’t normally work together”. </w:t>
      </w:r>
    </w:p>
    <w:p w:rsidR="00D20C30" w:rsidRPr="004E142B" w:rsidRDefault="00D20C30" w:rsidP="004E142B">
      <w:pPr>
        <w:spacing w:line="360" w:lineRule="auto"/>
        <w:rPr>
          <w:sz w:val="24"/>
          <w:szCs w:val="24"/>
        </w:rPr>
      </w:pPr>
      <w:r w:rsidRPr="004E142B">
        <w:rPr>
          <w:sz w:val="24"/>
          <w:szCs w:val="24"/>
        </w:rPr>
        <w:t xml:space="preserve">When asked about the pros and cons of the session, the children were all in agreeance that they enjoyed working with their given partner. Again, this was valued highly with the children who were working with their good friends. This is a natural progression for the </w:t>
      </w:r>
      <w:r w:rsidRPr="004E142B">
        <w:rPr>
          <w:sz w:val="24"/>
          <w:szCs w:val="24"/>
        </w:rPr>
        <w:lastRenderedPageBreak/>
        <w:t>research; analysing the correlation between social friendships and social interaction with self-esteem and engagement with learning.</w:t>
      </w:r>
      <w:r w:rsidR="007E2B3B" w:rsidRPr="004E142B">
        <w:rPr>
          <w:sz w:val="24"/>
          <w:szCs w:val="24"/>
        </w:rPr>
        <w:t xml:space="preserve"> </w:t>
      </w:r>
      <w:r w:rsidRPr="004E142B">
        <w:rPr>
          <w:sz w:val="24"/>
          <w:szCs w:val="24"/>
        </w:rPr>
        <w:t>Despite the positive effects we have seen from this Lesson Study; a strong work ethic, positive body language and high quality of work, it was clear that Child C’s partners learning was slowed, thus hampered. For example, their partner corrected spelling and waited for the Child C to copy work before moving learning forward and producing more writing (see observational notes and Child C’s interview</w:t>
      </w:r>
      <w:r w:rsidR="000734A4" w:rsidRPr="004E142B">
        <w:rPr>
          <w:sz w:val="24"/>
          <w:szCs w:val="24"/>
        </w:rPr>
        <w:t xml:space="preserve"> in appendix F</w:t>
      </w:r>
      <w:r w:rsidRPr="004E142B">
        <w:rPr>
          <w:sz w:val="24"/>
          <w:szCs w:val="24"/>
        </w:rPr>
        <w:t xml:space="preserve">). </w:t>
      </w:r>
    </w:p>
    <w:p w:rsidR="00FF6478" w:rsidRPr="004E142B" w:rsidRDefault="00A331C2" w:rsidP="00E01FE5">
      <w:pPr>
        <w:pStyle w:val="Heading1"/>
        <w:spacing w:line="360" w:lineRule="auto"/>
      </w:pPr>
      <w:bookmarkStart w:id="9" w:name="_Toc2602201"/>
      <w:r w:rsidRPr="004E142B">
        <w:t>Discussion</w:t>
      </w:r>
      <w:bookmarkEnd w:id="9"/>
    </w:p>
    <w:p w:rsidR="001C7F48" w:rsidRPr="004E142B" w:rsidRDefault="00FF6478" w:rsidP="00E01FE5">
      <w:pPr>
        <w:spacing w:line="360" w:lineRule="auto"/>
        <w:rPr>
          <w:b/>
          <w:sz w:val="24"/>
          <w:szCs w:val="24"/>
          <w:u w:val="single"/>
        </w:rPr>
      </w:pPr>
      <w:r w:rsidRPr="004E142B">
        <w:rPr>
          <w:sz w:val="24"/>
          <w:szCs w:val="24"/>
        </w:rPr>
        <w:t xml:space="preserve">Through the duration of the research, we have seen engagement and motivation through the different ability partners, however, it is unclear that this was solely dependent upon the higher ability children motivating the lower ability children. </w:t>
      </w:r>
      <w:r w:rsidR="00CC2543" w:rsidRPr="004E142B">
        <w:rPr>
          <w:sz w:val="24"/>
          <w:szCs w:val="24"/>
        </w:rPr>
        <w:t xml:space="preserve">Donaldson (2015) </w:t>
      </w:r>
      <w:r w:rsidR="00475AD3" w:rsidRPr="004E142B">
        <w:rPr>
          <w:sz w:val="24"/>
          <w:szCs w:val="24"/>
        </w:rPr>
        <w:t>explains</w:t>
      </w:r>
      <w:r w:rsidR="00CC2543" w:rsidRPr="004E142B">
        <w:rPr>
          <w:sz w:val="24"/>
          <w:szCs w:val="24"/>
        </w:rPr>
        <w:t xml:space="preserve"> that Successful Futures is concerned with the school environment, supporting children’s social and emotional health</w:t>
      </w:r>
      <w:r w:rsidR="006E04AB" w:rsidRPr="004E142B">
        <w:rPr>
          <w:sz w:val="24"/>
          <w:szCs w:val="24"/>
        </w:rPr>
        <w:t xml:space="preserve"> and well-being through the climate of the curriculum. This is an aspect in which has been highlighted through the research undertaken. </w:t>
      </w:r>
      <w:r w:rsidR="00512930" w:rsidRPr="004E142B">
        <w:rPr>
          <w:sz w:val="24"/>
          <w:szCs w:val="24"/>
        </w:rPr>
        <w:t xml:space="preserve">Throughout this research, we have seen </w:t>
      </w:r>
      <w:r w:rsidR="0047299A" w:rsidRPr="004E142B">
        <w:rPr>
          <w:sz w:val="24"/>
          <w:szCs w:val="24"/>
        </w:rPr>
        <w:t>the benfits of social-interaction and social friendships in relation to motivation in engaging with learning</w:t>
      </w:r>
      <w:r w:rsidR="00AA6C42" w:rsidRPr="004E142B">
        <w:rPr>
          <w:sz w:val="24"/>
          <w:szCs w:val="24"/>
        </w:rPr>
        <w:t>, particularly with collaboration</w:t>
      </w:r>
      <w:r w:rsidR="0047299A" w:rsidRPr="004E142B">
        <w:rPr>
          <w:sz w:val="24"/>
          <w:szCs w:val="24"/>
        </w:rPr>
        <w:t>.</w:t>
      </w:r>
      <w:r w:rsidR="001347D2" w:rsidRPr="004E142B">
        <w:rPr>
          <w:sz w:val="24"/>
          <w:szCs w:val="24"/>
        </w:rPr>
        <w:t xml:space="preserve"> </w:t>
      </w:r>
      <w:proofErr w:type="spellStart"/>
      <w:r w:rsidR="001347D2" w:rsidRPr="004E142B">
        <w:rPr>
          <w:sz w:val="24"/>
          <w:szCs w:val="24"/>
        </w:rPr>
        <w:t>Miell</w:t>
      </w:r>
      <w:proofErr w:type="spellEnd"/>
      <w:r w:rsidR="001347D2" w:rsidRPr="004E142B">
        <w:rPr>
          <w:sz w:val="24"/>
          <w:szCs w:val="24"/>
        </w:rPr>
        <w:t xml:space="preserve"> and MacDonald (2000) identify that even though friendship may not support all aspects of learning that takes place within a school, it is a high influencer in the collaborative process</w:t>
      </w:r>
      <w:r w:rsidR="00AA6C42" w:rsidRPr="004E142B">
        <w:rPr>
          <w:sz w:val="24"/>
          <w:szCs w:val="24"/>
        </w:rPr>
        <w:t>. In addition to this, further studies conclude that children working in friendship pairs can be an effective tool of communication, that is likely to facilitate cognitive enhancement (</w:t>
      </w:r>
      <w:proofErr w:type="spellStart"/>
      <w:r w:rsidR="00AA6C42" w:rsidRPr="004E142B">
        <w:rPr>
          <w:sz w:val="24"/>
          <w:szCs w:val="24"/>
        </w:rPr>
        <w:t>Miell</w:t>
      </w:r>
      <w:proofErr w:type="spellEnd"/>
      <w:r w:rsidR="00AA6C42" w:rsidRPr="004E142B">
        <w:rPr>
          <w:sz w:val="24"/>
          <w:szCs w:val="24"/>
        </w:rPr>
        <w:t xml:space="preserve"> and MacDonald, 2000; Mercer, 2000</w:t>
      </w:r>
      <w:r w:rsidR="003E1B9C" w:rsidRPr="004E142B">
        <w:rPr>
          <w:sz w:val="24"/>
          <w:szCs w:val="24"/>
        </w:rPr>
        <w:t xml:space="preserve">; </w:t>
      </w:r>
      <w:r w:rsidR="00AA6C42" w:rsidRPr="004E142B">
        <w:rPr>
          <w:sz w:val="24"/>
          <w:szCs w:val="24"/>
        </w:rPr>
        <w:t>MacDonald et al. 2002).</w:t>
      </w:r>
      <w:r w:rsidR="001C7F48" w:rsidRPr="004E142B">
        <w:rPr>
          <w:sz w:val="24"/>
          <w:szCs w:val="24"/>
        </w:rPr>
        <w:t xml:space="preserve"> Furthermore, Vygotsky (1978) suggests that friendships are vital in the development of new knowledge and skills and such friendships provide scaffold for learning. </w:t>
      </w:r>
    </w:p>
    <w:p w:rsidR="00FB229A" w:rsidRPr="004E142B" w:rsidRDefault="001A6592" w:rsidP="004E142B">
      <w:pPr>
        <w:spacing w:line="360" w:lineRule="auto"/>
        <w:rPr>
          <w:sz w:val="24"/>
          <w:szCs w:val="24"/>
        </w:rPr>
      </w:pPr>
      <w:r w:rsidRPr="004E142B">
        <w:rPr>
          <w:sz w:val="24"/>
          <w:szCs w:val="24"/>
        </w:rPr>
        <w:t>Throughout the research, we saw a variety of discussion and collaboration between the mixed ability partners. This is supported by</w:t>
      </w:r>
      <w:r w:rsidR="00FF6478" w:rsidRPr="004E142B">
        <w:rPr>
          <w:sz w:val="24"/>
          <w:szCs w:val="24"/>
        </w:rPr>
        <w:t xml:space="preserve"> </w:t>
      </w:r>
      <w:r w:rsidR="00FB229A" w:rsidRPr="004E142B">
        <w:rPr>
          <w:sz w:val="24"/>
          <w:szCs w:val="24"/>
        </w:rPr>
        <w:t xml:space="preserve">Goetz and </w:t>
      </w:r>
      <w:proofErr w:type="spellStart"/>
      <w:r w:rsidR="00FB229A" w:rsidRPr="004E142B">
        <w:rPr>
          <w:sz w:val="24"/>
          <w:szCs w:val="24"/>
        </w:rPr>
        <w:t>Frenzel</w:t>
      </w:r>
      <w:proofErr w:type="spellEnd"/>
      <w:r w:rsidR="00FB229A" w:rsidRPr="004E142B">
        <w:rPr>
          <w:sz w:val="24"/>
          <w:szCs w:val="24"/>
        </w:rPr>
        <w:t xml:space="preserve"> (2006) </w:t>
      </w:r>
      <w:r w:rsidRPr="004E142B">
        <w:rPr>
          <w:sz w:val="24"/>
          <w:szCs w:val="24"/>
        </w:rPr>
        <w:t xml:space="preserve">who explain that </w:t>
      </w:r>
      <w:r w:rsidR="00FB229A" w:rsidRPr="004E142B">
        <w:rPr>
          <w:sz w:val="24"/>
          <w:szCs w:val="24"/>
        </w:rPr>
        <w:t>mixed ability grouping encourages greater engagement with learning as it develops greater learning variables, thus developing a wider learner. Therefore, pupils are given not only chances to learn from one another, but this also allows for the higher ability children to develop their explanation and discussion skills when working alongside children from lower ability groups.</w:t>
      </w:r>
      <w:r w:rsidRPr="004E142B">
        <w:rPr>
          <w:sz w:val="24"/>
          <w:szCs w:val="24"/>
        </w:rPr>
        <w:t xml:space="preserve"> Moreover, we saw children learning from and collaborating with their ‘more capable peer’ (Vygotsky, 1978)</w:t>
      </w:r>
      <w:r w:rsidR="00E15A6A">
        <w:rPr>
          <w:sz w:val="24"/>
          <w:szCs w:val="24"/>
        </w:rPr>
        <w:t xml:space="preserve">, and children taking more responsibility for their learning </w:t>
      </w:r>
      <w:r w:rsidR="00E15A6A">
        <w:rPr>
          <w:sz w:val="24"/>
          <w:szCs w:val="24"/>
        </w:rPr>
        <w:lastRenderedPageBreak/>
        <w:t xml:space="preserve">(Donaldson, 2015), such as asking their partners for support rather than asking the present members of staff. </w:t>
      </w:r>
    </w:p>
    <w:p w:rsidR="001E7148" w:rsidRPr="004E142B" w:rsidRDefault="001E7148" w:rsidP="004E142B">
      <w:pPr>
        <w:spacing w:line="360" w:lineRule="auto"/>
        <w:rPr>
          <w:sz w:val="24"/>
          <w:szCs w:val="24"/>
        </w:rPr>
      </w:pPr>
      <w:r w:rsidRPr="004E142B">
        <w:rPr>
          <w:sz w:val="24"/>
          <w:szCs w:val="24"/>
        </w:rPr>
        <w:t xml:space="preserve">Through our second Lesson Study, we observed that the higher ability partner of Child C became bored and distracted whilst waiting for Child C to catch up with the writing, thus, hampering the learning and work ethic of the partner. This ties in with the literature outlined by </w:t>
      </w:r>
      <w:proofErr w:type="spellStart"/>
      <w:r w:rsidRPr="004E142B">
        <w:rPr>
          <w:sz w:val="24"/>
          <w:szCs w:val="24"/>
        </w:rPr>
        <w:t>Slavin</w:t>
      </w:r>
      <w:proofErr w:type="spellEnd"/>
      <w:r w:rsidRPr="004E142B">
        <w:rPr>
          <w:sz w:val="24"/>
          <w:szCs w:val="24"/>
        </w:rPr>
        <w:t xml:space="preserve"> (1990), that gifted students are often at risk of diminished academic acceleration when there is mixed-ability grouping taking place in the classroom</w:t>
      </w:r>
      <w:r w:rsidR="00A235C0" w:rsidRPr="004E142B">
        <w:rPr>
          <w:sz w:val="24"/>
          <w:szCs w:val="24"/>
        </w:rPr>
        <w:t xml:space="preserve"> due to becoming ‘bored’, thus, off-topic. </w:t>
      </w:r>
    </w:p>
    <w:p w:rsidR="00E14050" w:rsidRPr="004E142B" w:rsidRDefault="00E14050" w:rsidP="004E142B">
      <w:pPr>
        <w:spacing w:line="360" w:lineRule="auto"/>
        <w:rPr>
          <w:sz w:val="24"/>
          <w:szCs w:val="24"/>
        </w:rPr>
      </w:pPr>
      <w:r w:rsidRPr="004E142B">
        <w:rPr>
          <w:sz w:val="24"/>
          <w:szCs w:val="24"/>
        </w:rPr>
        <w:t xml:space="preserve">As </w:t>
      </w:r>
      <w:proofErr w:type="spellStart"/>
      <w:r w:rsidRPr="004E142B">
        <w:rPr>
          <w:sz w:val="24"/>
          <w:szCs w:val="24"/>
        </w:rPr>
        <w:t>Dillenbourg</w:t>
      </w:r>
      <w:proofErr w:type="spellEnd"/>
      <w:r w:rsidRPr="004E142B">
        <w:rPr>
          <w:sz w:val="24"/>
          <w:szCs w:val="24"/>
        </w:rPr>
        <w:t xml:space="preserve"> et al. (1996)</w:t>
      </w:r>
      <w:r w:rsidR="00D96FD8" w:rsidRPr="004E142B">
        <w:rPr>
          <w:sz w:val="24"/>
          <w:szCs w:val="24"/>
        </w:rPr>
        <w:t xml:space="preserve"> advocate, grouping children from different abilities together does not guarantee collaboration and discussion. This is an aspect of our main findings, especially from Lesson Study 1. For example, during this session, </w:t>
      </w:r>
      <w:r w:rsidR="00DA47BB" w:rsidRPr="004E142B">
        <w:rPr>
          <w:sz w:val="24"/>
          <w:szCs w:val="24"/>
        </w:rPr>
        <w:t>I as the non-participant observer</w:t>
      </w:r>
      <w:r w:rsidR="00C26A7C" w:rsidRPr="004E142B">
        <w:rPr>
          <w:sz w:val="24"/>
          <w:szCs w:val="24"/>
        </w:rPr>
        <w:t xml:space="preserve">, </w:t>
      </w:r>
      <w:r w:rsidR="00DA47BB" w:rsidRPr="004E142B">
        <w:rPr>
          <w:sz w:val="24"/>
          <w:szCs w:val="24"/>
        </w:rPr>
        <w:t xml:space="preserve">observed that </w:t>
      </w:r>
      <w:r w:rsidR="00D96FD8" w:rsidRPr="004E142B">
        <w:rPr>
          <w:sz w:val="24"/>
          <w:szCs w:val="24"/>
        </w:rPr>
        <w:t xml:space="preserve">Child A and Child B lacked discussion related to the learning and topic. </w:t>
      </w:r>
      <w:r w:rsidR="005731E6" w:rsidRPr="004E142B">
        <w:rPr>
          <w:sz w:val="24"/>
          <w:szCs w:val="24"/>
        </w:rPr>
        <w:t xml:space="preserve">Moreover, it was observed that both children also had low work ethic by both researchers, explaining that the both children lacked engagement and motivation for their learning. </w:t>
      </w:r>
    </w:p>
    <w:p w:rsidR="00C57FA0" w:rsidRDefault="00FF6478" w:rsidP="004E142B">
      <w:pPr>
        <w:spacing w:line="360" w:lineRule="auto"/>
        <w:rPr>
          <w:sz w:val="24"/>
          <w:szCs w:val="24"/>
        </w:rPr>
      </w:pPr>
      <w:r w:rsidRPr="004E142B">
        <w:rPr>
          <w:sz w:val="24"/>
          <w:szCs w:val="24"/>
        </w:rPr>
        <w:t xml:space="preserve">With the use of the open-ended questions, my research partner and I discovered the impact social friendships and social interaction has on the motivation to engage with learning. This was highlighted by Wilson (2009) who explains that open-ended questions allow the researcher(s) to discover elements in which they have not previously considered. </w:t>
      </w:r>
    </w:p>
    <w:p w:rsidR="000128B7" w:rsidRPr="00C57FA0" w:rsidRDefault="000128B7" w:rsidP="00E01FE5">
      <w:pPr>
        <w:pStyle w:val="Heading1"/>
        <w:spacing w:line="360" w:lineRule="auto"/>
      </w:pPr>
      <w:bookmarkStart w:id="10" w:name="_Toc2602202"/>
      <w:r w:rsidRPr="004E142B">
        <w:t>Conclusion</w:t>
      </w:r>
      <w:bookmarkEnd w:id="10"/>
    </w:p>
    <w:p w:rsidR="00F04D1A" w:rsidRPr="004E142B" w:rsidRDefault="00D81FED" w:rsidP="00E01FE5">
      <w:pPr>
        <w:spacing w:line="360" w:lineRule="auto"/>
        <w:rPr>
          <w:sz w:val="24"/>
          <w:szCs w:val="24"/>
        </w:rPr>
      </w:pPr>
      <w:r w:rsidRPr="004E142B">
        <w:rPr>
          <w:sz w:val="24"/>
          <w:szCs w:val="24"/>
        </w:rPr>
        <w:t xml:space="preserve">Even though the findings of this research </w:t>
      </w:r>
      <w:r w:rsidR="00F04D1A" w:rsidRPr="004E142B">
        <w:rPr>
          <w:sz w:val="24"/>
          <w:szCs w:val="24"/>
        </w:rPr>
        <w:t>will inform future practices of the researchers, there were limitations to this Lesson Study.</w:t>
      </w:r>
      <w:r w:rsidR="001746C4" w:rsidRPr="004E142B">
        <w:rPr>
          <w:sz w:val="24"/>
          <w:szCs w:val="24"/>
        </w:rPr>
        <w:t xml:space="preserve"> Firstly, </w:t>
      </w:r>
      <w:r w:rsidR="00F04D1A" w:rsidRPr="004E142B">
        <w:rPr>
          <w:sz w:val="24"/>
          <w:szCs w:val="24"/>
        </w:rPr>
        <w:t xml:space="preserve">there was a small size throughout this research, therefore, this research lacks validity and cannot </w:t>
      </w:r>
      <w:r w:rsidR="00F35000" w:rsidRPr="004E142B">
        <w:rPr>
          <w:sz w:val="24"/>
          <w:szCs w:val="24"/>
        </w:rPr>
        <w:t>be generalised to</w:t>
      </w:r>
      <w:r w:rsidR="00F04D1A" w:rsidRPr="004E142B">
        <w:rPr>
          <w:sz w:val="24"/>
          <w:szCs w:val="24"/>
        </w:rPr>
        <w:t xml:space="preserve"> all learners in a year 2 and year 3 classroom environment</w:t>
      </w:r>
      <w:r w:rsidR="00617F5A" w:rsidRPr="004E142B">
        <w:rPr>
          <w:sz w:val="24"/>
          <w:szCs w:val="24"/>
        </w:rPr>
        <w:t xml:space="preserve"> throughout the country. Although there was a high emphasis placed upon diminishing researcher bias, the nature of the observational schedule may have resulted in the observers interpreting information gathered loosely, in line with the examined current literature.</w:t>
      </w:r>
      <w:r w:rsidR="0005666A" w:rsidRPr="004E142B">
        <w:rPr>
          <w:sz w:val="24"/>
          <w:szCs w:val="24"/>
        </w:rPr>
        <w:t xml:space="preserve"> This was the main reason in choosing the Brookfield reflective model. By using this reflective model, we as researches believed that through interpreting the data and observations through different lenses, we are therefore </w:t>
      </w:r>
      <w:r w:rsidR="0005666A" w:rsidRPr="004E142B">
        <w:rPr>
          <w:sz w:val="24"/>
          <w:szCs w:val="24"/>
        </w:rPr>
        <w:lastRenderedPageBreak/>
        <w:t xml:space="preserve">diminishing any predetermined conceptions regarding our pupils, as we can now reflect on the different aspects of the sessions from different perspectives. </w:t>
      </w:r>
    </w:p>
    <w:p w:rsidR="009E5FDD" w:rsidRPr="004E142B" w:rsidRDefault="009E5FDD" w:rsidP="004E142B">
      <w:pPr>
        <w:spacing w:line="360" w:lineRule="auto"/>
        <w:rPr>
          <w:sz w:val="24"/>
          <w:szCs w:val="24"/>
        </w:rPr>
      </w:pPr>
      <w:r w:rsidRPr="004E142B">
        <w:rPr>
          <w:sz w:val="24"/>
          <w:szCs w:val="24"/>
        </w:rPr>
        <w:t>Another possible limitation to our research was that the observational</w:t>
      </w:r>
      <w:r w:rsidR="00C7253B" w:rsidRPr="004E142B">
        <w:rPr>
          <w:sz w:val="24"/>
          <w:szCs w:val="24"/>
        </w:rPr>
        <w:t xml:space="preserve"> and interview notes were all handwritten. </w:t>
      </w:r>
      <w:r w:rsidR="00F9717A" w:rsidRPr="004E142B">
        <w:rPr>
          <w:sz w:val="24"/>
          <w:szCs w:val="24"/>
        </w:rPr>
        <w:t>This is not only seen as time consuming</w:t>
      </w:r>
      <w:r w:rsidR="00A54F63" w:rsidRPr="004E142B">
        <w:rPr>
          <w:sz w:val="24"/>
          <w:szCs w:val="24"/>
        </w:rPr>
        <w:t>, but it could possibly result in missed behaviours and an incorrect transcription of the interview process</w:t>
      </w:r>
      <w:r w:rsidR="00A54F63" w:rsidRPr="004E142B">
        <w:rPr>
          <w:rFonts w:cstheme="minorHAnsi"/>
          <w:sz w:val="24"/>
          <w:szCs w:val="24"/>
        </w:rPr>
        <w:t xml:space="preserve"> (</w:t>
      </w:r>
      <w:proofErr w:type="spellStart"/>
      <w:r w:rsidR="00A54F63" w:rsidRPr="004E142B">
        <w:rPr>
          <w:rFonts w:cstheme="minorHAnsi"/>
          <w:sz w:val="24"/>
          <w:szCs w:val="24"/>
          <w:shd w:val="clear" w:color="auto" w:fill="FFFFFF"/>
        </w:rPr>
        <w:t>Labaree</w:t>
      </w:r>
      <w:proofErr w:type="spellEnd"/>
      <w:r w:rsidR="00A54F63" w:rsidRPr="004E142B">
        <w:rPr>
          <w:rFonts w:cstheme="minorHAnsi"/>
          <w:sz w:val="24"/>
          <w:szCs w:val="24"/>
          <w:shd w:val="clear" w:color="auto" w:fill="FFFFFF"/>
        </w:rPr>
        <w:t>, 2009</w:t>
      </w:r>
      <w:r w:rsidR="00A54F63" w:rsidRPr="004E142B">
        <w:rPr>
          <w:rFonts w:cstheme="minorHAnsi"/>
          <w:color w:val="777777"/>
          <w:sz w:val="24"/>
          <w:szCs w:val="24"/>
          <w:shd w:val="clear" w:color="auto" w:fill="FFFFFF"/>
        </w:rPr>
        <w:t xml:space="preserve">). </w:t>
      </w:r>
      <w:r w:rsidR="00A54F63" w:rsidRPr="004E142B">
        <w:rPr>
          <w:rFonts w:cstheme="minorHAnsi"/>
          <w:sz w:val="24"/>
          <w:szCs w:val="24"/>
          <w:shd w:val="clear" w:color="auto" w:fill="FFFFFF"/>
        </w:rPr>
        <w:t>To overcome this in future research, there could be a Dictaphone present in the interviews, ensuring that we do not miss any aspect of the conversation with the participants. Also, this would be a tool in which we could go back and listen to the answers as well as the tone of voice of the participant, increasing the validity of the research.</w:t>
      </w:r>
    </w:p>
    <w:p w:rsidR="00F74CA8" w:rsidRPr="004E142B" w:rsidRDefault="00C7253B" w:rsidP="004E142B">
      <w:pPr>
        <w:spacing w:line="360" w:lineRule="auto"/>
        <w:rPr>
          <w:sz w:val="24"/>
          <w:szCs w:val="24"/>
        </w:rPr>
      </w:pPr>
      <w:r w:rsidRPr="004E142B">
        <w:rPr>
          <w:sz w:val="24"/>
          <w:szCs w:val="24"/>
        </w:rPr>
        <w:t xml:space="preserve">Furthermore, </w:t>
      </w:r>
      <w:r w:rsidR="00F74CA8" w:rsidRPr="004E142B">
        <w:rPr>
          <w:sz w:val="24"/>
          <w:szCs w:val="24"/>
        </w:rPr>
        <w:t xml:space="preserve">as we used a controlled observational method, the children were aware that they were being observed throughout the session. Therefore, this could lack </w:t>
      </w:r>
      <w:r w:rsidR="00D74606" w:rsidRPr="004E142B">
        <w:rPr>
          <w:sz w:val="24"/>
          <w:szCs w:val="24"/>
        </w:rPr>
        <w:t>validity</w:t>
      </w:r>
      <w:r w:rsidR="00F74CA8" w:rsidRPr="004E142B">
        <w:rPr>
          <w:sz w:val="24"/>
          <w:szCs w:val="24"/>
        </w:rPr>
        <w:t xml:space="preserve"> due to the Hawthorne effect. The Hawthorne effect occurs when participants are aware they are being observed, which may result in a change of behaviour (</w:t>
      </w:r>
      <w:proofErr w:type="spellStart"/>
      <w:r w:rsidR="00F74CA8" w:rsidRPr="004E142B">
        <w:rPr>
          <w:sz w:val="24"/>
          <w:szCs w:val="24"/>
        </w:rPr>
        <w:t>McCambridge</w:t>
      </w:r>
      <w:proofErr w:type="spellEnd"/>
      <w:r w:rsidR="00F74CA8" w:rsidRPr="004E142B">
        <w:rPr>
          <w:sz w:val="24"/>
          <w:szCs w:val="24"/>
        </w:rPr>
        <w:t xml:space="preserve"> et al., 2014).</w:t>
      </w:r>
      <w:r w:rsidR="00BA24CA">
        <w:rPr>
          <w:sz w:val="24"/>
          <w:szCs w:val="24"/>
        </w:rPr>
        <w:t xml:space="preserve"> Nevertheless, the observation schedule allowed us to collect both qualitative and quantitative data. </w:t>
      </w:r>
      <w:r w:rsidR="008E7CEF">
        <w:rPr>
          <w:sz w:val="24"/>
          <w:szCs w:val="24"/>
        </w:rPr>
        <w:t xml:space="preserve">It also allowed for us to examine key aspects in relation to motivation and engagement with the learning, such as: body language, work ethic, collaboration and quality of the overall piece of work. By doing so, it allowed for us to examine our research question in </w:t>
      </w:r>
      <w:proofErr w:type="gramStart"/>
      <w:r w:rsidR="008E7CEF">
        <w:rPr>
          <w:sz w:val="24"/>
          <w:szCs w:val="24"/>
        </w:rPr>
        <w:t>great detail</w:t>
      </w:r>
      <w:proofErr w:type="gramEnd"/>
      <w:r w:rsidR="008E7CEF">
        <w:rPr>
          <w:sz w:val="24"/>
          <w:szCs w:val="24"/>
        </w:rPr>
        <w:t xml:space="preserve">, allowing us to analyse if pairing lower ability children with higher ability children influenced the lower learners’ motivation to engage with their learning. </w:t>
      </w:r>
    </w:p>
    <w:p w:rsidR="00C9549C" w:rsidRPr="004E142B" w:rsidRDefault="00C9549C" w:rsidP="004E142B">
      <w:pPr>
        <w:spacing w:line="360" w:lineRule="auto"/>
        <w:rPr>
          <w:sz w:val="24"/>
          <w:szCs w:val="24"/>
        </w:rPr>
      </w:pPr>
      <w:r w:rsidRPr="004E142B">
        <w:rPr>
          <w:sz w:val="24"/>
          <w:szCs w:val="24"/>
        </w:rPr>
        <w:t>This research has given me considerations for future practices and in turn, has developed me in to a more effective teacher. From undertaking the research and analysing literature, I have greater understanding regarding the grouping of children, along with the pros and cons of the different strategies.</w:t>
      </w:r>
      <w:r w:rsidR="00E119EC" w:rsidRPr="004E142B">
        <w:rPr>
          <w:sz w:val="24"/>
          <w:szCs w:val="24"/>
        </w:rPr>
        <w:t xml:space="preserve"> This is an aspect that will be considered greatly within my next school practice and in turn, one that will be considered greatly throughout my professional development.</w:t>
      </w:r>
      <w:r w:rsidRPr="004E142B">
        <w:rPr>
          <w:sz w:val="24"/>
          <w:szCs w:val="24"/>
        </w:rPr>
        <w:t xml:space="preserve"> It is vital that I continue to gain an insight in to the children’s abilities and interests and the most effective solutions to motivate and engage all children within the classroom with their thinking and learning. Moreover, the research undertaken has informed me that planning in mixed-ability groupings needs to be considered carefully (</w:t>
      </w:r>
      <w:proofErr w:type="spellStart"/>
      <w:r w:rsidRPr="004E142B">
        <w:rPr>
          <w:sz w:val="24"/>
          <w:szCs w:val="24"/>
        </w:rPr>
        <w:t>DfEE</w:t>
      </w:r>
      <w:proofErr w:type="spellEnd"/>
      <w:r w:rsidRPr="004E142B">
        <w:rPr>
          <w:sz w:val="24"/>
          <w:szCs w:val="24"/>
        </w:rPr>
        <w:t xml:space="preserve">, 1997; Gamoran, 2012; </w:t>
      </w:r>
      <w:proofErr w:type="spellStart"/>
      <w:r w:rsidRPr="004E142B">
        <w:rPr>
          <w:sz w:val="24"/>
          <w:szCs w:val="24"/>
        </w:rPr>
        <w:t>Bekiryazıcı</w:t>
      </w:r>
      <w:proofErr w:type="spellEnd"/>
      <w:r w:rsidRPr="004E142B">
        <w:rPr>
          <w:sz w:val="24"/>
          <w:szCs w:val="24"/>
        </w:rPr>
        <w:t xml:space="preserve">, 2015). For example, with Lesson Study 2, I believe the session could have been planned by myself more effectively. For example, after reflecting upon the whole process, the Science session prior to this session where the </w:t>
      </w:r>
      <w:r w:rsidRPr="004E142B">
        <w:rPr>
          <w:sz w:val="24"/>
          <w:szCs w:val="24"/>
        </w:rPr>
        <w:lastRenderedPageBreak/>
        <w:t xml:space="preserve">children were designing and constructing their bridges, I believe that this would have been more effective if the children were working alongside their partners/groups of mixed ability. By doing so, I could have observed the different discussions and collaboration taking place when experimenting when the different techniques used to create a strong, structured bridge. Through reflecting, I also believe that this would have been a more effective research session rather than the write-up, as the children were working alongside partners which they were not in groups with during the initial scientific enquiry. </w:t>
      </w:r>
    </w:p>
    <w:p w:rsidR="009E5FDD" w:rsidRPr="004E142B" w:rsidRDefault="009E5FDD" w:rsidP="004E142B">
      <w:pPr>
        <w:spacing w:line="360" w:lineRule="auto"/>
        <w:rPr>
          <w:sz w:val="24"/>
          <w:szCs w:val="24"/>
        </w:rPr>
      </w:pPr>
      <w:r w:rsidRPr="004E142B">
        <w:rPr>
          <w:sz w:val="24"/>
          <w:szCs w:val="24"/>
        </w:rPr>
        <w:t xml:space="preserve">The observation method has been used by </w:t>
      </w:r>
      <w:proofErr w:type="gramStart"/>
      <w:r w:rsidRPr="004E142B">
        <w:rPr>
          <w:sz w:val="24"/>
          <w:szCs w:val="24"/>
        </w:rPr>
        <w:t>myself</w:t>
      </w:r>
      <w:proofErr w:type="gramEnd"/>
      <w:r w:rsidRPr="004E142B">
        <w:rPr>
          <w:sz w:val="24"/>
          <w:szCs w:val="24"/>
        </w:rPr>
        <w:t xml:space="preserve"> throughout the practice in this setting. On many occasions throughout the practice, the Leaven scale was adapted. Also, prior to the research session in School 1, the method of grouping lower ability children with higher ability children was not piloted by myself. This was done intentionally, as I wanted to visualise the differences the children showed when working with the child from a higher ability group in comparison with working with children of similar ability. However, if this had been piloted beforehand and the children were a little more comfortable working with each other, more effective discussions could have taken place between the students. </w:t>
      </w:r>
    </w:p>
    <w:p w:rsidR="00071384" w:rsidRPr="004E142B" w:rsidRDefault="00385790" w:rsidP="004E142B">
      <w:pPr>
        <w:spacing w:line="360" w:lineRule="auto"/>
        <w:rPr>
          <w:sz w:val="24"/>
          <w:szCs w:val="24"/>
        </w:rPr>
      </w:pPr>
      <w:r w:rsidRPr="004E142B">
        <w:rPr>
          <w:sz w:val="24"/>
          <w:szCs w:val="24"/>
        </w:rPr>
        <w:t>Moreover, we can see the contrast between the two sessions, particularly in the aspect of engagement through the observational notes. In Lesson Study 2, we saw increased engagement with learning than that of Lesson Study 1. For example, in Lesson Study 1, Child A and B showed a contrast of disengaged body language; Child A was constantly fidgeting with a piece of paper and Child B was often slumped on their desk, lacking concentration and often looking around the room. Nevertheless, through the reflection process, it was brought to my attention by my research partner that Child B lacks social skills, finding it difficult to engage with and become friendly with peers. With this information, it was evident that Child B was struggling to engage with their new partner throughout the session, although this was highlighted differently through the interview process. This can suggest that through the interview, we as researchers did not clearly convey to the children to answer honestly. However, throughout the interviews, we made it clear that if the children we</w:t>
      </w:r>
      <w:r w:rsidR="00071384" w:rsidRPr="004E142B">
        <w:rPr>
          <w:sz w:val="24"/>
          <w:szCs w:val="24"/>
        </w:rPr>
        <w:t>re feeling</w:t>
      </w:r>
      <w:r w:rsidR="00900E90" w:rsidRPr="004E142B">
        <w:rPr>
          <w:sz w:val="24"/>
          <w:szCs w:val="24"/>
        </w:rPr>
        <w:t xml:space="preserve"> discomfort, they could end it at any given time.</w:t>
      </w:r>
    </w:p>
    <w:p w:rsidR="00A30F25" w:rsidRPr="004E142B" w:rsidRDefault="00E93442" w:rsidP="00E01FE5">
      <w:pPr>
        <w:pStyle w:val="Heading1"/>
      </w:pPr>
      <w:bookmarkStart w:id="11" w:name="_Toc2602203"/>
      <w:r w:rsidRPr="004E142B">
        <w:t>Recommendations</w:t>
      </w:r>
      <w:bookmarkEnd w:id="11"/>
    </w:p>
    <w:p w:rsidR="00A30F25" w:rsidRPr="004E142B" w:rsidRDefault="00E93442" w:rsidP="004E142B">
      <w:pPr>
        <w:spacing w:line="360" w:lineRule="auto"/>
        <w:rPr>
          <w:sz w:val="24"/>
          <w:szCs w:val="24"/>
        </w:rPr>
      </w:pPr>
      <w:r w:rsidRPr="004E142B">
        <w:rPr>
          <w:sz w:val="24"/>
          <w:szCs w:val="24"/>
        </w:rPr>
        <w:t xml:space="preserve">Due to the findings of the conducted Lesson Study; if I was to conduct lesson study research in the future, I would explore the impact of social interaction and social friendships on the </w:t>
      </w:r>
      <w:r w:rsidRPr="004E142B">
        <w:rPr>
          <w:sz w:val="24"/>
          <w:szCs w:val="24"/>
        </w:rPr>
        <w:lastRenderedPageBreak/>
        <w:t xml:space="preserve">learners’ self-esteem and engagement with their learning. Social interactive learners </w:t>
      </w:r>
      <w:r w:rsidR="00DE42A1" w:rsidRPr="004E142B">
        <w:rPr>
          <w:sz w:val="24"/>
          <w:szCs w:val="24"/>
        </w:rPr>
        <w:t xml:space="preserve">are </w:t>
      </w:r>
      <w:r w:rsidRPr="004E142B">
        <w:rPr>
          <w:sz w:val="24"/>
          <w:szCs w:val="24"/>
        </w:rPr>
        <w:t xml:space="preserve">highly engaged with their learning (Vacca et al., 2011). </w:t>
      </w:r>
      <w:r w:rsidR="003E64BA" w:rsidRPr="004E142B">
        <w:rPr>
          <w:sz w:val="24"/>
          <w:szCs w:val="24"/>
        </w:rPr>
        <w:t>We could conduct a similar Lesson Study, but this time, instead of researching if pairing children from a higher ability group with children from a lower ability group, we could pair children with who they are friendly with, to see if this an increased impact on motivation to engage with their learning than our prior research.</w:t>
      </w:r>
    </w:p>
    <w:p w:rsidR="00CE46E9" w:rsidRDefault="00CE46E9" w:rsidP="004E142B">
      <w:pPr>
        <w:spacing w:line="360" w:lineRule="auto"/>
        <w:rPr>
          <w:sz w:val="24"/>
          <w:szCs w:val="24"/>
        </w:rPr>
      </w:pPr>
      <w:r w:rsidRPr="004E142B">
        <w:rPr>
          <w:sz w:val="24"/>
          <w:szCs w:val="24"/>
        </w:rPr>
        <w:t xml:space="preserve">Through choosing sessions </w:t>
      </w:r>
      <w:r w:rsidR="00CF5528" w:rsidRPr="004E142B">
        <w:rPr>
          <w:sz w:val="24"/>
          <w:szCs w:val="24"/>
        </w:rPr>
        <w:t xml:space="preserve">that required discussion, we were able to observe how well the children collaborated with their partners. This was an important aspect for us, as through high collaboration, we could determine the engagement the children had with the task at hand. However, as previously stated, If I were to conduct a similar Lesson Study in the future, I would change the session within my setting, where the children would be with their mixed ability partners to experiment with the different types of ways in which they could construct their scientific experiments. For me, this would have enhanced the level of effective collaboration and discussion opportunities the children could have had with their partners. </w:t>
      </w:r>
      <w:r w:rsidR="009916F7" w:rsidRPr="004E142B">
        <w:rPr>
          <w:sz w:val="24"/>
          <w:szCs w:val="24"/>
        </w:rPr>
        <w:t xml:space="preserve">This is an aspect in which I believe could develop myself in to a more effective teacher. </w:t>
      </w: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Default="005E1B60" w:rsidP="004E142B">
      <w:pPr>
        <w:spacing w:line="360" w:lineRule="auto"/>
        <w:rPr>
          <w:sz w:val="24"/>
          <w:szCs w:val="24"/>
        </w:rPr>
      </w:pPr>
    </w:p>
    <w:p w:rsidR="005E1B60" w:rsidRPr="005E1B60" w:rsidRDefault="005E1B60" w:rsidP="00E01FE5">
      <w:pPr>
        <w:pStyle w:val="Heading1"/>
        <w:spacing w:line="360" w:lineRule="auto"/>
      </w:pPr>
      <w:bookmarkStart w:id="12" w:name="_Toc2602204"/>
      <w:r w:rsidRPr="005E1B60">
        <w:lastRenderedPageBreak/>
        <w:t>References</w:t>
      </w:r>
      <w:bookmarkEnd w:id="12"/>
    </w:p>
    <w:p w:rsidR="005E1B60" w:rsidRPr="002F13FC" w:rsidRDefault="005E1B60" w:rsidP="00E01FE5">
      <w:pPr>
        <w:spacing w:line="360" w:lineRule="auto"/>
        <w:rPr>
          <w:color w:val="000000"/>
          <w:sz w:val="24"/>
          <w:szCs w:val="24"/>
          <w:shd w:val="clear" w:color="auto" w:fill="FFFFFF"/>
        </w:rPr>
      </w:pPr>
      <w:r w:rsidRPr="002F13FC">
        <w:rPr>
          <w:color w:val="000000"/>
          <w:sz w:val="24"/>
          <w:szCs w:val="24"/>
          <w:shd w:val="clear" w:color="auto" w:fill="FFFFFF"/>
        </w:rPr>
        <w:t xml:space="preserve">Allan, S.D. (1991) ‘Ability-grouping research reviews: What do they say about grouping and the gifted?’, </w:t>
      </w:r>
      <w:r w:rsidRPr="002F13FC">
        <w:rPr>
          <w:i/>
          <w:color w:val="000000"/>
          <w:sz w:val="24"/>
          <w:szCs w:val="24"/>
          <w:shd w:val="clear" w:color="auto" w:fill="FFFFFF"/>
        </w:rPr>
        <w:t>Educational Leadership</w:t>
      </w:r>
      <w:r w:rsidRPr="002F13FC">
        <w:rPr>
          <w:color w:val="000000"/>
          <w:sz w:val="24"/>
          <w:szCs w:val="24"/>
          <w:shd w:val="clear" w:color="auto" w:fill="FFFFFF"/>
        </w:rPr>
        <w:t>, 48(6), pp.60-65.</w:t>
      </w:r>
    </w:p>
    <w:p w:rsidR="005E1B60" w:rsidRPr="002F13FC" w:rsidRDefault="005E1B60" w:rsidP="005E1B60">
      <w:pPr>
        <w:spacing w:line="360" w:lineRule="auto"/>
        <w:rPr>
          <w:sz w:val="24"/>
          <w:szCs w:val="24"/>
        </w:rPr>
      </w:pPr>
      <w:r w:rsidRPr="002F13FC">
        <w:rPr>
          <w:color w:val="000000"/>
          <w:sz w:val="24"/>
          <w:szCs w:val="24"/>
          <w:shd w:val="clear" w:color="auto" w:fill="FFFFFF"/>
        </w:rPr>
        <w:t xml:space="preserve">Beed, P.L., Hawkins, E.M., and Roller, C.M. (1991) ‘Moving learners toward independence: The power of scaffolded instruction’, </w:t>
      </w:r>
      <w:r w:rsidRPr="002F13FC">
        <w:rPr>
          <w:i/>
          <w:color w:val="000000"/>
          <w:sz w:val="24"/>
          <w:szCs w:val="24"/>
          <w:shd w:val="clear" w:color="auto" w:fill="FFFFFF"/>
        </w:rPr>
        <w:t>The Reading Teacher</w:t>
      </w:r>
      <w:r w:rsidRPr="002F13FC">
        <w:rPr>
          <w:color w:val="000000"/>
          <w:sz w:val="24"/>
          <w:szCs w:val="24"/>
          <w:shd w:val="clear" w:color="auto" w:fill="FFFFFF"/>
        </w:rPr>
        <w:t>, 44, pp.648-655.</w:t>
      </w:r>
    </w:p>
    <w:p w:rsidR="005E1B60" w:rsidRPr="002F13FC" w:rsidRDefault="005E1B60" w:rsidP="005E1B60">
      <w:pPr>
        <w:spacing w:line="360" w:lineRule="auto"/>
        <w:rPr>
          <w:sz w:val="24"/>
          <w:szCs w:val="24"/>
        </w:rPr>
      </w:pPr>
      <w:proofErr w:type="spellStart"/>
      <w:r w:rsidRPr="002F13FC">
        <w:rPr>
          <w:sz w:val="24"/>
          <w:szCs w:val="24"/>
        </w:rPr>
        <w:t>Bekiryazıcı</w:t>
      </w:r>
      <w:proofErr w:type="spellEnd"/>
      <w:r w:rsidRPr="002F13FC">
        <w:rPr>
          <w:sz w:val="24"/>
          <w:szCs w:val="24"/>
        </w:rPr>
        <w:t xml:space="preserve">, M. (2015) ‘Teaching Mixed-Level Classes with A Vygotskian Perspective’, </w:t>
      </w:r>
      <w:r w:rsidRPr="002F13FC">
        <w:rPr>
          <w:i/>
          <w:sz w:val="24"/>
          <w:szCs w:val="24"/>
        </w:rPr>
        <w:t>Procedia - Social and Behavioural Sciences</w:t>
      </w:r>
      <w:r w:rsidRPr="002F13FC">
        <w:rPr>
          <w:sz w:val="24"/>
          <w:szCs w:val="24"/>
        </w:rPr>
        <w:t xml:space="preserve">, 186, pp.913-917. </w:t>
      </w:r>
    </w:p>
    <w:p w:rsidR="005E1B60" w:rsidRPr="002F13FC" w:rsidRDefault="005E1B60" w:rsidP="005E1B60">
      <w:pPr>
        <w:spacing w:line="360" w:lineRule="auto"/>
        <w:rPr>
          <w:sz w:val="24"/>
          <w:szCs w:val="24"/>
        </w:rPr>
      </w:pPr>
      <w:r w:rsidRPr="002F13FC">
        <w:rPr>
          <w:sz w:val="24"/>
          <w:szCs w:val="24"/>
        </w:rPr>
        <w:t>BERA. (2018)</w:t>
      </w:r>
      <w:r w:rsidRPr="002F13FC">
        <w:rPr>
          <w:i/>
          <w:sz w:val="24"/>
          <w:szCs w:val="24"/>
        </w:rPr>
        <w:t xml:space="preserve"> Ethical Guidance for Educational Research. </w:t>
      </w:r>
      <w:r w:rsidRPr="002F13FC">
        <w:rPr>
          <w:sz w:val="24"/>
          <w:szCs w:val="24"/>
        </w:rPr>
        <w:t>4</w:t>
      </w:r>
      <w:r w:rsidRPr="002F13FC">
        <w:rPr>
          <w:sz w:val="24"/>
          <w:szCs w:val="24"/>
          <w:vertAlign w:val="superscript"/>
        </w:rPr>
        <w:t>th</w:t>
      </w:r>
      <w:r w:rsidRPr="002F13FC">
        <w:rPr>
          <w:sz w:val="24"/>
          <w:szCs w:val="24"/>
        </w:rPr>
        <w:t xml:space="preserve"> </w:t>
      </w:r>
      <w:proofErr w:type="spellStart"/>
      <w:r w:rsidRPr="002F13FC">
        <w:rPr>
          <w:sz w:val="24"/>
          <w:szCs w:val="24"/>
        </w:rPr>
        <w:t>edn</w:t>
      </w:r>
      <w:proofErr w:type="spellEnd"/>
      <w:r w:rsidRPr="002F13FC">
        <w:rPr>
          <w:sz w:val="24"/>
          <w:szCs w:val="24"/>
        </w:rPr>
        <w:t xml:space="preserve">. London: BERA. </w:t>
      </w:r>
    </w:p>
    <w:p w:rsidR="005E1B60" w:rsidRPr="002F13FC" w:rsidRDefault="005E1B60" w:rsidP="005E1B60">
      <w:pPr>
        <w:spacing w:line="360" w:lineRule="auto"/>
        <w:rPr>
          <w:sz w:val="24"/>
          <w:szCs w:val="24"/>
        </w:rPr>
      </w:pPr>
      <w:r w:rsidRPr="002F13FC">
        <w:rPr>
          <w:sz w:val="24"/>
          <w:szCs w:val="24"/>
        </w:rPr>
        <w:t xml:space="preserve">Brookfield, S.D. (1995) </w:t>
      </w:r>
      <w:r w:rsidRPr="002F13FC">
        <w:rPr>
          <w:i/>
          <w:sz w:val="24"/>
          <w:szCs w:val="24"/>
        </w:rPr>
        <w:t>Becoming a Critically Reflective Teacher.</w:t>
      </w:r>
      <w:r w:rsidRPr="002F13FC">
        <w:rPr>
          <w:sz w:val="24"/>
          <w:szCs w:val="24"/>
        </w:rPr>
        <w:t xml:space="preserve"> San Francisco: Jossey-Bass. </w:t>
      </w:r>
    </w:p>
    <w:p w:rsidR="005E1B60" w:rsidRPr="002F13FC" w:rsidRDefault="005E1B60" w:rsidP="005E1B60">
      <w:pPr>
        <w:spacing w:line="360" w:lineRule="auto"/>
        <w:rPr>
          <w:sz w:val="24"/>
          <w:szCs w:val="24"/>
        </w:rPr>
      </w:pPr>
      <w:r w:rsidRPr="002F13FC">
        <w:rPr>
          <w:sz w:val="24"/>
          <w:szCs w:val="24"/>
        </w:rPr>
        <w:t xml:space="preserve">Bryman, A. (1988) </w:t>
      </w:r>
      <w:r w:rsidRPr="002F13FC">
        <w:rPr>
          <w:i/>
          <w:sz w:val="24"/>
          <w:szCs w:val="24"/>
        </w:rPr>
        <w:t>Quantity and Quality in Social Research.</w:t>
      </w:r>
      <w:r w:rsidRPr="002F13FC">
        <w:rPr>
          <w:sz w:val="24"/>
          <w:szCs w:val="24"/>
        </w:rPr>
        <w:t xml:space="preserve"> London: Routledge. </w:t>
      </w:r>
    </w:p>
    <w:p w:rsidR="005E1B60" w:rsidRPr="002F13FC" w:rsidRDefault="005E1B60" w:rsidP="005E1B60">
      <w:pPr>
        <w:spacing w:line="360" w:lineRule="auto"/>
        <w:rPr>
          <w:sz w:val="24"/>
          <w:szCs w:val="24"/>
        </w:rPr>
      </w:pPr>
      <w:r w:rsidRPr="002F13FC">
        <w:rPr>
          <w:sz w:val="24"/>
          <w:szCs w:val="24"/>
        </w:rPr>
        <w:t xml:space="preserve">Cohen, L., Manion, L., and Morrison, K. (2011) </w:t>
      </w:r>
      <w:r w:rsidRPr="002F13FC">
        <w:rPr>
          <w:i/>
          <w:sz w:val="24"/>
          <w:szCs w:val="24"/>
        </w:rPr>
        <w:t>Research Methods in Education</w:t>
      </w:r>
      <w:r w:rsidRPr="002F13FC">
        <w:rPr>
          <w:sz w:val="24"/>
          <w:szCs w:val="24"/>
        </w:rPr>
        <w:t>. London: Routledge.</w:t>
      </w:r>
    </w:p>
    <w:p w:rsidR="005E1B60" w:rsidRPr="002F13FC" w:rsidRDefault="005E1B60" w:rsidP="005E1B60">
      <w:pPr>
        <w:spacing w:line="360" w:lineRule="auto"/>
        <w:rPr>
          <w:sz w:val="24"/>
          <w:szCs w:val="24"/>
        </w:rPr>
      </w:pPr>
      <w:r w:rsidRPr="002F13FC">
        <w:rPr>
          <w:sz w:val="24"/>
          <w:szCs w:val="24"/>
        </w:rPr>
        <w:t xml:space="preserve">Cole, M. (1985) </w:t>
      </w:r>
      <w:r w:rsidRPr="002F13FC">
        <w:rPr>
          <w:i/>
          <w:sz w:val="24"/>
          <w:szCs w:val="24"/>
        </w:rPr>
        <w:t>Culture, Communication and Cognition: Vygotskian Perspectives</w:t>
      </w:r>
      <w:r w:rsidRPr="002F13FC">
        <w:rPr>
          <w:sz w:val="24"/>
          <w:szCs w:val="24"/>
        </w:rPr>
        <w:t>. London: Cambridge University Press.</w:t>
      </w:r>
    </w:p>
    <w:p w:rsidR="005E1B60" w:rsidRPr="002F13FC" w:rsidRDefault="005E1B60" w:rsidP="005E1B60">
      <w:pPr>
        <w:spacing w:line="360" w:lineRule="auto"/>
        <w:rPr>
          <w:sz w:val="24"/>
          <w:szCs w:val="24"/>
        </w:rPr>
      </w:pPr>
      <w:r w:rsidRPr="002F13FC">
        <w:rPr>
          <w:sz w:val="24"/>
          <w:szCs w:val="24"/>
        </w:rPr>
        <w:t xml:space="preserve">Cole, M., Steiner, V.J., Scribner, S., and </w:t>
      </w:r>
      <w:proofErr w:type="spellStart"/>
      <w:r w:rsidRPr="002F13FC">
        <w:rPr>
          <w:sz w:val="24"/>
          <w:szCs w:val="24"/>
        </w:rPr>
        <w:t>Souberman</w:t>
      </w:r>
      <w:proofErr w:type="spellEnd"/>
      <w:r w:rsidRPr="002F13FC">
        <w:rPr>
          <w:sz w:val="24"/>
          <w:szCs w:val="24"/>
        </w:rPr>
        <w:t xml:space="preserve">, E. (1978) </w:t>
      </w:r>
      <w:r w:rsidRPr="002F13FC">
        <w:rPr>
          <w:i/>
          <w:sz w:val="24"/>
          <w:szCs w:val="24"/>
        </w:rPr>
        <w:t>L.S. Vygotsky Mind in Society: The development of higher psychological processes.</w:t>
      </w:r>
      <w:r w:rsidRPr="002F13FC">
        <w:rPr>
          <w:sz w:val="24"/>
          <w:szCs w:val="24"/>
        </w:rPr>
        <w:t xml:space="preserve"> Cambridge: Harvard University Press.</w:t>
      </w:r>
    </w:p>
    <w:p w:rsidR="005E1B60" w:rsidRPr="002F13FC" w:rsidRDefault="005E1B60" w:rsidP="005E1B60">
      <w:pPr>
        <w:spacing w:line="360" w:lineRule="auto"/>
        <w:rPr>
          <w:sz w:val="24"/>
          <w:szCs w:val="24"/>
        </w:rPr>
      </w:pPr>
      <w:r w:rsidRPr="002F13FC">
        <w:rPr>
          <w:sz w:val="24"/>
          <w:szCs w:val="24"/>
        </w:rPr>
        <w:t xml:space="preserve">Coles, A., and McGrath, J. (2010) </w:t>
      </w:r>
      <w:r w:rsidRPr="002F13FC">
        <w:rPr>
          <w:i/>
          <w:sz w:val="24"/>
          <w:szCs w:val="24"/>
        </w:rPr>
        <w:t>Your Education Research Project Handbook.</w:t>
      </w:r>
      <w:r w:rsidRPr="002F13FC">
        <w:rPr>
          <w:sz w:val="24"/>
          <w:szCs w:val="24"/>
        </w:rPr>
        <w:t xml:space="preserve"> London: Pearson Education Limited. </w:t>
      </w:r>
    </w:p>
    <w:p w:rsidR="005E1B60" w:rsidRPr="002F13FC" w:rsidRDefault="005E1B60" w:rsidP="005E1B60">
      <w:pPr>
        <w:spacing w:line="360" w:lineRule="auto"/>
        <w:rPr>
          <w:sz w:val="24"/>
          <w:szCs w:val="24"/>
        </w:rPr>
      </w:pPr>
      <w:r w:rsidRPr="002F13FC">
        <w:rPr>
          <w:sz w:val="24"/>
          <w:szCs w:val="24"/>
        </w:rPr>
        <w:t xml:space="preserve">Cooper, P. and McIntyre, D. (1996) </w:t>
      </w:r>
      <w:r w:rsidRPr="002F13FC">
        <w:rPr>
          <w:i/>
          <w:sz w:val="24"/>
          <w:szCs w:val="24"/>
        </w:rPr>
        <w:t xml:space="preserve">Effective Teaching and Learning: Teachers' and Students' Perspectives. </w:t>
      </w:r>
      <w:r w:rsidRPr="002F13FC">
        <w:rPr>
          <w:sz w:val="24"/>
          <w:szCs w:val="24"/>
        </w:rPr>
        <w:t xml:space="preserve">Buckingham: Open University Press. </w:t>
      </w:r>
    </w:p>
    <w:p w:rsidR="005E1B60" w:rsidRPr="002F13FC" w:rsidRDefault="005E1B60" w:rsidP="005E1B60">
      <w:pPr>
        <w:spacing w:line="360" w:lineRule="auto"/>
        <w:rPr>
          <w:sz w:val="24"/>
          <w:szCs w:val="24"/>
        </w:rPr>
      </w:pPr>
      <w:proofErr w:type="spellStart"/>
      <w:r w:rsidRPr="002F13FC">
        <w:rPr>
          <w:sz w:val="24"/>
          <w:szCs w:val="24"/>
        </w:rPr>
        <w:t>Cordingley</w:t>
      </w:r>
      <w:proofErr w:type="spellEnd"/>
      <w:r w:rsidRPr="002F13FC">
        <w:rPr>
          <w:sz w:val="24"/>
          <w:szCs w:val="24"/>
        </w:rPr>
        <w:t xml:space="preserve">, P., Bell, M., </w:t>
      </w:r>
      <w:proofErr w:type="spellStart"/>
      <w:r w:rsidRPr="002F13FC">
        <w:rPr>
          <w:sz w:val="24"/>
          <w:szCs w:val="24"/>
        </w:rPr>
        <w:t>Rundell</w:t>
      </w:r>
      <w:proofErr w:type="spellEnd"/>
      <w:r w:rsidRPr="002F13FC">
        <w:rPr>
          <w:sz w:val="24"/>
          <w:szCs w:val="24"/>
        </w:rPr>
        <w:t xml:space="preserve">, B., Evans, D., and Curtis, A. (2004). </w:t>
      </w:r>
      <w:r w:rsidRPr="002F13FC">
        <w:rPr>
          <w:i/>
          <w:sz w:val="24"/>
          <w:szCs w:val="24"/>
        </w:rPr>
        <w:t>How do collaborative and sustained CPD and sustained but not collaborative CPD affect teaching and learning</w:t>
      </w:r>
      <w:r w:rsidRPr="002F13FC">
        <w:rPr>
          <w:sz w:val="24"/>
          <w:szCs w:val="24"/>
        </w:rPr>
        <w:t>? London: EPPI-Centre, Institute of Education.</w:t>
      </w:r>
    </w:p>
    <w:p w:rsidR="005E1B60" w:rsidRPr="002F13FC" w:rsidRDefault="005E1B60" w:rsidP="005E1B60">
      <w:pPr>
        <w:spacing w:line="360" w:lineRule="auto"/>
        <w:rPr>
          <w:sz w:val="24"/>
          <w:szCs w:val="24"/>
        </w:rPr>
      </w:pPr>
      <w:r w:rsidRPr="002F13FC">
        <w:rPr>
          <w:sz w:val="24"/>
          <w:szCs w:val="24"/>
        </w:rPr>
        <w:t xml:space="preserve">Department for Children, Schools and Families. (2008) </w:t>
      </w:r>
      <w:r w:rsidRPr="002F13FC">
        <w:rPr>
          <w:i/>
          <w:sz w:val="24"/>
          <w:szCs w:val="24"/>
        </w:rPr>
        <w:t>Improving Practice and Progression through Lesson Study: Handbook for Headteachers, Leading Teachers and Subject Leaders</w:t>
      </w:r>
      <w:r w:rsidRPr="002F13FC">
        <w:rPr>
          <w:sz w:val="24"/>
          <w:szCs w:val="24"/>
        </w:rPr>
        <w:t xml:space="preserve">. London: Crown Copyright. </w:t>
      </w:r>
    </w:p>
    <w:p w:rsidR="005E1B60" w:rsidRPr="002F13FC" w:rsidRDefault="005E1B60" w:rsidP="005E1B60">
      <w:pPr>
        <w:spacing w:line="360" w:lineRule="auto"/>
        <w:rPr>
          <w:sz w:val="24"/>
          <w:szCs w:val="24"/>
        </w:rPr>
      </w:pPr>
      <w:r w:rsidRPr="002F13FC">
        <w:rPr>
          <w:sz w:val="24"/>
          <w:szCs w:val="24"/>
        </w:rPr>
        <w:lastRenderedPageBreak/>
        <w:t xml:space="preserve">Department for Digital, Culture, Media and Sport. (2018) </w:t>
      </w:r>
      <w:r w:rsidRPr="002F13FC">
        <w:rPr>
          <w:i/>
          <w:sz w:val="24"/>
          <w:szCs w:val="24"/>
        </w:rPr>
        <w:t>Data Protection Act 2018.</w:t>
      </w:r>
      <w:r w:rsidRPr="002F13FC">
        <w:rPr>
          <w:sz w:val="24"/>
          <w:szCs w:val="24"/>
        </w:rPr>
        <w:t xml:space="preserve"> </w:t>
      </w:r>
      <w:hyperlink r:id="rId7" w:history="1">
        <w:r w:rsidRPr="002F13FC">
          <w:rPr>
            <w:rStyle w:val="Hyperlink"/>
            <w:sz w:val="24"/>
            <w:szCs w:val="24"/>
          </w:rPr>
          <w:t>http://www.legislation.gov.uk/ukpga/2018/12/pdfs/ukpga_20180012_en.pdf</w:t>
        </w:r>
      </w:hyperlink>
      <w:r w:rsidRPr="002F13FC">
        <w:rPr>
          <w:sz w:val="24"/>
          <w:szCs w:val="24"/>
        </w:rPr>
        <w:t xml:space="preserve"> (Accessed: 24 January 2019). </w:t>
      </w:r>
    </w:p>
    <w:p w:rsidR="005E1B60" w:rsidRPr="002F13FC" w:rsidRDefault="005E1B60" w:rsidP="005E1B60">
      <w:pPr>
        <w:spacing w:line="360" w:lineRule="auto"/>
        <w:rPr>
          <w:sz w:val="24"/>
          <w:szCs w:val="24"/>
        </w:rPr>
      </w:pPr>
      <w:r w:rsidRPr="002F13FC">
        <w:rPr>
          <w:sz w:val="24"/>
          <w:szCs w:val="24"/>
        </w:rPr>
        <w:t xml:space="preserve">Department for Education and Employment. (1997) </w:t>
      </w:r>
      <w:r w:rsidRPr="002F13FC">
        <w:rPr>
          <w:i/>
          <w:sz w:val="24"/>
          <w:szCs w:val="24"/>
        </w:rPr>
        <w:t>White Paper: Excellence in Schools</w:t>
      </w:r>
      <w:r w:rsidRPr="002F13FC">
        <w:rPr>
          <w:sz w:val="24"/>
          <w:szCs w:val="24"/>
        </w:rPr>
        <w:t xml:space="preserve">. London: Crown. </w:t>
      </w:r>
    </w:p>
    <w:p w:rsidR="005E1B60" w:rsidRPr="002F13FC" w:rsidRDefault="005E1B60" w:rsidP="005E1B60">
      <w:pPr>
        <w:spacing w:line="360" w:lineRule="auto"/>
        <w:rPr>
          <w:sz w:val="24"/>
          <w:szCs w:val="24"/>
        </w:rPr>
      </w:pPr>
      <w:proofErr w:type="spellStart"/>
      <w:r w:rsidRPr="002F13FC">
        <w:rPr>
          <w:sz w:val="24"/>
          <w:szCs w:val="24"/>
        </w:rPr>
        <w:t>Dillenbourg</w:t>
      </w:r>
      <w:proofErr w:type="spellEnd"/>
      <w:r w:rsidRPr="002F13FC">
        <w:rPr>
          <w:sz w:val="24"/>
          <w:szCs w:val="24"/>
        </w:rPr>
        <w:t xml:space="preserve">, P., Baker, M., </w:t>
      </w:r>
      <w:proofErr w:type="spellStart"/>
      <w:r w:rsidRPr="002F13FC">
        <w:rPr>
          <w:sz w:val="24"/>
          <w:szCs w:val="24"/>
        </w:rPr>
        <w:t>Blaye</w:t>
      </w:r>
      <w:proofErr w:type="spellEnd"/>
      <w:r w:rsidRPr="002F13FC">
        <w:rPr>
          <w:sz w:val="24"/>
          <w:szCs w:val="24"/>
        </w:rPr>
        <w:t>, a., and O’Malley, C. (1996) The evolution of research on collaborative learning</w:t>
      </w:r>
    </w:p>
    <w:p w:rsidR="005E1B60" w:rsidRPr="002F13FC" w:rsidRDefault="005E1B60" w:rsidP="005E1B60">
      <w:pPr>
        <w:spacing w:line="360" w:lineRule="auto"/>
        <w:rPr>
          <w:sz w:val="24"/>
          <w:szCs w:val="24"/>
        </w:rPr>
      </w:pPr>
      <w:proofErr w:type="spellStart"/>
      <w:r w:rsidRPr="002F13FC">
        <w:rPr>
          <w:sz w:val="24"/>
          <w:szCs w:val="24"/>
        </w:rPr>
        <w:t>D'Mello</w:t>
      </w:r>
      <w:proofErr w:type="spellEnd"/>
      <w:r w:rsidRPr="002F13FC">
        <w:rPr>
          <w:sz w:val="24"/>
          <w:szCs w:val="24"/>
        </w:rPr>
        <w:t xml:space="preserve">, S., Chipman, P., and </w:t>
      </w:r>
      <w:proofErr w:type="spellStart"/>
      <w:r w:rsidRPr="002F13FC">
        <w:rPr>
          <w:sz w:val="24"/>
          <w:szCs w:val="24"/>
        </w:rPr>
        <w:t>Graesser</w:t>
      </w:r>
      <w:proofErr w:type="spellEnd"/>
      <w:r w:rsidRPr="002F13FC">
        <w:rPr>
          <w:sz w:val="24"/>
          <w:szCs w:val="24"/>
        </w:rPr>
        <w:t>, A. (2007) ‘Posture as a Predictor of Learner’s Affective Engagement’</w:t>
      </w:r>
      <w:r w:rsidRPr="002F13FC">
        <w:rPr>
          <w:i/>
          <w:sz w:val="24"/>
          <w:szCs w:val="24"/>
        </w:rPr>
        <w:t>, Proceedings of the Annual Meeting of the Cognitive Science Society</w:t>
      </w:r>
      <w:r w:rsidRPr="002F13FC">
        <w:rPr>
          <w:sz w:val="24"/>
          <w:szCs w:val="24"/>
        </w:rPr>
        <w:t xml:space="preserve">, 29, pp. 904-910. </w:t>
      </w:r>
    </w:p>
    <w:p w:rsidR="005E1B60" w:rsidRPr="002F13FC" w:rsidRDefault="005E1B60" w:rsidP="005E1B60">
      <w:pPr>
        <w:spacing w:line="360" w:lineRule="auto"/>
        <w:rPr>
          <w:sz w:val="24"/>
          <w:szCs w:val="24"/>
        </w:rPr>
      </w:pPr>
      <w:r w:rsidRPr="002F13FC">
        <w:rPr>
          <w:sz w:val="24"/>
          <w:szCs w:val="24"/>
        </w:rPr>
        <w:t xml:space="preserve">Donaldson, G. (2015) </w:t>
      </w:r>
      <w:r w:rsidRPr="002F13FC">
        <w:rPr>
          <w:i/>
          <w:sz w:val="24"/>
          <w:szCs w:val="24"/>
        </w:rPr>
        <w:t xml:space="preserve">Successful Futures: Independent Review of Curriculum and Assessment Arrangements in Wales. </w:t>
      </w:r>
      <w:r w:rsidRPr="002F13FC">
        <w:rPr>
          <w:sz w:val="24"/>
          <w:szCs w:val="24"/>
        </w:rPr>
        <w:t>Cardiff: Welsh Assembly Government.</w:t>
      </w:r>
    </w:p>
    <w:p w:rsidR="005E1B60" w:rsidRPr="002F13FC" w:rsidRDefault="005E1B60" w:rsidP="005E1B60">
      <w:pPr>
        <w:spacing w:line="360" w:lineRule="auto"/>
        <w:rPr>
          <w:sz w:val="24"/>
          <w:szCs w:val="24"/>
        </w:rPr>
      </w:pPr>
      <w:r w:rsidRPr="002F13FC">
        <w:rPr>
          <w:sz w:val="24"/>
          <w:szCs w:val="24"/>
        </w:rPr>
        <w:t xml:space="preserve">Dudley, P. (2011) </w:t>
      </w:r>
      <w:r w:rsidRPr="002F13FC">
        <w:rPr>
          <w:i/>
          <w:sz w:val="24"/>
          <w:szCs w:val="24"/>
        </w:rPr>
        <w:t>Lesson Study: A Handbook.</w:t>
      </w:r>
      <w:r w:rsidRPr="002F13FC">
        <w:rPr>
          <w:sz w:val="24"/>
          <w:szCs w:val="24"/>
        </w:rPr>
        <w:t xml:space="preserve"> </w:t>
      </w:r>
      <w:hyperlink r:id="rId8" w:history="1">
        <w:r w:rsidRPr="002F13FC">
          <w:rPr>
            <w:rStyle w:val="Hyperlink"/>
            <w:sz w:val="24"/>
            <w:szCs w:val="24"/>
          </w:rPr>
          <w:t>http://lessonstudy.co.uk/lesson-study-a-handbook/</w:t>
        </w:r>
      </w:hyperlink>
      <w:r w:rsidRPr="002F13FC">
        <w:rPr>
          <w:sz w:val="24"/>
          <w:szCs w:val="24"/>
        </w:rPr>
        <w:t xml:space="preserve"> (Accessed: 22 24 26 February). </w:t>
      </w:r>
    </w:p>
    <w:p w:rsidR="005E1B60" w:rsidRPr="002F13FC" w:rsidRDefault="005E1B60" w:rsidP="005E1B60">
      <w:pPr>
        <w:spacing w:line="360" w:lineRule="auto"/>
        <w:rPr>
          <w:sz w:val="24"/>
          <w:szCs w:val="24"/>
        </w:rPr>
      </w:pPr>
      <w:r w:rsidRPr="002F13FC">
        <w:rPr>
          <w:sz w:val="24"/>
          <w:szCs w:val="24"/>
        </w:rPr>
        <w:t xml:space="preserve">Dudley, P. (2012) ‘Lesson Study in England: from school networks to national policy’, </w:t>
      </w:r>
      <w:r w:rsidRPr="002F13FC">
        <w:rPr>
          <w:i/>
          <w:sz w:val="24"/>
          <w:szCs w:val="24"/>
        </w:rPr>
        <w:t>International Journal of Lesson and Learning Studies</w:t>
      </w:r>
      <w:r w:rsidRPr="002F13FC">
        <w:rPr>
          <w:sz w:val="24"/>
          <w:szCs w:val="24"/>
        </w:rPr>
        <w:t>, 1(1), pp 85-100.</w:t>
      </w:r>
    </w:p>
    <w:p w:rsidR="005E1B60" w:rsidRPr="002F13FC" w:rsidRDefault="005E1B60" w:rsidP="005E1B60">
      <w:pPr>
        <w:spacing w:line="360" w:lineRule="auto"/>
        <w:rPr>
          <w:sz w:val="24"/>
          <w:szCs w:val="24"/>
        </w:rPr>
      </w:pPr>
      <w:r w:rsidRPr="002F13FC">
        <w:rPr>
          <w:sz w:val="24"/>
          <w:szCs w:val="24"/>
        </w:rPr>
        <w:t xml:space="preserve">Education Endowment Foundation. (2017) </w:t>
      </w:r>
      <w:r w:rsidRPr="002F13FC">
        <w:rPr>
          <w:i/>
          <w:sz w:val="24"/>
          <w:szCs w:val="24"/>
        </w:rPr>
        <w:t>Lesson Study.</w:t>
      </w:r>
      <w:r w:rsidRPr="002F13FC">
        <w:rPr>
          <w:sz w:val="24"/>
          <w:szCs w:val="24"/>
        </w:rPr>
        <w:t xml:space="preserve"> </w:t>
      </w:r>
      <w:hyperlink r:id="rId9" w:history="1">
        <w:r w:rsidRPr="002F13FC">
          <w:rPr>
            <w:rStyle w:val="Hyperlink"/>
            <w:sz w:val="24"/>
            <w:szCs w:val="24"/>
          </w:rPr>
          <w:t>https://educationendowmentfoundation.org.uk/projects-and-evaluation/projects/lesson-study/</w:t>
        </w:r>
      </w:hyperlink>
      <w:r w:rsidRPr="002F13FC">
        <w:rPr>
          <w:sz w:val="24"/>
          <w:szCs w:val="24"/>
        </w:rPr>
        <w:t xml:space="preserve"> (Accessed: 23 February 2019). </w:t>
      </w:r>
    </w:p>
    <w:p w:rsidR="005E1B60" w:rsidRPr="002F13FC" w:rsidRDefault="005E1B60" w:rsidP="005E1B60">
      <w:pPr>
        <w:spacing w:line="360" w:lineRule="auto"/>
        <w:rPr>
          <w:sz w:val="24"/>
          <w:szCs w:val="24"/>
        </w:rPr>
      </w:pPr>
      <w:r w:rsidRPr="002F13FC">
        <w:rPr>
          <w:sz w:val="24"/>
          <w:szCs w:val="24"/>
        </w:rPr>
        <w:t xml:space="preserve">Education Workforce Council. (2019) </w:t>
      </w:r>
      <w:r w:rsidRPr="002F13FC">
        <w:rPr>
          <w:i/>
          <w:sz w:val="24"/>
          <w:szCs w:val="24"/>
        </w:rPr>
        <w:t xml:space="preserve">Research Ethics. </w:t>
      </w:r>
      <w:hyperlink r:id="rId10" w:history="1">
        <w:r w:rsidRPr="002F13FC">
          <w:rPr>
            <w:rStyle w:val="Hyperlink"/>
            <w:sz w:val="24"/>
            <w:szCs w:val="24"/>
          </w:rPr>
          <w:t>https://www.ewc.wales/site/index.php/en/about/ewc-news/item/75-research-ethics.html</w:t>
        </w:r>
      </w:hyperlink>
      <w:r w:rsidRPr="002F13FC">
        <w:rPr>
          <w:sz w:val="24"/>
          <w:szCs w:val="24"/>
        </w:rPr>
        <w:t xml:space="preserve"> (Accessed: 19 February 2019).</w:t>
      </w:r>
    </w:p>
    <w:p w:rsidR="005E1B60" w:rsidRPr="002F13FC" w:rsidRDefault="005E1B60" w:rsidP="005E1B60">
      <w:pPr>
        <w:spacing w:line="360" w:lineRule="auto"/>
        <w:rPr>
          <w:sz w:val="24"/>
          <w:szCs w:val="24"/>
        </w:rPr>
      </w:pPr>
      <w:r w:rsidRPr="002F13FC">
        <w:rPr>
          <w:sz w:val="24"/>
          <w:szCs w:val="24"/>
        </w:rPr>
        <w:t xml:space="preserve">Francis, B., Archer, L., </w:t>
      </w:r>
      <w:proofErr w:type="spellStart"/>
      <w:r w:rsidRPr="002F13FC">
        <w:rPr>
          <w:sz w:val="24"/>
          <w:szCs w:val="24"/>
        </w:rPr>
        <w:t>Hodgen</w:t>
      </w:r>
      <w:proofErr w:type="spellEnd"/>
      <w:r w:rsidRPr="002F13FC">
        <w:rPr>
          <w:sz w:val="24"/>
          <w:szCs w:val="24"/>
        </w:rPr>
        <w:t xml:space="preserve">, J., Pepper, D., Taylor, B., and Travers, M.C. (2017) ‘Exploring the relative lack of impact of research on ‘ability grouping’ in England: A discourse analytic account’, </w:t>
      </w:r>
      <w:r w:rsidRPr="002F13FC">
        <w:rPr>
          <w:i/>
          <w:sz w:val="24"/>
          <w:szCs w:val="24"/>
        </w:rPr>
        <w:t>Cambridge Journal of Education,</w:t>
      </w:r>
      <w:r w:rsidRPr="002F13FC">
        <w:rPr>
          <w:sz w:val="24"/>
          <w:szCs w:val="24"/>
        </w:rPr>
        <w:t xml:space="preserve"> 47(1), pp.1-17.</w:t>
      </w:r>
    </w:p>
    <w:p w:rsidR="005E1B60" w:rsidRPr="002F13FC" w:rsidRDefault="005E1B60" w:rsidP="005E1B60">
      <w:pPr>
        <w:spacing w:line="360" w:lineRule="auto"/>
        <w:rPr>
          <w:sz w:val="24"/>
          <w:szCs w:val="24"/>
        </w:rPr>
      </w:pPr>
      <w:r w:rsidRPr="002F13FC">
        <w:rPr>
          <w:sz w:val="24"/>
          <w:szCs w:val="24"/>
        </w:rPr>
        <w:t xml:space="preserve">Franke, M.L., </w:t>
      </w:r>
      <w:proofErr w:type="spellStart"/>
      <w:r w:rsidRPr="002F13FC">
        <w:rPr>
          <w:sz w:val="24"/>
          <w:szCs w:val="24"/>
        </w:rPr>
        <w:t>Turrou</w:t>
      </w:r>
      <w:proofErr w:type="spellEnd"/>
      <w:r w:rsidRPr="002F13FC">
        <w:rPr>
          <w:sz w:val="24"/>
          <w:szCs w:val="24"/>
        </w:rPr>
        <w:t xml:space="preserve">, A. C., Webb, N.M., Ing, M., Wong, J., Shin, N., and Fernandez, C. (2015) ‘Student Engagement with Others’ Mathematical Ideas: The Role of Teacher Invitation and Support Moves’, </w:t>
      </w:r>
      <w:r w:rsidRPr="002F13FC">
        <w:rPr>
          <w:i/>
          <w:sz w:val="24"/>
          <w:szCs w:val="24"/>
        </w:rPr>
        <w:t>The Elementary School Journal,</w:t>
      </w:r>
      <w:r w:rsidRPr="002F13FC">
        <w:rPr>
          <w:sz w:val="24"/>
          <w:szCs w:val="24"/>
        </w:rPr>
        <w:t xml:space="preserve"> 116, pp.126-148.</w:t>
      </w:r>
    </w:p>
    <w:p w:rsidR="005E1B60" w:rsidRPr="002F13FC" w:rsidRDefault="005E1B60" w:rsidP="005E1B60">
      <w:pPr>
        <w:spacing w:line="360" w:lineRule="auto"/>
        <w:rPr>
          <w:sz w:val="24"/>
          <w:szCs w:val="24"/>
        </w:rPr>
      </w:pPr>
      <w:r w:rsidRPr="002F13FC">
        <w:rPr>
          <w:sz w:val="24"/>
          <w:szCs w:val="24"/>
        </w:rPr>
        <w:lastRenderedPageBreak/>
        <w:t xml:space="preserve">Galton, M.J., Simon, B., and </w:t>
      </w:r>
      <w:proofErr w:type="spellStart"/>
      <w:r w:rsidRPr="002F13FC">
        <w:rPr>
          <w:sz w:val="24"/>
          <w:szCs w:val="24"/>
        </w:rPr>
        <w:t>Croll</w:t>
      </w:r>
      <w:proofErr w:type="spellEnd"/>
      <w:r w:rsidRPr="002F13FC">
        <w:rPr>
          <w:sz w:val="24"/>
          <w:szCs w:val="24"/>
        </w:rPr>
        <w:t xml:space="preserve">, P. (1980) </w:t>
      </w:r>
      <w:r w:rsidRPr="002F13FC">
        <w:rPr>
          <w:i/>
          <w:sz w:val="24"/>
          <w:szCs w:val="24"/>
        </w:rPr>
        <w:t>Inside the Primary Classroom</w:t>
      </w:r>
      <w:r w:rsidRPr="002F13FC">
        <w:rPr>
          <w:sz w:val="24"/>
          <w:szCs w:val="24"/>
        </w:rPr>
        <w:t>. London: Routledge &amp; Kegan Paul.</w:t>
      </w:r>
    </w:p>
    <w:p w:rsidR="005E1B60" w:rsidRDefault="005E1B60" w:rsidP="005E1B60">
      <w:pPr>
        <w:spacing w:line="360" w:lineRule="auto"/>
        <w:rPr>
          <w:rFonts w:eastAsia="Times New Roman" w:cs="Arial"/>
          <w:sz w:val="24"/>
          <w:szCs w:val="24"/>
          <w:lang w:eastAsia="en-GB"/>
        </w:rPr>
      </w:pPr>
      <w:r w:rsidRPr="002F13FC">
        <w:rPr>
          <w:sz w:val="24"/>
          <w:szCs w:val="24"/>
        </w:rPr>
        <w:t xml:space="preserve">Gamoran, A. (2002) </w:t>
      </w:r>
      <w:r w:rsidRPr="002F13FC">
        <w:rPr>
          <w:rFonts w:eastAsia="Times New Roman" w:cs="Arial"/>
          <w:i/>
          <w:sz w:val="24"/>
          <w:szCs w:val="24"/>
          <w:lang w:eastAsia="en-GB"/>
        </w:rPr>
        <w:t xml:space="preserve">Standards, Inequality and Ability Grouping in Schools. </w:t>
      </w:r>
      <w:hyperlink r:id="rId11" w:history="1">
        <w:r w:rsidRPr="002F13FC">
          <w:rPr>
            <w:rStyle w:val="Hyperlink"/>
            <w:rFonts w:eastAsia="Times New Roman" w:cs="Arial"/>
            <w:sz w:val="24"/>
            <w:szCs w:val="24"/>
            <w:lang w:eastAsia="en-GB"/>
          </w:rPr>
          <w:t>http://www.ces.ed.ac.uk/PDF%20Files/Brief025.pdf</w:t>
        </w:r>
      </w:hyperlink>
      <w:r w:rsidRPr="002F13FC">
        <w:rPr>
          <w:rFonts w:eastAsia="Times New Roman" w:cs="Arial"/>
          <w:sz w:val="24"/>
          <w:szCs w:val="24"/>
          <w:lang w:eastAsia="en-GB"/>
        </w:rPr>
        <w:t xml:space="preserve"> (Accessed: 26 February 2019</w:t>
      </w:r>
      <w:r>
        <w:rPr>
          <w:rFonts w:eastAsia="Times New Roman" w:cs="Arial"/>
          <w:sz w:val="24"/>
          <w:szCs w:val="24"/>
          <w:lang w:eastAsia="en-GB"/>
        </w:rPr>
        <w:t>).</w:t>
      </w:r>
    </w:p>
    <w:p w:rsidR="005E1B60" w:rsidRPr="000C53D3" w:rsidRDefault="005E1B60" w:rsidP="005E1B60">
      <w:pPr>
        <w:spacing w:line="360" w:lineRule="auto"/>
        <w:rPr>
          <w:sz w:val="24"/>
          <w:szCs w:val="24"/>
        </w:rPr>
      </w:pPr>
      <w:r w:rsidRPr="002F13FC">
        <w:rPr>
          <w:sz w:val="24"/>
          <w:szCs w:val="24"/>
        </w:rPr>
        <w:t xml:space="preserve">Goetz, T., &amp; </w:t>
      </w:r>
      <w:proofErr w:type="spellStart"/>
      <w:r w:rsidRPr="002F13FC">
        <w:rPr>
          <w:sz w:val="24"/>
          <w:szCs w:val="24"/>
        </w:rPr>
        <w:t>Frenzel</w:t>
      </w:r>
      <w:proofErr w:type="spellEnd"/>
      <w:r w:rsidRPr="002F13FC">
        <w:rPr>
          <w:sz w:val="24"/>
          <w:szCs w:val="24"/>
        </w:rPr>
        <w:t xml:space="preserve">, A. C. (2006) ‘Phenomenology of boredom at school’, </w:t>
      </w:r>
      <w:proofErr w:type="spellStart"/>
      <w:r w:rsidRPr="002F13FC">
        <w:rPr>
          <w:i/>
          <w:sz w:val="24"/>
          <w:szCs w:val="24"/>
        </w:rPr>
        <w:t>Zeitschrift</w:t>
      </w:r>
      <w:proofErr w:type="spellEnd"/>
      <w:r w:rsidRPr="002F13FC">
        <w:rPr>
          <w:i/>
          <w:sz w:val="24"/>
          <w:szCs w:val="24"/>
        </w:rPr>
        <w:t xml:space="preserve"> fur </w:t>
      </w:r>
      <w:proofErr w:type="spellStart"/>
      <w:r w:rsidRPr="002F13FC">
        <w:rPr>
          <w:i/>
          <w:sz w:val="24"/>
          <w:szCs w:val="24"/>
        </w:rPr>
        <w:t>Entwicklungspsychologie</w:t>
      </w:r>
      <w:proofErr w:type="spellEnd"/>
      <w:r w:rsidRPr="002F13FC">
        <w:rPr>
          <w:i/>
          <w:sz w:val="24"/>
          <w:szCs w:val="24"/>
        </w:rPr>
        <w:t xml:space="preserve"> und </w:t>
      </w:r>
      <w:proofErr w:type="spellStart"/>
      <w:r w:rsidRPr="002F13FC">
        <w:rPr>
          <w:i/>
          <w:sz w:val="24"/>
          <w:szCs w:val="24"/>
        </w:rPr>
        <w:t>Pedagogische</w:t>
      </w:r>
      <w:proofErr w:type="spellEnd"/>
      <w:r w:rsidRPr="002F13FC">
        <w:rPr>
          <w:i/>
          <w:sz w:val="24"/>
          <w:szCs w:val="24"/>
        </w:rPr>
        <w:t xml:space="preserve"> </w:t>
      </w:r>
      <w:proofErr w:type="spellStart"/>
      <w:r w:rsidRPr="002F13FC">
        <w:rPr>
          <w:i/>
          <w:sz w:val="24"/>
          <w:szCs w:val="24"/>
        </w:rPr>
        <w:t>Psychologie</w:t>
      </w:r>
      <w:proofErr w:type="spellEnd"/>
      <w:r w:rsidRPr="002F13FC">
        <w:rPr>
          <w:sz w:val="24"/>
          <w:szCs w:val="24"/>
        </w:rPr>
        <w:t>. 38</w:t>
      </w:r>
      <w:r>
        <w:rPr>
          <w:sz w:val="24"/>
          <w:szCs w:val="24"/>
        </w:rPr>
        <w:t>, pp.</w:t>
      </w:r>
      <w:r w:rsidRPr="002F13FC">
        <w:rPr>
          <w:sz w:val="24"/>
          <w:szCs w:val="24"/>
        </w:rPr>
        <w:t>149 153.</w:t>
      </w:r>
    </w:p>
    <w:p w:rsidR="005E1B60" w:rsidRDefault="005E1B60" w:rsidP="005E1B60">
      <w:pPr>
        <w:spacing w:line="360" w:lineRule="auto"/>
        <w:rPr>
          <w:sz w:val="24"/>
          <w:szCs w:val="24"/>
        </w:rPr>
      </w:pPr>
      <w:r w:rsidRPr="002F13FC">
        <w:rPr>
          <w:color w:val="000000"/>
          <w:sz w:val="24"/>
          <w:szCs w:val="24"/>
          <w:shd w:val="clear" w:color="auto" w:fill="FFFFFF"/>
        </w:rPr>
        <w:t xml:space="preserve">Kulik, J.A., and Kulik, C.C. (1992) ‘Meta-analytic findings on grouping programs’, </w:t>
      </w:r>
      <w:r w:rsidRPr="002F13FC">
        <w:rPr>
          <w:i/>
          <w:color w:val="000000"/>
          <w:sz w:val="24"/>
          <w:szCs w:val="24"/>
          <w:shd w:val="clear" w:color="auto" w:fill="FFFFFF"/>
        </w:rPr>
        <w:t>Gifted Child Quarterly</w:t>
      </w:r>
      <w:r w:rsidRPr="002F13FC">
        <w:rPr>
          <w:color w:val="000000"/>
          <w:sz w:val="24"/>
          <w:szCs w:val="24"/>
          <w:shd w:val="clear" w:color="auto" w:fill="FFFFFF"/>
        </w:rPr>
        <w:t>, 36, pp.73-77</w:t>
      </w:r>
    </w:p>
    <w:p w:rsidR="005E1B60" w:rsidRPr="002F13FC" w:rsidRDefault="005E1B60" w:rsidP="005E1B60">
      <w:pPr>
        <w:spacing w:line="360" w:lineRule="auto"/>
        <w:rPr>
          <w:sz w:val="24"/>
          <w:szCs w:val="24"/>
        </w:rPr>
      </w:pPr>
      <w:proofErr w:type="spellStart"/>
      <w:r w:rsidRPr="002F13FC">
        <w:rPr>
          <w:sz w:val="24"/>
          <w:szCs w:val="24"/>
        </w:rPr>
        <w:t>Labaree</w:t>
      </w:r>
      <w:proofErr w:type="spellEnd"/>
      <w:r w:rsidRPr="002F13FC">
        <w:rPr>
          <w:sz w:val="24"/>
          <w:szCs w:val="24"/>
        </w:rPr>
        <w:t xml:space="preserve">, R. (2009). </w:t>
      </w:r>
      <w:r w:rsidRPr="002F13FC">
        <w:rPr>
          <w:i/>
          <w:sz w:val="24"/>
          <w:szCs w:val="24"/>
        </w:rPr>
        <w:t xml:space="preserve">Research Guides: Organizing Your Social Sciences Research Paper: Qualitative Methods. </w:t>
      </w:r>
      <w:hyperlink r:id="rId12" w:history="1">
        <w:r w:rsidRPr="002F13FC">
          <w:rPr>
            <w:rStyle w:val="Hyperlink"/>
            <w:sz w:val="24"/>
            <w:szCs w:val="24"/>
          </w:rPr>
          <w:t>http://libguides.usc.edu/writingguide/qualitative</w:t>
        </w:r>
      </w:hyperlink>
      <w:r w:rsidRPr="002F13FC">
        <w:rPr>
          <w:sz w:val="24"/>
          <w:szCs w:val="24"/>
        </w:rPr>
        <w:t xml:space="preserve"> (Accessed: 26 February 2019).  </w:t>
      </w:r>
    </w:p>
    <w:p w:rsidR="005E1B60" w:rsidRPr="002F13FC" w:rsidRDefault="005E1B60" w:rsidP="005E1B60">
      <w:pPr>
        <w:spacing w:line="360" w:lineRule="auto"/>
        <w:rPr>
          <w:color w:val="000000"/>
          <w:sz w:val="24"/>
          <w:szCs w:val="24"/>
          <w:shd w:val="clear" w:color="auto" w:fill="FFFFFF"/>
        </w:rPr>
      </w:pPr>
      <w:r w:rsidRPr="002F13FC">
        <w:rPr>
          <w:color w:val="000000"/>
          <w:sz w:val="24"/>
          <w:szCs w:val="24"/>
          <w:shd w:val="clear" w:color="auto" w:fill="FFFFFF"/>
        </w:rPr>
        <w:t xml:space="preserve">Larkin, M. J. (2001) ‘Providing support for student independence through scaffolded instruction’, </w:t>
      </w:r>
      <w:r w:rsidRPr="002F13FC">
        <w:rPr>
          <w:i/>
          <w:color w:val="000000"/>
          <w:sz w:val="24"/>
          <w:szCs w:val="24"/>
          <w:shd w:val="clear" w:color="auto" w:fill="FFFFFF"/>
        </w:rPr>
        <w:t>TEACHING Exceptional Children</w:t>
      </w:r>
      <w:r w:rsidRPr="002F13FC">
        <w:rPr>
          <w:color w:val="000000"/>
          <w:sz w:val="24"/>
          <w:szCs w:val="24"/>
          <w:shd w:val="clear" w:color="auto" w:fill="FFFFFF"/>
        </w:rPr>
        <w:t>, 34(1), pp.30-34.</w:t>
      </w:r>
    </w:p>
    <w:p w:rsidR="005E1B60" w:rsidRDefault="005E1B60" w:rsidP="005E1B60">
      <w:pPr>
        <w:spacing w:line="360" w:lineRule="auto"/>
        <w:rPr>
          <w:sz w:val="24"/>
          <w:szCs w:val="24"/>
        </w:rPr>
      </w:pPr>
      <w:proofErr w:type="spellStart"/>
      <w:r w:rsidRPr="002F13FC">
        <w:rPr>
          <w:sz w:val="24"/>
          <w:szCs w:val="24"/>
        </w:rPr>
        <w:t>Legard</w:t>
      </w:r>
      <w:proofErr w:type="spellEnd"/>
      <w:r w:rsidRPr="002F13FC">
        <w:rPr>
          <w:sz w:val="24"/>
          <w:szCs w:val="24"/>
        </w:rPr>
        <w:t xml:space="preserve">, R., Keegan, J., and Ward, K. (2003) </w:t>
      </w:r>
      <w:r w:rsidRPr="002F13FC">
        <w:rPr>
          <w:i/>
          <w:sz w:val="24"/>
          <w:szCs w:val="24"/>
        </w:rPr>
        <w:t>In-depth Interviews.</w:t>
      </w:r>
      <w:r w:rsidRPr="002F13FC">
        <w:rPr>
          <w:sz w:val="24"/>
          <w:szCs w:val="24"/>
        </w:rPr>
        <w:t xml:space="preserve"> London: Sage. </w:t>
      </w:r>
    </w:p>
    <w:p w:rsidR="005E1B60" w:rsidRPr="002F13FC" w:rsidRDefault="005E1B60" w:rsidP="005E1B60">
      <w:pPr>
        <w:spacing w:line="360" w:lineRule="auto"/>
        <w:rPr>
          <w:sz w:val="24"/>
          <w:szCs w:val="24"/>
        </w:rPr>
      </w:pPr>
      <w:r w:rsidRPr="002F13FC">
        <w:rPr>
          <w:sz w:val="24"/>
          <w:szCs w:val="24"/>
        </w:rPr>
        <w:t xml:space="preserve">MacDonald, A. R., </w:t>
      </w:r>
      <w:proofErr w:type="spellStart"/>
      <w:r w:rsidRPr="002F13FC">
        <w:rPr>
          <w:sz w:val="24"/>
          <w:szCs w:val="24"/>
        </w:rPr>
        <w:t>Miell</w:t>
      </w:r>
      <w:proofErr w:type="spellEnd"/>
      <w:r w:rsidRPr="002F13FC">
        <w:rPr>
          <w:sz w:val="24"/>
          <w:szCs w:val="24"/>
        </w:rPr>
        <w:t xml:space="preserve">, D., &amp; Mitchell, L. (2002) ‘An investigation of children’s musical collaborations: The effect of friendship and age’, </w:t>
      </w:r>
      <w:r w:rsidRPr="002F13FC">
        <w:rPr>
          <w:i/>
          <w:sz w:val="24"/>
          <w:szCs w:val="24"/>
        </w:rPr>
        <w:t>Psychology of Music</w:t>
      </w:r>
      <w:r w:rsidRPr="002F13FC">
        <w:rPr>
          <w:sz w:val="24"/>
          <w:szCs w:val="24"/>
        </w:rPr>
        <w:t>, 30, pp.148–163.</w:t>
      </w:r>
    </w:p>
    <w:p w:rsidR="005E1B60" w:rsidRDefault="005E1B60" w:rsidP="005E1B60">
      <w:pPr>
        <w:spacing w:line="360" w:lineRule="auto"/>
        <w:rPr>
          <w:sz w:val="24"/>
          <w:szCs w:val="24"/>
        </w:rPr>
      </w:pPr>
      <w:proofErr w:type="spellStart"/>
      <w:r w:rsidRPr="002F13FC">
        <w:rPr>
          <w:sz w:val="24"/>
          <w:szCs w:val="24"/>
        </w:rPr>
        <w:t>McCambridge</w:t>
      </w:r>
      <w:proofErr w:type="spellEnd"/>
      <w:r w:rsidRPr="002F13FC">
        <w:rPr>
          <w:sz w:val="24"/>
          <w:szCs w:val="24"/>
        </w:rPr>
        <w:t xml:space="preserve">, J., Witton, J., and </w:t>
      </w:r>
      <w:proofErr w:type="spellStart"/>
      <w:r w:rsidRPr="002F13FC">
        <w:rPr>
          <w:sz w:val="24"/>
          <w:szCs w:val="24"/>
        </w:rPr>
        <w:t>Elbourne</w:t>
      </w:r>
      <w:proofErr w:type="spellEnd"/>
      <w:r w:rsidRPr="002F13FC">
        <w:rPr>
          <w:sz w:val="24"/>
          <w:szCs w:val="24"/>
        </w:rPr>
        <w:t xml:space="preserve">, D.R. (2014) ‘Systematic review of the Hawthorne effect: New concepts are needed to study research participation effects’, </w:t>
      </w:r>
      <w:r w:rsidRPr="002F13FC">
        <w:rPr>
          <w:i/>
          <w:sz w:val="24"/>
          <w:szCs w:val="24"/>
        </w:rPr>
        <w:t>Journal of Clinical Epidemiology</w:t>
      </w:r>
      <w:r w:rsidRPr="002F13FC">
        <w:rPr>
          <w:sz w:val="24"/>
          <w:szCs w:val="24"/>
        </w:rPr>
        <w:t xml:space="preserve">, 67(3), pp. 276-277. </w:t>
      </w:r>
    </w:p>
    <w:p w:rsidR="005E1B60" w:rsidRPr="000C53D3" w:rsidRDefault="005E1B60" w:rsidP="005E1B60">
      <w:pPr>
        <w:spacing w:line="360" w:lineRule="auto"/>
        <w:rPr>
          <w:rFonts w:cs="Arial"/>
          <w:color w:val="000000"/>
          <w:sz w:val="24"/>
          <w:szCs w:val="24"/>
          <w:shd w:val="clear" w:color="auto" w:fill="FFFFFF"/>
        </w:rPr>
      </w:pPr>
      <w:r w:rsidRPr="002F13FC">
        <w:rPr>
          <w:rFonts w:cs="Arial"/>
          <w:color w:val="000000"/>
          <w:sz w:val="24"/>
          <w:szCs w:val="24"/>
          <w:shd w:val="clear" w:color="auto" w:fill="FFFFFF"/>
        </w:rPr>
        <w:t>Meggitt, C. (2012). </w:t>
      </w:r>
      <w:r w:rsidRPr="002F13FC">
        <w:rPr>
          <w:rFonts w:cs="Arial"/>
          <w:i/>
          <w:iCs/>
          <w:color w:val="000000"/>
          <w:sz w:val="24"/>
          <w:szCs w:val="24"/>
          <w:shd w:val="clear" w:color="auto" w:fill="FFFFFF"/>
        </w:rPr>
        <w:t>Child development: An Illustrated Guide</w:t>
      </w:r>
      <w:r w:rsidRPr="002F13FC">
        <w:rPr>
          <w:rFonts w:cs="Arial"/>
          <w:color w:val="000000"/>
          <w:sz w:val="24"/>
          <w:szCs w:val="24"/>
          <w:shd w:val="clear" w:color="auto" w:fill="FFFFFF"/>
        </w:rPr>
        <w:t>. Essex: Heinemann.</w:t>
      </w:r>
    </w:p>
    <w:p w:rsidR="005E1B60" w:rsidRPr="002F13FC" w:rsidRDefault="005E1B60" w:rsidP="005E1B60">
      <w:pPr>
        <w:spacing w:line="360" w:lineRule="auto"/>
        <w:rPr>
          <w:sz w:val="24"/>
          <w:szCs w:val="24"/>
        </w:rPr>
      </w:pPr>
      <w:r w:rsidRPr="002F13FC">
        <w:rPr>
          <w:sz w:val="24"/>
          <w:szCs w:val="24"/>
        </w:rPr>
        <w:t xml:space="preserve">Mercer, N. (2000) </w:t>
      </w:r>
      <w:r w:rsidRPr="002F13FC">
        <w:rPr>
          <w:i/>
          <w:sz w:val="24"/>
          <w:szCs w:val="24"/>
        </w:rPr>
        <w:t>Words and minds</w:t>
      </w:r>
      <w:r w:rsidRPr="002F13FC">
        <w:rPr>
          <w:sz w:val="24"/>
          <w:szCs w:val="24"/>
        </w:rPr>
        <w:t>. London: Routledge.</w:t>
      </w:r>
    </w:p>
    <w:p w:rsidR="005E1B60" w:rsidRPr="002F13FC" w:rsidRDefault="005E1B60" w:rsidP="005E1B60">
      <w:pPr>
        <w:spacing w:line="360" w:lineRule="auto"/>
        <w:rPr>
          <w:sz w:val="24"/>
          <w:szCs w:val="24"/>
        </w:rPr>
      </w:pPr>
      <w:proofErr w:type="spellStart"/>
      <w:r w:rsidRPr="002F13FC">
        <w:rPr>
          <w:sz w:val="24"/>
          <w:szCs w:val="24"/>
        </w:rPr>
        <w:t>Miell</w:t>
      </w:r>
      <w:proofErr w:type="spellEnd"/>
      <w:r w:rsidRPr="002F13FC">
        <w:rPr>
          <w:sz w:val="24"/>
          <w:szCs w:val="24"/>
        </w:rPr>
        <w:t xml:space="preserve">, D., &amp; MacDonald, R. (2000) ‘Children’s creative collaborations: The importance of friendship when working together on a music composition’, </w:t>
      </w:r>
      <w:r w:rsidRPr="002F13FC">
        <w:rPr>
          <w:i/>
          <w:sz w:val="24"/>
          <w:szCs w:val="24"/>
        </w:rPr>
        <w:t>Social Development</w:t>
      </w:r>
      <w:r w:rsidRPr="002F13FC">
        <w:rPr>
          <w:sz w:val="24"/>
          <w:szCs w:val="24"/>
        </w:rPr>
        <w:t>, 9(3), pp.348–369.</w:t>
      </w:r>
    </w:p>
    <w:p w:rsidR="005E1B60" w:rsidRPr="002F13FC" w:rsidRDefault="005E1B60" w:rsidP="005E1B60">
      <w:pPr>
        <w:spacing w:line="360" w:lineRule="auto"/>
        <w:rPr>
          <w:sz w:val="24"/>
          <w:szCs w:val="24"/>
        </w:rPr>
      </w:pPr>
      <w:r w:rsidRPr="002F13FC">
        <w:rPr>
          <w:sz w:val="24"/>
          <w:szCs w:val="24"/>
        </w:rPr>
        <w:t xml:space="preserve">Penney, D., and Evans, J. (1997) ‘Naming the Game: Discourse and Domination in Physical Education and Sport in England and Wales’, </w:t>
      </w:r>
      <w:r w:rsidRPr="002F13FC">
        <w:rPr>
          <w:i/>
          <w:sz w:val="24"/>
          <w:szCs w:val="24"/>
        </w:rPr>
        <w:t>European Physical Education Review</w:t>
      </w:r>
      <w:r w:rsidRPr="002F13FC">
        <w:rPr>
          <w:sz w:val="24"/>
          <w:szCs w:val="24"/>
        </w:rPr>
        <w:t>, 3(1), pp.21-32.</w:t>
      </w:r>
    </w:p>
    <w:p w:rsidR="005E1B60" w:rsidRPr="002F13FC" w:rsidRDefault="005E1B60" w:rsidP="005E1B60">
      <w:pPr>
        <w:spacing w:line="360" w:lineRule="auto"/>
        <w:rPr>
          <w:sz w:val="24"/>
          <w:szCs w:val="24"/>
        </w:rPr>
      </w:pPr>
      <w:r w:rsidRPr="002F13FC">
        <w:rPr>
          <w:color w:val="000000"/>
          <w:sz w:val="24"/>
          <w:szCs w:val="24"/>
          <w:shd w:val="clear" w:color="auto" w:fill="FFFFFF"/>
        </w:rPr>
        <w:lastRenderedPageBreak/>
        <w:t>Piaget, J. (1936). </w:t>
      </w:r>
      <w:r w:rsidRPr="002F13FC">
        <w:rPr>
          <w:rStyle w:val="Emphasis"/>
          <w:color w:val="000000"/>
          <w:sz w:val="24"/>
          <w:szCs w:val="24"/>
          <w:shd w:val="clear" w:color="auto" w:fill="FFFFFF"/>
        </w:rPr>
        <w:t>Origins of intelligence in the child.</w:t>
      </w:r>
      <w:r w:rsidRPr="002F13FC">
        <w:rPr>
          <w:color w:val="000000"/>
          <w:sz w:val="24"/>
          <w:szCs w:val="24"/>
          <w:shd w:val="clear" w:color="auto" w:fill="FFFFFF"/>
        </w:rPr>
        <w:t> London: Routledge &amp; Kegan Paul.</w:t>
      </w:r>
    </w:p>
    <w:p w:rsidR="005E1B60" w:rsidRPr="002F13FC" w:rsidRDefault="005E1B60" w:rsidP="005E1B60">
      <w:pPr>
        <w:spacing w:line="360" w:lineRule="auto"/>
        <w:rPr>
          <w:sz w:val="24"/>
          <w:szCs w:val="24"/>
        </w:rPr>
      </w:pPr>
      <w:r w:rsidRPr="002F13FC">
        <w:rPr>
          <w:sz w:val="24"/>
          <w:szCs w:val="24"/>
        </w:rPr>
        <w:t xml:space="preserve">Roberts, J. (2016) ‘The ‘More Capable Peer’: Approaches to Collaborative Learning in a Mixed-Ability Classroom’, </w:t>
      </w:r>
      <w:r w:rsidRPr="002F13FC">
        <w:rPr>
          <w:i/>
          <w:sz w:val="24"/>
          <w:szCs w:val="24"/>
        </w:rPr>
        <w:t>Changing English</w:t>
      </w:r>
      <w:r w:rsidRPr="002F13FC">
        <w:rPr>
          <w:sz w:val="24"/>
          <w:szCs w:val="24"/>
        </w:rPr>
        <w:t xml:space="preserve">, 23(1), pp.42-51. </w:t>
      </w:r>
    </w:p>
    <w:p w:rsidR="005E1B60" w:rsidRPr="002F13FC" w:rsidRDefault="005E1B60" w:rsidP="005E1B60">
      <w:pPr>
        <w:spacing w:line="360" w:lineRule="auto"/>
        <w:rPr>
          <w:sz w:val="24"/>
          <w:szCs w:val="24"/>
        </w:rPr>
      </w:pPr>
      <w:proofErr w:type="spellStart"/>
      <w:r w:rsidRPr="002F13FC">
        <w:rPr>
          <w:sz w:val="24"/>
          <w:szCs w:val="24"/>
        </w:rPr>
        <w:t>Slavin</w:t>
      </w:r>
      <w:proofErr w:type="spellEnd"/>
      <w:r w:rsidRPr="002F13FC">
        <w:rPr>
          <w:sz w:val="24"/>
          <w:szCs w:val="24"/>
        </w:rPr>
        <w:t xml:space="preserve">, R. (1990) ‘Achievement effects of ability grouping in secondary schools: A best evidence synthesis’, </w:t>
      </w:r>
      <w:r w:rsidRPr="002F13FC">
        <w:rPr>
          <w:i/>
          <w:sz w:val="24"/>
          <w:szCs w:val="24"/>
        </w:rPr>
        <w:t>Review of Educational Research,</w:t>
      </w:r>
      <w:r w:rsidRPr="002F13FC">
        <w:rPr>
          <w:sz w:val="24"/>
          <w:szCs w:val="24"/>
        </w:rPr>
        <w:t xml:space="preserve"> 60(3) pp.471–490.</w:t>
      </w:r>
    </w:p>
    <w:p w:rsidR="005E1B60" w:rsidRPr="002F13FC" w:rsidRDefault="005E1B60" w:rsidP="005E1B60">
      <w:pPr>
        <w:spacing w:line="360" w:lineRule="auto"/>
        <w:rPr>
          <w:sz w:val="24"/>
          <w:szCs w:val="24"/>
        </w:rPr>
      </w:pPr>
      <w:proofErr w:type="spellStart"/>
      <w:r w:rsidRPr="002F13FC">
        <w:rPr>
          <w:sz w:val="24"/>
          <w:szCs w:val="24"/>
        </w:rPr>
        <w:t>Slavin</w:t>
      </w:r>
      <w:proofErr w:type="spellEnd"/>
      <w:r w:rsidRPr="002F13FC">
        <w:rPr>
          <w:sz w:val="24"/>
          <w:szCs w:val="24"/>
        </w:rPr>
        <w:t xml:space="preserve">, R. E., Lake, C., and Groff, C. (2009) ‘Effective Programs in Middle and High School Mathematics: A Best-Evidence Synthesis’, </w:t>
      </w:r>
      <w:r w:rsidRPr="002F13FC">
        <w:rPr>
          <w:i/>
          <w:sz w:val="24"/>
          <w:szCs w:val="24"/>
        </w:rPr>
        <w:t>Review of Educational Research</w:t>
      </w:r>
      <w:r w:rsidRPr="002F13FC">
        <w:rPr>
          <w:sz w:val="24"/>
          <w:szCs w:val="24"/>
        </w:rPr>
        <w:t>, 79, pp.839-911.</w:t>
      </w:r>
    </w:p>
    <w:p w:rsidR="005E1B60" w:rsidRPr="002F13FC" w:rsidRDefault="005E1B60" w:rsidP="005E1B60">
      <w:pPr>
        <w:spacing w:line="360" w:lineRule="auto"/>
        <w:rPr>
          <w:sz w:val="24"/>
          <w:szCs w:val="24"/>
        </w:rPr>
      </w:pPr>
      <w:r w:rsidRPr="002F13FC">
        <w:rPr>
          <w:sz w:val="24"/>
          <w:szCs w:val="24"/>
        </w:rPr>
        <w:t xml:space="preserve">UWTSD. (2017) </w:t>
      </w:r>
      <w:r w:rsidRPr="002F13FC">
        <w:rPr>
          <w:i/>
          <w:sz w:val="24"/>
          <w:szCs w:val="24"/>
        </w:rPr>
        <w:t xml:space="preserve">Research Ethics &amp; Integrity Code of Practice. </w:t>
      </w:r>
      <w:hyperlink r:id="rId13" w:history="1">
        <w:r w:rsidRPr="002F13FC">
          <w:rPr>
            <w:rStyle w:val="Hyperlink"/>
            <w:sz w:val="24"/>
            <w:szCs w:val="24"/>
          </w:rPr>
          <w:t>https://www.uwtsd.ac.uk/media/uwtsd-website/content-assets/documents/research/research-ethics-integrity-code-practice.pdf</w:t>
        </w:r>
      </w:hyperlink>
      <w:r w:rsidRPr="002F13FC">
        <w:rPr>
          <w:sz w:val="24"/>
          <w:szCs w:val="24"/>
        </w:rPr>
        <w:t xml:space="preserve"> (Accessed: 29 January 2019). </w:t>
      </w:r>
    </w:p>
    <w:p w:rsidR="005E1B60" w:rsidRPr="002F13FC" w:rsidRDefault="005E1B60" w:rsidP="005E1B60">
      <w:pPr>
        <w:spacing w:line="360" w:lineRule="auto"/>
        <w:rPr>
          <w:sz w:val="24"/>
          <w:szCs w:val="24"/>
        </w:rPr>
      </w:pPr>
      <w:r w:rsidRPr="002F13FC">
        <w:rPr>
          <w:sz w:val="24"/>
          <w:szCs w:val="24"/>
        </w:rPr>
        <w:t xml:space="preserve">Vacca, R.T., Vacca, J.L., &amp; Mraz, M. (2011) </w:t>
      </w:r>
      <w:r w:rsidRPr="002F13FC">
        <w:rPr>
          <w:i/>
          <w:sz w:val="24"/>
          <w:szCs w:val="24"/>
        </w:rPr>
        <w:t>Content area reading: Literacy and learning across the curriculum</w:t>
      </w:r>
      <w:r w:rsidRPr="002F13FC">
        <w:rPr>
          <w:sz w:val="24"/>
          <w:szCs w:val="24"/>
        </w:rPr>
        <w:t xml:space="preserve"> (10th ed.). Boston: Pearson.</w:t>
      </w:r>
    </w:p>
    <w:p w:rsidR="005E1B60" w:rsidRPr="002F13FC" w:rsidRDefault="005E1B60" w:rsidP="005E1B60">
      <w:pPr>
        <w:spacing w:line="360" w:lineRule="auto"/>
        <w:rPr>
          <w:sz w:val="24"/>
          <w:szCs w:val="24"/>
        </w:rPr>
      </w:pPr>
      <w:r w:rsidRPr="002F13FC">
        <w:rPr>
          <w:sz w:val="24"/>
          <w:szCs w:val="24"/>
        </w:rPr>
        <w:t xml:space="preserve">Vygotsky, L.S. (1978) </w:t>
      </w:r>
      <w:r w:rsidRPr="002F13FC">
        <w:rPr>
          <w:i/>
          <w:sz w:val="24"/>
          <w:szCs w:val="24"/>
        </w:rPr>
        <w:t>Mind in Society: The Development of Higher Psychological Processes</w:t>
      </w:r>
      <w:r w:rsidRPr="002F13FC">
        <w:rPr>
          <w:sz w:val="24"/>
          <w:szCs w:val="24"/>
        </w:rPr>
        <w:t>. Cambridge, MA: Harvard University Press.</w:t>
      </w:r>
    </w:p>
    <w:p w:rsidR="005E1B60" w:rsidRPr="002F13FC" w:rsidRDefault="005E1B60" w:rsidP="005E1B60">
      <w:pPr>
        <w:spacing w:line="360" w:lineRule="auto"/>
        <w:rPr>
          <w:sz w:val="24"/>
          <w:szCs w:val="24"/>
        </w:rPr>
      </w:pPr>
      <w:r w:rsidRPr="002F13FC">
        <w:rPr>
          <w:sz w:val="24"/>
          <w:szCs w:val="24"/>
        </w:rPr>
        <w:t xml:space="preserve">Wilson, E. (2009) </w:t>
      </w:r>
      <w:r w:rsidRPr="002F13FC">
        <w:rPr>
          <w:i/>
          <w:sz w:val="24"/>
          <w:szCs w:val="24"/>
        </w:rPr>
        <w:t>School-based Research. A guide for educational students</w:t>
      </w:r>
      <w:r w:rsidRPr="002F13FC">
        <w:rPr>
          <w:sz w:val="24"/>
          <w:szCs w:val="24"/>
        </w:rPr>
        <w:t>. London: SAGE.</w:t>
      </w:r>
    </w:p>
    <w:p w:rsidR="005E1B60" w:rsidRPr="002F13FC" w:rsidRDefault="005E1B60" w:rsidP="005E1B60">
      <w:pPr>
        <w:spacing w:line="360" w:lineRule="auto"/>
        <w:rPr>
          <w:rFonts w:cstheme="minorHAnsi"/>
          <w:sz w:val="24"/>
          <w:szCs w:val="24"/>
        </w:rPr>
      </w:pPr>
      <w:r w:rsidRPr="002F13FC">
        <w:rPr>
          <w:rFonts w:cstheme="minorHAnsi"/>
          <w:sz w:val="24"/>
          <w:szCs w:val="24"/>
        </w:rPr>
        <w:t xml:space="preserve">Wood, P., and Smith, J. (2016) </w:t>
      </w:r>
      <w:r w:rsidRPr="002F13FC">
        <w:rPr>
          <w:rFonts w:cstheme="minorHAnsi"/>
          <w:i/>
          <w:sz w:val="24"/>
          <w:szCs w:val="24"/>
        </w:rPr>
        <w:t>Education Research, taking the plunge.</w:t>
      </w:r>
      <w:r w:rsidRPr="002F13FC">
        <w:rPr>
          <w:rFonts w:cstheme="minorHAnsi"/>
          <w:sz w:val="24"/>
          <w:szCs w:val="24"/>
        </w:rPr>
        <w:t xml:space="preserve"> </w:t>
      </w:r>
      <w:r w:rsidRPr="002F13FC">
        <w:rPr>
          <w:rFonts w:cstheme="minorHAnsi"/>
          <w:sz w:val="24"/>
          <w:szCs w:val="24"/>
          <w:shd w:val="clear" w:color="auto" w:fill="FFFFFF"/>
        </w:rPr>
        <w:t xml:space="preserve">Carmarthen: </w:t>
      </w:r>
      <w:r w:rsidRPr="002F13FC">
        <w:rPr>
          <w:rFonts w:cstheme="minorHAnsi"/>
          <w:sz w:val="24"/>
          <w:szCs w:val="24"/>
        </w:rPr>
        <w:t>Independent thinking press.</w:t>
      </w:r>
    </w:p>
    <w:p w:rsidR="005E1B60" w:rsidRPr="004E142B" w:rsidRDefault="005E1B60" w:rsidP="004E142B">
      <w:pPr>
        <w:spacing w:line="360" w:lineRule="auto"/>
        <w:rPr>
          <w:sz w:val="24"/>
          <w:szCs w:val="24"/>
        </w:rPr>
      </w:pPr>
    </w:p>
    <w:sectPr w:rsidR="005E1B60" w:rsidRPr="004E142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E03" w:rsidRDefault="00BF6E03" w:rsidP="006D6BF3">
      <w:pPr>
        <w:spacing w:after="0" w:line="240" w:lineRule="auto"/>
      </w:pPr>
      <w:r>
        <w:separator/>
      </w:r>
    </w:p>
  </w:endnote>
  <w:endnote w:type="continuationSeparator" w:id="0">
    <w:p w:rsidR="00BF6E03" w:rsidRDefault="00BF6E03" w:rsidP="006D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064428"/>
      <w:docPartObj>
        <w:docPartGallery w:val="Page Numbers (Bottom of Page)"/>
        <w:docPartUnique/>
      </w:docPartObj>
    </w:sdtPr>
    <w:sdtEndPr>
      <w:rPr>
        <w:noProof/>
      </w:rPr>
    </w:sdtEndPr>
    <w:sdtContent>
      <w:p w:rsidR="00665567" w:rsidRDefault="006655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65567" w:rsidRDefault="00665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E03" w:rsidRDefault="00BF6E03" w:rsidP="006D6BF3">
      <w:pPr>
        <w:spacing w:after="0" w:line="240" w:lineRule="auto"/>
      </w:pPr>
      <w:r>
        <w:separator/>
      </w:r>
    </w:p>
  </w:footnote>
  <w:footnote w:type="continuationSeparator" w:id="0">
    <w:p w:rsidR="00BF6E03" w:rsidRDefault="00BF6E03" w:rsidP="006D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BF3" w:rsidRDefault="006D6BF3">
    <w:pPr>
      <w:pStyle w:val="Header"/>
    </w:pPr>
    <w:r>
      <w:t>P139798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AC3"/>
    <w:rsid w:val="000123F6"/>
    <w:rsid w:val="000128B7"/>
    <w:rsid w:val="00027098"/>
    <w:rsid w:val="00031684"/>
    <w:rsid w:val="00047926"/>
    <w:rsid w:val="0005666A"/>
    <w:rsid w:val="00071384"/>
    <w:rsid w:val="000734A4"/>
    <w:rsid w:val="00091BF8"/>
    <w:rsid w:val="00096628"/>
    <w:rsid w:val="000B502F"/>
    <w:rsid w:val="000D7F9D"/>
    <w:rsid w:val="000E157D"/>
    <w:rsid w:val="000E4452"/>
    <w:rsid w:val="000F14AD"/>
    <w:rsid w:val="0010358A"/>
    <w:rsid w:val="00130AE6"/>
    <w:rsid w:val="001347D2"/>
    <w:rsid w:val="0013516A"/>
    <w:rsid w:val="00136AC7"/>
    <w:rsid w:val="00145447"/>
    <w:rsid w:val="00145F00"/>
    <w:rsid w:val="00152424"/>
    <w:rsid w:val="00157C25"/>
    <w:rsid w:val="00160D0A"/>
    <w:rsid w:val="00166CFF"/>
    <w:rsid w:val="001746C4"/>
    <w:rsid w:val="001A29FA"/>
    <w:rsid w:val="001A6592"/>
    <w:rsid w:val="001B35D3"/>
    <w:rsid w:val="001C7F48"/>
    <w:rsid w:val="001E516B"/>
    <w:rsid w:val="001E7148"/>
    <w:rsid w:val="001F3B1A"/>
    <w:rsid w:val="00207A2B"/>
    <w:rsid w:val="00213C6F"/>
    <w:rsid w:val="002274CE"/>
    <w:rsid w:val="002313CA"/>
    <w:rsid w:val="00244B1F"/>
    <w:rsid w:val="00266703"/>
    <w:rsid w:val="0029305D"/>
    <w:rsid w:val="002A2E47"/>
    <w:rsid w:val="002B47FF"/>
    <w:rsid w:val="002C3C75"/>
    <w:rsid w:val="002C7C17"/>
    <w:rsid w:val="002D3FEA"/>
    <w:rsid w:val="0030744C"/>
    <w:rsid w:val="00343D5A"/>
    <w:rsid w:val="0037254D"/>
    <w:rsid w:val="00385790"/>
    <w:rsid w:val="003A6848"/>
    <w:rsid w:val="003C0883"/>
    <w:rsid w:val="003C0C22"/>
    <w:rsid w:val="003C4863"/>
    <w:rsid w:val="003D24CF"/>
    <w:rsid w:val="003E0157"/>
    <w:rsid w:val="003E0186"/>
    <w:rsid w:val="003E1B9C"/>
    <w:rsid w:val="003E64BA"/>
    <w:rsid w:val="00403E16"/>
    <w:rsid w:val="004131B7"/>
    <w:rsid w:val="0041579E"/>
    <w:rsid w:val="004648AE"/>
    <w:rsid w:val="00464948"/>
    <w:rsid w:val="0047299A"/>
    <w:rsid w:val="00475AD3"/>
    <w:rsid w:val="004823C1"/>
    <w:rsid w:val="00483B28"/>
    <w:rsid w:val="004E142B"/>
    <w:rsid w:val="004F56A4"/>
    <w:rsid w:val="00502F74"/>
    <w:rsid w:val="0050450E"/>
    <w:rsid w:val="0051010B"/>
    <w:rsid w:val="0051064C"/>
    <w:rsid w:val="00512930"/>
    <w:rsid w:val="005242E5"/>
    <w:rsid w:val="005347E7"/>
    <w:rsid w:val="005366FB"/>
    <w:rsid w:val="00536F86"/>
    <w:rsid w:val="005505E4"/>
    <w:rsid w:val="005526FC"/>
    <w:rsid w:val="00563937"/>
    <w:rsid w:val="00564CEB"/>
    <w:rsid w:val="00570CC1"/>
    <w:rsid w:val="00570DE7"/>
    <w:rsid w:val="00571D65"/>
    <w:rsid w:val="005731E6"/>
    <w:rsid w:val="00575569"/>
    <w:rsid w:val="005762BD"/>
    <w:rsid w:val="005959B2"/>
    <w:rsid w:val="005A07E3"/>
    <w:rsid w:val="005A2298"/>
    <w:rsid w:val="005D2147"/>
    <w:rsid w:val="005E1B60"/>
    <w:rsid w:val="005E5B0B"/>
    <w:rsid w:val="00607800"/>
    <w:rsid w:val="00611395"/>
    <w:rsid w:val="00617F5A"/>
    <w:rsid w:val="006238A0"/>
    <w:rsid w:val="00636492"/>
    <w:rsid w:val="0063654F"/>
    <w:rsid w:val="00642960"/>
    <w:rsid w:val="0065414A"/>
    <w:rsid w:val="00656144"/>
    <w:rsid w:val="0066284F"/>
    <w:rsid w:val="00665567"/>
    <w:rsid w:val="00684ABC"/>
    <w:rsid w:val="00690214"/>
    <w:rsid w:val="00696D6F"/>
    <w:rsid w:val="006B21C8"/>
    <w:rsid w:val="006B4CC6"/>
    <w:rsid w:val="006B50C0"/>
    <w:rsid w:val="006C2EB2"/>
    <w:rsid w:val="006D6BF3"/>
    <w:rsid w:val="006D7DA9"/>
    <w:rsid w:val="006E04AB"/>
    <w:rsid w:val="006E5742"/>
    <w:rsid w:val="00701752"/>
    <w:rsid w:val="007136E4"/>
    <w:rsid w:val="00716E23"/>
    <w:rsid w:val="00722B6A"/>
    <w:rsid w:val="00731BD9"/>
    <w:rsid w:val="00733217"/>
    <w:rsid w:val="0075307E"/>
    <w:rsid w:val="0076366C"/>
    <w:rsid w:val="00774BF9"/>
    <w:rsid w:val="007769D1"/>
    <w:rsid w:val="00787463"/>
    <w:rsid w:val="007965EF"/>
    <w:rsid w:val="007C0574"/>
    <w:rsid w:val="007C1317"/>
    <w:rsid w:val="007E2B3B"/>
    <w:rsid w:val="007E57B4"/>
    <w:rsid w:val="0081282D"/>
    <w:rsid w:val="0081343B"/>
    <w:rsid w:val="008172BF"/>
    <w:rsid w:val="00825D3A"/>
    <w:rsid w:val="008319B4"/>
    <w:rsid w:val="0083666B"/>
    <w:rsid w:val="00846B24"/>
    <w:rsid w:val="00851DBC"/>
    <w:rsid w:val="00880D95"/>
    <w:rsid w:val="00891418"/>
    <w:rsid w:val="008A3F59"/>
    <w:rsid w:val="008B0E70"/>
    <w:rsid w:val="008B4304"/>
    <w:rsid w:val="008B5CC8"/>
    <w:rsid w:val="008D255C"/>
    <w:rsid w:val="008D2D93"/>
    <w:rsid w:val="008E68F9"/>
    <w:rsid w:val="008E7CEF"/>
    <w:rsid w:val="00900E90"/>
    <w:rsid w:val="009139DD"/>
    <w:rsid w:val="0091613B"/>
    <w:rsid w:val="0091680A"/>
    <w:rsid w:val="00917FC7"/>
    <w:rsid w:val="0092625A"/>
    <w:rsid w:val="00932532"/>
    <w:rsid w:val="00943ED3"/>
    <w:rsid w:val="009453C7"/>
    <w:rsid w:val="0095297D"/>
    <w:rsid w:val="009648C9"/>
    <w:rsid w:val="0098475E"/>
    <w:rsid w:val="009866C2"/>
    <w:rsid w:val="00987ADC"/>
    <w:rsid w:val="009916F7"/>
    <w:rsid w:val="009A7B77"/>
    <w:rsid w:val="009B0B8F"/>
    <w:rsid w:val="009B2BD7"/>
    <w:rsid w:val="009B79D7"/>
    <w:rsid w:val="009D3FC7"/>
    <w:rsid w:val="009E5FDD"/>
    <w:rsid w:val="00A01784"/>
    <w:rsid w:val="00A0275C"/>
    <w:rsid w:val="00A15506"/>
    <w:rsid w:val="00A16A51"/>
    <w:rsid w:val="00A235C0"/>
    <w:rsid w:val="00A30F25"/>
    <w:rsid w:val="00A331C2"/>
    <w:rsid w:val="00A54F63"/>
    <w:rsid w:val="00A6152C"/>
    <w:rsid w:val="00A64E59"/>
    <w:rsid w:val="00A667E2"/>
    <w:rsid w:val="00A67E11"/>
    <w:rsid w:val="00A8225A"/>
    <w:rsid w:val="00A90DF1"/>
    <w:rsid w:val="00AA1CE3"/>
    <w:rsid w:val="00AA6379"/>
    <w:rsid w:val="00AA6444"/>
    <w:rsid w:val="00AA6C42"/>
    <w:rsid w:val="00AC2406"/>
    <w:rsid w:val="00AF3859"/>
    <w:rsid w:val="00B064CA"/>
    <w:rsid w:val="00B109AD"/>
    <w:rsid w:val="00B2005B"/>
    <w:rsid w:val="00B21256"/>
    <w:rsid w:val="00B3270E"/>
    <w:rsid w:val="00B331A4"/>
    <w:rsid w:val="00B4133A"/>
    <w:rsid w:val="00B80CF7"/>
    <w:rsid w:val="00BA24CA"/>
    <w:rsid w:val="00BC0351"/>
    <w:rsid w:val="00BC1286"/>
    <w:rsid w:val="00BC6016"/>
    <w:rsid w:val="00BD59E1"/>
    <w:rsid w:val="00BE0331"/>
    <w:rsid w:val="00BF6E03"/>
    <w:rsid w:val="00BF76FE"/>
    <w:rsid w:val="00C07701"/>
    <w:rsid w:val="00C108B7"/>
    <w:rsid w:val="00C2248E"/>
    <w:rsid w:val="00C26A7C"/>
    <w:rsid w:val="00C307D5"/>
    <w:rsid w:val="00C31B4D"/>
    <w:rsid w:val="00C5244F"/>
    <w:rsid w:val="00C57FA0"/>
    <w:rsid w:val="00C7253B"/>
    <w:rsid w:val="00C86154"/>
    <w:rsid w:val="00C86A1D"/>
    <w:rsid w:val="00C9549C"/>
    <w:rsid w:val="00C95C6D"/>
    <w:rsid w:val="00CB5936"/>
    <w:rsid w:val="00CC2543"/>
    <w:rsid w:val="00CC7851"/>
    <w:rsid w:val="00CE0EC1"/>
    <w:rsid w:val="00CE161E"/>
    <w:rsid w:val="00CE46E9"/>
    <w:rsid w:val="00CF4BF7"/>
    <w:rsid w:val="00CF5528"/>
    <w:rsid w:val="00D03C7C"/>
    <w:rsid w:val="00D20C30"/>
    <w:rsid w:val="00D23B03"/>
    <w:rsid w:val="00D24D67"/>
    <w:rsid w:val="00D4130F"/>
    <w:rsid w:val="00D57132"/>
    <w:rsid w:val="00D62822"/>
    <w:rsid w:val="00D74606"/>
    <w:rsid w:val="00D81FED"/>
    <w:rsid w:val="00D831F2"/>
    <w:rsid w:val="00D84F49"/>
    <w:rsid w:val="00D96FD8"/>
    <w:rsid w:val="00DA47BB"/>
    <w:rsid w:val="00DC1279"/>
    <w:rsid w:val="00DC6957"/>
    <w:rsid w:val="00DD09B1"/>
    <w:rsid w:val="00DD30C0"/>
    <w:rsid w:val="00DE42A1"/>
    <w:rsid w:val="00DE6710"/>
    <w:rsid w:val="00E01FE5"/>
    <w:rsid w:val="00E119EC"/>
    <w:rsid w:val="00E14050"/>
    <w:rsid w:val="00E15A6A"/>
    <w:rsid w:val="00E17F35"/>
    <w:rsid w:val="00E20F0F"/>
    <w:rsid w:val="00E22A5D"/>
    <w:rsid w:val="00E34271"/>
    <w:rsid w:val="00E37DED"/>
    <w:rsid w:val="00E445F5"/>
    <w:rsid w:val="00E647E5"/>
    <w:rsid w:val="00E8547E"/>
    <w:rsid w:val="00E93442"/>
    <w:rsid w:val="00E93AC3"/>
    <w:rsid w:val="00E9409F"/>
    <w:rsid w:val="00EB0ED8"/>
    <w:rsid w:val="00EB4C92"/>
    <w:rsid w:val="00EC736E"/>
    <w:rsid w:val="00ED03FE"/>
    <w:rsid w:val="00ED1078"/>
    <w:rsid w:val="00ED69AE"/>
    <w:rsid w:val="00ED74D1"/>
    <w:rsid w:val="00F02C64"/>
    <w:rsid w:val="00F04D1A"/>
    <w:rsid w:val="00F15D4B"/>
    <w:rsid w:val="00F2217E"/>
    <w:rsid w:val="00F24685"/>
    <w:rsid w:val="00F35000"/>
    <w:rsid w:val="00F35CB5"/>
    <w:rsid w:val="00F4521E"/>
    <w:rsid w:val="00F4576F"/>
    <w:rsid w:val="00F50FA8"/>
    <w:rsid w:val="00F6220E"/>
    <w:rsid w:val="00F74CA8"/>
    <w:rsid w:val="00F74CD8"/>
    <w:rsid w:val="00F80077"/>
    <w:rsid w:val="00F81A6E"/>
    <w:rsid w:val="00F87E29"/>
    <w:rsid w:val="00F94F1F"/>
    <w:rsid w:val="00F96CD9"/>
    <w:rsid w:val="00F9717A"/>
    <w:rsid w:val="00FA1D63"/>
    <w:rsid w:val="00FA2CAE"/>
    <w:rsid w:val="00FB229A"/>
    <w:rsid w:val="00FB6B15"/>
    <w:rsid w:val="00FC74FD"/>
    <w:rsid w:val="00FE2125"/>
    <w:rsid w:val="00FE48F0"/>
    <w:rsid w:val="00FE528F"/>
    <w:rsid w:val="00FF6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E69AF"/>
  <w15:chartTrackingRefBased/>
  <w15:docId w15:val="{0D8E3DE1-3BAE-47D8-AF0B-ACBB1770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FE5"/>
    <w:pPr>
      <w:keepNext/>
      <w:keepLines/>
      <w:spacing w:before="240" w:after="0"/>
      <w:outlineLvl w:val="0"/>
    </w:pPr>
    <w:rPr>
      <w:rFonts w:eastAsiaTheme="majorEastAsia" w:cstheme="majorBidi"/>
      <w:b/>
      <w:sz w:val="24"/>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6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BF3"/>
  </w:style>
  <w:style w:type="paragraph" w:styleId="Footer">
    <w:name w:val="footer"/>
    <w:basedOn w:val="Normal"/>
    <w:link w:val="FooterChar"/>
    <w:uiPriority w:val="99"/>
    <w:unhideWhenUsed/>
    <w:rsid w:val="006D6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BF3"/>
  </w:style>
  <w:style w:type="character" w:styleId="Hyperlink">
    <w:name w:val="Hyperlink"/>
    <w:basedOn w:val="DefaultParagraphFont"/>
    <w:uiPriority w:val="99"/>
    <w:unhideWhenUsed/>
    <w:rsid w:val="005E1B60"/>
    <w:rPr>
      <w:color w:val="0563C1" w:themeColor="hyperlink"/>
      <w:u w:val="single"/>
    </w:rPr>
  </w:style>
  <w:style w:type="character" w:styleId="Emphasis">
    <w:name w:val="Emphasis"/>
    <w:basedOn w:val="DefaultParagraphFont"/>
    <w:uiPriority w:val="20"/>
    <w:qFormat/>
    <w:rsid w:val="005E1B60"/>
    <w:rPr>
      <w:i/>
      <w:iCs/>
    </w:rPr>
  </w:style>
  <w:style w:type="character" w:customStyle="1" w:styleId="Heading1Char">
    <w:name w:val="Heading 1 Char"/>
    <w:basedOn w:val="DefaultParagraphFont"/>
    <w:link w:val="Heading1"/>
    <w:uiPriority w:val="9"/>
    <w:rsid w:val="00E01FE5"/>
    <w:rPr>
      <w:rFonts w:eastAsiaTheme="majorEastAsia" w:cstheme="majorBidi"/>
      <w:b/>
      <w:sz w:val="24"/>
      <w:szCs w:val="32"/>
      <w:u w:val="single"/>
    </w:rPr>
  </w:style>
  <w:style w:type="paragraph" w:styleId="TOCHeading">
    <w:name w:val="TOC Heading"/>
    <w:basedOn w:val="Heading1"/>
    <w:next w:val="Normal"/>
    <w:uiPriority w:val="39"/>
    <w:unhideWhenUsed/>
    <w:qFormat/>
    <w:rsid w:val="00696D6F"/>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696D6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924246">
      <w:bodyDiv w:val="1"/>
      <w:marLeft w:val="0"/>
      <w:marRight w:val="0"/>
      <w:marTop w:val="0"/>
      <w:marBottom w:val="0"/>
      <w:divBdr>
        <w:top w:val="none" w:sz="0" w:space="0" w:color="auto"/>
        <w:left w:val="none" w:sz="0" w:space="0" w:color="auto"/>
        <w:bottom w:val="none" w:sz="0" w:space="0" w:color="auto"/>
        <w:right w:val="none" w:sz="0" w:space="0" w:color="auto"/>
      </w:divBdr>
    </w:div>
    <w:div w:id="204960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ssonstudy.co.uk/lesson-study-a-handbook/" TargetMode="External"/><Relationship Id="rId13"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ettings" Target="settings.xml"/><Relationship Id="rId7" Type="http://schemas.openxmlformats.org/officeDocument/2006/relationships/hyperlink" Target="http://www.legislation.gov.uk/ukpga/2018/12/pdfs/ukpga_20180012_en.pdf" TargetMode="External"/><Relationship Id="rId12" Type="http://schemas.openxmlformats.org/officeDocument/2006/relationships/hyperlink" Target="http://libguides.usc.edu/writingguide/qualitativ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es.ed.ac.uk/PDF%20Files/Brief025.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wc.wales/site/index.php/en/about/ewc-news/item/75-research-ethics.html" TargetMode="External"/><Relationship Id="rId4" Type="http://schemas.openxmlformats.org/officeDocument/2006/relationships/webSettings" Target="webSettings.xml"/><Relationship Id="rId9" Type="http://schemas.openxmlformats.org/officeDocument/2006/relationships/hyperlink" Target="https://educationendowmentfoundation.org.uk/projects-and-evaluation/projects/lesson-stud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CD16F-0B60-4649-9D77-4FAA40FD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2579</TotalTime>
  <Pages>22</Pages>
  <Words>7468</Words>
  <Characters>42573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Walstow</dc:creator>
  <cp:keywords/>
  <dc:description/>
  <cp:lastModifiedBy>Bradley Walstow</cp:lastModifiedBy>
  <cp:revision>167</cp:revision>
  <dcterms:created xsi:type="dcterms:W3CDTF">2019-02-27T10:26:00Z</dcterms:created>
  <dcterms:modified xsi:type="dcterms:W3CDTF">2019-03-04T14:30:00Z</dcterms:modified>
</cp:coreProperties>
</file>