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C22F4" w14:textId="77777777" w:rsidR="00BD3B37" w:rsidRPr="00A1779B" w:rsidRDefault="00BD3B37" w:rsidP="00A1779B">
      <w:pPr>
        <w:spacing w:line="360" w:lineRule="auto"/>
        <w:ind w:firstLine="720"/>
        <w:jc w:val="both"/>
        <w:rPr>
          <w:rFonts w:ascii="Arial" w:hAnsi="Arial" w:cs="Arial"/>
          <w:sz w:val="24"/>
          <w:szCs w:val="24"/>
        </w:rPr>
      </w:pPr>
    </w:p>
    <w:p w14:paraId="12459D5F" w14:textId="77777777" w:rsidR="00EE7C74" w:rsidRPr="00A1779B" w:rsidRDefault="00EE7C74" w:rsidP="00A1779B">
      <w:pPr>
        <w:spacing w:line="360" w:lineRule="auto"/>
        <w:ind w:firstLine="720"/>
        <w:jc w:val="both"/>
        <w:rPr>
          <w:rFonts w:ascii="Arial" w:hAnsi="Arial" w:cs="Arial"/>
          <w:sz w:val="24"/>
          <w:szCs w:val="24"/>
        </w:rPr>
      </w:pPr>
    </w:p>
    <w:p w14:paraId="13B2F7DE" w14:textId="77777777" w:rsidR="00EE7C74" w:rsidRPr="00A1779B" w:rsidRDefault="00EE7C74" w:rsidP="00A1779B">
      <w:pPr>
        <w:spacing w:line="360" w:lineRule="auto"/>
        <w:ind w:firstLine="720"/>
        <w:jc w:val="both"/>
        <w:rPr>
          <w:rFonts w:ascii="Arial" w:hAnsi="Arial" w:cs="Arial"/>
          <w:sz w:val="24"/>
          <w:szCs w:val="24"/>
        </w:rPr>
      </w:pPr>
    </w:p>
    <w:p w14:paraId="53DBB585" w14:textId="77777777" w:rsidR="00EE7C74" w:rsidRPr="00A1779B" w:rsidRDefault="00EE7C74" w:rsidP="00A1779B">
      <w:pPr>
        <w:spacing w:line="360" w:lineRule="auto"/>
        <w:ind w:firstLine="720"/>
        <w:jc w:val="both"/>
        <w:rPr>
          <w:rFonts w:ascii="Arial" w:hAnsi="Arial" w:cs="Arial"/>
          <w:sz w:val="24"/>
          <w:szCs w:val="24"/>
        </w:rPr>
      </w:pPr>
    </w:p>
    <w:p w14:paraId="2ECFA029" w14:textId="77777777" w:rsidR="00EE7C74" w:rsidRPr="00A1779B" w:rsidRDefault="00EE7C74" w:rsidP="00A1779B">
      <w:pPr>
        <w:spacing w:line="360" w:lineRule="auto"/>
        <w:ind w:firstLine="720"/>
        <w:jc w:val="both"/>
        <w:rPr>
          <w:rFonts w:ascii="Arial" w:hAnsi="Arial" w:cs="Arial"/>
          <w:sz w:val="24"/>
          <w:szCs w:val="24"/>
        </w:rPr>
      </w:pPr>
    </w:p>
    <w:p w14:paraId="6E400D7F" w14:textId="77777777" w:rsidR="00EE7C74" w:rsidRDefault="00EE7C74" w:rsidP="00A1779B">
      <w:pPr>
        <w:spacing w:line="360" w:lineRule="auto"/>
        <w:ind w:firstLine="720"/>
        <w:jc w:val="both"/>
        <w:rPr>
          <w:rFonts w:ascii="Arial" w:hAnsi="Arial" w:cs="Arial"/>
          <w:sz w:val="24"/>
          <w:szCs w:val="24"/>
        </w:rPr>
      </w:pPr>
    </w:p>
    <w:p w14:paraId="2A52C1B7" w14:textId="77777777" w:rsidR="00A1779B" w:rsidRDefault="00A1779B" w:rsidP="00A1779B">
      <w:pPr>
        <w:spacing w:line="360" w:lineRule="auto"/>
        <w:ind w:firstLine="720"/>
        <w:jc w:val="both"/>
        <w:rPr>
          <w:rFonts w:ascii="Arial" w:hAnsi="Arial" w:cs="Arial"/>
          <w:sz w:val="24"/>
          <w:szCs w:val="24"/>
        </w:rPr>
      </w:pPr>
    </w:p>
    <w:p w14:paraId="43DE57A1" w14:textId="77777777" w:rsidR="00A1779B" w:rsidRPr="00A1779B" w:rsidRDefault="00A1779B" w:rsidP="00A1779B">
      <w:pPr>
        <w:spacing w:line="360" w:lineRule="auto"/>
        <w:ind w:firstLine="720"/>
        <w:jc w:val="both"/>
        <w:rPr>
          <w:rFonts w:ascii="Arial" w:hAnsi="Arial" w:cs="Arial"/>
          <w:sz w:val="24"/>
          <w:szCs w:val="24"/>
        </w:rPr>
      </w:pPr>
    </w:p>
    <w:p w14:paraId="519F1958" w14:textId="77777777" w:rsidR="008F4C61" w:rsidRPr="008F4C61" w:rsidRDefault="008F4C61" w:rsidP="008F4C61">
      <w:pPr>
        <w:spacing w:line="360" w:lineRule="auto"/>
        <w:ind w:firstLine="720"/>
        <w:jc w:val="center"/>
        <w:rPr>
          <w:rFonts w:ascii="Arial" w:hAnsi="Arial" w:cs="Arial"/>
          <w:sz w:val="32"/>
          <w:szCs w:val="32"/>
        </w:rPr>
      </w:pPr>
      <w:r w:rsidRPr="008F4C61">
        <w:rPr>
          <w:rFonts w:ascii="Arial" w:hAnsi="Arial" w:cs="Arial"/>
          <w:b/>
          <w:bCs/>
          <w:sz w:val="32"/>
          <w:szCs w:val="32"/>
        </w:rPr>
        <w:t xml:space="preserve">Student’s </w:t>
      </w:r>
      <w:proofErr w:type="gramStart"/>
      <w:r w:rsidRPr="008F4C61">
        <w:rPr>
          <w:rFonts w:ascii="Arial" w:hAnsi="Arial" w:cs="Arial"/>
          <w:b/>
          <w:bCs/>
          <w:sz w:val="32"/>
          <w:szCs w:val="32"/>
        </w:rPr>
        <w:t>name :</w:t>
      </w:r>
      <w:proofErr w:type="gramEnd"/>
    </w:p>
    <w:p w14:paraId="5F9C1E0F" w14:textId="77777777" w:rsidR="008F4C61" w:rsidRPr="008F4C61" w:rsidRDefault="008F4C61" w:rsidP="008F4C61">
      <w:pPr>
        <w:spacing w:line="360" w:lineRule="auto"/>
        <w:ind w:firstLine="720"/>
        <w:jc w:val="center"/>
        <w:rPr>
          <w:rFonts w:ascii="Arial" w:hAnsi="Arial" w:cs="Arial"/>
          <w:sz w:val="32"/>
          <w:szCs w:val="32"/>
        </w:rPr>
      </w:pPr>
      <w:r w:rsidRPr="008F4C61">
        <w:rPr>
          <w:rFonts w:ascii="Arial" w:hAnsi="Arial" w:cs="Arial"/>
          <w:sz w:val="32"/>
          <w:szCs w:val="32"/>
        </w:rPr>
        <w:t>Alexandru Lucian Calin</w:t>
      </w:r>
    </w:p>
    <w:p w14:paraId="0339FE2B" w14:textId="53E74351" w:rsidR="008F4C61" w:rsidRPr="008F4C61" w:rsidRDefault="008F4C61" w:rsidP="008F4C61">
      <w:pPr>
        <w:spacing w:line="360" w:lineRule="auto"/>
        <w:ind w:firstLine="720"/>
        <w:jc w:val="center"/>
        <w:rPr>
          <w:rFonts w:ascii="Arial" w:hAnsi="Arial" w:cs="Arial"/>
          <w:sz w:val="32"/>
          <w:szCs w:val="32"/>
        </w:rPr>
      </w:pPr>
      <w:r w:rsidRPr="008F4C61">
        <w:rPr>
          <w:rFonts w:ascii="Arial" w:hAnsi="Arial" w:cs="Arial"/>
          <w:sz w:val="32"/>
          <w:szCs w:val="32"/>
        </w:rPr>
        <w:t>Student’s ID Number 2121885</w:t>
      </w:r>
    </w:p>
    <w:p w14:paraId="6A0E54B6" w14:textId="77777777" w:rsidR="008F4C61" w:rsidRPr="008F4C61" w:rsidRDefault="008F4C61" w:rsidP="008F4C61">
      <w:pPr>
        <w:spacing w:line="360" w:lineRule="auto"/>
        <w:ind w:firstLine="720"/>
        <w:jc w:val="center"/>
        <w:rPr>
          <w:rFonts w:ascii="Arial" w:hAnsi="Arial" w:cs="Arial"/>
          <w:sz w:val="32"/>
          <w:szCs w:val="32"/>
        </w:rPr>
      </w:pPr>
    </w:p>
    <w:p w14:paraId="5BAE7168" w14:textId="7C3DFD12" w:rsidR="008F4C61" w:rsidRPr="008F4C61" w:rsidRDefault="008F4C61" w:rsidP="008F4C61">
      <w:pPr>
        <w:spacing w:line="360" w:lineRule="auto"/>
        <w:ind w:firstLine="720"/>
        <w:jc w:val="center"/>
        <w:rPr>
          <w:rFonts w:ascii="Arial" w:hAnsi="Arial" w:cs="Arial"/>
          <w:sz w:val="32"/>
          <w:szCs w:val="32"/>
        </w:rPr>
      </w:pPr>
      <w:r w:rsidRPr="008F4C61">
        <w:rPr>
          <w:rFonts w:ascii="Arial" w:hAnsi="Arial" w:cs="Arial"/>
          <w:b/>
          <w:bCs/>
          <w:sz w:val="32"/>
          <w:szCs w:val="32"/>
        </w:rPr>
        <w:t>Course:</w:t>
      </w:r>
    </w:p>
    <w:p w14:paraId="443236F4" w14:textId="0C1E5EC6" w:rsidR="008F4C61" w:rsidRPr="008F4C61" w:rsidRDefault="008F4C61" w:rsidP="008F4C61">
      <w:pPr>
        <w:spacing w:line="360" w:lineRule="auto"/>
        <w:ind w:firstLine="720"/>
        <w:jc w:val="center"/>
        <w:rPr>
          <w:rFonts w:ascii="Arial" w:hAnsi="Arial" w:cs="Arial"/>
          <w:sz w:val="32"/>
          <w:szCs w:val="32"/>
        </w:rPr>
      </w:pPr>
      <w:r w:rsidRPr="008F4C61">
        <w:rPr>
          <w:rFonts w:ascii="Arial" w:hAnsi="Arial" w:cs="Arial"/>
          <w:sz w:val="32"/>
          <w:szCs w:val="32"/>
        </w:rPr>
        <w:t>Personnel Resourcing &amp; Development (BMIH5005)</w:t>
      </w:r>
    </w:p>
    <w:p w14:paraId="04267F1E" w14:textId="77777777" w:rsidR="008F4C61" w:rsidRPr="008F4C61" w:rsidRDefault="008F4C61" w:rsidP="008F4C61">
      <w:pPr>
        <w:spacing w:line="360" w:lineRule="auto"/>
        <w:ind w:firstLine="720"/>
        <w:jc w:val="center"/>
        <w:rPr>
          <w:rFonts w:ascii="Arial" w:hAnsi="Arial" w:cs="Arial"/>
          <w:sz w:val="32"/>
          <w:szCs w:val="32"/>
        </w:rPr>
      </w:pPr>
    </w:p>
    <w:p w14:paraId="43CC351C" w14:textId="71228EED" w:rsidR="008F4C61" w:rsidRPr="008F4C61" w:rsidRDefault="008F4C61" w:rsidP="008F4C61">
      <w:pPr>
        <w:spacing w:line="360" w:lineRule="auto"/>
        <w:ind w:firstLine="720"/>
        <w:jc w:val="center"/>
        <w:rPr>
          <w:rFonts w:ascii="Arial" w:hAnsi="Arial" w:cs="Arial"/>
          <w:sz w:val="32"/>
          <w:szCs w:val="32"/>
        </w:rPr>
      </w:pPr>
      <w:r w:rsidRPr="008F4C61">
        <w:rPr>
          <w:rFonts w:ascii="Arial" w:hAnsi="Arial" w:cs="Arial"/>
          <w:b/>
          <w:bCs/>
          <w:sz w:val="32"/>
          <w:szCs w:val="32"/>
        </w:rPr>
        <w:t>Lecturer:</w:t>
      </w:r>
    </w:p>
    <w:p w14:paraId="5D9A6288" w14:textId="521FE225" w:rsidR="00EE7C74" w:rsidRPr="008F4C61" w:rsidRDefault="008F4C61" w:rsidP="008F4C61">
      <w:pPr>
        <w:spacing w:line="360" w:lineRule="auto"/>
        <w:ind w:firstLine="720"/>
        <w:jc w:val="center"/>
        <w:rPr>
          <w:rFonts w:ascii="Arial" w:hAnsi="Arial" w:cs="Arial"/>
          <w:sz w:val="32"/>
          <w:szCs w:val="32"/>
        </w:rPr>
      </w:pPr>
      <w:r w:rsidRPr="008F4C61">
        <w:rPr>
          <w:rFonts w:ascii="Arial" w:hAnsi="Arial" w:cs="Arial"/>
          <w:sz w:val="32"/>
          <w:szCs w:val="32"/>
        </w:rPr>
        <w:t>Chris Wilkin</w:t>
      </w:r>
    </w:p>
    <w:p w14:paraId="06C2E98E" w14:textId="77777777" w:rsidR="00EE7C74" w:rsidRPr="00A1779B" w:rsidRDefault="00EE7C74" w:rsidP="00A1779B">
      <w:pPr>
        <w:spacing w:line="360" w:lineRule="auto"/>
        <w:ind w:firstLine="720"/>
        <w:jc w:val="both"/>
        <w:rPr>
          <w:rFonts w:ascii="Arial" w:hAnsi="Arial" w:cs="Arial"/>
          <w:sz w:val="24"/>
          <w:szCs w:val="24"/>
        </w:rPr>
      </w:pPr>
    </w:p>
    <w:p w14:paraId="7E86A082" w14:textId="77777777" w:rsidR="00EE7C74" w:rsidRPr="00A1779B" w:rsidRDefault="00EE7C74" w:rsidP="00A1779B">
      <w:pPr>
        <w:spacing w:line="360" w:lineRule="auto"/>
        <w:ind w:firstLine="720"/>
        <w:jc w:val="both"/>
        <w:rPr>
          <w:rFonts w:ascii="Arial" w:hAnsi="Arial" w:cs="Arial"/>
          <w:sz w:val="24"/>
          <w:szCs w:val="24"/>
        </w:rPr>
      </w:pPr>
    </w:p>
    <w:p w14:paraId="0DC896B6" w14:textId="77777777" w:rsidR="00EE7C74" w:rsidRPr="00A1779B" w:rsidRDefault="00EE7C74" w:rsidP="00A1779B">
      <w:pPr>
        <w:spacing w:line="360" w:lineRule="auto"/>
        <w:ind w:firstLine="720"/>
        <w:jc w:val="both"/>
        <w:rPr>
          <w:rFonts w:ascii="Arial" w:hAnsi="Arial" w:cs="Arial"/>
          <w:sz w:val="24"/>
          <w:szCs w:val="24"/>
        </w:rPr>
      </w:pPr>
    </w:p>
    <w:p w14:paraId="634A84C7" w14:textId="77777777" w:rsidR="00EE7C74" w:rsidRDefault="00EE7C74" w:rsidP="00A1779B">
      <w:pPr>
        <w:spacing w:line="360" w:lineRule="auto"/>
        <w:ind w:firstLine="720"/>
        <w:jc w:val="both"/>
        <w:rPr>
          <w:rFonts w:ascii="Arial" w:hAnsi="Arial" w:cs="Arial"/>
          <w:sz w:val="24"/>
          <w:szCs w:val="24"/>
        </w:rPr>
      </w:pPr>
    </w:p>
    <w:p w14:paraId="3CD4BD21" w14:textId="77777777" w:rsidR="00A1779B" w:rsidRDefault="00A1779B" w:rsidP="00A1779B">
      <w:pPr>
        <w:spacing w:line="360" w:lineRule="auto"/>
        <w:ind w:firstLine="720"/>
        <w:jc w:val="both"/>
        <w:rPr>
          <w:rFonts w:ascii="Arial" w:hAnsi="Arial" w:cs="Arial"/>
          <w:sz w:val="24"/>
          <w:szCs w:val="24"/>
        </w:rPr>
      </w:pPr>
    </w:p>
    <w:p w14:paraId="486877F9" w14:textId="77777777" w:rsidR="00A1779B" w:rsidRDefault="00A1779B" w:rsidP="00A1779B">
      <w:pPr>
        <w:spacing w:line="360" w:lineRule="auto"/>
        <w:ind w:firstLine="720"/>
        <w:jc w:val="both"/>
        <w:rPr>
          <w:rFonts w:ascii="Arial" w:hAnsi="Arial" w:cs="Arial"/>
          <w:sz w:val="24"/>
          <w:szCs w:val="24"/>
        </w:rPr>
      </w:pPr>
    </w:p>
    <w:p w14:paraId="6ACF7541" w14:textId="77777777" w:rsidR="00A1779B" w:rsidRPr="00A1779B" w:rsidRDefault="00A1779B" w:rsidP="00A1779B">
      <w:pPr>
        <w:spacing w:line="360" w:lineRule="auto"/>
        <w:ind w:firstLine="720"/>
        <w:jc w:val="both"/>
        <w:rPr>
          <w:rFonts w:ascii="Arial" w:hAnsi="Arial" w:cs="Arial"/>
          <w:sz w:val="24"/>
          <w:szCs w:val="24"/>
        </w:rPr>
      </w:pPr>
    </w:p>
    <w:p w14:paraId="33D22ABC" w14:textId="77777777" w:rsidR="00EE7C74" w:rsidRPr="00A1779B" w:rsidRDefault="00EE7C74" w:rsidP="00A1779B">
      <w:pPr>
        <w:spacing w:line="360" w:lineRule="auto"/>
        <w:ind w:left="720" w:hanging="720"/>
        <w:jc w:val="center"/>
        <w:rPr>
          <w:rFonts w:ascii="Arial" w:hAnsi="Arial" w:cs="Arial"/>
          <w:b/>
          <w:bCs/>
          <w:sz w:val="24"/>
          <w:szCs w:val="24"/>
        </w:rPr>
      </w:pPr>
      <w:r w:rsidRPr="00A1779B">
        <w:rPr>
          <w:rFonts w:ascii="Arial" w:hAnsi="Arial" w:cs="Arial"/>
          <w:b/>
          <w:bCs/>
          <w:sz w:val="24"/>
          <w:szCs w:val="24"/>
        </w:rPr>
        <w:t>How to Engage Employees Throughout the Employee Lifecycle</w:t>
      </w:r>
    </w:p>
    <w:p w14:paraId="20BE4C56" w14:textId="77777777" w:rsidR="00BD3B37"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The e</w:t>
      </w:r>
      <w:r w:rsidR="00C2426F" w:rsidRPr="00A1779B">
        <w:rPr>
          <w:rFonts w:ascii="Arial" w:hAnsi="Arial" w:cs="Arial"/>
          <w:sz w:val="24"/>
          <w:szCs w:val="24"/>
        </w:rPr>
        <w:t xml:space="preserve">ngagement of employees is a </w:t>
      </w:r>
      <w:r w:rsidRPr="00A1779B">
        <w:rPr>
          <w:rFonts w:ascii="Arial" w:hAnsi="Arial" w:cs="Arial"/>
          <w:sz w:val="24"/>
          <w:szCs w:val="24"/>
        </w:rPr>
        <w:t>critical</w:t>
      </w:r>
      <w:r w:rsidR="00C2426F" w:rsidRPr="00A1779B">
        <w:rPr>
          <w:rFonts w:ascii="Arial" w:hAnsi="Arial" w:cs="Arial"/>
          <w:sz w:val="24"/>
          <w:szCs w:val="24"/>
        </w:rPr>
        <w:t xml:space="preserve"> factor for any organization to be successful. In the hospitality industry, a large hotel faces unique challenges in engaging employees throughout the employee lifecycle. The challenge lies in understanding the needs of the employees and creating an environment that encourages them to be productive and motivated at work. </w:t>
      </w:r>
      <w:r w:rsidR="0088676A">
        <w:rPr>
          <w:rFonts w:ascii="Arial" w:hAnsi="Arial" w:cs="Arial"/>
          <w:sz w:val="24"/>
          <w:szCs w:val="24"/>
        </w:rPr>
        <w:t>It is important to look at</w:t>
      </w:r>
      <w:r w:rsidR="00C2426F" w:rsidRPr="00A1779B">
        <w:rPr>
          <w:rFonts w:ascii="Arial" w:hAnsi="Arial" w:cs="Arial"/>
          <w:sz w:val="24"/>
          <w:szCs w:val="24"/>
        </w:rPr>
        <w:t xml:space="preserve"> the strategies a large hotel must employ to engage its employees throughout the employee lifecycle within the company. The employee lifecycle is a continuous cycle that involves recruiting, onboarding, training, developing, motivating, retaining, and transitioning employees</w:t>
      </w:r>
      <w:r w:rsidRPr="00A1779B">
        <w:rPr>
          <w:rFonts w:ascii="Arial" w:hAnsi="Arial" w:cs="Arial"/>
          <w:sz w:val="24"/>
          <w:szCs w:val="24"/>
        </w:rPr>
        <w:t xml:space="preserve"> (Kwon and Park 2019, p. 352).</w:t>
      </w:r>
      <w:r w:rsidR="00C2426F" w:rsidRPr="00A1779B">
        <w:rPr>
          <w:rFonts w:ascii="Arial" w:hAnsi="Arial" w:cs="Arial"/>
          <w:sz w:val="24"/>
          <w:szCs w:val="24"/>
        </w:rPr>
        <w:t xml:space="preserve"> </w:t>
      </w:r>
      <w:r w:rsidRPr="00A1779B">
        <w:rPr>
          <w:rFonts w:ascii="Arial" w:hAnsi="Arial" w:cs="Arial"/>
          <w:sz w:val="24"/>
          <w:szCs w:val="24"/>
        </w:rPr>
        <w:t>T</w:t>
      </w:r>
      <w:r w:rsidR="00C2426F" w:rsidRPr="00A1779B">
        <w:rPr>
          <w:rFonts w:ascii="Arial" w:hAnsi="Arial" w:cs="Arial"/>
          <w:sz w:val="24"/>
          <w:szCs w:val="24"/>
        </w:rPr>
        <w:t xml:space="preserve">o maximize employee engagement, a hotel must create a culture of engagement that extends through all stages of the employee lifecycle. </w:t>
      </w:r>
    </w:p>
    <w:p w14:paraId="3F833125"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 xml:space="preserve">This essay will go through the various methods a big hotel’s human resources department needs to use to keep workers interested during their whole employment. The significance of engaging employees throughout the employee lifecycle will be covered in the essay, along with the roles that recruitment, onboarding, training, development, motivation, retention, and transition play in this. It will also go through how these techniques might be used by the human resources department of a big hotel to foster an atmosphere that promotes employee engagement. The essay will outline best practices that the human resource department of a large hotel can </w:t>
      </w:r>
      <w:proofErr w:type="gramStart"/>
      <w:r w:rsidRPr="00A1779B">
        <w:rPr>
          <w:rFonts w:ascii="Arial" w:hAnsi="Arial" w:cs="Arial"/>
          <w:sz w:val="24"/>
          <w:szCs w:val="24"/>
        </w:rPr>
        <w:t>use</w:t>
      </w:r>
      <w:proofErr w:type="gramEnd"/>
      <w:r w:rsidRPr="00A1779B">
        <w:rPr>
          <w:rFonts w:ascii="Arial" w:hAnsi="Arial" w:cs="Arial"/>
          <w:sz w:val="24"/>
          <w:szCs w:val="24"/>
        </w:rPr>
        <w:t xml:space="preserve"> and present examples of effective techniques used by other large hotels.</w:t>
      </w:r>
    </w:p>
    <w:p w14:paraId="2701313C"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 xml:space="preserve">Any organization needs human resources (HR) because they oversee workforce sourcing, recruitment, and management. HR creates an engaging atmosphere for workers to ensure that the company can recruit and keep the greatest personnel. Any successful business must have an engaged workforce since it boosts output, morale, and </w:t>
      </w:r>
      <w:r w:rsidRPr="00A1779B">
        <w:rPr>
          <w:rFonts w:ascii="Arial" w:hAnsi="Arial" w:cs="Arial"/>
          <w:sz w:val="24"/>
          <w:szCs w:val="24"/>
        </w:rPr>
        <w:lastRenderedPageBreak/>
        <w:t>performance (Mowbray et al., 2021, p. 1537). By fostering an environment that encourages employee engagement, providing the resources and tools essential to ensure employee engagement, and striving to forge strong bonds between the company and its employees, HR plays a critical role in ensuring employee engagement (</w:t>
      </w:r>
      <w:proofErr w:type="spellStart"/>
      <w:r w:rsidRPr="00A1779B">
        <w:rPr>
          <w:rFonts w:ascii="Arial" w:hAnsi="Arial" w:cs="Arial"/>
          <w:sz w:val="24"/>
          <w:szCs w:val="24"/>
        </w:rPr>
        <w:t>Nasution</w:t>
      </w:r>
      <w:proofErr w:type="spellEnd"/>
      <w:r w:rsidRPr="00A1779B">
        <w:rPr>
          <w:rFonts w:ascii="Arial" w:hAnsi="Arial" w:cs="Arial"/>
          <w:sz w:val="24"/>
          <w:szCs w:val="24"/>
        </w:rPr>
        <w:t xml:space="preserve"> and </w:t>
      </w:r>
      <w:proofErr w:type="spellStart"/>
      <w:r w:rsidRPr="00A1779B">
        <w:rPr>
          <w:rFonts w:ascii="Arial" w:hAnsi="Arial" w:cs="Arial"/>
          <w:sz w:val="24"/>
          <w:szCs w:val="24"/>
        </w:rPr>
        <w:t>Absah</w:t>
      </w:r>
      <w:proofErr w:type="spellEnd"/>
      <w:r w:rsidRPr="00A1779B">
        <w:rPr>
          <w:rFonts w:ascii="Arial" w:hAnsi="Arial" w:cs="Arial"/>
          <w:sz w:val="24"/>
          <w:szCs w:val="24"/>
        </w:rPr>
        <w:t xml:space="preserve"> 2019, p. 340).</w:t>
      </w:r>
    </w:p>
    <w:p w14:paraId="73CA87A3"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 xml:space="preserve">The HR department’s job is to foster an environment that encourages employee involvement. Human resources must foster an environment that values trust, cooperation, and open communication. To encourage employee engagement, HR must establish a supportive work environment and give the necessary resources and tools (Veri 2021). This entails offering chances for training and growth, encouraging teamwork, and giving incentives and rewards to workers who excel. Additionally, HR must ensure that the company has a robust personnel management system, which involves finding and keeping the finest talent and developing a system for performance evaluation and rewards (Burnett and </w:t>
      </w:r>
      <w:proofErr w:type="spellStart"/>
      <w:r w:rsidRPr="00A1779B">
        <w:rPr>
          <w:rFonts w:ascii="Arial" w:hAnsi="Arial" w:cs="Arial"/>
          <w:sz w:val="24"/>
          <w:szCs w:val="24"/>
        </w:rPr>
        <w:t>Lisk</w:t>
      </w:r>
      <w:proofErr w:type="spellEnd"/>
      <w:r w:rsidRPr="00A1779B">
        <w:rPr>
          <w:rFonts w:ascii="Arial" w:hAnsi="Arial" w:cs="Arial"/>
          <w:sz w:val="24"/>
          <w:szCs w:val="24"/>
        </w:rPr>
        <w:t xml:space="preserve"> 2019, p. 112).</w:t>
      </w:r>
    </w:p>
    <w:p w14:paraId="3BC264F0"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 xml:space="preserve">HR must also establish enduring bonds between the company and its workers. This entails promoting open lines of communication between the business and its staff, cultivating a culture of honesty, and giving staff members feedback and acknowledgment for their efforts. Additionally, HR should work to comprehend employee needs and ensure their issues and suggestions are considered (Duque et al., 2020, p. 6759). HR can ensure the company can recruit and keep the greatest personnel by fostering an environment conducive to employee engagement and forging strong bonds with its workforce. </w:t>
      </w:r>
    </w:p>
    <w:p w14:paraId="2BA7143F"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HR must provide a setting that values cooperation and communication to motivate a team. HR should foster a culture of open communication that invites staff members to express their thoughts, opinions, and concerns (Kroll et al., 2019, p. 789). Additionally, HR should encourage respect and trust among staff members and offer the resources and tools required to boost engagement. This includes giving staff members a chance to grow professionally, encouraging teamwork, and rewarding superior performance through incentives and prizes (Li et al., 2021).</w:t>
      </w:r>
    </w:p>
    <w:p w14:paraId="43C06C2F"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 xml:space="preserve">Additionally, HR should </w:t>
      </w:r>
      <w:proofErr w:type="gramStart"/>
      <w:r w:rsidRPr="00A1779B">
        <w:rPr>
          <w:rFonts w:ascii="Arial" w:hAnsi="Arial" w:cs="Arial"/>
          <w:sz w:val="24"/>
          <w:szCs w:val="24"/>
        </w:rPr>
        <w:t>make an effort</w:t>
      </w:r>
      <w:proofErr w:type="gramEnd"/>
      <w:r w:rsidRPr="00A1779B">
        <w:rPr>
          <w:rFonts w:ascii="Arial" w:hAnsi="Arial" w:cs="Arial"/>
          <w:sz w:val="24"/>
          <w:szCs w:val="24"/>
        </w:rPr>
        <w:t xml:space="preserve"> to comprehend employee needs and ensure that their complaints and ideas are considered. This entails giving them </w:t>
      </w:r>
      <w:r w:rsidRPr="00A1779B">
        <w:rPr>
          <w:rFonts w:ascii="Arial" w:hAnsi="Arial" w:cs="Arial"/>
          <w:sz w:val="24"/>
          <w:szCs w:val="24"/>
        </w:rPr>
        <w:lastRenderedPageBreak/>
        <w:t xml:space="preserve">constructive criticism and acknowledgment for their efforts and developing a system for rating and rewarding performance. According to HR, the firm should have a strong personnel management strategy involving hiring and keeping the best talent. HR can ensure that the company can attract and retain the greatest personnel by fostering an atmosphere favorable to employee engagement and forging strong bonds with its staff (Sun and </w:t>
      </w:r>
      <w:proofErr w:type="spellStart"/>
      <w:r w:rsidRPr="00A1779B">
        <w:rPr>
          <w:rFonts w:ascii="Arial" w:hAnsi="Arial" w:cs="Arial"/>
          <w:sz w:val="24"/>
          <w:szCs w:val="24"/>
        </w:rPr>
        <w:t>Bunchapattanasakda</w:t>
      </w:r>
      <w:proofErr w:type="spellEnd"/>
      <w:r w:rsidRPr="00A1779B">
        <w:rPr>
          <w:rFonts w:ascii="Arial" w:hAnsi="Arial" w:cs="Arial"/>
          <w:sz w:val="24"/>
          <w:szCs w:val="24"/>
        </w:rPr>
        <w:t>, 2019, p. 75).</w:t>
      </w:r>
    </w:p>
    <w:p w14:paraId="480322DC"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 xml:space="preserve">Engaging a team provides several benefits, such as improved performance, morale, and productivity (Sun and </w:t>
      </w:r>
      <w:proofErr w:type="spellStart"/>
      <w:r w:rsidRPr="00A1779B">
        <w:rPr>
          <w:rFonts w:ascii="Arial" w:hAnsi="Arial" w:cs="Arial"/>
          <w:sz w:val="24"/>
          <w:szCs w:val="24"/>
        </w:rPr>
        <w:t>Bunchapattanasakda</w:t>
      </w:r>
      <w:proofErr w:type="spellEnd"/>
      <w:r w:rsidRPr="00A1779B">
        <w:rPr>
          <w:rFonts w:ascii="Arial" w:hAnsi="Arial" w:cs="Arial"/>
          <w:sz w:val="24"/>
          <w:szCs w:val="24"/>
        </w:rPr>
        <w:t xml:space="preserve">, 2019, p. 75). As they are more likely to have open communication and collaborate, engaged teams, are more likely to be imaginative and creative. Engaged teams are more likely to experience a sense of belonging and worth within the company. </w:t>
      </w:r>
      <w:proofErr w:type="gramStart"/>
      <w:r w:rsidRPr="00A1779B">
        <w:rPr>
          <w:rFonts w:ascii="Arial" w:hAnsi="Arial" w:cs="Arial"/>
          <w:sz w:val="24"/>
          <w:szCs w:val="24"/>
        </w:rPr>
        <w:t>Last but not least</w:t>
      </w:r>
      <w:proofErr w:type="gramEnd"/>
      <w:r w:rsidRPr="00A1779B">
        <w:rPr>
          <w:rFonts w:ascii="Arial" w:hAnsi="Arial" w:cs="Arial"/>
          <w:sz w:val="24"/>
          <w:szCs w:val="24"/>
        </w:rPr>
        <w:t>, a successful team is more likely to have an engaged team since they are more inclined to take responsibility for their job and aim for greatness.</w:t>
      </w:r>
    </w:p>
    <w:p w14:paraId="3B5D3F51"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 xml:space="preserve">The attraction phase of the employment lifecycle is the first. At this point, prospective employees are learning about the company and thinking about applying for a position. HR departments are crucial at this point because they interact with potential employees to promote the company and give them the </w:t>
      </w:r>
      <w:r w:rsidR="00A1779B" w:rsidRPr="00A1779B">
        <w:rPr>
          <w:rFonts w:ascii="Arial" w:hAnsi="Arial" w:cs="Arial"/>
          <w:sz w:val="24"/>
          <w:szCs w:val="24"/>
        </w:rPr>
        <w:t>information,</w:t>
      </w:r>
      <w:r w:rsidRPr="00A1779B">
        <w:rPr>
          <w:rFonts w:ascii="Arial" w:hAnsi="Arial" w:cs="Arial"/>
          <w:sz w:val="24"/>
          <w:szCs w:val="24"/>
        </w:rPr>
        <w:t xml:space="preserve"> they need to decide whether to apply for a position or not (Jain et al., 2022, p. 293). Human resources departments can attract candidates by sharing information on the business’ website, social media, job fairs, and other events. HR divisions can also contact potential workers by phone, email, or in-person meetings. HR departments may ensure that potential employees have the information they need to make an informed decision about applying for a position (Turner and Turner 2020, p. 28).</w:t>
      </w:r>
    </w:p>
    <w:p w14:paraId="0352E7C3"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 xml:space="preserve">Recruitment is the second phase of the employee lifecycle. At this point, prospective employees submit applications for open positions, which HR departments analyze and prioritize. During this phase, HR departments interact with applicants by assessing their backgrounds and skills to identify those most qualified for the post. HR departments might connect with them through interviews, background checks, and other assessments to ensure that applicants are the proper match for the role. By working </w:t>
      </w:r>
      <w:r w:rsidRPr="00A1779B">
        <w:rPr>
          <w:rFonts w:ascii="Arial" w:hAnsi="Arial" w:cs="Arial"/>
          <w:sz w:val="24"/>
          <w:szCs w:val="24"/>
        </w:rPr>
        <w:lastRenderedPageBreak/>
        <w:t>together, HR departments can guarantee that the selection of the finest candidates is fair and efficient (</w:t>
      </w:r>
      <w:proofErr w:type="spellStart"/>
      <w:r w:rsidRPr="00A1779B">
        <w:rPr>
          <w:rFonts w:ascii="Arial" w:hAnsi="Arial" w:cs="Arial"/>
          <w:sz w:val="24"/>
          <w:szCs w:val="24"/>
        </w:rPr>
        <w:t>Heslina</w:t>
      </w:r>
      <w:proofErr w:type="spellEnd"/>
      <w:r w:rsidRPr="00A1779B">
        <w:rPr>
          <w:rFonts w:ascii="Arial" w:hAnsi="Arial" w:cs="Arial"/>
          <w:sz w:val="24"/>
          <w:szCs w:val="24"/>
        </w:rPr>
        <w:t xml:space="preserve"> and </w:t>
      </w:r>
      <w:proofErr w:type="spellStart"/>
      <w:r w:rsidRPr="00A1779B">
        <w:rPr>
          <w:rFonts w:ascii="Arial" w:hAnsi="Arial" w:cs="Arial"/>
          <w:sz w:val="24"/>
          <w:szCs w:val="24"/>
        </w:rPr>
        <w:t>Syahruni</w:t>
      </w:r>
      <w:proofErr w:type="spellEnd"/>
      <w:r w:rsidRPr="00A1779B">
        <w:rPr>
          <w:rFonts w:ascii="Arial" w:hAnsi="Arial" w:cs="Arial"/>
          <w:sz w:val="24"/>
          <w:szCs w:val="24"/>
        </w:rPr>
        <w:t xml:space="preserve"> 2021, p. 16).</w:t>
      </w:r>
    </w:p>
    <w:p w14:paraId="1E91D572" w14:textId="77777777" w:rsidR="004B39A0" w:rsidRPr="00A1779B" w:rsidRDefault="004B39A0" w:rsidP="00A1779B">
      <w:pPr>
        <w:spacing w:line="360" w:lineRule="auto"/>
        <w:ind w:firstLine="720"/>
        <w:jc w:val="both"/>
        <w:rPr>
          <w:rFonts w:ascii="Arial" w:hAnsi="Arial" w:cs="Arial"/>
          <w:sz w:val="24"/>
          <w:szCs w:val="24"/>
        </w:rPr>
      </w:pPr>
      <w:r w:rsidRPr="00A1779B">
        <w:rPr>
          <w:rFonts w:ascii="Arial" w:hAnsi="Arial" w:cs="Arial"/>
          <w:sz w:val="24"/>
          <w:szCs w:val="24"/>
        </w:rPr>
        <w:t>The third stage of the employee lifecycle is onboarding. This is the stage in which new employees are welcomed and integrated into the organization. HR departments engage with new employees in this stage by providing them with the information and resources they need to be successful in their role</w:t>
      </w:r>
      <w:r w:rsidR="00EE7C74" w:rsidRPr="00A1779B">
        <w:rPr>
          <w:rFonts w:ascii="Arial" w:hAnsi="Arial" w:cs="Arial"/>
          <w:sz w:val="24"/>
          <w:szCs w:val="24"/>
        </w:rPr>
        <w:t>s</w:t>
      </w:r>
      <w:r w:rsidRPr="00A1779B">
        <w:rPr>
          <w:rFonts w:ascii="Arial" w:hAnsi="Arial" w:cs="Arial"/>
          <w:sz w:val="24"/>
          <w:szCs w:val="24"/>
        </w:rPr>
        <w:t>. This includes providing information on company policies, introducing them to the team, and providing them with the tools they need to do their job. Additionally, HR departments can engage with new employees through orientation sessions, training, and mentorship programs to ensure they have all the necessary resources to transition into their role</w:t>
      </w:r>
      <w:r w:rsidR="00EE7C74" w:rsidRPr="00A1779B">
        <w:rPr>
          <w:rFonts w:ascii="Arial" w:hAnsi="Arial" w:cs="Arial"/>
          <w:sz w:val="24"/>
          <w:szCs w:val="24"/>
        </w:rPr>
        <w:t>s</w:t>
      </w:r>
      <w:r w:rsidRPr="00A1779B">
        <w:rPr>
          <w:rFonts w:ascii="Arial" w:hAnsi="Arial" w:cs="Arial"/>
          <w:sz w:val="24"/>
          <w:szCs w:val="24"/>
        </w:rPr>
        <w:t xml:space="preserve"> effectively. </w:t>
      </w:r>
    </w:p>
    <w:p w14:paraId="5BB63355"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 xml:space="preserve">The development phase of the employee lifecycle is the fourth. During this phase, personnel </w:t>
      </w:r>
      <w:r w:rsidR="00A1779B" w:rsidRPr="00A1779B">
        <w:rPr>
          <w:rFonts w:ascii="Arial" w:hAnsi="Arial" w:cs="Arial"/>
          <w:sz w:val="24"/>
          <w:szCs w:val="24"/>
        </w:rPr>
        <w:t>have</w:t>
      </w:r>
      <w:r w:rsidRPr="00A1779B">
        <w:rPr>
          <w:rFonts w:ascii="Arial" w:hAnsi="Arial" w:cs="Arial"/>
          <w:sz w:val="24"/>
          <w:szCs w:val="24"/>
        </w:rPr>
        <w:t xml:space="preserve"> the chance to advance and broaden their knowledge and abilities. In this stage, HR departments interact with employees by giving them the tools and assistance they need to succeed (</w:t>
      </w:r>
      <w:proofErr w:type="spellStart"/>
      <w:r w:rsidRPr="00A1779B">
        <w:rPr>
          <w:rFonts w:ascii="Arial" w:hAnsi="Arial" w:cs="Arial"/>
          <w:sz w:val="24"/>
          <w:szCs w:val="24"/>
        </w:rPr>
        <w:t>Abrishamirad</w:t>
      </w:r>
      <w:proofErr w:type="spellEnd"/>
      <w:r w:rsidRPr="00A1779B">
        <w:rPr>
          <w:rFonts w:ascii="Arial" w:hAnsi="Arial" w:cs="Arial"/>
          <w:sz w:val="24"/>
          <w:szCs w:val="24"/>
        </w:rPr>
        <w:t xml:space="preserve"> et al., 2021. 1342). This entails granting accessibility to learning and growth opportunities, including workshops, seminars, and mentorship schemes. Furthermore, HR departments can interact with staff members through performance evaluations and feedback sessions to ensure they are on pace to meet their objectives (</w:t>
      </w:r>
      <w:proofErr w:type="spellStart"/>
      <w:r w:rsidRPr="00A1779B">
        <w:rPr>
          <w:rFonts w:ascii="Arial" w:hAnsi="Arial" w:cs="Arial"/>
          <w:sz w:val="24"/>
          <w:szCs w:val="24"/>
        </w:rPr>
        <w:t>Riyanto</w:t>
      </w:r>
      <w:proofErr w:type="spellEnd"/>
      <w:r w:rsidRPr="00A1779B">
        <w:rPr>
          <w:rFonts w:ascii="Arial" w:hAnsi="Arial" w:cs="Arial"/>
          <w:sz w:val="24"/>
          <w:szCs w:val="24"/>
        </w:rPr>
        <w:t xml:space="preserve"> et al., 2021, p. 162).</w:t>
      </w:r>
    </w:p>
    <w:p w14:paraId="77DC2834"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Retention is the fifth stage of the employment lifecycle. At this point, HR departments are working to ensure workers are content with and invested in their jobs. In this phase, HR departments interact with employees by giving them the assistance they require to feel valued and appreciated (</w:t>
      </w:r>
      <w:proofErr w:type="spellStart"/>
      <w:r w:rsidRPr="00A1779B">
        <w:rPr>
          <w:rFonts w:ascii="Arial" w:hAnsi="Arial" w:cs="Arial"/>
          <w:sz w:val="24"/>
          <w:szCs w:val="24"/>
        </w:rPr>
        <w:t>Abrishamirad</w:t>
      </w:r>
      <w:proofErr w:type="spellEnd"/>
      <w:r w:rsidRPr="00A1779B">
        <w:rPr>
          <w:rFonts w:ascii="Arial" w:hAnsi="Arial" w:cs="Arial"/>
          <w:sz w:val="24"/>
          <w:szCs w:val="24"/>
        </w:rPr>
        <w:t xml:space="preserve"> et al., 2021. 1342). This includes praising their achievements, allowing flexible scheduling options, and giving them a chance to further their careers. Additionally, HR departments can interact with staff members through surveys and feedback sessions to ensure they are happy and motivated to keep up their high-performance standards.</w:t>
      </w:r>
    </w:p>
    <w:p w14:paraId="53FF5B69"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 xml:space="preserve">Separation is the last phase of the employee lifecycle. This is the point when a worker departs the company. In this phase, HR departments interact with employees by giving them the assistance they need to leave the company (Saks 2022). This is part of providing details on severance compensation, unemployment benefits, and other </w:t>
      </w:r>
      <w:r w:rsidRPr="00A1779B">
        <w:rPr>
          <w:rFonts w:ascii="Arial" w:hAnsi="Arial" w:cs="Arial"/>
          <w:sz w:val="24"/>
          <w:szCs w:val="24"/>
        </w:rPr>
        <w:lastRenderedPageBreak/>
        <w:t>resources. To ensure that their time with the company was positive and to find any areas for development, HR departments can also speak with departing workers in exit interviews.</w:t>
      </w:r>
    </w:p>
    <w:p w14:paraId="0662A330"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Making an environment where successful communication occurs is one method to engage staff. Managers must communicate openly and honestly with their teams and provide regular updates on how things are going (Kwon and Kim, 2020). Employees are given a chance to contribute and a sense of involvement in decision-making. Managers should also be open to hearing from and seriously considering employee feedback. This fosters respect and trust between the manager and their staff.</w:t>
      </w:r>
    </w:p>
    <w:p w14:paraId="111B2C53"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Rewarding and recognizing employees for a job well done is another strategy for engaging the workforce. To show appreciation for their hard work, managers should provide regular feedback and compliments to their staff members (Lee et al., 2020, p. 27). Small incentives like gift cards, bonuses, or verbal praise can accomplish this. Employee morale and motivation can both be boosted by rewards and recognition.</w:t>
      </w:r>
    </w:p>
    <w:p w14:paraId="5A80355B"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Employee engagement also involves empowerment, which is crucial. Managers should empower their staff to take the initiative and make decisions (Kwon and Kim, 2020). Employees are given a chance to improve their talents while feeling more invested in their work. Being an empowered leader also entails supporting staff members and giving them access to guidance and resources when needed (</w:t>
      </w:r>
      <w:proofErr w:type="spellStart"/>
      <w:r w:rsidRPr="00A1779B">
        <w:rPr>
          <w:rFonts w:ascii="Arial" w:hAnsi="Arial" w:cs="Arial"/>
          <w:sz w:val="24"/>
          <w:szCs w:val="24"/>
        </w:rPr>
        <w:t>Albrech</w:t>
      </w:r>
      <w:proofErr w:type="spellEnd"/>
      <w:r w:rsidRPr="00A1779B">
        <w:rPr>
          <w:rFonts w:ascii="Arial" w:hAnsi="Arial" w:cs="Arial"/>
          <w:sz w:val="24"/>
          <w:szCs w:val="24"/>
        </w:rPr>
        <w:t>, 2011)</w:t>
      </w:r>
    </w:p>
    <w:p w14:paraId="038BCFA9" w14:textId="77777777" w:rsidR="00EE7C74" w:rsidRPr="00A1779B" w:rsidRDefault="00D81AE5" w:rsidP="00A1779B">
      <w:pPr>
        <w:spacing w:line="360" w:lineRule="auto"/>
        <w:ind w:firstLine="720"/>
        <w:jc w:val="both"/>
        <w:rPr>
          <w:rFonts w:ascii="Arial" w:hAnsi="Arial" w:cs="Arial"/>
          <w:sz w:val="24"/>
          <w:szCs w:val="24"/>
        </w:rPr>
      </w:pPr>
      <w:r w:rsidRPr="00A1779B">
        <w:rPr>
          <w:rFonts w:ascii="Arial" w:hAnsi="Arial" w:cs="Arial"/>
          <w:sz w:val="24"/>
          <w:szCs w:val="24"/>
        </w:rPr>
        <w:t xml:space="preserve">Employee engagement has become a popular subject in the business world. It </w:t>
      </w:r>
      <w:r w:rsidR="00EE7C74" w:rsidRPr="00A1779B">
        <w:rPr>
          <w:rFonts w:ascii="Arial" w:hAnsi="Arial" w:cs="Arial"/>
          <w:sz w:val="24"/>
          <w:szCs w:val="24"/>
        </w:rPr>
        <w:t>measures</w:t>
      </w:r>
      <w:r w:rsidRPr="00A1779B">
        <w:rPr>
          <w:rFonts w:ascii="Arial" w:hAnsi="Arial" w:cs="Arial"/>
          <w:sz w:val="24"/>
          <w:szCs w:val="24"/>
        </w:rPr>
        <w:t xml:space="preserve"> how committed an employee is to the organization and their job. There are many different models of employee engagement, each with </w:t>
      </w:r>
      <w:r w:rsidR="00EE7C74" w:rsidRPr="00A1779B">
        <w:rPr>
          <w:rFonts w:ascii="Arial" w:hAnsi="Arial" w:cs="Arial"/>
          <w:sz w:val="24"/>
          <w:szCs w:val="24"/>
        </w:rPr>
        <w:t>its</w:t>
      </w:r>
      <w:r w:rsidRPr="00A1779B">
        <w:rPr>
          <w:rFonts w:ascii="Arial" w:hAnsi="Arial" w:cs="Arial"/>
          <w:sz w:val="24"/>
          <w:szCs w:val="24"/>
        </w:rPr>
        <w:t xml:space="preserve"> unique approach and emphasis. One such model is the Zinger Employee Engagement Model. This model was developed by the University of South Florida and is based on the principles of positive psychology. The model emphasizes the importance of creating a positive work environment and offers a practical approach to employee engagement. This paper will discuss the Zinger Employee Engagement Model and how it can be implemented.</w:t>
      </w:r>
    </w:p>
    <w:p w14:paraId="25AA3394" w14:textId="77777777" w:rsidR="00D81AE5" w:rsidRPr="00A1779B" w:rsidRDefault="00D81AE5" w:rsidP="00A1779B">
      <w:pPr>
        <w:spacing w:line="360" w:lineRule="auto"/>
        <w:ind w:firstLine="720"/>
        <w:jc w:val="both"/>
        <w:rPr>
          <w:rFonts w:ascii="Arial" w:hAnsi="Arial" w:cs="Arial"/>
          <w:sz w:val="24"/>
          <w:szCs w:val="24"/>
        </w:rPr>
      </w:pPr>
      <w:r w:rsidRPr="00A1779B">
        <w:rPr>
          <w:rFonts w:ascii="Arial" w:hAnsi="Arial" w:cs="Arial"/>
          <w:sz w:val="24"/>
          <w:szCs w:val="24"/>
        </w:rPr>
        <w:t xml:space="preserve">The Zinger employee engagement model is a comprehensive framework for creating a successful and productive workplace. It is based on the premise that </w:t>
      </w:r>
      <w:r w:rsidRPr="00A1779B">
        <w:rPr>
          <w:rFonts w:ascii="Arial" w:hAnsi="Arial" w:cs="Arial"/>
          <w:sz w:val="24"/>
          <w:szCs w:val="24"/>
        </w:rPr>
        <w:lastRenderedPageBreak/>
        <w:t xml:space="preserve">employees should be treated as integral members of the organization and be provided with the tools to perform their job to the best of their ability. The model consists of four key elements: employee engagement initiatives, employee recognition, performance improvement, and workplace culture. </w:t>
      </w:r>
    </w:p>
    <w:p w14:paraId="0D897C8D"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Initiatives for enhancing employee motivation and job satisfaction include several actions. These could include team-building exercises, professional development courses, and employment chances. Employee appreciation is a crucial element of engagement since it makes workers feel valued and appreciated (</w:t>
      </w:r>
      <w:proofErr w:type="spellStart"/>
      <w:r w:rsidRPr="00A1779B">
        <w:rPr>
          <w:rFonts w:ascii="Arial" w:hAnsi="Arial" w:cs="Arial"/>
          <w:sz w:val="24"/>
          <w:szCs w:val="24"/>
        </w:rPr>
        <w:t>Hussainy</w:t>
      </w:r>
      <w:proofErr w:type="spellEnd"/>
      <w:r w:rsidRPr="00A1779B">
        <w:rPr>
          <w:rFonts w:ascii="Arial" w:hAnsi="Arial" w:cs="Arial"/>
          <w:sz w:val="24"/>
          <w:szCs w:val="24"/>
        </w:rPr>
        <w:t xml:space="preserve"> 2020, p. 43). Initiatives to improve performance aid in boosting employees’ productivity, knowledge, and abilities. Training regimens, one-on-one coaching, and performance evaluations are a few examples. Last but not least, a positive and influential company culture is crucial. It entails establishing a culture of trust, respect, and cooperation and having a set of values that all employees adhere to.</w:t>
      </w:r>
    </w:p>
    <w:p w14:paraId="6E7BE125" w14:textId="77777777" w:rsidR="00EE7C74"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Before implementing the Zinger employee engagement model, firms must evaluate their current levels of engagement and pinpoint areas for development. The initiatives and actions indicated in the model should then be implemented as part of a strategy to raise employee engagement. Initiating performance improvement programs, recognizing employees, and developing a productive workplace culture should all be part of this (Osborne and Hammoud 2017, p. 4). To be sure that engagement programs have a positive impact, organizations should measure and monitor their impact.</w:t>
      </w:r>
    </w:p>
    <w:p w14:paraId="217943ED" w14:textId="77777777" w:rsidR="00C2426F" w:rsidRPr="00A1779B" w:rsidRDefault="00EE7C74" w:rsidP="00A1779B">
      <w:pPr>
        <w:spacing w:line="360" w:lineRule="auto"/>
        <w:ind w:firstLine="720"/>
        <w:jc w:val="both"/>
        <w:rPr>
          <w:rFonts w:ascii="Arial" w:hAnsi="Arial" w:cs="Arial"/>
          <w:sz w:val="24"/>
          <w:szCs w:val="24"/>
        </w:rPr>
      </w:pPr>
      <w:r w:rsidRPr="00A1779B">
        <w:rPr>
          <w:rFonts w:ascii="Arial" w:hAnsi="Arial" w:cs="Arial"/>
          <w:sz w:val="24"/>
          <w:szCs w:val="24"/>
        </w:rPr>
        <w:t xml:space="preserve">Indeed, a large hotel’s success ultimately depends on its ability to keep its staff engaged throughout its employment lifecycle. The human resources department must give the essential tools and tactics to keep staff members motivated, engaged, and productive during their employment. This entails establishing strong connections between management and staff, setting clear </w:t>
      </w:r>
      <w:proofErr w:type="gramStart"/>
      <w:r w:rsidRPr="00A1779B">
        <w:rPr>
          <w:rFonts w:ascii="Arial" w:hAnsi="Arial" w:cs="Arial"/>
          <w:sz w:val="24"/>
          <w:szCs w:val="24"/>
        </w:rPr>
        <w:t>expectations</w:t>
      </w:r>
      <w:proofErr w:type="gramEnd"/>
      <w:r w:rsidRPr="00A1779B">
        <w:rPr>
          <w:rFonts w:ascii="Arial" w:hAnsi="Arial" w:cs="Arial"/>
          <w:sz w:val="24"/>
          <w:szCs w:val="24"/>
        </w:rPr>
        <w:t xml:space="preserve"> and communicating to them in a straightforward manner, paying competitive wages, and giving competitive benefits, all of which contribute to creating a supportive, happy work environment. A good employee engagement plan can also involve creating a culture of appreciation and acknowledgment and giving workers significant chances to participate in the company’s strategic goals. </w:t>
      </w:r>
      <w:r w:rsidRPr="00A1779B">
        <w:rPr>
          <w:rFonts w:ascii="Arial" w:hAnsi="Arial" w:cs="Arial"/>
          <w:sz w:val="24"/>
          <w:szCs w:val="24"/>
        </w:rPr>
        <w:lastRenderedPageBreak/>
        <w:t>The Human Resources department may ensure workers are engaged at all project stages by concentrating on five crucial areas.</w:t>
      </w:r>
    </w:p>
    <w:p w14:paraId="442F9BC3" w14:textId="77777777" w:rsidR="00EE7C74" w:rsidRPr="00A1779B" w:rsidRDefault="00EE7C74" w:rsidP="00A1779B">
      <w:pPr>
        <w:spacing w:line="360" w:lineRule="auto"/>
        <w:ind w:firstLine="720"/>
        <w:jc w:val="both"/>
        <w:rPr>
          <w:rFonts w:ascii="Arial" w:hAnsi="Arial" w:cs="Arial"/>
          <w:sz w:val="24"/>
          <w:szCs w:val="24"/>
        </w:rPr>
      </w:pPr>
    </w:p>
    <w:p w14:paraId="7177584F" w14:textId="77777777" w:rsidR="00EE7C74" w:rsidRPr="00A1779B" w:rsidRDefault="00EE7C74" w:rsidP="00A1779B">
      <w:pPr>
        <w:spacing w:line="360" w:lineRule="auto"/>
        <w:ind w:firstLine="720"/>
        <w:jc w:val="both"/>
        <w:rPr>
          <w:rFonts w:ascii="Arial" w:hAnsi="Arial" w:cs="Arial"/>
          <w:sz w:val="24"/>
          <w:szCs w:val="24"/>
        </w:rPr>
      </w:pPr>
    </w:p>
    <w:p w14:paraId="0A83D20D" w14:textId="77777777" w:rsidR="00EE7C74" w:rsidRPr="00A1779B" w:rsidRDefault="00EE7C74" w:rsidP="00A1779B">
      <w:pPr>
        <w:spacing w:line="360" w:lineRule="auto"/>
        <w:jc w:val="center"/>
        <w:rPr>
          <w:rFonts w:ascii="Arial" w:hAnsi="Arial" w:cs="Arial"/>
          <w:sz w:val="24"/>
          <w:szCs w:val="24"/>
        </w:rPr>
      </w:pPr>
      <w:r w:rsidRPr="00A1779B">
        <w:rPr>
          <w:rFonts w:ascii="Arial" w:hAnsi="Arial" w:cs="Arial"/>
          <w:sz w:val="24"/>
          <w:szCs w:val="24"/>
        </w:rPr>
        <w:t>References</w:t>
      </w:r>
    </w:p>
    <w:p w14:paraId="7E1E003B" w14:textId="77777777" w:rsidR="00EE7C74" w:rsidRPr="00A1779B" w:rsidRDefault="00EE7C74" w:rsidP="00A1779B">
      <w:pPr>
        <w:spacing w:line="360" w:lineRule="auto"/>
        <w:ind w:left="720" w:hanging="720"/>
        <w:jc w:val="both"/>
        <w:rPr>
          <w:rFonts w:ascii="Arial" w:hAnsi="Arial" w:cs="Arial"/>
          <w:sz w:val="24"/>
          <w:szCs w:val="24"/>
        </w:rPr>
      </w:pPr>
      <w:proofErr w:type="spellStart"/>
      <w:r w:rsidRPr="00A1779B">
        <w:rPr>
          <w:rFonts w:ascii="Arial" w:hAnsi="Arial" w:cs="Arial"/>
          <w:sz w:val="24"/>
          <w:szCs w:val="24"/>
        </w:rPr>
        <w:t>Abrishamirad</w:t>
      </w:r>
      <w:proofErr w:type="spellEnd"/>
      <w:r w:rsidRPr="00A1779B">
        <w:rPr>
          <w:rFonts w:ascii="Arial" w:hAnsi="Arial" w:cs="Arial"/>
          <w:sz w:val="24"/>
          <w:szCs w:val="24"/>
        </w:rPr>
        <w:t xml:space="preserve">, S., </w:t>
      </w:r>
      <w:proofErr w:type="spellStart"/>
      <w:r w:rsidRPr="00A1779B">
        <w:rPr>
          <w:rFonts w:ascii="Arial" w:hAnsi="Arial" w:cs="Arial"/>
          <w:sz w:val="24"/>
          <w:szCs w:val="24"/>
        </w:rPr>
        <w:t>Kordi</w:t>
      </w:r>
      <w:proofErr w:type="spellEnd"/>
      <w:r w:rsidRPr="00A1779B">
        <w:rPr>
          <w:rFonts w:ascii="Arial" w:hAnsi="Arial" w:cs="Arial"/>
          <w:sz w:val="24"/>
          <w:szCs w:val="24"/>
        </w:rPr>
        <w:t>, M. and Abbasi, T., 2021. A Comparison of Employee’s Engagement Models with Emphasis on Human Resources in Iranian Organizations. Iranian Journal of Comparative Education, 4(3), pp.1329-1348.</w:t>
      </w:r>
    </w:p>
    <w:p w14:paraId="5FFBCA86" w14:textId="77777777" w:rsidR="00EE7C74" w:rsidRPr="00A1779B" w:rsidRDefault="00EE7C74" w:rsidP="00A1779B">
      <w:pPr>
        <w:spacing w:line="360" w:lineRule="auto"/>
        <w:ind w:left="720" w:hanging="720"/>
        <w:jc w:val="both"/>
        <w:rPr>
          <w:rFonts w:ascii="Arial" w:hAnsi="Arial" w:cs="Arial"/>
          <w:sz w:val="24"/>
          <w:szCs w:val="24"/>
        </w:rPr>
      </w:pPr>
      <w:proofErr w:type="spellStart"/>
      <w:r w:rsidRPr="00A1779B">
        <w:rPr>
          <w:rFonts w:ascii="Arial" w:hAnsi="Arial" w:cs="Arial"/>
          <w:sz w:val="24"/>
          <w:szCs w:val="24"/>
        </w:rPr>
        <w:t>Albrech</w:t>
      </w:r>
      <w:proofErr w:type="spellEnd"/>
      <w:r w:rsidRPr="00A1779B">
        <w:rPr>
          <w:rFonts w:ascii="Arial" w:hAnsi="Arial" w:cs="Arial"/>
          <w:sz w:val="24"/>
          <w:szCs w:val="24"/>
        </w:rPr>
        <w:t>, S.L., 2011. Handbook of employee engagement: Perspectives, issues, research, and practice. Human Resource Management International Digest, 19(7).</w:t>
      </w:r>
    </w:p>
    <w:p w14:paraId="59955084"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t xml:space="preserve">Burnett, J.R. and </w:t>
      </w:r>
      <w:proofErr w:type="spellStart"/>
      <w:r w:rsidRPr="00A1779B">
        <w:rPr>
          <w:rFonts w:ascii="Arial" w:hAnsi="Arial" w:cs="Arial"/>
          <w:sz w:val="24"/>
          <w:szCs w:val="24"/>
        </w:rPr>
        <w:t>Lisk</w:t>
      </w:r>
      <w:proofErr w:type="spellEnd"/>
      <w:r w:rsidRPr="00A1779B">
        <w:rPr>
          <w:rFonts w:ascii="Arial" w:hAnsi="Arial" w:cs="Arial"/>
          <w:sz w:val="24"/>
          <w:szCs w:val="24"/>
        </w:rPr>
        <w:t>, T.C., 2019. The future of employee engagement: Real-time monitoring and digital tools for engaging a workforce. International Studies of Management &amp; Organization, 49(1), pp.108-119.</w:t>
      </w:r>
    </w:p>
    <w:p w14:paraId="503ECFFD"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t>Duque, L., Costa, R., Dias, Á., Pereira, L., Santos, J. and António, N., 2020. New ways of working and the physical environment to improve employee engagement. Sustainability, 12(17), p.6759.</w:t>
      </w:r>
    </w:p>
    <w:p w14:paraId="14BDF64D" w14:textId="77777777" w:rsidR="00EE7C74" w:rsidRPr="00A1779B" w:rsidRDefault="00EE7C74" w:rsidP="00A1779B">
      <w:pPr>
        <w:spacing w:line="360" w:lineRule="auto"/>
        <w:ind w:left="720" w:hanging="720"/>
        <w:jc w:val="both"/>
        <w:rPr>
          <w:rFonts w:ascii="Arial" w:hAnsi="Arial" w:cs="Arial"/>
          <w:sz w:val="24"/>
          <w:szCs w:val="24"/>
        </w:rPr>
      </w:pPr>
      <w:proofErr w:type="spellStart"/>
      <w:r w:rsidRPr="00A1779B">
        <w:rPr>
          <w:rFonts w:ascii="Arial" w:hAnsi="Arial" w:cs="Arial"/>
          <w:sz w:val="24"/>
          <w:szCs w:val="24"/>
        </w:rPr>
        <w:t>Heslina</w:t>
      </w:r>
      <w:proofErr w:type="spellEnd"/>
      <w:r w:rsidRPr="00A1779B">
        <w:rPr>
          <w:rFonts w:ascii="Arial" w:hAnsi="Arial" w:cs="Arial"/>
          <w:sz w:val="24"/>
          <w:szCs w:val="24"/>
        </w:rPr>
        <w:t xml:space="preserve">, H. and </w:t>
      </w:r>
      <w:proofErr w:type="spellStart"/>
      <w:r w:rsidRPr="00A1779B">
        <w:rPr>
          <w:rFonts w:ascii="Arial" w:hAnsi="Arial" w:cs="Arial"/>
          <w:sz w:val="24"/>
          <w:szCs w:val="24"/>
        </w:rPr>
        <w:t>Syahruni</w:t>
      </w:r>
      <w:proofErr w:type="spellEnd"/>
      <w:r w:rsidRPr="00A1779B">
        <w:rPr>
          <w:rFonts w:ascii="Arial" w:hAnsi="Arial" w:cs="Arial"/>
          <w:sz w:val="24"/>
          <w:szCs w:val="24"/>
        </w:rPr>
        <w:t>, A., 2021. The influence of information technology, human resources competency, and employee engagement on the performance of employees. Golden Ratio of Human Resource Management, 1(1), pp.01-12.</w:t>
      </w:r>
    </w:p>
    <w:p w14:paraId="569EB632" w14:textId="77777777" w:rsidR="00EE7C74" w:rsidRPr="00A1779B" w:rsidRDefault="00EE7C74" w:rsidP="00A1779B">
      <w:pPr>
        <w:spacing w:line="360" w:lineRule="auto"/>
        <w:ind w:left="720" w:hanging="720"/>
        <w:jc w:val="both"/>
        <w:rPr>
          <w:rFonts w:ascii="Arial" w:hAnsi="Arial" w:cs="Arial"/>
          <w:sz w:val="24"/>
          <w:szCs w:val="24"/>
        </w:rPr>
      </w:pPr>
      <w:proofErr w:type="spellStart"/>
      <w:r w:rsidRPr="00A1779B">
        <w:rPr>
          <w:rFonts w:ascii="Arial" w:hAnsi="Arial" w:cs="Arial"/>
          <w:sz w:val="24"/>
          <w:szCs w:val="24"/>
        </w:rPr>
        <w:t>Hussainy</w:t>
      </w:r>
      <w:proofErr w:type="spellEnd"/>
      <w:r w:rsidRPr="00A1779B">
        <w:rPr>
          <w:rFonts w:ascii="Arial" w:hAnsi="Arial" w:cs="Arial"/>
          <w:sz w:val="24"/>
          <w:szCs w:val="24"/>
        </w:rPr>
        <w:t>, S.S., 2020. Review of motivational theories &amp; models: Its application for employee retention in organizations. International Journal of Business and Applied Social Science, 6(1), pp.40-46.</w:t>
      </w:r>
    </w:p>
    <w:p w14:paraId="21C08E48"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t xml:space="preserve">Jain, S., Jain, S. and </w:t>
      </w:r>
      <w:proofErr w:type="spellStart"/>
      <w:r w:rsidRPr="00A1779B">
        <w:rPr>
          <w:rFonts w:ascii="Arial" w:hAnsi="Arial" w:cs="Arial"/>
          <w:sz w:val="24"/>
          <w:szCs w:val="24"/>
        </w:rPr>
        <w:t>Upadhayay</w:t>
      </w:r>
      <w:proofErr w:type="spellEnd"/>
      <w:r w:rsidRPr="00A1779B">
        <w:rPr>
          <w:rFonts w:ascii="Arial" w:hAnsi="Arial" w:cs="Arial"/>
          <w:sz w:val="24"/>
          <w:szCs w:val="24"/>
        </w:rPr>
        <w:t>, A.A., 2022. Team Global Logistics Pvt Ltd: driving employee engagement through employee empowerment. International Journal of Indian Culture and Business Management, 26(3), pp.287-308.</w:t>
      </w:r>
    </w:p>
    <w:p w14:paraId="731F2C21"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lastRenderedPageBreak/>
        <w:t>Kroll, A., DeHart-Davis, L. and Vogel, D., 2019. Mechanisms of social capital in organizations: how team cognition influences employee commitment and engagement. The American Review of Public Administration, 49(7), pp.777-791.</w:t>
      </w:r>
    </w:p>
    <w:p w14:paraId="0DECF53D"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t>Kwon, K. and Kim, T., 2020. An integrative literature review of employee engagement and innovative behavior: Revisiting the JD-R model. Human Resource Management Review, 30(2), p.100704.</w:t>
      </w:r>
    </w:p>
    <w:p w14:paraId="5688D364"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t>Kwon, K. and Park, J., 2019. The life cycle of employee engagement theory in HRD research. Advances in Developing Human Resources, 21(3), pp.352-370.</w:t>
      </w:r>
    </w:p>
    <w:p w14:paraId="5A227FF0"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t>Lee, J.Y., Rocco, T.S. and Shuck, B., 2020. What is a resource: Toward a taxonomy of resources for employee engagement. Human Resource Development Review, 19(1), pp.5-38.</w:t>
      </w:r>
    </w:p>
    <w:p w14:paraId="78930781"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t xml:space="preserve">Li, P., Sun, J.M., Taris, T.W., Xing, L. and </w:t>
      </w:r>
      <w:proofErr w:type="spellStart"/>
      <w:r w:rsidRPr="00A1779B">
        <w:rPr>
          <w:rFonts w:ascii="Arial" w:hAnsi="Arial" w:cs="Arial"/>
          <w:sz w:val="24"/>
          <w:szCs w:val="24"/>
        </w:rPr>
        <w:t>Peeters</w:t>
      </w:r>
      <w:proofErr w:type="spellEnd"/>
      <w:r w:rsidRPr="00A1779B">
        <w:rPr>
          <w:rFonts w:ascii="Arial" w:hAnsi="Arial" w:cs="Arial"/>
          <w:sz w:val="24"/>
          <w:szCs w:val="24"/>
        </w:rPr>
        <w:t>, M.C., 2021. Country differences in the relationship between leadership and employee engagement: A meta-analysis. The Leadership Quarterly, 32(1), p.101458.</w:t>
      </w:r>
    </w:p>
    <w:p w14:paraId="3B93E097"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t xml:space="preserve">Mowbray, P.K., Wilkinson, A. and </w:t>
      </w:r>
      <w:proofErr w:type="spellStart"/>
      <w:r w:rsidRPr="00A1779B">
        <w:rPr>
          <w:rFonts w:ascii="Arial" w:hAnsi="Arial" w:cs="Arial"/>
          <w:sz w:val="24"/>
          <w:szCs w:val="24"/>
        </w:rPr>
        <w:t>Tse</w:t>
      </w:r>
      <w:proofErr w:type="spellEnd"/>
      <w:r w:rsidRPr="00A1779B">
        <w:rPr>
          <w:rFonts w:ascii="Arial" w:hAnsi="Arial" w:cs="Arial"/>
          <w:sz w:val="24"/>
          <w:szCs w:val="24"/>
        </w:rPr>
        <w:t>, H.H., 2021. High-performance work systems and employee voice behavior: An integrated model and research agenda. Personnel Review, 50(6), pp.1530-1543.</w:t>
      </w:r>
    </w:p>
    <w:p w14:paraId="331BDD18" w14:textId="77777777" w:rsidR="00EE7C74" w:rsidRPr="00A1779B" w:rsidRDefault="00EE7C74" w:rsidP="00A1779B">
      <w:pPr>
        <w:spacing w:line="360" w:lineRule="auto"/>
        <w:ind w:left="720" w:hanging="720"/>
        <w:jc w:val="both"/>
        <w:rPr>
          <w:rFonts w:ascii="Arial" w:hAnsi="Arial" w:cs="Arial"/>
          <w:sz w:val="24"/>
          <w:szCs w:val="24"/>
        </w:rPr>
      </w:pPr>
      <w:proofErr w:type="spellStart"/>
      <w:r w:rsidRPr="00A1779B">
        <w:rPr>
          <w:rFonts w:ascii="Arial" w:hAnsi="Arial" w:cs="Arial"/>
          <w:sz w:val="24"/>
          <w:szCs w:val="24"/>
        </w:rPr>
        <w:t>Nasution</w:t>
      </w:r>
      <w:proofErr w:type="spellEnd"/>
      <w:r w:rsidRPr="00A1779B">
        <w:rPr>
          <w:rFonts w:ascii="Arial" w:hAnsi="Arial" w:cs="Arial"/>
          <w:sz w:val="24"/>
          <w:szCs w:val="24"/>
        </w:rPr>
        <w:t xml:space="preserve">, H. and </w:t>
      </w:r>
      <w:proofErr w:type="spellStart"/>
      <w:r w:rsidRPr="00A1779B">
        <w:rPr>
          <w:rFonts w:ascii="Arial" w:hAnsi="Arial" w:cs="Arial"/>
          <w:sz w:val="24"/>
          <w:szCs w:val="24"/>
        </w:rPr>
        <w:t>Absah</w:t>
      </w:r>
      <w:proofErr w:type="spellEnd"/>
      <w:r w:rsidRPr="00A1779B">
        <w:rPr>
          <w:rFonts w:ascii="Arial" w:hAnsi="Arial" w:cs="Arial"/>
          <w:sz w:val="24"/>
          <w:szCs w:val="24"/>
        </w:rPr>
        <w:t>, Y., 2019, October. Effective Employee Engagement Using SWOT Analysis. In 2019 International Conference on Organizational Innovation (ICOI 2019) (pp. 336-340). Atlantis Press.</w:t>
      </w:r>
    </w:p>
    <w:p w14:paraId="4EFDAC32"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t>Osborne, S. and Hammoud, M.S., 2017. Effective employee engagement in the workplace. International Journal of Applied Management and Technology, 16(1), p.4.</w:t>
      </w:r>
    </w:p>
    <w:p w14:paraId="74C3E921" w14:textId="77777777" w:rsidR="00EE7C74" w:rsidRPr="00A1779B" w:rsidRDefault="00EE7C74" w:rsidP="00A1779B">
      <w:pPr>
        <w:spacing w:line="360" w:lineRule="auto"/>
        <w:ind w:left="720" w:hanging="720"/>
        <w:jc w:val="both"/>
        <w:rPr>
          <w:rFonts w:ascii="Arial" w:hAnsi="Arial" w:cs="Arial"/>
          <w:sz w:val="24"/>
          <w:szCs w:val="24"/>
        </w:rPr>
      </w:pPr>
      <w:proofErr w:type="spellStart"/>
      <w:r w:rsidRPr="00A1779B">
        <w:rPr>
          <w:rFonts w:ascii="Arial" w:hAnsi="Arial" w:cs="Arial"/>
          <w:sz w:val="24"/>
          <w:szCs w:val="24"/>
        </w:rPr>
        <w:t>Riyanto</w:t>
      </w:r>
      <w:proofErr w:type="spellEnd"/>
      <w:r w:rsidRPr="00A1779B">
        <w:rPr>
          <w:rFonts w:ascii="Arial" w:hAnsi="Arial" w:cs="Arial"/>
          <w:sz w:val="24"/>
          <w:szCs w:val="24"/>
        </w:rPr>
        <w:t xml:space="preserve">, S., </w:t>
      </w:r>
      <w:proofErr w:type="spellStart"/>
      <w:r w:rsidRPr="00A1779B">
        <w:rPr>
          <w:rFonts w:ascii="Arial" w:hAnsi="Arial" w:cs="Arial"/>
          <w:sz w:val="24"/>
          <w:szCs w:val="24"/>
        </w:rPr>
        <w:t>Endri</w:t>
      </w:r>
      <w:proofErr w:type="spellEnd"/>
      <w:r w:rsidRPr="00A1779B">
        <w:rPr>
          <w:rFonts w:ascii="Arial" w:hAnsi="Arial" w:cs="Arial"/>
          <w:sz w:val="24"/>
          <w:szCs w:val="24"/>
        </w:rPr>
        <w:t xml:space="preserve">, E. and </w:t>
      </w:r>
      <w:proofErr w:type="spellStart"/>
      <w:r w:rsidRPr="00A1779B">
        <w:rPr>
          <w:rFonts w:ascii="Arial" w:hAnsi="Arial" w:cs="Arial"/>
          <w:sz w:val="24"/>
          <w:szCs w:val="24"/>
        </w:rPr>
        <w:t>Herlisha</w:t>
      </w:r>
      <w:proofErr w:type="spellEnd"/>
      <w:r w:rsidRPr="00A1779B">
        <w:rPr>
          <w:rFonts w:ascii="Arial" w:hAnsi="Arial" w:cs="Arial"/>
          <w:sz w:val="24"/>
          <w:szCs w:val="24"/>
        </w:rPr>
        <w:t>, N., 2021. Effect of work motivation and job satisfaction on employee performance: Mediating role of employee engagement. Problems and Perspectives in Management, 19(3), p.162.</w:t>
      </w:r>
    </w:p>
    <w:p w14:paraId="1AD39791"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t>Saks, A.M., 2022. Caring for human resources management and employee engagement. Human Resource Management Review, 32(3), p.100835.</w:t>
      </w:r>
    </w:p>
    <w:p w14:paraId="426A63D3"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lastRenderedPageBreak/>
        <w:t xml:space="preserve">Sun, L. and </w:t>
      </w:r>
      <w:proofErr w:type="spellStart"/>
      <w:r w:rsidRPr="00A1779B">
        <w:rPr>
          <w:rFonts w:ascii="Arial" w:hAnsi="Arial" w:cs="Arial"/>
          <w:sz w:val="24"/>
          <w:szCs w:val="24"/>
        </w:rPr>
        <w:t>Bunchapattanasakda</w:t>
      </w:r>
      <w:proofErr w:type="spellEnd"/>
      <w:r w:rsidRPr="00A1779B">
        <w:rPr>
          <w:rFonts w:ascii="Arial" w:hAnsi="Arial" w:cs="Arial"/>
          <w:sz w:val="24"/>
          <w:szCs w:val="24"/>
        </w:rPr>
        <w:t>, C., 2019. Employee engagement: A literature review. International Journal of Human Resource Studies, 9(1), pp.63-80.</w:t>
      </w:r>
    </w:p>
    <w:p w14:paraId="068480CE" w14:textId="77777777" w:rsidR="00EE7C74" w:rsidRPr="00A1779B" w:rsidRDefault="00EE7C74" w:rsidP="00A1779B">
      <w:pPr>
        <w:spacing w:line="360" w:lineRule="auto"/>
        <w:ind w:left="720" w:hanging="720"/>
        <w:jc w:val="both"/>
        <w:rPr>
          <w:rFonts w:ascii="Arial" w:hAnsi="Arial" w:cs="Arial"/>
          <w:sz w:val="24"/>
          <w:szCs w:val="24"/>
        </w:rPr>
      </w:pPr>
      <w:r w:rsidRPr="00A1779B">
        <w:rPr>
          <w:rFonts w:ascii="Arial" w:hAnsi="Arial" w:cs="Arial"/>
          <w:sz w:val="24"/>
          <w:szCs w:val="24"/>
        </w:rPr>
        <w:t>Turner, P. and Turner, P., 2020. What Is Employee Engagement? (pp. 27-56). Springer International Publishing.</w:t>
      </w:r>
    </w:p>
    <w:p w14:paraId="244E0893" w14:textId="77777777" w:rsidR="00EE7C74" w:rsidRPr="00A1779B" w:rsidRDefault="00EE7C74" w:rsidP="00A1779B">
      <w:pPr>
        <w:spacing w:line="360" w:lineRule="auto"/>
        <w:ind w:left="720" w:hanging="720"/>
        <w:jc w:val="both"/>
        <w:rPr>
          <w:rFonts w:ascii="Arial" w:hAnsi="Arial" w:cs="Arial"/>
          <w:sz w:val="24"/>
          <w:szCs w:val="24"/>
        </w:rPr>
      </w:pPr>
      <w:proofErr w:type="spellStart"/>
      <w:r w:rsidRPr="00A1779B">
        <w:rPr>
          <w:rFonts w:ascii="Arial" w:hAnsi="Arial" w:cs="Arial"/>
          <w:sz w:val="24"/>
          <w:szCs w:val="24"/>
        </w:rPr>
        <w:t>Verčič</w:t>
      </w:r>
      <w:proofErr w:type="spellEnd"/>
      <w:r w:rsidRPr="00A1779B">
        <w:rPr>
          <w:rFonts w:ascii="Arial" w:hAnsi="Arial" w:cs="Arial"/>
          <w:sz w:val="24"/>
          <w:szCs w:val="24"/>
        </w:rPr>
        <w:t>, A.T., 2021. The impact of employee engagement, organizational support, and employer branding on internal communication satisfaction. Public Relations Review, 47(1), p.102009.</w:t>
      </w:r>
    </w:p>
    <w:p w14:paraId="60ABA98C" w14:textId="77777777" w:rsidR="00EE7C74" w:rsidRPr="00A1779B" w:rsidRDefault="00EE7C74" w:rsidP="00A1779B">
      <w:pPr>
        <w:spacing w:line="360" w:lineRule="auto"/>
        <w:ind w:firstLine="720"/>
        <w:jc w:val="both"/>
        <w:rPr>
          <w:rFonts w:ascii="Arial" w:hAnsi="Arial" w:cs="Arial"/>
          <w:sz w:val="24"/>
          <w:szCs w:val="24"/>
        </w:rPr>
      </w:pPr>
    </w:p>
    <w:sectPr w:rsidR="00EE7C74" w:rsidRPr="00A1779B">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DD4B5" w14:textId="77777777" w:rsidR="0091571F" w:rsidRDefault="0091571F" w:rsidP="00EE7C74">
      <w:pPr>
        <w:spacing w:after="0" w:line="240" w:lineRule="auto"/>
      </w:pPr>
      <w:r>
        <w:separator/>
      </w:r>
    </w:p>
  </w:endnote>
  <w:endnote w:type="continuationSeparator" w:id="0">
    <w:p w14:paraId="220BA206" w14:textId="77777777" w:rsidR="0091571F" w:rsidRDefault="0091571F" w:rsidP="00EE7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55D6F" w14:textId="77777777" w:rsidR="00EE7C74" w:rsidRDefault="00EE7C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E8907" w14:textId="77777777" w:rsidR="00EE7C74" w:rsidRDefault="00EE7C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B64CB" w14:textId="77777777" w:rsidR="00EE7C74" w:rsidRDefault="00EE7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5E781" w14:textId="77777777" w:rsidR="0091571F" w:rsidRDefault="0091571F" w:rsidP="00EE7C74">
      <w:pPr>
        <w:spacing w:after="0" w:line="240" w:lineRule="auto"/>
      </w:pPr>
      <w:r>
        <w:separator/>
      </w:r>
    </w:p>
  </w:footnote>
  <w:footnote w:type="continuationSeparator" w:id="0">
    <w:p w14:paraId="4EE068CD" w14:textId="77777777" w:rsidR="0091571F" w:rsidRDefault="0091571F" w:rsidP="00EE7C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78ADB" w14:textId="77777777" w:rsidR="00EE7C74" w:rsidRDefault="00EE7C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40054358"/>
      <w:docPartObj>
        <w:docPartGallery w:val="Page Numbers (Top of Page)"/>
        <w:docPartUnique/>
      </w:docPartObj>
    </w:sdtPr>
    <w:sdtEndPr>
      <w:rPr>
        <w:noProof/>
      </w:rPr>
    </w:sdtEndPr>
    <w:sdtContent>
      <w:p w14:paraId="2AAB861C" w14:textId="77777777" w:rsidR="00EE7C74" w:rsidRPr="00EE7C74" w:rsidRDefault="00EE7C74" w:rsidP="00EE7C74">
        <w:pPr>
          <w:pStyle w:val="Header"/>
          <w:jc w:val="right"/>
          <w:rPr>
            <w:rFonts w:ascii="Times New Roman" w:hAnsi="Times New Roman" w:cs="Times New Roman"/>
            <w:sz w:val="24"/>
            <w:szCs w:val="24"/>
          </w:rPr>
        </w:pPr>
        <w:r w:rsidRPr="00EE7C74">
          <w:rPr>
            <w:rFonts w:ascii="Times New Roman" w:hAnsi="Times New Roman" w:cs="Times New Roman"/>
            <w:sz w:val="24"/>
            <w:szCs w:val="24"/>
          </w:rPr>
          <w:fldChar w:fldCharType="begin"/>
        </w:r>
        <w:r w:rsidRPr="00EE7C74">
          <w:rPr>
            <w:rFonts w:ascii="Times New Roman" w:hAnsi="Times New Roman" w:cs="Times New Roman"/>
            <w:sz w:val="24"/>
            <w:szCs w:val="24"/>
          </w:rPr>
          <w:instrText xml:space="preserve"> PAGE   \* MERGEFORMAT </w:instrText>
        </w:r>
        <w:r w:rsidRPr="00EE7C74">
          <w:rPr>
            <w:rFonts w:ascii="Times New Roman" w:hAnsi="Times New Roman" w:cs="Times New Roman"/>
            <w:sz w:val="24"/>
            <w:szCs w:val="24"/>
          </w:rPr>
          <w:fldChar w:fldCharType="separate"/>
        </w:r>
        <w:r w:rsidRPr="00EE7C74">
          <w:rPr>
            <w:rFonts w:ascii="Times New Roman" w:hAnsi="Times New Roman" w:cs="Times New Roman"/>
            <w:noProof/>
            <w:sz w:val="24"/>
            <w:szCs w:val="24"/>
          </w:rPr>
          <w:t>2</w:t>
        </w:r>
        <w:r w:rsidRPr="00EE7C74">
          <w:rPr>
            <w:rFonts w:ascii="Times New Roman" w:hAnsi="Times New Roman" w:cs="Times New Roman"/>
            <w:noProof/>
            <w:sz w:val="24"/>
            <w:szCs w:val="24"/>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038C1" w14:textId="77777777" w:rsidR="00EE7C74" w:rsidRDefault="00EE7C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QzMTW0MDEwNzIxNzNT0lEKTi0uzszPAykwrAUAOIKFJiwAAAA="/>
  </w:docVars>
  <w:rsids>
    <w:rsidRoot w:val="00C2426F"/>
    <w:rsid w:val="00083461"/>
    <w:rsid w:val="00192684"/>
    <w:rsid w:val="004B39A0"/>
    <w:rsid w:val="0088676A"/>
    <w:rsid w:val="008F4C61"/>
    <w:rsid w:val="0091571F"/>
    <w:rsid w:val="00A1779B"/>
    <w:rsid w:val="00BA56F2"/>
    <w:rsid w:val="00BD3B37"/>
    <w:rsid w:val="00C07E14"/>
    <w:rsid w:val="00C2426F"/>
    <w:rsid w:val="00D77CF6"/>
    <w:rsid w:val="00D81AE5"/>
    <w:rsid w:val="00E53AC3"/>
    <w:rsid w:val="00EE7C74"/>
    <w:rsid w:val="00F44A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303DC"/>
  <w15:chartTrackingRefBased/>
  <w15:docId w15:val="{077667E6-1510-42F1-A69E-E89C1EA53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7C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7C74"/>
  </w:style>
  <w:style w:type="paragraph" w:styleId="Footer">
    <w:name w:val="footer"/>
    <w:basedOn w:val="Normal"/>
    <w:link w:val="FooterChar"/>
    <w:uiPriority w:val="99"/>
    <w:unhideWhenUsed/>
    <w:rsid w:val="00EE7C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7C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289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1278</TotalTime>
  <Pages>10</Pages>
  <Words>2627</Words>
  <Characters>14978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dc:creator>
  <cp:keywords/>
  <dc:description/>
  <cp:lastModifiedBy>Alexandru Calin (2121885)</cp:lastModifiedBy>
  <cp:revision>4</cp:revision>
  <dcterms:created xsi:type="dcterms:W3CDTF">2023-01-31T13:26:00Z</dcterms:created>
  <dcterms:modified xsi:type="dcterms:W3CDTF">2023-02-04T15:30:00Z</dcterms:modified>
</cp:coreProperties>
</file>