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5A48A" w14:textId="7D9CDBD2" w:rsidR="00AB3CFE" w:rsidRDefault="00AB3CFE" w:rsidP="4566540D">
      <w:pPr>
        <w:jc w:val="center"/>
        <w:rPr>
          <w:rFonts w:ascii="Arial" w:eastAsia="Arial" w:hAnsi="Arial" w:cs="Arial"/>
        </w:rPr>
      </w:pPr>
    </w:p>
    <w:p w14:paraId="02948412" w14:textId="19BFEC34" w:rsidR="00AB3CFE" w:rsidRDefault="00AB3CFE" w:rsidP="4566540D">
      <w:pPr>
        <w:jc w:val="center"/>
        <w:rPr>
          <w:rFonts w:ascii="Arial" w:eastAsia="Arial" w:hAnsi="Arial" w:cs="Arial"/>
        </w:rPr>
      </w:pPr>
    </w:p>
    <w:p w14:paraId="28BF9173" w14:textId="555B54BC" w:rsidR="00AB3CFE" w:rsidRDefault="00AB3CFE" w:rsidP="4566540D">
      <w:pPr>
        <w:jc w:val="center"/>
        <w:rPr>
          <w:rFonts w:ascii="Arial" w:eastAsia="Arial" w:hAnsi="Arial" w:cs="Arial"/>
        </w:rPr>
      </w:pPr>
    </w:p>
    <w:p w14:paraId="3CC06574" w14:textId="36F3452C" w:rsidR="00AB3CFE" w:rsidRDefault="00AB3CFE" w:rsidP="4566540D">
      <w:pPr>
        <w:jc w:val="center"/>
        <w:rPr>
          <w:rFonts w:ascii="Arial" w:eastAsia="Arial" w:hAnsi="Arial" w:cs="Arial"/>
        </w:rPr>
      </w:pPr>
    </w:p>
    <w:p w14:paraId="00A942FC" w14:textId="5BA4BF35" w:rsidR="00AB3CFE" w:rsidRDefault="00AB3CFE" w:rsidP="4566540D">
      <w:pPr>
        <w:jc w:val="center"/>
        <w:rPr>
          <w:rFonts w:ascii="Arial" w:eastAsia="Arial" w:hAnsi="Arial" w:cs="Arial"/>
        </w:rPr>
      </w:pPr>
    </w:p>
    <w:p w14:paraId="43C071DD" w14:textId="400AD96C" w:rsidR="00AB3CFE" w:rsidRDefault="4BFA5EF5" w:rsidP="6311CB48">
      <w:pPr>
        <w:spacing w:line="480" w:lineRule="auto"/>
        <w:jc w:val="center"/>
        <w:rPr>
          <w:rFonts w:ascii="Arial" w:eastAsia="Arial" w:hAnsi="Arial" w:cs="Arial"/>
        </w:rPr>
      </w:pPr>
      <w:r w:rsidRPr="6311CB48">
        <w:rPr>
          <w:rFonts w:ascii="Arial" w:eastAsia="Arial" w:hAnsi="Arial" w:cs="Arial"/>
          <w:u w:val="single"/>
        </w:rPr>
        <w:t>University of Wales Trinity St David</w:t>
      </w:r>
    </w:p>
    <w:p w14:paraId="2DA6D66F" w14:textId="3C8BB385" w:rsidR="00AB3CFE" w:rsidRDefault="4BFA5EF5" w:rsidP="6311CB48">
      <w:pPr>
        <w:spacing w:line="480" w:lineRule="auto"/>
        <w:jc w:val="center"/>
        <w:rPr>
          <w:rFonts w:ascii="Arial" w:eastAsia="Arial" w:hAnsi="Arial" w:cs="Arial"/>
        </w:rPr>
      </w:pPr>
      <w:r w:rsidRPr="6311CB48">
        <w:rPr>
          <w:rFonts w:ascii="Arial" w:eastAsia="Arial" w:hAnsi="Arial" w:cs="Arial"/>
        </w:rPr>
        <w:t xml:space="preserve">Programme: MSc Policing (Operational &amp; Strategic Leadership) </w:t>
      </w:r>
    </w:p>
    <w:p w14:paraId="5EA0AF1C" w14:textId="15E8C225" w:rsidR="00AB3CFE" w:rsidRDefault="4BFA5EF5" w:rsidP="6311CB48">
      <w:pPr>
        <w:spacing w:line="480" w:lineRule="auto"/>
        <w:jc w:val="center"/>
        <w:rPr>
          <w:rFonts w:ascii="Arial" w:eastAsia="Arial" w:hAnsi="Arial" w:cs="Arial"/>
        </w:rPr>
      </w:pPr>
      <w:r w:rsidRPr="6311CB48">
        <w:rPr>
          <w:rFonts w:ascii="Arial" w:eastAsia="Arial" w:hAnsi="Arial" w:cs="Arial"/>
        </w:rPr>
        <w:t xml:space="preserve">Assignment: </w:t>
      </w:r>
      <w:r w:rsidR="0E0C0982" w:rsidRPr="6311CB48">
        <w:rPr>
          <w:rFonts w:ascii="Arial" w:eastAsia="Arial" w:hAnsi="Arial" w:cs="Arial"/>
        </w:rPr>
        <w:t xml:space="preserve">Strategic Management in Policing </w:t>
      </w:r>
    </w:p>
    <w:p w14:paraId="176A92ED" w14:textId="2C2EF0D6" w:rsidR="00AB3CFE" w:rsidRDefault="4BFA5EF5" w:rsidP="6311CB48">
      <w:pPr>
        <w:spacing w:line="480" w:lineRule="auto"/>
        <w:jc w:val="center"/>
        <w:rPr>
          <w:rFonts w:ascii="Arial" w:eastAsia="Arial" w:hAnsi="Arial" w:cs="Arial"/>
        </w:rPr>
      </w:pPr>
      <w:r w:rsidRPr="6311CB48">
        <w:rPr>
          <w:rFonts w:ascii="Arial" w:eastAsia="Arial" w:hAnsi="Arial" w:cs="Arial"/>
        </w:rPr>
        <w:t>Course code: BMPO700</w:t>
      </w:r>
      <w:r w:rsidR="6A848602" w:rsidRPr="6311CB48">
        <w:rPr>
          <w:rFonts w:ascii="Arial" w:eastAsia="Arial" w:hAnsi="Arial" w:cs="Arial"/>
        </w:rPr>
        <w:t>4D</w:t>
      </w:r>
    </w:p>
    <w:p w14:paraId="25148EA1" w14:textId="0D2A7C65" w:rsidR="00AB3CFE" w:rsidRDefault="00AB3CFE" w:rsidP="4566540D">
      <w:pPr>
        <w:jc w:val="center"/>
        <w:rPr>
          <w:rFonts w:ascii="Arial" w:eastAsia="Arial" w:hAnsi="Arial" w:cs="Arial"/>
        </w:rPr>
      </w:pPr>
    </w:p>
    <w:p w14:paraId="152C48D4" w14:textId="7AEA78F1" w:rsidR="00AB3CFE" w:rsidRDefault="00AB3CFE" w:rsidP="4566540D">
      <w:pPr>
        <w:jc w:val="center"/>
        <w:rPr>
          <w:rFonts w:ascii="Arial" w:eastAsia="Arial" w:hAnsi="Arial" w:cs="Arial"/>
        </w:rPr>
      </w:pPr>
    </w:p>
    <w:p w14:paraId="3300DDCA" w14:textId="6AC1337D" w:rsidR="00AB3CFE" w:rsidRDefault="00AB3CFE" w:rsidP="4566540D">
      <w:pPr>
        <w:jc w:val="center"/>
        <w:rPr>
          <w:rFonts w:ascii="Arial" w:eastAsia="Arial" w:hAnsi="Arial" w:cs="Arial"/>
        </w:rPr>
      </w:pPr>
    </w:p>
    <w:p w14:paraId="36463673" w14:textId="7E379995" w:rsidR="00AB3CFE" w:rsidRDefault="00AB3CFE" w:rsidP="4566540D">
      <w:pPr>
        <w:jc w:val="center"/>
        <w:rPr>
          <w:rFonts w:ascii="Arial" w:eastAsia="Arial" w:hAnsi="Arial" w:cs="Arial"/>
        </w:rPr>
      </w:pPr>
    </w:p>
    <w:p w14:paraId="2F785E72" w14:textId="6AA52F45" w:rsidR="00AB3CFE" w:rsidRDefault="00AB3CFE" w:rsidP="4566540D">
      <w:pPr>
        <w:jc w:val="center"/>
        <w:rPr>
          <w:rFonts w:ascii="Arial" w:eastAsia="Arial" w:hAnsi="Arial" w:cs="Arial"/>
        </w:rPr>
      </w:pPr>
    </w:p>
    <w:p w14:paraId="71C643F0" w14:textId="4333202B" w:rsidR="00AB3CFE" w:rsidRDefault="00AB3CFE" w:rsidP="4566540D">
      <w:pPr>
        <w:jc w:val="center"/>
        <w:rPr>
          <w:rFonts w:ascii="Arial" w:eastAsia="Arial" w:hAnsi="Arial" w:cs="Arial"/>
        </w:rPr>
      </w:pPr>
    </w:p>
    <w:p w14:paraId="609AFD8C" w14:textId="4D037DE2" w:rsidR="00AB3CFE" w:rsidRDefault="00AB3CFE" w:rsidP="4566540D">
      <w:pPr>
        <w:jc w:val="center"/>
        <w:rPr>
          <w:rFonts w:ascii="Arial" w:eastAsia="Arial" w:hAnsi="Arial" w:cs="Arial"/>
        </w:rPr>
      </w:pPr>
    </w:p>
    <w:p w14:paraId="02FD7755" w14:textId="2E4ABB38" w:rsidR="00AB3CFE" w:rsidRDefault="00AB3CFE" w:rsidP="4566540D">
      <w:pPr>
        <w:jc w:val="center"/>
        <w:rPr>
          <w:rFonts w:ascii="Arial" w:eastAsia="Arial" w:hAnsi="Arial" w:cs="Arial"/>
        </w:rPr>
      </w:pPr>
    </w:p>
    <w:p w14:paraId="58924766" w14:textId="49335921" w:rsidR="00AB3CFE" w:rsidRDefault="00AB3CFE" w:rsidP="4566540D">
      <w:pPr>
        <w:jc w:val="center"/>
        <w:rPr>
          <w:rFonts w:ascii="Arial" w:eastAsia="Arial" w:hAnsi="Arial" w:cs="Arial"/>
        </w:rPr>
      </w:pPr>
    </w:p>
    <w:p w14:paraId="200C2EE8" w14:textId="7D5968B1" w:rsidR="00AB3CFE" w:rsidRDefault="00AB3CFE" w:rsidP="4566540D">
      <w:pPr>
        <w:jc w:val="center"/>
        <w:rPr>
          <w:rFonts w:ascii="Arial" w:eastAsia="Arial" w:hAnsi="Arial" w:cs="Arial"/>
        </w:rPr>
      </w:pPr>
    </w:p>
    <w:p w14:paraId="1164B13B" w14:textId="69F64291" w:rsidR="00AB3CFE" w:rsidRDefault="00AB3CFE" w:rsidP="4566540D">
      <w:pPr>
        <w:jc w:val="center"/>
        <w:rPr>
          <w:rFonts w:ascii="Arial" w:eastAsia="Arial" w:hAnsi="Arial" w:cs="Arial"/>
        </w:rPr>
      </w:pPr>
    </w:p>
    <w:p w14:paraId="351876BD" w14:textId="111ABBEA" w:rsidR="00AB3CFE" w:rsidRDefault="00AB3CFE" w:rsidP="4566540D">
      <w:pPr>
        <w:jc w:val="right"/>
        <w:rPr>
          <w:rFonts w:ascii="Arial" w:eastAsia="Arial" w:hAnsi="Arial" w:cs="Arial"/>
        </w:rPr>
      </w:pPr>
    </w:p>
    <w:p w14:paraId="619D6F06" w14:textId="7092C0C4" w:rsidR="00AB3CFE" w:rsidRDefault="00AB3CFE" w:rsidP="4566540D">
      <w:pPr>
        <w:jc w:val="right"/>
        <w:rPr>
          <w:rFonts w:ascii="Arial" w:eastAsia="Arial" w:hAnsi="Arial" w:cs="Arial"/>
        </w:rPr>
      </w:pPr>
    </w:p>
    <w:p w14:paraId="0F415F71" w14:textId="79905897" w:rsidR="00AB3CFE" w:rsidRDefault="00AB3CFE" w:rsidP="4566540D">
      <w:pPr>
        <w:jc w:val="right"/>
        <w:rPr>
          <w:rFonts w:ascii="Arial" w:eastAsia="Arial" w:hAnsi="Arial" w:cs="Arial"/>
        </w:rPr>
      </w:pPr>
    </w:p>
    <w:p w14:paraId="59F27F89" w14:textId="5C42117E" w:rsidR="00AB3CFE" w:rsidRDefault="00AB3CFE" w:rsidP="4566540D">
      <w:pPr>
        <w:jc w:val="right"/>
        <w:rPr>
          <w:rFonts w:ascii="Arial" w:eastAsia="Arial" w:hAnsi="Arial" w:cs="Arial"/>
        </w:rPr>
      </w:pPr>
    </w:p>
    <w:p w14:paraId="6876E42E" w14:textId="11650D30" w:rsidR="00AB3CFE" w:rsidRDefault="00AB3CFE" w:rsidP="4566540D">
      <w:pPr>
        <w:jc w:val="right"/>
        <w:rPr>
          <w:rFonts w:ascii="Arial" w:eastAsia="Arial" w:hAnsi="Arial" w:cs="Arial"/>
        </w:rPr>
      </w:pPr>
    </w:p>
    <w:p w14:paraId="4BF10C08" w14:textId="51C27332" w:rsidR="00AB3CFE" w:rsidRDefault="4BFA5EF5" w:rsidP="6311CB48">
      <w:pPr>
        <w:jc w:val="right"/>
        <w:rPr>
          <w:rFonts w:ascii="Arial" w:eastAsia="Arial" w:hAnsi="Arial" w:cs="Arial"/>
        </w:rPr>
      </w:pPr>
      <w:r w:rsidRPr="6311CB48">
        <w:rPr>
          <w:rFonts w:ascii="Arial" w:eastAsia="Arial" w:hAnsi="Arial" w:cs="Arial"/>
        </w:rPr>
        <w:t>Submitted by Katie Hoskins</w:t>
      </w:r>
    </w:p>
    <w:p w14:paraId="7DF2F3B4" w14:textId="77777777" w:rsidR="00C260D9" w:rsidRDefault="4BFA5EF5" w:rsidP="00C260D9">
      <w:pPr>
        <w:spacing w:line="480" w:lineRule="auto"/>
        <w:jc w:val="right"/>
        <w:rPr>
          <w:rFonts w:ascii="Arial" w:eastAsia="Arial" w:hAnsi="Arial" w:cs="Arial"/>
        </w:rPr>
      </w:pPr>
      <w:r w:rsidRPr="6311CB48">
        <w:rPr>
          <w:rFonts w:ascii="Arial" w:eastAsia="Arial" w:hAnsi="Arial" w:cs="Arial"/>
        </w:rPr>
        <w:t>Student Number: 2416452</w:t>
      </w:r>
    </w:p>
    <w:p w14:paraId="145DB965" w14:textId="6C7C2E9C" w:rsidR="0EB0CFED" w:rsidRPr="00C260D9" w:rsidRDefault="594647E1" w:rsidP="00C260D9">
      <w:pPr>
        <w:spacing w:line="360" w:lineRule="auto"/>
        <w:rPr>
          <w:rFonts w:ascii="Arial" w:eastAsia="Arial" w:hAnsi="Arial" w:cs="Arial"/>
          <w:sz w:val="32"/>
          <w:szCs w:val="32"/>
        </w:rPr>
      </w:pPr>
      <w:r w:rsidRPr="00C260D9">
        <w:rPr>
          <w:rFonts w:ascii="Arial" w:eastAsia="Arial" w:hAnsi="Arial" w:cs="Arial"/>
          <w:sz w:val="32"/>
          <w:szCs w:val="32"/>
        </w:rPr>
        <w:lastRenderedPageBreak/>
        <w:t>Contents page</w:t>
      </w:r>
    </w:p>
    <w:sdt>
      <w:sdtPr>
        <w:id w:val="475680394"/>
        <w:docPartObj>
          <w:docPartGallery w:val="Table of Contents"/>
          <w:docPartUnique/>
        </w:docPartObj>
      </w:sdtPr>
      <w:sdtEndPr/>
      <w:sdtContent>
        <w:p w14:paraId="1BFA0A13" w14:textId="4DC48175" w:rsidR="0EB0CFED" w:rsidRPr="00C260D9" w:rsidRDefault="0EB0CFED" w:rsidP="00C260D9">
          <w:pPr>
            <w:pStyle w:val="TOC1"/>
            <w:tabs>
              <w:tab w:val="right" w:leader="dot" w:pos="9015"/>
            </w:tabs>
            <w:spacing w:line="360" w:lineRule="auto"/>
            <w:rPr>
              <w:rFonts w:ascii="Arial" w:hAnsi="Arial" w:cs="Arial"/>
              <w:noProof/>
            </w:rPr>
          </w:pPr>
          <w:r w:rsidRPr="00C260D9">
            <w:rPr>
              <w:rFonts w:ascii="Arial" w:hAnsi="Arial" w:cs="Arial"/>
            </w:rPr>
            <w:fldChar w:fldCharType="begin"/>
          </w:r>
          <w:r w:rsidRPr="00C260D9">
            <w:rPr>
              <w:rFonts w:ascii="Arial" w:hAnsi="Arial" w:cs="Arial"/>
            </w:rPr>
            <w:instrText>TOC \o "1-9" \z \u \h</w:instrText>
          </w:r>
          <w:r w:rsidRPr="00C260D9">
            <w:rPr>
              <w:rFonts w:ascii="Arial" w:hAnsi="Arial" w:cs="Arial"/>
            </w:rPr>
            <w:fldChar w:fldCharType="separate"/>
          </w:r>
          <w:hyperlink w:anchor="_Toc1816058405">
            <w:r w:rsidR="6311CB48" w:rsidRPr="00C260D9">
              <w:rPr>
                <w:rStyle w:val="Hyperlink"/>
                <w:rFonts w:ascii="Arial" w:hAnsi="Arial" w:cs="Arial"/>
                <w:noProof/>
              </w:rPr>
              <w:t>Executive Summary</w:t>
            </w:r>
            <w:r w:rsidRPr="00C260D9">
              <w:rPr>
                <w:rFonts w:ascii="Arial" w:hAnsi="Arial" w:cs="Arial"/>
                <w:noProof/>
              </w:rPr>
              <w:tab/>
            </w:r>
            <w:r w:rsidRPr="00C260D9">
              <w:rPr>
                <w:rFonts w:ascii="Arial" w:hAnsi="Arial" w:cs="Arial"/>
                <w:noProof/>
              </w:rPr>
              <w:fldChar w:fldCharType="begin"/>
            </w:r>
            <w:r w:rsidRPr="00C260D9">
              <w:rPr>
                <w:rFonts w:ascii="Arial" w:hAnsi="Arial" w:cs="Arial"/>
                <w:noProof/>
              </w:rPr>
              <w:instrText>PAGEREF _Toc1816058405 \h</w:instrText>
            </w:r>
            <w:r w:rsidRPr="00C260D9">
              <w:rPr>
                <w:rFonts w:ascii="Arial" w:hAnsi="Arial" w:cs="Arial"/>
                <w:noProof/>
              </w:rPr>
            </w:r>
            <w:r w:rsidRPr="00C260D9">
              <w:rPr>
                <w:rFonts w:ascii="Arial" w:hAnsi="Arial" w:cs="Arial"/>
                <w:noProof/>
              </w:rPr>
              <w:fldChar w:fldCharType="separate"/>
            </w:r>
            <w:r w:rsidR="00437057">
              <w:rPr>
                <w:rFonts w:ascii="Arial" w:hAnsi="Arial" w:cs="Arial"/>
                <w:noProof/>
              </w:rPr>
              <w:t>3</w:t>
            </w:r>
            <w:r w:rsidRPr="00C260D9">
              <w:rPr>
                <w:rFonts w:ascii="Arial" w:hAnsi="Arial" w:cs="Arial"/>
                <w:noProof/>
              </w:rPr>
              <w:fldChar w:fldCharType="end"/>
            </w:r>
          </w:hyperlink>
        </w:p>
        <w:p w14:paraId="2ECFE588" w14:textId="58333047" w:rsidR="0EB0CFED" w:rsidRPr="00C260D9" w:rsidRDefault="6311CB48" w:rsidP="00C260D9">
          <w:pPr>
            <w:pStyle w:val="TOC1"/>
            <w:tabs>
              <w:tab w:val="right" w:leader="dot" w:pos="9015"/>
            </w:tabs>
            <w:spacing w:line="360" w:lineRule="auto"/>
            <w:rPr>
              <w:rFonts w:ascii="Arial" w:hAnsi="Arial" w:cs="Arial"/>
              <w:noProof/>
            </w:rPr>
          </w:pPr>
          <w:hyperlink w:anchor="_Toc2133921199">
            <w:r w:rsidRPr="00C260D9">
              <w:rPr>
                <w:rStyle w:val="Hyperlink"/>
                <w:rFonts w:ascii="Arial" w:hAnsi="Arial" w:cs="Arial"/>
                <w:noProof/>
              </w:rPr>
              <w:t>Introduction</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_Toc2133921199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4</w:t>
            </w:r>
            <w:r w:rsidR="0EB0CFED" w:rsidRPr="00C260D9">
              <w:rPr>
                <w:rFonts w:ascii="Arial" w:hAnsi="Arial" w:cs="Arial"/>
                <w:noProof/>
              </w:rPr>
              <w:fldChar w:fldCharType="end"/>
            </w:r>
          </w:hyperlink>
        </w:p>
        <w:p w14:paraId="4113C5EF" w14:textId="4DA20612" w:rsidR="0EB0CFED" w:rsidRPr="00C260D9" w:rsidRDefault="6311CB48" w:rsidP="00C260D9">
          <w:pPr>
            <w:pStyle w:val="TOC1"/>
            <w:tabs>
              <w:tab w:val="right" w:leader="dot" w:pos="9015"/>
            </w:tabs>
            <w:spacing w:line="360" w:lineRule="auto"/>
            <w:rPr>
              <w:rFonts w:ascii="Arial" w:hAnsi="Arial" w:cs="Arial"/>
              <w:noProof/>
            </w:rPr>
          </w:pPr>
          <w:hyperlink w:anchor="_Toc2100731976">
            <w:r w:rsidRPr="00C260D9">
              <w:rPr>
                <w:rStyle w:val="Hyperlink"/>
                <w:rFonts w:ascii="Arial" w:hAnsi="Arial" w:cs="Arial"/>
                <w:noProof/>
              </w:rPr>
              <w:t>Scope of Strategic Proposal</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_Toc2100731976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6</w:t>
            </w:r>
            <w:r w:rsidR="0EB0CFED" w:rsidRPr="00C260D9">
              <w:rPr>
                <w:rFonts w:ascii="Arial" w:hAnsi="Arial" w:cs="Arial"/>
                <w:noProof/>
              </w:rPr>
              <w:fldChar w:fldCharType="end"/>
            </w:r>
          </w:hyperlink>
        </w:p>
        <w:p w14:paraId="3FA0423D" w14:textId="4A92B3E5" w:rsidR="0EB0CFED" w:rsidRPr="00C260D9" w:rsidRDefault="6311CB48" w:rsidP="00C260D9">
          <w:pPr>
            <w:pStyle w:val="TOC1"/>
            <w:tabs>
              <w:tab w:val="right" w:leader="dot" w:pos="9015"/>
            </w:tabs>
            <w:spacing w:line="360" w:lineRule="auto"/>
            <w:rPr>
              <w:rFonts w:ascii="Arial" w:hAnsi="Arial" w:cs="Arial"/>
              <w:noProof/>
            </w:rPr>
          </w:pPr>
          <w:hyperlink w:anchor="_Toc390473446">
            <w:r w:rsidRPr="00C260D9">
              <w:rPr>
                <w:rStyle w:val="Hyperlink"/>
                <w:rFonts w:ascii="Arial" w:hAnsi="Arial" w:cs="Arial"/>
                <w:noProof/>
              </w:rPr>
              <w:t>Main Findings and Strategic Analysis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_Toc390473446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8</w:t>
            </w:r>
            <w:r w:rsidR="0EB0CFED" w:rsidRPr="00C260D9">
              <w:rPr>
                <w:rFonts w:ascii="Arial" w:hAnsi="Arial" w:cs="Arial"/>
                <w:noProof/>
              </w:rPr>
              <w:fldChar w:fldCharType="end"/>
            </w:r>
          </w:hyperlink>
        </w:p>
        <w:p w14:paraId="50BFBF87" w14:textId="62B1BC8B" w:rsidR="0EB0CFED" w:rsidRPr="00C260D9" w:rsidRDefault="6311CB48" w:rsidP="00C260D9">
          <w:pPr>
            <w:pStyle w:val="TOC2"/>
            <w:tabs>
              <w:tab w:val="right" w:leader="dot" w:pos="9015"/>
            </w:tabs>
            <w:spacing w:line="360" w:lineRule="auto"/>
            <w:rPr>
              <w:rFonts w:ascii="Arial" w:hAnsi="Arial" w:cs="Arial"/>
              <w:noProof/>
            </w:rPr>
          </w:pPr>
          <w:hyperlink w:anchor="_Toc549035209">
            <w:r w:rsidRPr="00C260D9">
              <w:rPr>
                <w:rStyle w:val="Hyperlink"/>
                <w:rFonts w:ascii="Arial" w:hAnsi="Arial" w:cs="Arial"/>
                <w:noProof/>
              </w:rPr>
              <w:t>Strategic Problem Definition</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_Toc549035209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8</w:t>
            </w:r>
            <w:r w:rsidR="0EB0CFED" w:rsidRPr="00C260D9">
              <w:rPr>
                <w:rFonts w:ascii="Arial" w:hAnsi="Arial" w:cs="Arial"/>
                <w:noProof/>
              </w:rPr>
              <w:fldChar w:fldCharType="end"/>
            </w:r>
          </w:hyperlink>
        </w:p>
        <w:p w14:paraId="2E19A905" w14:textId="72EC5F99" w:rsidR="0EB0CFED" w:rsidRPr="00C260D9" w:rsidRDefault="6311CB48" w:rsidP="00C260D9">
          <w:pPr>
            <w:pStyle w:val="TOC2"/>
            <w:tabs>
              <w:tab w:val="right" w:leader="dot" w:pos="9015"/>
            </w:tabs>
            <w:spacing w:line="360" w:lineRule="auto"/>
            <w:rPr>
              <w:rFonts w:ascii="Arial" w:hAnsi="Arial" w:cs="Arial"/>
              <w:noProof/>
            </w:rPr>
          </w:pPr>
          <w:hyperlink w:anchor="_Toc1209644998">
            <w:r w:rsidRPr="00C260D9">
              <w:rPr>
                <w:rStyle w:val="Hyperlink"/>
                <w:rFonts w:ascii="Arial" w:hAnsi="Arial" w:cs="Arial"/>
                <w:noProof/>
              </w:rPr>
              <w:t>Strategic Context and Drivers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_Toc1209644998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9</w:t>
            </w:r>
            <w:r w:rsidR="0EB0CFED" w:rsidRPr="00C260D9">
              <w:rPr>
                <w:rFonts w:ascii="Arial" w:hAnsi="Arial" w:cs="Arial"/>
                <w:noProof/>
              </w:rPr>
              <w:fldChar w:fldCharType="end"/>
            </w:r>
          </w:hyperlink>
        </w:p>
        <w:p w14:paraId="1F175C54" w14:textId="67488CFE" w:rsidR="0EB0CFED" w:rsidRPr="00C260D9" w:rsidRDefault="6311CB48" w:rsidP="00C260D9">
          <w:pPr>
            <w:pStyle w:val="TOC2"/>
            <w:tabs>
              <w:tab w:val="right" w:leader="dot" w:pos="9015"/>
            </w:tabs>
            <w:spacing w:line="360" w:lineRule="auto"/>
            <w:rPr>
              <w:rFonts w:ascii="Arial" w:hAnsi="Arial" w:cs="Arial"/>
              <w:noProof/>
            </w:rPr>
          </w:pPr>
          <w:hyperlink w:anchor="_Toc1742170683">
            <w:r w:rsidRPr="00C260D9">
              <w:rPr>
                <w:rStyle w:val="Hyperlink"/>
                <w:rFonts w:ascii="Arial" w:hAnsi="Arial" w:cs="Arial"/>
                <w:noProof/>
              </w:rPr>
              <w:t>Evidence Base and Theoretical Foundations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_Toc1742170683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10</w:t>
            </w:r>
            <w:r w:rsidR="0EB0CFED" w:rsidRPr="00C260D9">
              <w:rPr>
                <w:rFonts w:ascii="Arial" w:hAnsi="Arial" w:cs="Arial"/>
                <w:noProof/>
              </w:rPr>
              <w:fldChar w:fldCharType="end"/>
            </w:r>
          </w:hyperlink>
        </w:p>
        <w:p w14:paraId="284A5374" w14:textId="2BD99BF1" w:rsidR="0EB0CFED" w:rsidRPr="00C260D9" w:rsidRDefault="6311CB48" w:rsidP="00C260D9">
          <w:pPr>
            <w:pStyle w:val="TOC2"/>
            <w:tabs>
              <w:tab w:val="right" w:leader="dot" w:pos="9015"/>
            </w:tabs>
            <w:spacing w:line="360" w:lineRule="auto"/>
            <w:rPr>
              <w:rFonts w:ascii="Arial" w:hAnsi="Arial" w:cs="Arial"/>
              <w:noProof/>
            </w:rPr>
          </w:pPr>
          <w:hyperlink w:anchor="_Toc1869953751">
            <w:r w:rsidRPr="00C260D9">
              <w:rPr>
                <w:rStyle w:val="Hyperlink"/>
                <w:rFonts w:ascii="Arial" w:hAnsi="Arial" w:cs="Arial"/>
                <w:noProof/>
              </w:rPr>
              <w:t>What the Strategy Will Deliver</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_Toc1869953751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11</w:t>
            </w:r>
            <w:r w:rsidR="0EB0CFED" w:rsidRPr="00C260D9">
              <w:rPr>
                <w:rFonts w:ascii="Arial" w:hAnsi="Arial" w:cs="Arial"/>
                <w:noProof/>
              </w:rPr>
              <w:fldChar w:fldCharType="end"/>
            </w:r>
          </w:hyperlink>
        </w:p>
        <w:p w14:paraId="6F02FB6A" w14:textId="7A71C0A7" w:rsidR="0EB0CFED" w:rsidRPr="00C260D9" w:rsidRDefault="6311CB48" w:rsidP="00C260D9">
          <w:pPr>
            <w:pStyle w:val="TOC2"/>
            <w:tabs>
              <w:tab w:val="right" w:leader="dot" w:pos="9015"/>
            </w:tabs>
            <w:spacing w:line="360" w:lineRule="auto"/>
            <w:rPr>
              <w:rFonts w:ascii="Arial" w:hAnsi="Arial" w:cs="Arial"/>
              <w:noProof/>
            </w:rPr>
          </w:pPr>
          <w:hyperlink w:anchor="_Toc14215436">
            <w:r w:rsidRPr="00C260D9">
              <w:rPr>
                <w:rStyle w:val="Hyperlink"/>
                <w:rFonts w:ascii="Arial" w:hAnsi="Arial" w:cs="Arial"/>
                <w:noProof/>
              </w:rPr>
              <w:t>Implementation Timeline</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_Toc14215436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12</w:t>
            </w:r>
            <w:r w:rsidR="0EB0CFED" w:rsidRPr="00C260D9">
              <w:rPr>
                <w:rFonts w:ascii="Arial" w:hAnsi="Arial" w:cs="Arial"/>
                <w:noProof/>
              </w:rPr>
              <w:fldChar w:fldCharType="end"/>
            </w:r>
          </w:hyperlink>
        </w:p>
        <w:p w14:paraId="7FD82C7C" w14:textId="7A1D7453" w:rsidR="0EB0CFED" w:rsidRPr="00C260D9" w:rsidRDefault="6311CB48" w:rsidP="00C260D9">
          <w:pPr>
            <w:pStyle w:val="TOC2"/>
            <w:tabs>
              <w:tab w:val="right" w:leader="dot" w:pos="9015"/>
            </w:tabs>
            <w:spacing w:line="360" w:lineRule="auto"/>
            <w:rPr>
              <w:rFonts w:ascii="Arial" w:hAnsi="Arial" w:cs="Arial"/>
              <w:noProof/>
            </w:rPr>
          </w:pPr>
          <w:hyperlink w:anchor="_Toc431516140">
            <w:r w:rsidRPr="00C260D9">
              <w:rPr>
                <w:rStyle w:val="Hyperlink"/>
                <w:rFonts w:ascii="Arial" w:hAnsi="Arial" w:cs="Arial"/>
                <w:noProof/>
              </w:rPr>
              <w:t>Risks, Barriers and Mitigation</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_Toc431516140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12</w:t>
            </w:r>
            <w:r w:rsidR="0EB0CFED" w:rsidRPr="00C260D9">
              <w:rPr>
                <w:rFonts w:ascii="Arial" w:hAnsi="Arial" w:cs="Arial"/>
                <w:noProof/>
              </w:rPr>
              <w:fldChar w:fldCharType="end"/>
            </w:r>
          </w:hyperlink>
        </w:p>
        <w:p w14:paraId="0CCEE684" w14:textId="666E70C9" w:rsidR="0EB0CFED" w:rsidRPr="00C260D9" w:rsidRDefault="6311CB48" w:rsidP="00C260D9">
          <w:pPr>
            <w:pStyle w:val="TOC2"/>
            <w:tabs>
              <w:tab w:val="right" w:leader="dot" w:pos="9015"/>
            </w:tabs>
            <w:spacing w:line="360" w:lineRule="auto"/>
            <w:rPr>
              <w:rFonts w:ascii="Arial" w:hAnsi="Arial" w:cs="Arial"/>
              <w:noProof/>
            </w:rPr>
          </w:pPr>
          <w:hyperlink w:anchor="_Toc278225489">
            <w:r w:rsidRPr="00C260D9">
              <w:rPr>
                <w:rStyle w:val="Hyperlink"/>
                <w:rFonts w:ascii="Arial" w:hAnsi="Arial" w:cs="Arial"/>
                <w:noProof/>
              </w:rPr>
              <w:t>Strategic Impact</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_Toc278225489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12</w:t>
            </w:r>
            <w:r w:rsidR="0EB0CFED" w:rsidRPr="00C260D9">
              <w:rPr>
                <w:rFonts w:ascii="Arial" w:hAnsi="Arial" w:cs="Arial"/>
                <w:noProof/>
              </w:rPr>
              <w:fldChar w:fldCharType="end"/>
            </w:r>
          </w:hyperlink>
        </w:p>
        <w:p w14:paraId="54990EFD" w14:textId="62EE0FD6" w:rsidR="0EB0CFED" w:rsidRPr="00C260D9" w:rsidRDefault="6311CB48" w:rsidP="00C260D9">
          <w:pPr>
            <w:pStyle w:val="TOC1"/>
            <w:tabs>
              <w:tab w:val="right" w:leader="dot" w:pos="9015"/>
            </w:tabs>
            <w:spacing w:line="360" w:lineRule="auto"/>
            <w:rPr>
              <w:rFonts w:ascii="Arial" w:hAnsi="Arial" w:cs="Arial"/>
              <w:noProof/>
            </w:rPr>
          </w:pPr>
          <w:hyperlink w:anchor="_Toc1024237497">
            <w:r w:rsidRPr="00C260D9">
              <w:rPr>
                <w:rStyle w:val="Hyperlink"/>
                <w:rFonts w:ascii="Arial" w:hAnsi="Arial" w:cs="Arial"/>
                <w:noProof/>
              </w:rPr>
              <w:t>Objectives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_Toc1024237497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13</w:t>
            </w:r>
            <w:r w:rsidR="0EB0CFED" w:rsidRPr="00C260D9">
              <w:rPr>
                <w:rFonts w:ascii="Arial" w:hAnsi="Arial" w:cs="Arial"/>
                <w:noProof/>
              </w:rPr>
              <w:fldChar w:fldCharType="end"/>
            </w:r>
          </w:hyperlink>
        </w:p>
        <w:p w14:paraId="33E2AF0D" w14:textId="49CB2CD2" w:rsidR="0EB0CFED" w:rsidRPr="00C260D9" w:rsidRDefault="6311CB48" w:rsidP="00C260D9">
          <w:pPr>
            <w:pStyle w:val="TOC1"/>
            <w:tabs>
              <w:tab w:val="right" w:leader="dot" w:pos="9015"/>
            </w:tabs>
            <w:spacing w:line="360" w:lineRule="auto"/>
            <w:rPr>
              <w:rFonts w:ascii="Arial" w:hAnsi="Arial" w:cs="Arial"/>
              <w:noProof/>
            </w:rPr>
          </w:pPr>
          <w:hyperlink w:anchor="_Toc1671501099">
            <w:r w:rsidRPr="00C260D9">
              <w:rPr>
                <w:rStyle w:val="Hyperlink"/>
                <w:rFonts w:ascii="Arial" w:hAnsi="Arial" w:cs="Arial"/>
                <w:noProof/>
              </w:rPr>
              <w:t>Options Analysis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_Toc1671501099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15</w:t>
            </w:r>
            <w:r w:rsidR="0EB0CFED" w:rsidRPr="00C260D9">
              <w:rPr>
                <w:rFonts w:ascii="Arial" w:hAnsi="Arial" w:cs="Arial"/>
                <w:noProof/>
              </w:rPr>
              <w:fldChar w:fldCharType="end"/>
            </w:r>
          </w:hyperlink>
        </w:p>
        <w:p w14:paraId="30E32120" w14:textId="50790F42" w:rsidR="0EB0CFED" w:rsidRPr="00C260D9" w:rsidRDefault="6311CB48" w:rsidP="00C260D9">
          <w:pPr>
            <w:pStyle w:val="TOC1"/>
            <w:tabs>
              <w:tab w:val="right" w:leader="dot" w:pos="9015"/>
            </w:tabs>
            <w:spacing w:line="360" w:lineRule="auto"/>
            <w:rPr>
              <w:rFonts w:ascii="Arial" w:hAnsi="Arial" w:cs="Arial"/>
              <w:noProof/>
            </w:rPr>
          </w:pPr>
          <w:hyperlink w:anchor="_Toc1350835587">
            <w:r w:rsidRPr="00C260D9">
              <w:rPr>
                <w:rStyle w:val="Hyperlink"/>
                <w:rFonts w:ascii="Arial" w:hAnsi="Arial" w:cs="Arial"/>
                <w:noProof/>
              </w:rPr>
              <w:t>Implementation Plan</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_Toc1350835587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21</w:t>
            </w:r>
            <w:r w:rsidR="0EB0CFED" w:rsidRPr="00C260D9">
              <w:rPr>
                <w:rFonts w:ascii="Arial" w:hAnsi="Arial" w:cs="Arial"/>
                <w:noProof/>
              </w:rPr>
              <w:fldChar w:fldCharType="end"/>
            </w:r>
          </w:hyperlink>
        </w:p>
        <w:p w14:paraId="73613528" w14:textId="12323863" w:rsidR="0EB0CFED" w:rsidRPr="00C260D9" w:rsidRDefault="6311CB48" w:rsidP="00C260D9">
          <w:pPr>
            <w:pStyle w:val="TOC2"/>
            <w:tabs>
              <w:tab w:val="right" w:leader="dot" w:pos="9015"/>
            </w:tabs>
            <w:spacing w:line="360" w:lineRule="auto"/>
            <w:rPr>
              <w:rFonts w:ascii="Arial" w:hAnsi="Arial" w:cs="Arial"/>
              <w:noProof/>
            </w:rPr>
          </w:pPr>
          <w:hyperlink w:anchor="_Toc577264076">
            <w:r w:rsidRPr="00C260D9">
              <w:rPr>
                <w:rStyle w:val="Hyperlink"/>
                <w:rFonts w:ascii="Arial" w:hAnsi="Arial" w:cs="Arial"/>
                <w:noProof/>
              </w:rPr>
              <w:t>Gantt Chart Narrative</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_Toc577264076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21</w:t>
            </w:r>
            <w:r w:rsidR="0EB0CFED" w:rsidRPr="00C260D9">
              <w:rPr>
                <w:rFonts w:ascii="Arial" w:hAnsi="Arial" w:cs="Arial"/>
                <w:noProof/>
              </w:rPr>
              <w:fldChar w:fldCharType="end"/>
            </w:r>
          </w:hyperlink>
        </w:p>
        <w:p w14:paraId="7FF0E035" w14:textId="2F03E02E" w:rsidR="0EB0CFED" w:rsidRPr="00C260D9" w:rsidRDefault="6311CB48" w:rsidP="00C260D9">
          <w:pPr>
            <w:pStyle w:val="TOC2"/>
            <w:tabs>
              <w:tab w:val="right" w:leader="dot" w:pos="9015"/>
            </w:tabs>
            <w:spacing w:line="360" w:lineRule="auto"/>
            <w:rPr>
              <w:rFonts w:ascii="Arial" w:hAnsi="Arial" w:cs="Arial"/>
              <w:noProof/>
            </w:rPr>
          </w:pPr>
          <w:hyperlink w:anchor="_Toc2012730755">
            <w:r w:rsidRPr="00C260D9">
              <w:rPr>
                <w:rStyle w:val="Hyperlink"/>
                <w:rFonts w:ascii="Arial" w:hAnsi="Arial" w:cs="Arial"/>
                <w:noProof/>
              </w:rPr>
              <w:t>Responsibility Matrix (RACI)</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_Toc2012730755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23</w:t>
            </w:r>
            <w:r w:rsidR="0EB0CFED" w:rsidRPr="00C260D9">
              <w:rPr>
                <w:rFonts w:ascii="Arial" w:hAnsi="Arial" w:cs="Arial"/>
                <w:noProof/>
              </w:rPr>
              <w:fldChar w:fldCharType="end"/>
            </w:r>
          </w:hyperlink>
        </w:p>
        <w:p w14:paraId="6290AEE0" w14:textId="4617F6F4" w:rsidR="0EB0CFED" w:rsidRPr="00C260D9" w:rsidRDefault="6311CB48" w:rsidP="00C260D9">
          <w:pPr>
            <w:pStyle w:val="TOC2"/>
            <w:tabs>
              <w:tab w:val="right" w:leader="dot" w:pos="9015"/>
            </w:tabs>
            <w:spacing w:line="360" w:lineRule="auto"/>
            <w:rPr>
              <w:rFonts w:ascii="Arial" w:hAnsi="Arial" w:cs="Arial"/>
              <w:noProof/>
            </w:rPr>
          </w:pPr>
          <w:hyperlink w:anchor="_Toc551287243">
            <w:r w:rsidRPr="00C260D9">
              <w:rPr>
                <w:rStyle w:val="Hyperlink"/>
                <w:rFonts w:ascii="Arial" w:hAnsi="Arial" w:cs="Arial"/>
                <w:noProof/>
              </w:rPr>
              <w:t>Financial Budgeting &amp; Resources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_Toc551287243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24</w:t>
            </w:r>
            <w:r w:rsidR="0EB0CFED" w:rsidRPr="00C260D9">
              <w:rPr>
                <w:rFonts w:ascii="Arial" w:hAnsi="Arial" w:cs="Arial"/>
                <w:noProof/>
              </w:rPr>
              <w:fldChar w:fldCharType="end"/>
            </w:r>
          </w:hyperlink>
        </w:p>
        <w:p w14:paraId="6A7F02B1" w14:textId="1767AF66" w:rsidR="0EB0CFED" w:rsidRPr="00C260D9" w:rsidRDefault="6311CB48" w:rsidP="00C260D9">
          <w:pPr>
            <w:pStyle w:val="TOC1"/>
            <w:tabs>
              <w:tab w:val="right" w:leader="dot" w:pos="9015"/>
            </w:tabs>
            <w:spacing w:line="360" w:lineRule="auto"/>
            <w:rPr>
              <w:rFonts w:ascii="Arial" w:hAnsi="Arial" w:cs="Arial"/>
              <w:noProof/>
            </w:rPr>
          </w:pPr>
          <w:hyperlink w:anchor="_Toc903594525">
            <w:r w:rsidRPr="00C260D9">
              <w:rPr>
                <w:rStyle w:val="Hyperlink"/>
                <w:rFonts w:ascii="Arial" w:hAnsi="Arial" w:cs="Arial"/>
                <w:noProof/>
              </w:rPr>
              <w:t>Conclusions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_Toc903594525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24</w:t>
            </w:r>
            <w:r w:rsidR="0EB0CFED" w:rsidRPr="00C260D9">
              <w:rPr>
                <w:rFonts w:ascii="Arial" w:hAnsi="Arial" w:cs="Arial"/>
                <w:noProof/>
              </w:rPr>
              <w:fldChar w:fldCharType="end"/>
            </w:r>
          </w:hyperlink>
        </w:p>
        <w:p w14:paraId="45209C53" w14:textId="1AC7B524" w:rsidR="0EB0CFED" w:rsidRPr="00C260D9" w:rsidRDefault="6311CB48" w:rsidP="00C260D9">
          <w:pPr>
            <w:pStyle w:val="TOC1"/>
            <w:tabs>
              <w:tab w:val="right" w:leader="dot" w:pos="9015"/>
            </w:tabs>
            <w:spacing w:line="360" w:lineRule="auto"/>
            <w:rPr>
              <w:rFonts w:ascii="Arial" w:hAnsi="Arial" w:cs="Arial"/>
              <w:noProof/>
            </w:rPr>
          </w:pPr>
          <w:hyperlink w:anchor="_Toc766622262">
            <w:r w:rsidRPr="00C260D9">
              <w:rPr>
                <w:rStyle w:val="Hyperlink"/>
                <w:rFonts w:ascii="Arial" w:hAnsi="Arial" w:cs="Arial"/>
                <w:noProof/>
              </w:rPr>
              <w:t>Recommendations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_Toc766622262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26</w:t>
            </w:r>
            <w:r w:rsidR="0EB0CFED" w:rsidRPr="00C260D9">
              <w:rPr>
                <w:rFonts w:ascii="Arial" w:hAnsi="Arial" w:cs="Arial"/>
                <w:noProof/>
              </w:rPr>
              <w:fldChar w:fldCharType="end"/>
            </w:r>
          </w:hyperlink>
        </w:p>
        <w:p w14:paraId="4A19215D" w14:textId="223A33B1" w:rsidR="0EB0CFED" w:rsidRPr="00C260D9" w:rsidRDefault="6311CB48" w:rsidP="00C260D9">
          <w:pPr>
            <w:pStyle w:val="TOC1"/>
            <w:tabs>
              <w:tab w:val="right" w:leader="dot" w:pos="9015"/>
            </w:tabs>
            <w:spacing w:line="360" w:lineRule="auto"/>
            <w:rPr>
              <w:rFonts w:ascii="Arial" w:hAnsi="Arial" w:cs="Arial"/>
              <w:noProof/>
            </w:rPr>
          </w:pPr>
          <w:hyperlink w:anchor="_Toc1854694276">
            <w:r w:rsidRPr="00C260D9">
              <w:rPr>
                <w:rStyle w:val="Hyperlink"/>
                <w:rFonts w:ascii="Arial" w:hAnsi="Arial" w:cs="Arial"/>
                <w:noProof/>
              </w:rPr>
              <w:t>References</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_Toc1854694276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29</w:t>
            </w:r>
            <w:r w:rsidR="0EB0CFED" w:rsidRPr="00C260D9">
              <w:rPr>
                <w:rFonts w:ascii="Arial" w:hAnsi="Arial" w:cs="Arial"/>
                <w:noProof/>
              </w:rPr>
              <w:fldChar w:fldCharType="end"/>
            </w:r>
          </w:hyperlink>
        </w:p>
        <w:p w14:paraId="1FD1EC4C" w14:textId="321942DC" w:rsidR="0EB0CFED" w:rsidRPr="00C260D9" w:rsidRDefault="6311CB48" w:rsidP="00C260D9">
          <w:pPr>
            <w:pStyle w:val="TOC1"/>
            <w:tabs>
              <w:tab w:val="right" w:leader="dot" w:pos="9015"/>
            </w:tabs>
            <w:spacing w:line="360" w:lineRule="auto"/>
            <w:rPr>
              <w:rFonts w:ascii="Arial" w:hAnsi="Arial" w:cs="Arial"/>
              <w:noProof/>
            </w:rPr>
          </w:pPr>
          <w:hyperlink w:anchor="_Toc649893759">
            <w:r w:rsidRPr="00C260D9">
              <w:rPr>
                <w:rStyle w:val="Hyperlink"/>
                <w:rFonts w:ascii="Arial" w:hAnsi="Arial" w:cs="Arial"/>
                <w:noProof/>
              </w:rPr>
              <w:t>Appendix</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_Toc649893759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31</w:t>
            </w:r>
            <w:r w:rsidR="0EB0CFED" w:rsidRPr="00C260D9">
              <w:rPr>
                <w:rFonts w:ascii="Arial" w:hAnsi="Arial" w:cs="Arial"/>
                <w:noProof/>
              </w:rPr>
              <w:fldChar w:fldCharType="end"/>
            </w:r>
          </w:hyperlink>
        </w:p>
        <w:p w14:paraId="1BD3AFFC" w14:textId="7E72AB64" w:rsidR="0EB0CFED" w:rsidRPr="00C260D9" w:rsidRDefault="6311CB48" w:rsidP="00C260D9">
          <w:pPr>
            <w:pStyle w:val="TOC1"/>
            <w:tabs>
              <w:tab w:val="right" w:leader="dot" w:pos="9015"/>
            </w:tabs>
            <w:spacing w:line="360" w:lineRule="auto"/>
            <w:rPr>
              <w:rFonts w:ascii="Arial" w:hAnsi="Arial" w:cs="Arial"/>
              <w:noProof/>
            </w:rPr>
          </w:pPr>
          <w:hyperlink w:anchor="_Toc84621963">
            <w:r w:rsidRPr="00C260D9">
              <w:rPr>
                <w:rStyle w:val="Hyperlink"/>
                <w:rFonts w:ascii="Arial" w:hAnsi="Arial" w:cs="Arial"/>
                <w:noProof/>
              </w:rPr>
              <w:t>Abstract</w:t>
            </w:r>
            <w:r w:rsidR="0EB0CFED" w:rsidRPr="00C260D9">
              <w:rPr>
                <w:rFonts w:ascii="Arial" w:hAnsi="Arial" w:cs="Arial"/>
                <w:noProof/>
              </w:rPr>
              <w:tab/>
            </w:r>
            <w:r w:rsidR="0EB0CFED" w:rsidRPr="00C260D9">
              <w:rPr>
                <w:rFonts w:ascii="Arial" w:hAnsi="Arial" w:cs="Arial"/>
                <w:noProof/>
              </w:rPr>
              <w:fldChar w:fldCharType="begin"/>
            </w:r>
            <w:r w:rsidR="0EB0CFED" w:rsidRPr="00C260D9">
              <w:rPr>
                <w:rFonts w:ascii="Arial" w:hAnsi="Arial" w:cs="Arial"/>
                <w:noProof/>
              </w:rPr>
              <w:instrText>PAGEREF _Toc84621963 \h</w:instrText>
            </w:r>
            <w:r w:rsidR="0EB0CFED" w:rsidRPr="00C260D9">
              <w:rPr>
                <w:rFonts w:ascii="Arial" w:hAnsi="Arial" w:cs="Arial"/>
                <w:noProof/>
              </w:rPr>
            </w:r>
            <w:r w:rsidR="0EB0CFED" w:rsidRPr="00C260D9">
              <w:rPr>
                <w:rFonts w:ascii="Arial" w:hAnsi="Arial" w:cs="Arial"/>
                <w:noProof/>
              </w:rPr>
              <w:fldChar w:fldCharType="separate"/>
            </w:r>
            <w:r w:rsidR="00437057">
              <w:rPr>
                <w:rFonts w:ascii="Arial" w:hAnsi="Arial" w:cs="Arial"/>
                <w:noProof/>
              </w:rPr>
              <w:t>33</w:t>
            </w:r>
            <w:r w:rsidR="0EB0CFED" w:rsidRPr="00C260D9">
              <w:rPr>
                <w:rFonts w:ascii="Arial" w:hAnsi="Arial" w:cs="Arial"/>
                <w:noProof/>
              </w:rPr>
              <w:fldChar w:fldCharType="end"/>
            </w:r>
          </w:hyperlink>
        </w:p>
        <w:p w14:paraId="51EC5D65" w14:textId="24CD8C49" w:rsidR="0EB0CFED" w:rsidRDefault="0EB0CFED" w:rsidP="00C260D9">
          <w:pPr>
            <w:spacing w:line="360" w:lineRule="auto"/>
          </w:pPr>
          <w:r w:rsidRPr="00C260D9">
            <w:rPr>
              <w:rFonts w:ascii="Arial" w:hAnsi="Arial" w:cs="Arial"/>
            </w:rPr>
            <w:fldChar w:fldCharType="end"/>
          </w:r>
        </w:p>
      </w:sdtContent>
    </w:sdt>
    <w:p w14:paraId="35793BF3" w14:textId="14AB3ECA" w:rsidR="0EB0CFED" w:rsidRDefault="0EB0CFED" w:rsidP="0EB0CFED">
      <w:pPr>
        <w:spacing w:after="0"/>
        <w:rPr>
          <w:rFonts w:ascii="Arial" w:eastAsia="Arial" w:hAnsi="Arial" w:cs="Arial"/>
          <w:color w:val="26221F"/>
          <w:sz w:val="22"/>
          <w:szCs w:val="22"/>
        </w:rPr>
      </w:pPr>
    </w:p>
    <w:p w14:paraId="562D6DFC" w14:textId="52DBA4AF" w:rsidR="0EB0CFED" w:rsidRDefault="0EB0CFED" w:rsidP="0EB0CFED">
      <w:pPr>
        <w:rPr>
          <w:rFonts w:ascii="Arial" w:eastAsia="Arial" w:hAnsi="Arial" w:cs="Arial"/>
        </w:rPr>
      </w:pPr>
    </w:p>
    <w:p w14:paraId="10927127" w14:textId="51339B95" w:rsidR="4566540D" w:rsidRDefault="4566540D" w:rsidP="4566540D">
      <w:pPr>
        <w:rPr>
          <w:rFonts w:ascii="Arial" w:eastAsia="Arial" w:hAnsi="Arial" w:cs="Arial"/>
          <w:color w:val="000000" w:themeColor="text1"/>
        </w:rPr>
      </w:pPr>
    </w:p>
    <w:p w14:paraId="417E9501" w14:textId="76FD2256" w:rsidR="542CA2E8" w:rsidRDefault="4BEFBCE0" w:rsidP="00C260D9">
      <w:pPr>
        <w:pStyle w:val="Heading1"/>
        <w:spacing w:line="480" w:lineRule="auto"/>
        <w:rPr>
          <w:rFonts w:ascii="Arial" w:eastAsia="Arial" w:hAnsi="Arial" w:cs="Arial"/>
          <w:sz w:val="24"/>
          <w:szCs w:val="24"/>
        </w:rPr>
      </w:pPr>
      <w:bookmarkStart w:id="0" w:name="_Toc1816058405"/>
      <w:r w:rsidRPr="6311CB48">
        <w:rPr>
          <w:rFonts w:ascii="Arial" w:eastAsia="Arial" w:hAnsi="Arial" w:cs="Arial"/>
        </w:rPr>
        <w:lastRenderedPageBreak/>
        <w:t>Executive Summary</w:t>
      </w:r>
      <w:bookmarkEnd w:id="0"/>
    </w:p>
    <w:p w14:paraId="1B08C657" w14:textId="3508E4CF" w:rsidR="24797F80" w:rsidRDefault="24797F80" w:rsidP="00C260D9">
      <w:pPr>
        <w:spacing w:after="180" w:line="480" w:lineRule="auto"/>
        <w:rPr>
          <w:rFonts w:ascii="Arial" w:eastAsia="Arial" w:hAnsi="Arial" w:cs="Arial"/>
          <w:color w:val="26221F"/>
        </w:rPr>
      </w:pPr>
      <w:r w:rsidRPr="6311CB48">
        <w:rPr>
          <w:rFonts w:ascii="Arial" w:eastAsia="Arial" w:hAnsi="Arial" w:cs="Arial"/>
          <w:color w:val="26221F"/>
        </w:rPr>
        <w:t>Policing in England and Wales continues to face significant operational pressure, rising demand, financial constraints, and increasing scrutiny, contributing to declining workforce resilience and reduced deployable capacity. National bodies including the College of Policing, HMICFRS and the NPCC emphasise the need for structured, evidence</w:t>
      </w:r>
      <w:r>
        <w:noBreakHyphen/>
      </w:r>
      <w:r w:rsidRPr="6311CB48">
        <w:rPr>
          <w:rFonts w:ascii="Arial" w:eastAsia="Arial" w:hAnsi="Arial" w:cs="Arial"/>
          <w:color w:val="26221F"/>
        </w:rPr>
        <w:t>based approaches to wellbeing to sustain performance and public confidence.</w:t>
      </w:r>
    </w:p>
    <w:p w14:paraId="285406E9" w14:textId="6357BF69" w:rsidR="7BC2CEFC" w:rsidRDefault="7F6FAE80" w:rsidP="0EB0CFED">
      <w:pPr>
        <w:spacing w:after="180" w:line="480" w:lineRule="auto"/>
        <w:rPr>
          <w:rFonts w:ascii="Arial" w:eastAsia="Arial" w:hAnsi="Arial" w:cs="Arial"/>
          <w:color w:val="26221F"/>
        </w:rPr>
      </w:pPr>
      <w:r w:rsidRPr="6311CB48">
        <w:rPr>
          <w:rFonts w:ascii="Arial" w:eastAsia="Arial" w:hAnsi="Arial" w:cs="Arial"/>
          <w:color w:val="26221F"/>
        </w:rPr>
        <w:t xml:space="preserve">This strategic business plan sets out a comprehensive Wellbeing and Workforce Resilience Strategy for Humberside Police. The strategy positions wellbeing as a core organisational priority and is informed by strategic management theory, including the </w:t>
      </w:r>
      <w:r w:rsidR="2BA4F38E" w:rsidRPr="6311CB48">
        <w:rPr>
          <w:rFonts w:ascii="Arial" w:eastAsia="Arial" w:hAnsi="Arial" w:cs="Arial"/>
          <w:color w:val="26221F"/>
        </w:rPr>
        <w:t>Resource Based</w:t>
      </w:r>
      <w:r w:rsidRPr="6311CB48">
        <w:rPr>
          <w:rFonts w:ascii="Arial" w:eastAsia="Arial" w:hAnsi="Arial" w:cs="Arial"/>
          <w:color w:val="26221F"/>
        </w:rPr>
        <w:t xml:space="preserve"> View, Systems Theory, Public Value, Balanced Scorecard principles, and Kotter’s change model. It is designed to strengthen organisational resilience, reduce sickness absence, improve deployable capacity, and enhance leadership and cultural capability.</w:t>
      </w:r>
    </w:p>
    <w:p w14:paraId="4A1882D6" w14:textId="77777777" w:rsidR="00C260D9" w:rsidRDefault="7F6FAE80" w:rsidP="0EB0CFED">
      <w:pPr>
        <w:spacing w:after="180" w:line="480" w:lineRule="auto"/>
      </w:pPr>
      <w:r w:rsidRPr="6311CB48">
        <w:rPr>
          <w:rFonts w:ascii="Arial" w:eastAsia="Arial" w:hAnsi="Arial" w:cs="Arial"/>
          <w:color w:val="26221F"/>
        </w:rPr>
        <w:t xml:space="preserve">The strategy is structured around four domains: wellbeing governance, workforce health and psychological resilience, leadership and behavioural change, and </w:t>
      </w:r>
      <w:r w:rsidR="5543D2E6" w:rsidRPr="6311CB48">
        <w:rPr>
          <w:rFonts w:ascii="Arial" w:eastAsia="Arial" w:hAnsi="Arial" w:cs="Arial"/>
          <w:color w:val="26221F"/>
        </w:rPr>
        <w:t>data driven</w:t>
      </w:r>
      <w:r w:rsidRPr="6311CB48">
        <w:rPr>
          <w:rFonts w:ascii="Arial" w:eastAsia="Arial" w:hAnsi="Arial" w:cs="Arial"/>
          <w:color w:val="26221F"/>
        </w:rPr>
        <w:t xml:space="preserve"> performance measurement. A phased 36</w:t>
      </w:r>
      <w:r w:rsidR="7BC2CEFC">
        <w:noBreakHyphen/>
      </w:r>
      <w:r w:rsidRPr="6311CB48">
        <w:rPr>
          <w:rFonts w:ascii="Arial" w:eastAsia="Arial" w:hAnsi="Arial" w:cs="Arial"/>
          <w:color w:val="26221F"/>
        </w:rPr>
        <w:t>month implementation plan provides a clear roadmap for delivery, supported by financial modelling, risk analysis, and a defined governance structure. The strategy has been developed through consultation with People Services, Occupational Health, Learning and Development, Corporate Communications, Data Analytics, and Operational Commanders to ensure operational feasibility and alignment with organisational capability.</w:t>
      </w:r>
    </w:p>
    <w:p w14:paraId="65739ACC" w14:textId="05A94714" w:rsidR="7BC2CEFC" w:rsidRPr="00C260D9" w:rsidRDefault="7F6FAE80" w:rsidP="0EB0CFED">
      <w:pPr>
        <w:spacing w:after="180" w:line="480" w:lineRule="auto"/>
      </w:pPr>
      <w:r w:rsidRPr="6311CB48">
        <w:rPr>
          <w:rFonts w:ascii="Arial" w:eastAsia="Arial" w:hAnsi="Arial" w:cs="Arial"/>
          <w:color w:val="26221F"/>
        </w:rPr>
        <w:lastRenderedPageBreak/>
        <w:t xml:space="preserve">If implemented effectively, the strategy will deliver measurable improvements in workforce wellbeing, organisational performance, and </w:t>
      </w:r>
      <w:r w:rsidR="7CB6D684" w:rsidRPr="6311CB48">
        <w:rPr>
          <w:rFonts w:ascii="Arial" w:eastAsia="Arial" w:hAnsi="Arial" w:cs="Arial"/>
          <w:color w:val="26221F"/>
        </w:rPr>
        <w:t>long-term</w:t>
      </w:r>
      <w:r w:rsidRPr="6311CB48">
        <w:rPr>
          <w:rFonts w:ascii="Arial" w:eastAsia="Arial" w:hAnsi="Arial" w:cs="Arial"/>
          <w:color w:val="26221F"/>
        </w:rPr>
        <w:t xml:space="preserve"> financial sustainability.</w:t>
      </w:r>
    </w:p>
    <w:p w14:paraId="08618B10" w14:textId="65F17ADB" w:rsidR="542CA2E8" w:rsidRDefault="4BEFBCE0" w:rsidP="00C260D9">
      <w:pPr>
        <w:pStyle w:val="Heading1"/>
        <w:spacing w:line="480" w:lineRule="auto"/>
        <w:rPr>
          <w:rFonts w:ascii="Arial" w:eastAsia="Arial" w:hAnsi="Arial" w:cs="Arial"/>
        </w:rPr>
      </w:pPr>
      <w:bookmarkStart w:id="1" w:name="_Toc2133921199"/>
      <w:r w:rsidRPr="6311CB48">
        <w:rPr>
          <w:rFonts w:ascii="Arial" w:eastAsia="Arial" w:hAnsi="Arial" w:cs="Arial"/>
        </w:rPr>
        <w:t>Introduction</w:t>
      </w:r>
      <w:bookmarkEnd w:id="1"/>
    </w:p>
    <w:p w14:paraId="6FB6F8EB" w14:textId="00283FA1" w:rsidR="51040B69" w:rsidRDefault="6734DE23" w:rsidP="00C260D9">
      <w:pPr>
        <w:spacing w:after="180" w:line="480" w:lineRule="auto"/>
        <w:rPr>
          <w:rFonts w:ascii="Arial" w:eastAsia="Arial" w:hAnsi="Arial" w:cs="Arial"/>
          <w:color w:val="26221F"/>
        </w:rPr>
      </w:pPr>
      <w:r w:rsidRPr="6311CB48">
        <w:rPr>
          <w:rFonts w:ascii="Arial" w:eastAsia="Arial" w:hAnsi="Arial" w:cs="Arial"/>
          <w:color w:val="26221F"/>
        </w:rPr>
        <w:t xml:space="preserve">Policing in England and Wales </w:t>
      </w:r>
      <w:r w:rsidR="60D94650" w:rsidRPr="6311CB48">
        <w:rPr>
          <w:rFonts w:ascii="Arial" w:eastAsia="Arial" w:hAnsi="Arial" w:cs="Arial"/>
          <w:color w:val="26221F"/>
        </w:rPr>
        <w:t>continues to operate under intense operational pressure, rising public demand, financial constraints, and increasing scrutiny.</w:t>
      </w:r>
      <w:r w:rsidRPr="6311CB48">
        <w:rPr>
          <w:rFonts w:ascii="Arial" w:eastAsia="Arial" w:hAnsi="Arial" w:cs="Arial"/>
          <w:color w:val="26221F"/>
        </w:rPr>
        <w:t xml:space="preserve"> </w:t>
      </w:r>
      <w:r w:rsidR="1836B3CB" w:rsidRPr="6311CB48">
        <w:rPr>
          <w:rFonts w:ascii="Arial" w:eastAsia="Arial" w:hAnsi="Arial" w:cs="Arial"/>
          <w:color w:val="26221F"/>
        </w:rPr>
        <w:t>These pressures have contributed to declining workforce resilience, elevated psychological injury, and reduced deployable capacity</w:t>
      </w:r>
      <w:r w:rsidRPr="6311CB48">
        <w:rPr>
          <w:rFonts w:ascii="Arial" w:eastAsia="Arial" w:hAnsi="Arial" w:cs="Arial"/>
          <w:color w:val="26221F"/>
        </w:rPr>
        <w:t xml:space="preserve"> (Houdmont and Elliott</w:t>
      </w:r>
      <w:r w:rsidR="51040B69">
        <w:noBreakHyphen/>
      </w:r>
      <w:r w:rsidRPr="6311CB48">
        <w:rPr>
          <w:rFonts w:ascii="Arial" w:eastAsia="Arial" w:hAnsi="Arial" w:cs="Arial"/>
          <w:color w:val="26221F"/>
        </w:rPr>
        <w:t xml:space="preserve">Davies, 2016; College of Policing, 2021). National bodies, including the College of Policing, HMICFRS and the NPCC, have repeatedly highlighted wellbeing as a critical determinant of police effectiveness, emphasising the need for forces to adopt </w:t>
      </w:r>
      <w:r w:rsidR="40D9CE83" w:rsidRPr="6311CB48">
        <w:rPr>
          <w:rFonts w:ascii="Arial" w:eastAsia="Arial" w:hAnsi="Arial" w:cs="Arial"/>
          <w:color w:val="26221F"/>
        </w:rPr>
        <w:t>long-term</w:t>
      </w:r>
      <w:r w:rsidRPr="6311CB48">
        <w:rPr>
          <w:rFonts w:ascii="Arial" w:eastAsia="Arial" w:hAnsi="Arial" w:cs="Arial"/>
          <w:color w:val="26221F"/>
        </w:rPr>
        <w:t xml:space="preserve">, </w:t>
      </w:r>
      <w:r w:rsidR="5CD3AD31" w:rsidRPr="6311CB48">
        <w:rPr>
          <w:rFonts w:ascii="Arial" w:eastAsia="Arial" w:hAnsi="Arial" w:cs="Arial"/>
          <w:color w:val="26221F"/>
        </w:rPr>
        <w:t>evidence-based</w:t>
      </w:r>
      <w:r w:rsidRPr="6311CB48">
        <w:rPr>
          <w:rFonts w:ascii="Arial" w:eastAsia="Arial" w:hAnsi="Arial" w:cs="Arial"/>
          <w:color w:val="26221F"/>
        </w:rPr>
        <w:t xml:space="preserve"> approaches to workforce health and sustainability (NICE, 2022). Within this context, the development of a comprehensive Wellbeing and Workforce Resilience Strategy is not simply desirable but strategically essential.</w:t>
      </w:r>
    </w:p>
    <w:p w14:paraId="0EED691F" w14:textId="2A9E6338" w:rsidR="542CA2E8" w:rsidRPr="0068235E" w:rsidRDefault="472E142C" w:rsidP="0EB0CFED">
      <w:pPr>
        <w:spacing w:after="180" w:line="480" w:lineRule="auto"/>
        <w:rPr>
          <w:rFonts w:ascii="Arial" w:eastAsia="Arial" w:hAnsi="Arial" w:cs="Arial"/>
          <w:color w:val="26221F"/>
        </w:rPr>
      </w:pPr>
      <w:r w:rsidRPr="6311CB48">
        <w:rPr>
          <w:rFonts w:ascii="Arial" w:eastAsia="Arial" w:hAnsi="Arial" w:cs="Arial"/>
          <w:color w:val="26221F"/>
        </w:rPr>
        <w:t xml:space="preserve">This report presents a strategic business plan for the design and implementation of a new wellbeing strategy for Humberside Police. The plan positions wellbeing as a core organisational priority, recognising that the capacity of officers and staff to deliver an effective policing service is directly linked to their physical, psychological, and organisational wellbeing (Johnson et al., 2005). The proposal is grounded in strategic management theory, drawing on frameworks such as the </w:t>
      </w:r>
      <w:r w:rsidR="271AC154" w:rsidRPr="6311CB48">
        <w:rPr>
          <w:rFonts w:ascii="Arial" w:eastAsia="Arial" w:hAnsi="Arial" w:cs="Arial"/>
          <w:color w:val="26221F"/>
        </w:rPr>
        <w:t>Resource Based</w:t>
      </w:r>
      <w:r w:rsidRPr="6311CB48">
        <w:rPr>
          <w:rFonts w:ascii="Arial" w:eastAsia="Arial" w:hAnsi="Arial" w:cs="Arial"/>
          <w:color w:val="26221F"/>
        </w:rPr>
        <w:t xml:space="preserve"> View, Public Value, Systems Theory, and established change management models to ensure the strategy is theoretically robust, operationally feasible, and aligned with the wider policing landscape (Kaplan and Norton, 1996; Cooper and Dewe, 2008). It </w:t>
      </w:r>
      <w:r w:rsidRPr="6311CB48">
        <w:rPr>
          <w:rFonts w:ascii="Arial" w:eastAsia="Arial" w:hAnsi="Arial" w:cs="Arial"/>
          <w:color w:val="26221F"/>
        </w:rPr>
        <w:lastRenderedPageBreak/>
        <w:t>also reflects the political and financial realities facing policing, including the implications of the Police Covenant, and the need for efficient resource allocation (Deloitte, 2020).</w:t>
      </w:r>
    </w:p>
    <w:p w14:paraId="49D1C3E7" w14:textId="26F449C0" w:rsidR="1B93B876" w:rsidRDefault="1F777987" w:rsidP="0EB0CFED">
      <w:pPr>
        <w:spacing w:after="180" w:line="480" w:lineRule="auto"/>
        <w:rPr>
          <w:rFonts w:ascii="Arial" w:eastAsia="Arial" w:hAnsi="Arial" w:cs="Arial"/>
          <w:color w:val="26221F"/>
        </w:rPr>
      </w:pPr>
      <w:r w:rsidRPr="6311CB48">
        <w:rPr>
          <w:rFonts w:ascii="Arial" w:eastAsia="Arial" w:hAnsi="Arial" w:cs="Arial"/>
          <w:color w:val="26221F"/>
        </w:rPr>
        <w:t xml:space="preserve">The purpose of this report is to critically analyse the current strategic position of the force in relation to workforce wellbeing, identify the organisational risks associated with inaction, and propose a coherent, </w:t>
      </w:r>
      <w:r w:rsidR="0271E170" w:rsidRPr="6311CB48">
        <w:rPr>
          <w:rFonts w:ascii="Arial" w:eastAsia="Arial" w:hAnsi="Arial" w:cs="Arial"/>
          <w:color w:val="26221F"/>
        </w:rPr>
        <w:t>evidence-based</w:t>
      </w:r>
      <w:r w:rsidRPr="6311CB48">
        <w:rPr>
          <w:rFonts w:ascii="Arial" w:eastAsia="Arial" w:hAnsi="Arial" w:cs="Arial"/>
          <w:color w:val="26221F"/>
        </w:rPr>
        <w:t xml:space="preserve"> strategy that enhances resilience, reduces sickness absence, improves deployable capacity, and strengthens organisational culture (Skogan, 2021). The report sets out the scope of the proposed strategy, defines measurable objectives, evaluates strategic options, and outlines a phased implementation plan supported by financial modelling, risk analysis, and a clear governance structure.</w:t>
      </w:r>
    </w:p>
    <w:p w14:paraId="453641F6" w14:textId="36B653EF" w:rsidR="542CA2E8" w:rsidRPr="0068235E" w:rsidRDefault="1E3CC54D" w:rsidP="0EB0CFED">
      <w:pPr>
        <w:spacing w:after="180" w:line="480" w:lineRule="auto"/>
        <w:rPr>
          <w:rFonts w:ascii="Arial" w:hAnsi="Arial" w:cs="Arial"/>
        </w:rPr>
      </w:pPr>
      <w:r w:rsidRPr="6311CB48">
        <w:rPr>
          <w:rFonts w:ascii="Arial" w:eastAsia="Aptos" w:hAnsi="Arial" w:cs="Arial"/>
          <w:color w:val="26221F"/>
        </w:rPr>
        <w:t xml:space="preserve">Overall, this report aims to provide a rigorous, theoretically informed, and operationally grounded strategic plan that supports the force in building a resilient, healthy, and </w:t>
      </w:r>
      <w:r w:rsidR="4A9869D4" w:rsidRPr="6311CB48">
        <w:rPr>
          <w:rFonts w:ascii="Arial" w:eastAsia="Aptos" w:hAnsi="Arial" w:cs="Arial"/>
          <w:color w:val="26221F"/>
        </w:rPr>
        <w:t>high performing</w:t>
      </w:r>
      <w:r w:rsidRPr="6311CB48">
        <w:rPr>
          <w:rFonts w:ascii="Arial" w:eastAsia="Aptos" w:hAnsi="Arial" w:cs="Arial"/>
          <w:color w:val="26221F"/>
        </w:rPr>
        <w:t xml:space="preserve"> workforce capable of meeting current and future policing challenges (Cooper and Cartwright, 1997).</w:t>
      </w:r>
    </w:p>
    <w:p w14:paraId="2ECBEECF" w14:textId="7517312F" w:rsidR="68264450" w:rsidRDefault="334FFA73" w:rsidP="0EB0CFED">
      <w:pPr>
        <w:spacing w:after="180" w:line="480" w:lineRule="auto"/>
      </w:pPr>
      <w:r w:rsidRPr="6311CB48">
        <w:rPr>
          <w:rFonts w:ascii="Arial" w:eastAsia="Arial" w:hAnsi="Arial" w:cs="Arial"/>
          <w:color w:val="26221F"/>
        </w:rPr>
        <w:t>The development of the strategy was informed by consultation with key organisational stakeholders, including People Services, Occupational Health, Learning and Development, Corporate Communications, Data Analytics, and Operational Commanders. Their insights shaped the diagnostic findings, validated priority risk areas, and ensured that the proposed interventions are operationally realistic and aligned with organisational capability.</w:t>
      </w:r>
    </w:p>
    <w:p w14:paraId="489E93C3" w14:textId="5793F93A" w:rsidR="3B13477C" w:rsidRDefault="3B13477C" w:rsidP="6311CB48">
      <w:pPr>
        <w:spacing w:after="180" w:line="480" w:lineRule="auto"/>
        <w:rPr>
          <w:rFonts w:ascii="Arial" w:eastAsia="Arial" w:hAnsi="Arial" w:cs="Arial"/>
          <w:color w:val="26221F"/>
        </w:rPr>
      </w:pPr>
      <w:r w:rsidRPr="6311CB48">
        <w:rPr>
          <w:rFonts w:ascii="Arial" w:eastAsia="Arial" w:hAnsi="Arial" w:cs="Arial"/>
          <w:color w:val="26221F"/>
        </w:rPr>
        <w:t>The strategy aligns directly with Humberside Police’s Mission to be victim</w:t>
      </w:r>
      <w:r>
        <w:noBreakHyphen/>
      </w:r>
      <w:r w:rsidRPr="6311CB48">
        <w:rPr>
          <w:rFonts w:ascii="Arial" w:eastAsia="Arial" w:hAnsi="Arial" w:cs="Arial"/>
          <w:color w:val="26221F"/>
        </w:rPr>
        <w:t>focused, community</w:t>
      </w:r>
      <w:r>
        <w:noBreakHyphen/>
      </w:r>
      <w:r w:rsidRPr="6311CB48">
        <w:rPr>
          <w:rFonts w:ascii="Arial" w:eastAsia="Arial" w:hAnsi="Arial" w:cs="Arial"/>
          <w:color w:val="26221F"/>
        </w:rPr>
        <w:t>focused, and workforce</w:t>
      </w:r>
      <w:r>
        <w:noBreakHyphen/>
      </w:r>
      <w:r w:rsidRPr="6311CB48">
        <w:rPr>
          <w:rFonts w:ascii="Arial" w:eastAsia="Arial" w:hAnsi="Arial" w:cs="Arial"/>
          <w:color w:val="26221F"/>
        </w:rPr>
        <w:t>focused. Strengthening workforce resilience enhances service quality for victims, supports community</w:t>
      </w:r>
      <w:r>
        <w:noBreakHyphen/>
      </w:r>
      <w:r w:rsidRPr="6311CB48">
        <w:rPr>
          <w:rFonts w:ascii="Arial" w:eastAsia="Arial" w:hAnsi="Arial" w:cs="Arial"/>
          <w:color w:val="26221F"/>
        </w:rPr>
        <w:t xml:space="preserve">focused policing through </w:t>
      </w:r>
      <w:r w:rsidRPr="6311CB48">
        <w:rPr>
          <w:rFonts w:ascii="Arial" w:eastAsia="Arial" w:hAnsi="Arial" w:cs="Arial"/>
          <w:color w:val="26221F"/>
        </w:rPr>
        <w:lastRenderedPageBreak/>
        <w:t>improved deployable capacity, and embeds workforce wellbeing as a core organisational priority. It also supports the organisation’s Vision to be an outstanding, locally trusted, and globally acclaimed police force by integrating evidence</w:t>
      </w:r>
      <w:r>
        <w:noBreakHyphen/>
      </w:r>
      <w:r w:rsidRPr="6311CB48">
        <w:rPr>
          <w:rFonts w:ascii="Arial" w:eastAsia="Arial" w:hAnsi="Arial" w:cs="Arial"/>
          <w:color w:val="26221F"/>
        </w:rPr>
        <w:t>based wellbeing practice, strengthening leadership capability, and aligning organisational culture with national standards of excellence.</w:t>
      </w:r>
    </w:p>
    <w:p w14:paraId="642960D5" w14:textId="7393D11B" w:rsidR="542CA2E8" w:rsidRPr="0068235E" w:rsidRDefault="4BEFBCE0" w:rsidP="00C260D9">
      <w:pPr>
        <w:pStyle w:val="Heading1"/>
        <w:spacing w:line="480" w:lineRule="auto"/>
        <w:rPr>
          <w:rFonts w:ascii="Arial" w:eastAsia="Arial" w:hAnsi="Arial" w:cs="Arial"/>
        </w:rPr>
      </w:pPr>
      <w:bookmarkStart w:id="2" w:name="_Toc2100731976"/>
      <w:r w:rsidRPr="6311CB48">
        <w:rPr>
          <w:rFonts w:ascii="Arial" w:eastAsia="Arial" w:hAnsi="Arial" w:cs="Arial"/>
        </w:rPr>
        <w:t xml:space="preserve">Scope </w:t>
      </w:r>
      <w:r w:rsidR="55FE1ED6" w:rsidRPr="6311CB48">
        <w:rPr>
          <w:rFonts w:ascii="Arial" w:eastAsia="Arial" w:hAnsi="Arial" w:cs="Arial"/>
        </w:rPr>
        <w:t>of Strategic Proposal</w:t>
      </w:r>
      <w:bookmarkEnd w:id="2"/>
    </w:p>
    <w:p w14:paraId="6E9B6938" w14:textId="481EEBD4" w:rsidR="5FA6BE25" w:rsidRDefault="5FA6BE25" w:rsidP="00C260D9">
      <w:pPr>
        <w:spacing w:after="180" w:line="480" w:lineRule="auto"/>
        <w:rPr>
          <w:rFonts w:ascii="Arial" w:eastAsia="Arial" w:hAnsi="Arial" w:cs="Arial"/>
          <w:color w:val="26221F"/>
        </w:rPr>
      </w:pPr>
      <w:r w:rsidRPr="6311CB48">
        <w:rPr>
          <w:rFonts w:ascii="Arial" w:eastAsia="Arial" w:hAnsi="Arial" w:cs="Arial"/>
          <w:color w:val="26221F"/>
        </w:rPr>
        <w:t>This strategic business proposal sets out the development and implementation of a comprehensive Wellbeing and Workforce Resilience Strategy for Humberside Police. The scope reflects the organisational, cultural, and operational challenges associated with workforce wellbeing in modern policing and applies to all officers, staff, and volunteers, with particular emphasis on high</w:t>
      </w:r>
      <w:r>
        <w:noBreakHyphen/>
      </w:r>
      <w:r w:rsidRPr="6311CB48">
        <w:rPr>
          <w:rFonts w:ascii="Arial" w:eastAsia="Arial" w:hAnsi="Arial" w:cs="Arial"/>
          <w:color w:val="26221F"/>
        </w:rPr>
        <w:t>demand units where trauma exposure and workload pressures are most acute (Brewin, 2014; Johnson et al., 2005). The strategy aims to strengthen organisational performance, enhance operational capacity, and reduce long</w:t>
      </w:r>
      <w:r>
        <w:noBreakHyphen/>
      </w:r>
      <w:r w:rsidRPr="6311CB48">
        <w:rPr>
          <w:rFonts w:ascii="Arial" w:eastAsia="Arial" w:hAnsi="Arial" w:cs="Arial"/>
          <w:color w:val="26221F"/>
        </w:rPr>
        <w:t>term financial and workforce</w:t>
      </w:r>
      <w:r>
        <w:noBreakHyphen/>
      </w:r>
      <w:r w:rsidRPr="6311CB48">
        <w:rPr>
          <w:rFonts w:ascii="Arial" w:eastAsia="Arial" w:hAnsi="Arial" w:cs="Arial"/>
          <w:color w:val="26221F"/>
        </w:rPr>
        <w:t>related risks (Deloitte, 2020).</w:t>
      </w:r>
    </w:p>
    <w:p w14:paraId="09F4DD73" w14:textId="0F641891"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The strategy is structured around four interconnected domains that collectively support organisational resilience and long</w:t>
      </w:r>
      <w:r>
        <w:noBreakHyphen/>
      </w:r>
      <w:r w:rsidRPr="6311CB48">
        <w:rPr>
          <w:rFonts w:ascii="Arial" w:eastAsia="Arial" w:hAnsi="Arial" w:cs="Arial"/>
          <w:color w:val="26221F"/>
        </w:rPr>
        <w:t>term sustainability.</w:t>
      </w:r>
    </w:p>
    <w:p w14:paraId="53207E81" w14:textId="221F9A73"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1. Organisational Wellbeing Governance</w:t>
      </w:r>
    </w:p>
    <w:p w14:paraId="37833980" w14:textId="6EB7A004"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This domain embeds wellbeing into strategic decision</w:t>
      </w:r>
      <w:r>
        <w:noBreakHyphen/>
      </w:r>
      <w:r w:rsidRPr="6311CB48">
        <w:rPr>
          <w:rFonts w:ascii="Arial" w:eastAsia="Arial" w:hAnsi="Arial" w:cs="Arial"/>
          <w:color w:val="26221F"/>
        </w:rPr>
        <w:t xml:space="preserve">making and leadership accountability. It includes establishing a Gold/Silver/Bronze governance structure, integrating wellbeing into existing boards and risk processes, and developing a </w:t>
      </w:r>
      <w:r w:rsidRPr="6311CB48">
        <w:rPr>
          <w:rFonts w:ascii="Arial" w:eastAsia="Arial" w:hAnsi="Arial" w:cs="Arial"/>
          <w:color w:val="26221F"/>
        </w:rPr>
        <w:lastRenderedPageBreak/>
        <w:t>wellbeing performance dashboard to provide senior leaders real</w:t>
      </w:r>
      <w:r>
        <w:noBreakHyphen/>
      </w:r>
      <w:r w:rsidRPr="6311CB48">
        <w:rPr>
          <w:rFonts w:ascii="Arial" w:eastAsia="Arial" w:hAnsi="Arial" w:cs="Arial"/>
          <w:color w:val="26221F"/>
        </w:rPr>
        <w:t>time insight (Kaplan and Norton, 1996; Marr, 2015).</w:t>
      </w:r>
    </w:p>
    <w:p w14:paraId="198C5732" w14:textId="1ECE5052"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2. Workforce Health, Safety and Psychological Resilience</w:t>
      </w:r>
    </w:p>
    <w:p w14:paraId="1F0CCC11" w14:textId="0428DD92"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This domain addresses operational and psychological pressures affecting workforce capacity. It includes enhancing Occupational Health provision, strengthening trauma</w:t>
      </w:r>
      <w:r>
        <w:noBreakHyphen/>
      </w:r>
      <w:r w:rsidRPr="6311CB48">
        <w:rPr>
          <w:rFonts w:ascii="Arial" w:eastAsia="Arial" w:hAnsi="Arial" w:cs="Arial"/>
          <w:color w:val="26221F"/>
        </w:rPr>
        <w:t>informed support pathways, improving early</w:t>
      </w:r>
      <w:r>
        <w:noBreakHyphen/>
      </w:r>
      <w:r w:rsidRPr="6311CB48">
        <w:rPr>
          <w:rFonts w:ascii="Arial" w:eastAsia="Arial" w:hAnsi="Arial" w:cs="Arial"/>
          <w:color w:val="26221F"/>
        </w:rPr>
        <w:t>intervention mechanisms, and delivering preventative wellbeing initiatives, with targeted support for high</w:t>
      </w:r>
      <w:r>
        <w:noBreakHyphen/>
      </w:r>
      <w:r w:rsidRPr="6311CB48">
        <w:rPr>
          <w:rFonts w:ascii="Arial" w:eastAsia="Arial" w:hAnsi="Arial" w:cs="Arial"/>
          <w:color w:val="26221F"/>
        </w:rPr>
        <w:t>risk roles such as response, investigations, and public protection (NICE, 2022; Papazoglou and Andersen, 2014).</w:t>
      </w:r>
    </w:p>
    <w:p w14:paraId="55995003" w14:textId="0CB84B5F"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3. Leadership, Culture and Behavioural Change</w:t>
      </w:r>
    </w:p>
    <w:p w14:paraId="0A75BB38" w14:textId="1AE2E71F"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Recognising that wellbeing is shaped by leadership behaviour and organisational culture, this domain focuses on developing supervisory capability and embedding wellbeing into everyday management practice. It includes leadership development and cultural change initiatives aimed at reducing stigma and encouraging early help</w:t>
      </w:r>
      <w:r>
        <w:noBreakHyphen/>
      </w:r>
      <w:r w:rsidRPr="6311CB48">
        <w:rPr>
          <w:rFonts w:ascii="Arial" w:eastAsia="Arial" w:hAnsi="Arial" w:cs="Arial"/>
          <w:color w:val="26221F"/>
        </w:rPr>
        <w:t>seeking (Skogan, 2021; Arnold and Connelly, 2013).</w:t>
      </w:r>
    </w:p>
    <w:p w14:paraId="26B2EACA" w14:textId="58BFDFC6"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4. Data, Insight and Performance Measurement</w:t>
      </w:r>
    </w:p>
    <w:p w14:paraId="62C85BB0" w14:textId="60498C72"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This domain strengthens organisational intelligence by improving the collection, analysis, and use of wellbeing data. It includes developing a wellbeing data framework, integrating wellbeing metrics into dashboards, and using analytics to identify risk trends and hotspots, supported by benchmarking against national policing standards (College of Policing, 2021; HMICFRS, 2022).</w:t>
      </w:r>
    </w:p>
    <w:p w14:paraId="58584B2B" w14:textId="1AD0B53F" w:rsidR="5FA6BE25" w:rsidRDefault="5FA6BE25" w:rsidP="6311CB48">
      <w:pPr>
        <w:spacing w:after="180" w:line="480" w:lineRule="auto"/>
        <w:rPr>
          <w:rFonts w:ascii="Arial" w:eastAsia="Arial" w:hAnsi="Arial" w:cs="Arial"/>
          <w:color w:val="26221F"/>
        </w:rPr>
      </w:pPr>
      <w:r w:rsidRPr="6311CB48">
        <w:rPr>
          <w:rFonts w:ascii="Arial" w:eastAsia="Arial" w:hAnsi="Arial" w:cs="Arial"/>
          <w:color w:val="26221F"/>
        </w:rPr>
        <w:t xml:space="preserve">The scope excludes activities outside strategic influence, such as individual HR grievances, clinical diagnosis or treatment, national pay and conditions, and national </w:t>
      </w:r>
      <w:r w:rsidRPr="6311CB48">
        <w:rPr>
          <w:rFonts w:ascii="Arial" w:eastAsia="Arial" w:hAnsi="Arial" w:cs="Arial"/>
          <w:color w:val="26221F"/>
        </w:rPr>
        <w:lastRenderedPageBreak/>
        <w:t>wellbeing programmes beyond the force’s control. Overall, the scope positions wellbeing as a strategic enabler of operational effectiveness, financial sustainability, and public value (Cooper and Dewe, 2008).</w:t>
      </w:r>
    </w:p>
    <w:p w14:paraId="160B3816" w14:textId="618031D9" w:rsidR="542CA2E8" w:rsidRPr="00437057" w:rsidRDefault="4BEFBCE0" w:rsidP="00C260D9">
      <w:pPr>
        <w:pStyle w:val="Heading1"/>
        <w:spacing w:line="480" w:lineRule="auto"/>
        <w:rPr>
          <w:rFonts w:ascii="Arial" w:eastAsia="Arial" w:hAnsi="Arial" w:cs="Arial"/>
        </w:rPr>
      </w:pPr>
      <w:bookmarkStart w:id="3" w:name="_Toc390473446"/>
      <w:r w:rsidRPr="00437057">
        <w:rPr>
          <w:rFonts w:ascii="Arial" w:hAnsi="Arial" w:cs="Arial"/>
        </w:rPr>
        <w:t>Main Findings</w:t>
      </w:r>
      <w:r w:rsidR="7D6E2ED4" w:rsidRPr="00437057">
        <w:rPr>
          <w:rFonts w:ascii="Arial" w:hAnsi="Arial" w:cs="Arial"/>
        </w:rPr>
        <w:t xml:space="preserve"> and Strategic Analysis</w:t>
      </w:r>
      <w:bookmarkEnd w:id="3"/>
    </w:p>
    <w:p w14:paraId="6ADFFE84" w14:textId="3571911B" w:rsidR="2CC51CAD" w:rsidRPr="00437057" w:rsidRDefault="2CA96CC1" w:rsidP="00C260D9">
      <w:pPr>
        <w:pStyle w:val="Heading2"/>
        <w:spacing w:line="480" w:lineRule="auto"/>
        <w:rPr>
          <w:rFonts w:ascii="Arial" w:eastAsia="Arial" w:hAnsi="Arial" w:cs="Arial"/>
          <w:color w:val="26221F"/>
          <w:sz w:val="30"/>
          <w:szCs w:val="30"/>
        </w:rPr>
      </w:pPr>
      <w:bookmarkStart w:id="4" w:name="_Toc549035209"/>
      <w:r w:rsidRPr="00437057">
        <w:rPr>
          <w:rFonts w:ascii="Arial" w:hAnsi="Arial" w:cs="Arial"/>
        </w:rPr>
        <w:t>Strategic Problem Definition</w:t>
      </w:r>
      <w:bookmarkEnd w:id="4"/>
    </w:p>
    <w:p w14:paraId="4D1DAA48" w14:textId="21B6842B" w:rsidR="06D60D6E" w:rsidRDefault="1DC54759" w:rsidP="00C260D9">
      <w:pPr>
        <w:spacing w:after="180" w:line="480" w:lineRule="auto"/>
        <w:rPr>
          <w:rFonts w:ascii="Arial" w:eastAsia="Arial" w:hAnsi="Arial" w:cs="Arial"/>
          <w:color w:val="26221F"/>
        </w:rPr>
      </w:pPr>
      <w:r w:rsidRPr="6311CB48">
        <w:rPr>
          <w:rFonts w:ascii="Arial" w:eastAsia="Arial" w:hAnsi="Arial" w:cs="Arial"/>
          <w:color w:val="26221F"/>
        </w:rPr>
        <w:t xml:space="preserve">Policing continues to operate in a </w:t>
      </w:r>
      <w:r w:rsidR="29AD31D0" w:rsidRPr="6311CB48">
        <w:rPr>
          <w:rFonts w:ascii="Arial" w:eastAsia="Arial" w:hAnsi="Arial" w:cs="Arial"/>
          <w:color w:val="26221F"/>
        </w:rPr>
        <w:t>high demand</w:t>
      </w:r>
      <w:r w:rsidRPr="6311CB48">
        <w:rPr>
          <w:rFonts w:ascii="Arial" w:eastAsia="Arial" w:hAnsi="Arial" w:cs="Arial"/>
          <w:color w:val="26221F"/>
        </w:rPr>
        <w:t xml:space="preserve">, </w:t>
      </w:r>
      <w:r w:rsidR="63B5D8B8" w:rsidRPr="6311CB48">
        <w:rPr>
          <w:rFonts w:ascii="Arial" w:eastAsia="Arial" w:hAnsi="Arial" w:cs="Arial"/>
          <w:color w:val="26221F"/>
        </w:rPr>
        <w:t>high-risk</w:t>
      </w:r>
      <w:r w:rsidRPr="6311CB48">
        <w:rPr>
          <w:rFonts w:ascii="Arial" w:eastAsia="Arial" w:hAnsi="Arial" w:cs="Arial"/>
          <w:color w:val="26221F"/>
        </w:rPr>
        <w:t xml:space="preserve"> environment where workforce resilience is increasingly fragile. </w:t>
      </w:r>
      <w:proofErr w:type="gramStart"/>
      <w:r w:rsidRPr="6311CB48">
        <w:rPr>
          <w:rFonts w:ascii="Arial" w:eastAsia="Arial" w:hAnsi="Arial" w:cs="Arial"/>
          <w:color w:val="26221F"/>
        </w:rPr>
        <w:t>Rising levels of psychological injury,</w:t>
      </w:r>
      <w:proofErr w:type="gramEnd"/>
      <w:r w:rsidRPr="6311CB48">
        <w:rPr>
          <w:rFonts w:ascii="Arial" w:eastAsia="Arial" w:hAnsi="Arial" w:cs="Arial"/>
          <w:color w:val="26221F"/>
        </w:rPr>
        <w:t xml:space="preserve"> sustained operational pressure, and organisational stressors have contributed to elevated sickness absence, reduced deployable capacity, and declining morale (Johnson et al., 2005; HSE, 2023). HMICFRS PEEL inspections consistently highlight wellbeing as a strategic vulnerability, noting that forces with weakened workforce resilience experience reduced service quality</w:t>
      </w:r>
      <w:r w:rsidR="428BF16B" w:rsidRPr="6311CB48">
        <w:rPr>
          <w:rFonts w:ascii="Arial" w:eastAsia="Arial" w:hAnsi="Arial" w:cs="Arial"/>
          <w:color w:val="26221F"/>
        </w:rPr>
        <w:t xml:space="preserve"> and</w:t>
      </w:r>
      <w:r w:rsidRPr="6311CB48">
        <w:rPr>
          <w:rFonts w:ascii="Arial" w:eastAsia="Arial" w:hAnsi="Arial" w:cs="Arial"/>
          <w:color w:val="26221F"/>
        </w:rPr>
        <w:t xml:space="preserve"> slower response times (College of Policing, 2021). The force’s own data reflects these national trends, with </w:t>
      </w:r>
      <w:r w:rsidR="59B52D18" w:rsidRPr="6311CB48">
        <w:rPr>
          <w:rFonts w:ascii="Arial" w:eastAsia="Arial" w:hAnsi="Arial" w:cs="Arial"/>
          <w:color w:val="26221F"/>
        </w:rPr>
        <w:t>stress related</w:t>
      </w:r>
      <w:r w:rsidRPr="6311CB48">
        <w:rPr>
          <w:rFonts w:ascii="Arial" w:eastAsia="Arial" w:hAnsi="Arial" w:cs="Arial"/>
          <w:color w:val="26221F"/>
        </w:rPr>
        <w:t xml:space="preserve"> absence and </w:t>
      </w:r>
      <w:r w:rsidR="06B8A33B" w:rsidRPr="6311CB48">
        <w:rPr>
          <w:rFonts w:ascii="Arial" w:eastAsia="Arial" w:hAnsi="Arial" w:cs="Arial"/>
          <w:color w:val="26221F"/>
        </w:rPr>
        <w:t>restricted duty</w:t>
      </w:r>
      <w:r w:rsidRPr="6311CB48">
        <w:rPr>
          <w:rFonts w:ascii="Arial" w:eastAsia="Arial" w:hAnsi="Arial" w:cs="Arial"/>
          <w:color w:val="26221F"/>
        </w:rPr>
        <w:t xml:space="preserve"> days increasing year</w:t>
      </w:r>
      <w:r w:rsidR="77B4C650" w:rsidRPr="6311CB48">
        <w:rPr>
          <w:rFonts w:ascii="Arial" w:eastAsia="Arial" w:hAnsi="Arial" w:cs="Arial"/>
          <w:color w:val="26221F"/>
        </w:rPr>
        <w:t xml:space="preserve"> </w:t>
      </w:r>
      <w:r w:rsidRPr="6311CB48">
        <w:rPr>
          <w:rFonts w:ascii="Arial" w:eastAsia="Arial" w:hAnsi="Arial" w:cs="Arial"/>
          <w:color w:val="26221F"/>
        </w:rPr>
        <w:t>on</w:t>
      </w:r>
      <w:r w:rsidR="16D139DB" w:rsidRPr="6311CB48">
        <w:rPr>
          <w:rFonts w:ascii="Arial" w:eastAsia="Arial" w:hAnsi="Arial" w:cs="Arial"/>
          <w:color w:val="26221F"/>
        </w:rPr>
        <w:t xml:space="preserve"> </w:t>
      </w:r>
      <w:r w:rsidRPr="6311CB48">
        <w:rPr>
          <w:rFonts w:ascii="Arial" w:eastAsia="Arial" w:hAnsi="Arial" w:cs="Arial"/>
          <w:color w:val="26221F"/>
        </w:rPr>
        <w:t>year</w:t>
      </w:r>
      <w:r w:rsidR="736FFCC4" w:rsidRPr="6311CB48">
        <w:rPr>
          <w:rFonts w:ascii="Arial" w:eastAsia="Arial" w:hAnsi="Arial" w:cs="Arial"/>
          <w:color w:val="26221F"/>
        </w:rPr>
        <w:t xml:space="preserve">, creating </w:t>
      </w:r>
      <w:r w:rsidRPr="6311CB48">
        <w:rPr>
          <w:rFonts w:ascii="Arial" w:eastAsia="Arial" w:hAnsi="Arial" w:cs="Arial"/>
          <w:color w:val="26221F"/>
        </w:rPr>
        <w:t>significant operational</w:t>
      </w:r>
      <w:r w:rsidR="3C1913A7" w:rsidRPr="6311CB48">
        <w:rPr>
          <w:rFonts w:ascii="Arial" w:eastAsia="Arial" w:hAnsi="Arial" w:cs="Arial"/>
          <w:color w:val="26221F"/>
        </w:rPr>
        <w:t xml:space="preserve"> and </w:t>
      </w:r>
      <w:r w:rsidRPr="6311CB48">
        <w:rPr>
          <w:rFonts w:ascii="Arial" w:eastAsia="Arial" w:hAnsi="Arial" w:cs="Arial"/>
          <w:color w:val="26221F"/>
        </w:rPr>
        <w:t>financial</w:t>
      </w:r>
      <w:r w:rsidR="2340CA38" w:rsidRPr="6311CB48">
        <w:rPr>
          <w:rFonts w:ascii="Arial" w:eastAsia="Arial" w:hAnsi="Arial" w:cs="Arial"/>
          <w:color w:val="26221F"/>
        </w:rPr>
        <w:t xml:space="preserve"> </w:t>
      </w:r>
      <w:r w:rsidRPr="6311CB48">
        <w:rPr>
          <w:rFonts w:ascii="Arial" w:eastAsia="Arial" w:hAnsi="Arial" w:cs="Arial"/>
          <w:color w:val="26221F"/>
        </w:rPr>
        <w:t>(Deloitte, 2020).</w:t>
      </w:r>
    </w:p>
    <w:p w14:paraId="30E3EE24" w14:textId="3A70AB70" w:rsidR="4226250C" w:rsidRDefault="67DF0055" w:rsidP="0EB0CFED">
      <w:pPr>
        <w:spacing w:after="180" w:line="480" w:lineRule="auto"/>
        <w:rPr>
          <w:rFonts w:ascii="Arial" w:eastAsia="Arial" w:hAnsi="Arial" w:cs="Arial"/>
          <w:color w:val="26221F"/>
        </w:rPr>
      </w:pPr>
      <w:r w:rsidRPr="6311CB48">
        <w:rPr>
          <w:rFonts w:ascii="Arial" w:eastAsia="Arial" w:hAnsi="Arial" w:cs="Arial"/>
          <w:color w:val="26221F"/>
        </w:rPr>
        <w:t xml:space="preserve">Strategic management theory reinforces the need for a proactive, </w:t>
      </w:r>
      <w:r w:rsidR="0EE7385E" w:rsidRPr="6311CB48">
        <w:rPr>
          <w:rFonts w:ascii="Arial" w:eastAsia="Arial" w:hAnsi="Arial" w:cs="Arial"/>
          <w:color w:val="26221F"/>
        </w:rPr>
        <w:t>systemwide</w:t>
      </w:r>
      <w:r w:rsidRPr="6311CB48">
        <w:rPr>
          <w:rFonts w:ascii="Arial" w:eastAsia="Arial" w:hAnsi="Arial" w:cs="Arial"/>
          <w:color w:val="26221F"/>
        </w:rPr>
        <w:t xml:space="preserve"> approach. The </w:t>
      </w:r>
      <w:r w:rsidR="58261CAE" w:rsidRPr="6311CB48">
        <w:rPr>
          <w:rFonts w:ascii="Arial" w:eastAsia="Arial" w:hAnsi="Arial" w:cs="Arial"/>
          <w:color w:val="26221F"/>
        </w:rPr>
        <w:t>Resource Based</w:t>
      </w:r>
      <w:r w:rsidRPr="6311CB48">
        <w:rPr>
          <w:rFonts w:ascii="Arial" w:eastAsia="Arial" w:hAnsi="Arial" w:cs="Arial"/>
          <w:color w:val="26221F"/>
        </w:rPr>
        <w:t xml:space="preserve"> View positions the workforce as the organisation’s most valuable strategic asset; therefore, declining wellbeing directly undermines organisational capability (Cooper and Dewe, 2008). Systems Theory highlights how failures in one part of the system </w:t>
      </w:r>
      <w:r w:rsidR="2432E4C9" w:rsidRPr="6311CB48">
        <w:rPr>
          <w:rFonts w:ascii="Arial" w:eastAsia="Arial" w:hAnsi="Arial" w:cs="Arial"/>
          <w:color w:val="26221F"/>
        </w:rPr>
        <w:t>such as</w:t>
      </w:r>
      <w:r w:rsidRPr="6311CB48">
        <w:rPr>
          <w:rFonts w:ascii="Arial" w:eastAsia="Arial" w:hAnsi="Arial" w:cs="Arial"/>
          <w:color w:val="26221F"/>
        </w:rPr>
        <w:t xml:space="preserve"> trauma exposure, </w:t>
      </w:r>
      <w:r w:rsidR="3D47AF10" w:rsidRPr="6311CB48">
        <w:rPr>
          <w:rFonts w:ascii="Arial" w:eastAsia="Arial" w:hAnsi="Arial" w:cs="Arial"/>
          <w:color w:val="26221F"/>
        </w:rPr>
        <w:t>inconsistent</w:t>
      </w:r>
      <w:r w:rsidRPr="6311CB48">
        <w:rPr>
          <w:rFonts w:ascii="Arial" w:eastAsia="Arial" w:hAnsi="Arial" w:cs="Arial"/>
          <w:color w:val="26221F"/>
        </w:rPr>
        <w:t xml:space="preserve"> supervision, </w:t>
      </w:r>
      <w:r w:rsidR="2FF29C9C" w:rsidRPr="6311CB48">
        <w:rPr>
          <w:rFonts w:ascii="Arial" w:eastAsia="Arial" w:hAnsi="Arial" w:cs="Arial"/>
          <w:color w:val="26221F"/>
        </w:rPr>
        <w:t xml:space="preserve">or limited </w:t>
      </w:r>
      <w:r w:rsidRPr="6311CB48">
        <w:rPr>
          <w:rFonts w:ascii="Arial" w:eastAsia="Arial" w:hAnsi="Arial" w:cs="Arial"/>
          <w:color w:val="26221F"/>
        </w:rPr>
        <w:t>early intervention</w:t>
      </w:r>
      <w:r w:rsidR="74DFAD50" w:rsidRPr="6311CB48">
        <w:rPr>
          <w:rFonts w:ascii="Arial" w:eastAsia="Arial" w:hAnsi="Arial" w:cs="Arial"/>
          <w:color w:val="26221F"/>
        </w:rPr>
        <w:t>,</w:t>
      </w:r>
      <w:r w:rsidRPr="6311CB48">
        <w:rPr>
          <w:rFonts w:ascii="Arial" w:eastAsia="Arial" w:hAnsi="Arial" w:cs="Arial"/>
          <w:color w:val="26221F"/>
        </w:rPr>
        <w:t xml:space="preserve"> create wider organisational dysfunction (Brewin, 2014; Creamer et al., 2012). Public Value Theory emphasises that workforce wellbeing is </w:t>
      </w:r>
      <w:r w:rsidRPr="6311CB48">
        <w:rPr>
          <w:rFonts w:ascii="Arial" w:eastAsia="Arial" w:hAnsi="Arial" w:cs="Arial"/>
          <w:color w:val="26221F"/>
        </w:rPr>
        <w:lastRenderedPageBreak/>
        <w:t>integral to legitimacy, trust, and service quality. Collectively, these frameworks demonstrate that wellbeing is not a welfare issue but a strategic imperative.</w:t>
      </w:r>
    </w:p>
    <w:p w14:paraId="249422C4" w14:textId="48C6DF51" w:rsidR="2CC51CAD" w:rsidRPr="00437057" w:rsidRDefault="2CA96CC1" w:rsidP="00C260D9">
      <w:pPr>
        <w:pStyle w:val="Heading2"/>
        <w:spacing w:line="480" w:lineRule="auto"/>
        <w:rPr>
          <w:rFonts w:ascii="Arial" w:eastAsia="Arial" w:hAnsi="Arial" w:cs="Arial"/>
          <w:color w:val="26221F"/>
          <w:sz w:val="30"/>
          <w:szCs w:val="30"/>
        </w:rPr>
      </w:pPr>
      <w:bookmarkStart w:id="5" w:name="_Toc1209644998"/>
      <w:r w:rsidRPr="00437057">
        <w:rPr>
          <w:rFonts w:ascii="Arial" w:hAnsi="Arial" w:cs="Arial"/>
        </w:rPr>
        <w:t>Strategic Context and Drivers</w:t>
      </w:r>
      <w:bookmarkEnd w:id="5"/>
    </w:p>
    <w:p w14:paraId="55718CDA" w14:textId="4EE0C9DE" w:rsidR="23881584" w:rsidRPr="0068235E" w:rsidRDefault="35705B2A" w:rsidP="00C260D9">
      <w:pPr>
        <w:spacing w:after="180" w:line="480" w:lineRule="auto"/>
        <w:rPr>
          <w:rFonts w:ascii="Arial" w:eastAsia="Arial" w:hAnsi="Arial" w:cs="Arial"/>
          <w:color w:val="26221F"/>
        </w:rPr>
      </w:pPr>
      <w:r w:rsidRPr="0EB0CFED">
        <w:rPr>
          <w:rFonts w:ascii="Arial" w:eastAsia="Arial" w:hAnsi="Arial" w:cs="Arial"/>
          <w:color w:val="26221F"/>
        </w:rPr>
        <w:t>The strategic context for policing is shaped by several external and internal drivers:</w:t>
      </w:r>
    </w:p>
    <w:p w14:paraId="6783DB8E" w14:textId="7E5FC72F" w:rsidR="23881584" w:rsidRPr="0068235E" w:rsidRDefault="0CD25E96" w:rsidP="00C260D9">
      <w:pPr>
        <w:spacing w:after="180" w:line="480" w:lineRule="auto"/>
        <w:rPr>
          <w:rFonts w:ascii="Arial" w:eastAsia="Arial" w:hAnsi="Arial" w:cs="Arial"/>
          <w:color w:val="26221F"/>
        </w:rPr>
      </w:pPr>
      <w:r w:rsidRPr="6311CB48">
        <w:rPr>
          <w:rFonts w:ascii="Arial" w:eastAsia="Arial" w:hAnsi="Arial" w:cs="Arial"/>
          <w:color w:val="26221F"/>
        </w:rPr>
        <w:t xml:space="preserve">National policy: The Police Covenant, NPCC Wellbeing Framework, and College of Policing guidance all mandate a more structured, </w:t>
      </w:r>
      <w:r w:rsidR="1B6D8CDD" w:rsidRPr="6311CB48">
        <w:rPr>
          <w:rFonts w:ascii="Arial" w:eastAsia="Arial" w:hAnsi="Arial" w:cs="Arial"/>
          <w:color w:val="26221F"/>
        </w:rPr>
        <w:t>evidence-based</w:t>
      </w:r>
      <w:r w:rsidRPr="6311CB48">
        <w:rPr>
          <w:rFonts w:ascii="Arial" w:eastAsia="Arial" w:hAnsi="Arial" w:cs="Arial"/>
          <w:color w:val="26221F"/>
        </w:rPr>
        <w:t xml:space="preserve"> approach to wellbeing (NICE, 2022).</w:t>
      </w:r>
    </w:p>
    <w:p w14:paraId="2DDD2E51" w14:textId="71651356" w:rsidR="23881584" w:rsidRPr="0068235E" w:rsidRDefault="0CD25E96" w:rsidP="0EB0CFED">
      <w:pPr>
        <w:spacing w:after="180" w:line="480" w:lineRule="auto"/>
        <w:rPr>
          <w:rFonts w:ascii="Arial" w:eastAsia="Arial" w:hAnsi="Arial" w:cs="Arial"/>
          <w:color w:val="26221F"/>
        </w:rPr>
      </w:pPr>
      <w:r w:rsidRPr="6311CB48">
        <w:rPr>
          <w:rFonts w:ascii="Arial" w:eastAsia="Arial" w:hAnsi="Arial" w:cs="Arial"/>
          <w:color w:val="26221F"/>
        </w:rPr>
        <w:t xml:space="preserve">Financial pressures: </w:t>
      </w:r>
      <w:r w:rsidR="2F6951CA" w:rsidRPr="6311CB48">
        <w:rPr>
          <w:rFonts w:ascii="Arial" w:eastAsia="Arial" w:hAnsi="Arial" w:cs="Arial"/>
          <w:color w:val="26221F"/>
        </w:rPr>
        <w:t>Post pandemic</w:t>
      </w:r>
      <w:r w:rsidRPr="6311CB48">
        <w:rPr>
          <w:rFonts w:ascii="Arial" w:eastAsia="Arial" w:hAnsi="Arial" w:cs="Arial"/>
          <w:color w:val="26221F"/>
        </w:rPr>
        <w:t xml:space="preserve"> constraints and rising demand require forces to maximise workforce availability and reduce avoidable costs such as sickness absence and overtime (Deloitte, 2020).</w:t>
      </w:r>
    </w:p>
    <w:p w14:paraId="20841E1B" w14:textId="1C411281" w:rsidR="23881584" w:rsidRPr="0068235E" w:rsidRDefault="35705B2A" w:rsidP="0EB0CFED">
      <w:pPr>
        <w:spacing w:after="180" w:line="480" w:lineRule="auto"/>
        <w:rPr>
          <w:rFonts w:ascii="Arial" w:eastAsia="Arial" w:hAnsi="Arial" w:cs="Arial"/>
          <w:color w:val="26221F"/>
        </w:rPr>
      </w:pPr>
      <w:r w:rsidRPr="0EB0CFED">
        <w:rPr>
          <w:rFonts w:ascii="Arial" w:eastAsia="Arial" w:hAnsi="Arial" w:cs="Arial"/>
          <w:color w:val="26221F"/>
        </w:rPr>
        <w:t>Operational pressures: Increased exposure to trauma, safeguarding demand, and complex investigations place sustained psychological strain on officers and staff (Papazoglou and Andersen, 2014).</w:t>
      </w:r>
    </w:p>
    <w:p w14:paraId="223F8C86" w14:textId="45480E59" w:rsidR="23881584" w:rsidRPr="0068235E" w:rsidRDefault="0CD25E96" w:rsidP="0EB0CFED">
      <w:pPr>
        <w:spacing w:after="180" w:line="480" w:lineRule="auto"/>
        <w:rPr>
          <w:rFonts w:ascii="Arial" w:eastAsia="Arial" w:hAnsi="Arial" w:cs="Arial"/>
          <w:color w:val="26221F"/>
        </w:rPr>
      </w:pPr>
      <w:r w:rsidRPr="6311CB48">
        <w:rPr>
          <w:rFonts w:ascii="Arial" w:eastAsia="Arial" w:hAnsi="Arial" w:cs="Arial"/>
          <w:color w:val="26221F"/>
        </w:rPr>
        <w:t xml:space="preserve">Cultural challenges: Stigma, inconsistent supervision, and </w:t>
      </w:r>
      <w:r w:rsidR="66F4D522" w:rsidRPr="6311CB48">
        <w:rPr>
          <w:rFonts w:ascii="Arial" w:eastAsia="Arial" w:hAnsi="Arial" w:cs="Arial"/>
          <w:color w:val="26221F"/>
        </w:rPr>
        <w:t>variable</w:t>
      </w:r>
      <w:r w:rsidRPr="6311CB48">
        <w:rPr>
          <w:rFonts w:ascii="Arial" w:eastAsia="Arial" w:hAnsi="Arial" w:cs="Arial"/>
          <w:color w:val="26221F"/>
        </w:rPr>
        <w:t xml:space="preserve"> leadership capability </w:t>
      </w:r>
      <w:r w:rsidR="036BD014" w:rsidRPr="6311CB48">
        <w:rPr>
          <w:rFonts w:ascii="Arial" w:eastAsia="Arial" w:hAnsi="Arial" w:cs="Arial"/>
          <w:color w:val="26221F"/>
        </w:rPr>
        <w:t>i</w:t>
      </w:r>
      <w:r w:rsidRPr="6311CB48">
        <w:rPr>
          <w:rFonts w:ascii="Arial" w:eastAsia="Arial" w:hAnsi="Arial" w:cs="Arial"/>
          <w:color w:val="26221F"/>
        </w:rPr>
        <w:t xml:space="preserve">nhibit early </w:t>
      </w:r>
      <w:r w:rsidR="05DA7B35" w:rsidRPr="6311CB48">
        <w:rPr>
          <w:rFonts w:ascii="Arial" w:eastAsia="Arial" w:hAnsi="Arial" w:cs="Arial"/>
          <w:color w:val="26221F"/>
        </w:rPr>
        <w:t>help seeking</w:t>
      </w:r>
      <w:r w:rsidRPr="6311CB48">
        <w:rPr>
          <w:rFonts w:ascii="Arial" w:eastAsia="Arial" w:hAnsi="Arial" w:cs="Arial"/>
          <w:color w:val="26221F"/>
        </w:rPr>
        <w:t xml:space="preserve"> and proactive wellbeing management (Skogan, 2021; Arnold and Connelly, 2013).</w:t>
      </w:r>
    </w:p>
    <w:p w14:paraId="6AFD6252" w14:textId="5276720B" w:rsidR="0CD25E96" w:rsidRDefault="0CD25E96" w:rsidP="6311CB48">
      <w:pPr>
        <w:spacing w:after="180" w:line="480" w:lineRule="auto"/>
      </w:pPr>
      <w:r w:rsidRPr="6311CB48">
        <w:rPr>
          <w:rFonts w:ascii="Arial" w:eastAsia="Arial" w:hAnsi="Arial" w:cs="Arial"/>
          <w:color w:val="26221F"/>
        </w:rPr>
        <w:t xml:space="preserve">These drivers collectively demonstrate the need for a strategic, </w:t>
      </w:r>
      <w:r w:rsidR="6B0DD286" w:rsidRPr="6311CB48">
        <w:rPr>
          <w:rFonts w:ascii="Arial" w:eastAsia="Arial" w:hAnsi="Arial" w:cs="Arial"/>
          <w:color w:val="26221F"/>
        </w:rPr>
        <w:t>long-term</w:t>
      </w:r>
      <w:r w:rsidRPr="6311CB48">
        <w:rPr>
          <w:rFonts w:ascii="Arial" w:eastAsia="Arial" w:hAnsi="Arial" w:cs="Arial"/>
          <w:color w:val="26221F"/>
        </w:rPr>
        <w:t xml:space="preserve"> wellbeing plan</w:t>
      </w:r>
      <w:r w:rsidR="029FEAC7" w:rsidRPr="6311CB48">
        <w:rPr>
          <w:rFonts w:ascii="Arial" w:eastAsia="Arial" w:hAnsi="Arial" w:cs="Arial"/>
          <w:color w:val="26221F"/>
        </w:rPr>
        <w:t xml:space="preserve"> </w:t>
      </w:r>
      <w:r w:rsidR="48A88B82" w:rsidRPr="6311CB48">
        <w:rPr>
          <w:rFonts w:ascii="Arial" w:eastAsia="Arial" w:hAnsi="Arial" w:cs="Arial"/>
          <w:color w:val="26221F"/>
        </w:rPr>
        <w:t>aligned</w:t>
      </w:r>
      <w:r w:rsidRPr="6311CB48">
        <w:rPr>
          <w:rFonts w:ascii="Arial" w:eastAsia="Arial" w:hAnsi="Arial" w:cs="Arial"/>
          <w:color w:val="26221F"/>
        </w:rPr>
        <w:t xml:space="preserve"> </w:t>
      </w:r>
      <w:r w:rsidR="29116003" w:rsidRPr="6311CB48">
        <w:rPr>
          <w:rFonts w:ascii="Arial" w:eastAsia="Arial" w:hAnsi="Arial" w:cs="Arial"/>
          <w:color w:val="26221F"/>
        </w:rPr>
        <w:t>with the</w:t>
      </w:r>
      <w:r w:rsidR="70EB2071" w:rsidRPr="6311CB48">
        <w:rPr>
          <w:rFonts w:ascii="Arial" w:eastAsia="Arial" w:hAnsi="Arial" w:cs="Arial"/>
          <w:color w:val="26221F"/>
        </w:rPr>
        <w:t xml:space="preserve"> national expectations and the</w:t>
      </w:r>
      <w:r w:rsidR="29116003" w:rsidRPr="6311CB48">
        <w:rPr>
          <w:rFonts w:ascii="Arial" w:eastAsia="Arial" w:hAnsi="Arial" w:cs="Arial"/>
          <w:color w:val="26221F"/>
        </w:rPr>
        <w:t xml:space="preserve"> force’s Mission and Vision, which emphasise victim</w:t>
      </w:r>
      <w:r>
        <w:noBreakHyphen/>
      </w:r>
      <w:r w:rsidR="29116003" w:rsidRPr="6311CB48">
        <w:rPr>
          <w:rFonts w:ascii="Arial" w:eastAsia="Arial" w:hAnsi="Arial" w:cs="Arial"/>
          <w:color w:val="26221F"/>
        </w:rPr>
        <w:t>focused service delivery, community trust, and a resilient workforce capable of sustaining outstanding performance.</w:t>
      </w:r>
    </w:p>
    <w:p w14:paraId="78D02451" w14:textId="5AF8F634" w:rsidR="4566540D" w:rsidRPr="00437057" w:rsidRDefault="2CA96CC1" w:rsidP="00C260D9">
      <w:pPr>
        <w:pStyle w:val="Heading2"/>
        <w:spacing w:line="480" w:lineRule="auto"/>
        <w:rPr>
          <w:rFonts w:ascii="Arial" w:hAnsi="Arial" w:cs="Arial"/>
        </w:rPr>
      </w:pPr>
      <w:bookmarkStart w:id="6" w:name="_Toc1742170683"/>
      <w:r w:rsidRPr="00437057">
        <w:rPr>
          <w:rFonts w:ascii="Arial" w:hAnsi="Arial" w:cs="Arial"/>
        </w:rPr>
        <w:lastRenderedPageBreak/>
        <w:t>Evidence Base and Theoretical Foundations</w:t>
      </w:r>
      <w:bookmarkEnd w:id="6"/>
    </w:p>
    <w:p w14:paraId="1530F531" w14:textId="1D4FD91D" w:rsidR="4566540D" w:rsidRPr="0068235E" w:rsidRDefault="44992BCE" w:rsidP="00C260D9">
      <w:pPr>
        <w:spacing w:before="60" w:after="180" w:line="480" w:lineRule="auto"/>
        <w:rPr>
          <w:rFonts w:ascii="Arial" w:hAnsi="Arial" w:cs="Arial"/>
        </w:rPr>
      </w:pPr>
      <w:r w:rsidRPr="6311CB48">
        <w:rPr>
          <w:rFonts w:ascii="Arial" w:eastAsia="Arial" w:hAnsi="Arial" w:cs="Arial"/>
          <w:color w:val="26221F"/>
        </w:rPr>
        <w:t xml:space="preserve">The strategy is grounded in a </w:t>
      </w:r>
      <w:r w:rsidR="2417FC98" w:rsidRPr="6311CB48">
        <w:rPr>
          <w:rFonts w:ascii="Arial" w:eastAsia="Arial" w:hAnsi="Arial" w:cs="Arial"/>
          <w:color w:val="26221F"/>
        </w:rPr>
        <w:t>mixed method</w:t>
      </w:r>
      <w:r w:rsidRPr="6311CB48">
        <w:rPr>
          <w:rFonts w:ascii="Arial" w:eastAsia="Arial" w:hAnsi="Arial" w:cs="Arial"/>
          <w:color w:val="26221F"/>
        </w:rPr>
        <w:t xml:space="preserve"> evidence base, including sickness data, staff surveys, exit interviews, HMICFRS findings, and academic research. Key insights include:</w:t>
      </w:r>
    </w:p>
    <w:p w14:paraId="6DB8844F" w14:textId="0715DBF8" w:rsidR="4566540D" w:rsidRPr="0068235E" w:rsidRDefault="44992BCE" w:rsidP="00B10050">
      <w:pPr>
        <w:pStyle w:val="ListParagraph"/>
        <w:numPr>
          <w:ilvl w:val="0"/>
          <w:numId w:val="16"/>
        </w:numPr>
        <w:spacing w:after="0" w:line="480" w:lineRule="auto"/>
        <w:rPr>
          <w:rFonts w:ascii="Arial" w:eastAsia="Arial" w:hAnsi="Arial" w:cs="Arial"/>
          <w:color w:val="26221F"/>
        </w:rPr>
      </w:pPr>
      <w:r w:rsidRPr="6311CB48">
        <w:rPr>
          <w:rFonts w:ascii="Arial" w:eastAsia="Arial" w:hAnsi="Arial" w:cs="Arial"/>
          <w:color w:val="26221F"/>
        </w:rPr>
        <w:t xml:space="preserve">Psychological injury is now one of the leading causes of </w:t>
      </w:r>
      <w:r w:rsidR="31FEF1DC" w:rsidRPr="6311CB48">
        <w:rPr>
          <w:rFonts w:ascii="Arial" w:eastAsia="Arial" w:hAnsi="Arial" w:cs="Arial"/>
          <w:color w:val="26221F"/>
        </w:rPr>
        <w:t>long-term</w:t>
      </w:r>
      <w:r w:rsidRPr="6311CB48">
        <w:rPr>
          <w:rFonts w:ascii="Arial" w:eastAsia="Arial" w:hAnsi="Arial" w:cs="Arial"/>
          <w:color w:val="26221F"/>
        </w:rPr>
        <w:t xml:space="preserve"> absence (HSE, 2023).</w:t>
      </w:r>
    </w:p>
    <w:p w14:paraId="5CF5FD24" w14:textId="2F663BFD" w:rsidR="4566540D" w:rsidRPr="0068235E" w:rsidRDefault="20670ECA" w:rsidP="00B10050">
      <w:pPr>
        <w:pStyle w:val="ListParagraph"/>
        <w:numPr>
          <w:ilvl w:val="0"/>
          <w:numId w:val="16"/>
        </w:numPr>
        <w:spacing w:after="0" w:line="480" w:lineRule="auto"/>
        <w:rPr>
          <w:rFonts w:ascii="Arial" w:eastAsia="Arial" w:hAnsi="Arial" w:cs="Arial"/>
          <w:color w:val="26221F"/>
        </w:rPr>
      </w:pPr>
      <w:r w:rsidRPr="6311CB48">
        <w:rPr>
          <w:rFonts w:ascii="Arial" w:eastAsia="Arial" w:hAnsi="Arial" w:cs="Arial"/>
          <w:color w:val="26221F"/>
        </w:rPr>
        <w:t>High demand</w:t>
      </w:r>
      <w:r w:rsidR="44992BCE" w:rsidRPr="6311CB48">
        <w:rPr>
          <w:rFonts w:ascii="Arial" w:eastAsia="Arial" w:hAnsi="Arial" w:cs="Arial"/>
          <w:color w:val="26221F"/>
        </w:rPr>
        <w:t xml:space="preserve"> units experience disproportionate levels of trauma exposure (Brewin, 2014).</w:t>
      </w:r>
    </w:p>
    <w:p w14:paraId="1F757C19" w14:textId="0418A26C" w:rsidR="4566540D" w:rsidRPr="0068235E" w:rsidRDefault="7C8D74D0" w:rsidP="00B10050">
      <w:pPr>
        <w:pStyle w:val="ListParagraph"/>
        <w:numPr>
          <w:ilvl w:val="0"/>
          <w:numId w:val="16"/>
        </w:numPr>
        <w:spacing w:after="0" w:line="480" w:lineRule="auto"/>
        <w:rPr>
          <w:rFonts w:ascii="Arial" w:eastAsia="Arial" w:hAnsi="Arial" w:cs="Arial"/>
          <w:color w:val="26221F"/>
        </w:rPr>
      </w:pPr>
      <w:r w:rsidRPr="0EB0CFED">
        <w:rPr>
          <w:rFonts w:ascii="Arial" w:eastAsia="Arial" w:hAnsi="Arial" w:cs="Arial"/>
          <w:color w:val="26221F"/>
        </w:rPr>
        <w:t xml:space="preserve">Leadership behaviour is </w:t>
      </w:r>
      <w:r w:rsidR="1EC9A3C6" w:rsidRPr="0EB0CFED">
        <w:rPr>
          <w:rFonts w:ascii="Arial" w:eastAsia="Arial" w:hAnsi="Arial" w:cs="Arial"/>
          <w:color w:val="26221F"/>
        </w:rPr>
        <w:t>a</w:t>
      </w:r>
      <w:r w:rsidRPr="0EB0CFED">
        <w:rPr>
          <w:rFonts w:ascii="Arial" w:eastAsia="Arial" w:hAnsi="Arial" w:cs="Arial"/>
          <w:color w:val="26221F"/>
        </w:rPr>
        <w:t xml:space="preserve"> strong predictor</w:t>
      </w:r>
      <w:r w:rsidR="57724812" w:rsidRPr="0EB0CFED">
        <w:rPr>
          <w:rFonts w:ascii="Arial" w:eastAsia="Arial" w:hAnsi="Arial" w:cs="Arial"/>
          <w:color w:val="26221F"/>
        </w:rPr>
        <w:t xml:space="preserve"> </w:t>
      </w:r>
      <w:r w:rsidRPr="0EB0CFED">
        <w:rPr>
          <w:rFonts w:ascii="Arial" w:eastAsia="Arial" w:hAnsi="Arial" w:cs="Arial"/>
          <w:color w:val="26221F"/>
        </w:rPr>
        <w:t>of wellbeing outcomes (Arnold and Connelly, 2013).</w:t>
      </w:r>
    </w:p>
    <w:p w14:paraId="70EEE01C" w14:textId="035957F9" w:rsidR="4566540D" w:rsidRPr="0068235E" w:rsidRDefault="7C8D74D0" w:rsidP="00B10050">
      <w:pPr>
        <w:pStyle w:val="ListParagraph"/>
        <w:numPr>
          <w:ilvl w:val="0"/>
          <w:numId w:val="16"/>
        </w:numPr>
        <w:spacing w:after="0" w:line="480" w:lineRule="auto"/>
        <w:rPr>
          <w:rFonts w:ascii="Arial" w:eastAsia="Arial" w:hAnsi="Arial" w:cs="Arial"/>
          <w:color w:val="26221F"/>
        </w:rPr>
      </w:pPr>
      <w:r w:rsidRPr="0EB0CFED">
        <w:rPr>
          <w:rFonts w:ascii="Arial" w:eastAsia="Arial" w:hAnsi="Arial" w:cs="Arial"/>
          <w:color w:val="26221F"/>
        </w:rPr>
        <w:t>Early intervention reduces the duration and severity of psychological injury (Cooper and Cartwright, 1997; NICE, 2022).</w:t>
      </w:r>
    </w:p>
    <w:p w14:paraId="3CAEBDBB" w14:textId="726B6C1F" w:rsidR="4566540D" w:rsidRPr="00917A17" w:rsidRDefault="7C8D74D0" w:rsidP="00B10050">
      <w:pPr>
        <w:pStyle w:val="ListParagraph"/>
        <w:numPr>
          <w:ilvl w:val="0"/>
          <w:numId w:val="16"/>
        </w:numPr>
        <w:spacing w:after="0" w:line="480" w:lineRule="auto"/>
        <w:rPr>
          <w:rFonts w:ascii="Arial" w:eastAsia="Arial" w:hAnsi="Arial" w:cs="Arial"/>
          <w:color w:val="26221F"/>
        </w:rPr>
      </w:pPr>
      <w:r w:rsidRPr="0EB0CFED">
        <w:rPr>
          <w:rFonts w:ascii="Arial" w:eastAsia="Arial" w:hAnsi="Arial" w:cs="Arial"/>
          <w:color w:val="26221F"/>
        </w:rPr>
        <w:t>Forces with structured wellbeing governance demonstrate improved performance and reduced abstractions (College of Policing, 2021).</w:t>
      </w:r>
    </w:p>
    <w:p w14:paraId="7AD3A90D" w14:textId="200FB513" w:rsidR="4566540D" w:rsidRPr="0068235E" w:rsidRDefault="7C8D74D0" w:rsidP="0EB0CFED">
      <w:pPr>
        <w:spacing w:before="60" w:after="180" w:line="480" w:lineRule="auto"/>
        <w:rPr>
          <w:rFonts w:ascii="Arial" w:hAnsi="Arial" w:cs="Arial"/>
        </w:rPr>
      </w:pPr>
      <w:r w:rsidRPr="0EB0CFED">
        <w:rPr>
          <w:rFonts w:ascii="Arial" w:eastAsia="Arial" w:hAnsi="Arial" w:cs="Arial"/>
          <w:color w:val="26221F"/>
        </w:rPr>
        <w:t>Strategic management theories underpin the design of the strategy:</w:t>
      </w:r>
    </w:p>
    <w:p w14:paraId="2CF72329" w14:textId="55F91EFC" w:rsidR="4566540D" w:rsidRPr="0068235E" w:rsidRDefault="44992BCE" w:rsidP="00B10050">
      <w:pPr>
        <w:pStyle w:val="ListParagraph"/>
        <w:numPr>
          <w:ilvl w:val="0"/>
          <w:numId w:val="15"/>
        </w:numPr>
        <w:spacing w:after="0" w:line="480" w:lineRule="auto"/>
        <w:rPr>
          <w:rFonts w:ascii="Arial" w:eastAsia="Arial" w:hAnsi="Arial" w:cs="Arial"/>
          <w:color w:val="26221F"/>
        </w:rPr>
      </w:pPr>
      <w:r w:rsidRPr="6311CB48">
        <w:rPr>
          <w:rFonts w:ascii="Arial" w:eastAsia="Arial" w:hAnsi="Arial" w:cs="Arial"/>
          <w:color w:val="26221F"/>
        </w:rPr>
        <w:t>R</w:t>
      </w:r>
      <w:r w:rsidR="64293DD0" w:rsidRPr="6311CB48">
        <w:rPr>
          <w:rFonts w:ascii="Arial" w:eastAsia="Arial" w:hAnsi="Arial" w:cs="Arial"/>
          <w:color w:val="26221F"/>
        </w:rPr>
        <w:t>esource Based View</w:t>
      </w:r>
      <w:r w:rsidRPr="6311CB48">
        <w:rPr>
          <w:rFonts w:ascii="Arial" w:eastAsia="Arial" w:hAnsi="Arial" w:cs="Arial"/>
          <w:color w:val="26221F"/>
        </w:rPr>
        <w:t xml:space="preserve"> informs the focus on workforce capability and resilience (Cooper and Dewe, 2008).</w:t>
      </w:r>
    </w:p>
    <w:p w14:paraId="04F4B9A8" w14:textId="07DA4ECA" w:rsidR="4566540D" w:rsidRPr="0068235E" w:rsidRDefault="7C8D74D0" w:rsidP="00B10050">
      <w:pPr>
        <w:pStyle w:val="ListParagraph"/>
        <w:numPr>
          <w:ilvl w:val="0"/>
          <w:numId w:val="15"/>
        </w:numPr>
        <w:spacing w:after="0" w:line="480" w:lineRule="auto"/>
        <w:rPr>
          <w:rFonts w:ascii="Arial" w:eastAsia="Arial" w:hAnsi="Arial" w:cs="Arial"/>
          <w:color w:val="26221F"/>
        </w:rPr>
      </w:pPr>
      <w:r w:rsidRPr="0EB0CFED">
        <w:rPr>
          <w:rFonts w:ascii="Arial" w:eastAsia="Arial" w:hAnsi="Arial" w:cs="Arial"/>
          <w:color w:val="26221F"/>
        </w:rPr>
        <w:t>Strategic Fit Theory ensures alignment with organisational priorities and external pressures</w:t>
      </w:r>
      <w:r w:rsidR="6605D044" w:rsidRPr="0EB0CFED">
        <w:rPr>
          <w:rFonts w:ascii="Arial" w:eastAsia="Arial" w:hAnsi="Arial" w:cs="Arial"/>
          <w:color w:val="26221F"/>
        </w:rPr>
        <w:t xml:space="preserve"> (Zajac et al. 2000)</w:t>
      </w:r>
    </w:p>
    <w:p w14:paraId="06F2F265" w14:textId="3E931DA3" w:rsidR="4566540D" w:rsidRPr="0068235E" w:rsidRDefault="7C8D74D0" w:rsidP="00B10050">
      <w:pPr>
        <w:pStyle w:val="ListParagraph"/>
        <w:numPr>
          <w:ilvl w:val="0"/>
          <w:numId w:val="15"/>
        </w:numPr>
        <w:spacing w:after="0" w:line="480" w:lineRule="auto"/>
        <w:rPr>
          <w:rFonts w:ascii="Arial" w:eastAsia="Arial" w:hAnsi="Arial" w:cs="Arial"/>
          <w:color w:val="26221F"/>
        </w:rPr>
      </w:pPr>
      <w:r w:rsidRPr="0EB0CFED">
        <w:rPr>
          <w:rFonts w:ascii="Arial" w:eastAsia="Arial" w:hAnsi="Arial" w:cs="Arial"/>
          <w:color w:val="26221F"/>
        </w:rPr>
        <w:t xml:space="preserve">Kotter’s Change Model </w:t>
      </w:r>
      <w:r w:rsidR="28CF077A" w:rsidRPr="0EB0CFED">
        <w:rPr>
          <w:rFonts w:ascii="Arial" w:eastAsia="Arial" w:hAnsi="Arial" w:cs="Arial"/>
          <w:color w:val="26221F"/>
        </w:rPr>
        <w:t>(Kotter, 1996)</w:t>
      </w:r>
      <w:r w:rsidR="1F1D59CE" w:rsidRPr="0EB0CFED">
        <w:rPr>
          <w:rFonts w:ascii="Arial" w:eastAsia="Arial" w:hAnsi="Arial" w:cs="Arial"/>
          <w:color w:val="26221F"/>
        </w:rPr>
        <w:t xml:space="preserve"> </w:t>
      </w:r>
      <w:r w:rsidRPr="0EB0CFED">
        <w:rPr>
          <w:rFonts w:ascii="Arial" w:eastAsia="Arial" w:hAnsi="Arial" w:cs="Arial"/>
          <w:color w:val="26221F"/>
        </w:rPr>
        <w:t xml:space="preserve">guides </w:t>
      </w:r>
      <w:r w:rsidR="02905B69" w:rsidRPr="0EB0CFED">
        <w:rPr>
          <w:rFonts w:ascii="Arial" w:eastAsia="Arial" w:hAnsi="Arial" w:cs="Arial"/>
          <w:color w:val="26221F"/>
        </w:rPr>
        <w:t xml:space="preserve">the </w:t>
      </w:r>
      <w:r w:rsidR="6972C301" w:rsidRPr="0EB0CFED">
        <w:rPr>
          <w:rFonts w:ascii="Arial" w:eastAsia="Arial" w:hAnsi="Arial" w:cs="Arial"/>
          <w:color w:val="26221F"/>
        </w:rPr>
        <w:t xml:space="preserve">phased </w:t>
      </w:r>
      <w:r w:rsidRPr="0EB0CFED">
        <w:rPr>
          <w:rFonts w:ascii="Arial" w:eastAsia="Arial" w:hAnsi="Arial" w:cs="Arial"/>
          <w:color w:val="26221F"/>
        </w:rPr>
        <w:t>the implementation approach</w:t>
      </w:r>
      <w:r w:rsidR="31346AF4" w:rsidRPr="0EB0CFED">
        <w:rPr>
          <w:rFonts w:ascii="Arial" w:eastAsia="Arial" w:hAnsi="Arial" w:cs="Arial"/>
          <w:color w:val="26221F"/>
        </w:rPr>
        <w:t>.</w:t>
      </w:r>
    </w:p>
    <w:p w14:paraId="5628082F" w14:textId="7C1ADE05" w:rsidR="4566540D" w:rsidRPr="00917A17" w:rsidRDefault="7C8D74D0" w:rsidP="00B10050">
      <w:pPr>
        <w:pStyle w:val="ListParagraph"/>
        <w:numPr>
          <w:ilvl w:val="0"/>
          <w:numId w:val="15"/>
        </w:numPr>
        <w:spacing w:after="0" w:line="480" w:lineRule="auto"/>
        <w:rPr>
          <w:rFonts w:ascii="Arial" w:eastAsia="Arial" w:hAnsi="Arial" w:cs="Arial"/>
          <w:color w:val="26221F"/>
        </w:rPr>
      </w:pPr>
      <w:r w:rsidRPr="0EB0CFED">
        <w:rPr>
          <w:rFonts w:ascii="Arial" w:eastAsia="Arial" w:hAnsi="Arial" w:cs="Arial"/>
          <w:color w:val="26221F"/>
        </w:rPr>
        <w:t>Balanced Scorecard principles inform the KPI framework and performance dashboard (Kaplan and Norton, 1996).</w:t>
      </w:r>
    </w:p>
    <w:p w14:paraId="0F555766" w14:textId="300E7353" w:rsidR="2CC51CAD" w:rsidRPr="00437057" w:rsidRDefault="2CA96CC1" w:rsidP="00C260D9">
      <w:pPr>
        <w:pStyle w:val="Heading2"/>
        <w:spacing w:line="480" w:lineRule="auto"/>
        <w:rPr>
          <w:rFonts w:ascii="Arial" w:hAnsi="Arial" w:cs="Arial"/>
        </w:rPr>
      </w:pPr>
      <w:bookmarkStart w:id="7" w:name="_Toc1869953751"/>
      <w:r w:rsidRPr="00437057">
        <w:rPr>
          <w:rFonts w:ascii="Arial" w:hAnsi="Arial" w:cs="Arial"/>
        </w:rPr>
        <w:lastRenderedPageBreak/>
        <w:t>What the Strategy Will Deliver</w:t>
      </w:r>
      <w:bookmarkEnd w:id="7"/>
    </w:p>
    <w:p w14:paraId="4945771D" w14:textId="1223B680" w:rsidR="2CC51CAD" w:rsidRPr="0068235E" w:rsidRDefault="2CA96CC1" w:rsidP="00C260D9">
      <w:pPr>
        <w:spacing w:after="180" w:line="480" w:lineRule="auto"/>
        <w:rPr>
          <w:rFonts w:ascii="Arial" w:hAnsi="Arial" w:cs="Arial"/>
        </w:rPr>
      </w:pPr>
      <w:r w:rsidRPr="6311CB48">
        <w:rPr>
          <w:rFonts w:ascii="Arial" w:eastAsia="Arial" w:hAnsi="Arial" w:cs="Arial"/>
          <w:color w:val="26221F"/>
        </w:rPr>
        <w:t xml:space="preserve">The strategy delivers a </w:t>
      </w:r>
      <w:r w:rsidR="060C5CE8" w:rsidRPr="6311CB48">
        <w:rPr>
          <w:rFonts w:ascii="Arial" w:eastAsia="Arial" w:hAnsi="Arial" w:cs="Arial"/>
          <w:color w:val="26221F"/>
        </w:rPr>
        <w:t>whole system</w:t>
      </w:r>
      <w:r w:rsidRPr="6311CB48">
        <w:rPr>
          <w:rFonts w:ascii="Arial" w:eastAsia="Arial" w:hAnsi="Arial" w:cs="Arial"/>
          <w:color w:val="26221F"/>
        </w:rPr>
        <w:t xml:space="preserve"> approach across four domains:</w:t>
      </w:r>
    </w:p>
    <w:p w14:paraId="15C02DF0" w14:textId="5B6D28E8" w:rsidR="2CC51CAD" w:rsidRPr="0068235E" w:rsidRDefault="249A46B4" w:rsidP="0EB0CFED">
      <w:pPr>
        <w:spacing w:before="60" w:after="90" w:line="480" w:lineRule="auto"/>
        <w:rPr>
          <w:rFonts w:ascii="Arial" w:hAnsi="Arial" w:cs="Arial"/>
        </w:rPr>
      </w:pPr>
      <w:r w:rsidRPr="0EB0CFED">
        <w:rPr>
          <w:rFonts w:ascii="Arial" w:eastAsia="Arial" w:hAnsi="Arial" w:cs="Arial"/>
          <w:color w:val="26221F"/>
        </w:rPr>
        <w:t>Organisational Wellbeing Governance</w:t>
      </w:r>
    </w:p>
    <w:p w14:paraId="40B996EE" w14:textId="3B101C70" w:rsidR="2CC51CAD" w:rsidRPr="0068235E" w:rsidRDefault="249A46B4" w:rsidP="00B10050">
      <w:pPr>
        <w:pStyle w:val="ListParagraph"/>
        <w:numPr>
          <w:ilvl w:val="0"/>
          <w:numId w:val="21"/>
        </w:numPr>
        <w:spacing w:after="0" w:line="480" w:lineRule="auto"/>
        <w:rPr>
          <w:rFonts w:ascii="Arial" w:eastAsia="Arial" w:hAnsi="Arial" w:cs="Arial"/>
          <w:color w:val="26221F"/>
        </w:rPr>
      </w:pPr>
      <w:r w:rsidRPr="0EB0CFED">
        <w:rPr>
          <w:rFonts w:ascii="Arial" w:eastAsia="Arial" w:hAnsi="Arial" w:cs="Arial"/>
          <w:color w:val="26221F"/>
        </w:rPr>
        <w:t>Gold/Silver/Bronze governance structure.</w:t>
      </w:r>
    </w:p>
    <w:p w14:paraId="43CFCF48" w14:textId="6111E96C" w:rsidR="2CC51CAD" w:rsidRPr="0068235E" w:rsidRDefault="249A46B4" w:rsidP="00B10050">
      <w:pPr>
        <w:pStyle w:val="ListParagraph"/>
        <w:numPr>
          <w:ilvl w:val="0"/>
          <w:numId w:val="21"/>
        </w:numPr>
        <w:spacing w:after="0" w:line="480" w:lineRule="auto"/>
        <w:rPr>
          <w:rFonts w:ascii="Arial" w:eastAsia="Arial" w:hAnsi="Arial" w:cs="Arial"/>
          <w:color w:val="26221F"/>
        </w:rPr>
      </w:pPr>
      <w:r w:rsidRPr="0EB0CFED">
        <w:rPr>
          <w:rFonts w:ascii="Arial" w:eastAsia="Arial" w:hAnsi="Arial" w:cs="Arial"/>
          <w:color w:val="26221F"/>
        </w:rPr>
        <w:t>Integration of wellbeing into strategic boards and risk registers.</w:t>
      </w:r>
    </w:p>
    <w:p w14:paraId="5DCA77AC" w14:textId="6C57762A" w:rsidR="2CC51CAD" w:rsidRPr="0068235E" w:rsidRDefault="514D8CCA" w:rsidP="00B10050">
      <w:pPr>
        <w:pStyle w:val="ListParagraph"/>
        <w:numPr>
          <w:ilvl w:val="0"/>
          <w:numId w:val="21"/>
        </w:numPr>
        <w:spacing w:after="0" w:line="480" w:lineRule="auto"/>
        <w:rPr>
          <w:rFonts w:ascii="Arial" w:eastAsia="Arial" w:hAnsi="Arial" w:cs="Arial"/>
          <w:color w:val="26221F"/>
        </w:rPr>
      </w:pPr>
      <w:r w:rsidRPr="0EB0CFED">
        <w:rPr>
          <w:rFonts w:ascii="Arial" w:eastAsia="Arial" w:hAnsi="Arial" w:cs="Arial"/>
          <w:color w:val="26221F"/>
        </w:rPr>
        <w:t>W</w:t>
      </w:r>
      <w:r w:rsidR="249A46B4" w:rsidRPr="0EB0CFED">
        <w:rPr>
          <w:rFonts w:ascii="Arial" w:eastAsia="Arial" w:hAnsi="Arial" w:cs="Arial"/>
          <w:color w:val="26221F"/>
        </w:rPr>
        <w:t>ellbeing performance dashboard for senior leaders</w:t>
      </w:r>
      <w:r w:rsidR="3F91A0BD" w:rsidRPr="0EB0CFED">
        <w:rPr>
          <w:rFonts w:ascii="Arial" w:eastAsia="Arial" w:hAnsi="Arial" w:cs="Arial"/>
          <w:color w:val="26221F"/>
        </w:rPr>
        <w:t>.</w:t>
      </w:r>
    </w:p>
    <w:p w14:paraId="5B7D300E" w14:textId="290B06C8" w:rsidR="2CC51CAD" w:rsidRPr="0068235E" w:rsidRDefault="249A46B4" w:rsidP="00B10050">
      <w:pPr>
        <w:pStyle w:val="ListParagraph"/>
        <w:numPr>
          <w:ilvl w:val="0"/>
          <w:numId w:val="21"/>
        </w:numPr>
        <w:spacing w:after="0" w:line="480" w:lineRule="auto"/>
        <w:rPr>
          <w:rFonts w:ascii="Arial" w:eastAsia="Arial" w:hAnsi="Arial" w:cs="Arial"/>
          <w:color w:val="26221F"/>
        </w:rPr>
      </w:pPr>
      <w:r w:rsidRPr="0EB0CFED">
        <w:rPr>
          <w:rFonts w:ascii="Arial" w:eastAsia="Arial" w:hAnsi="Arial" w:cs="Arial"/>
          <w:color w:val="26221F"/>
        </w:rPr>
        <w:t>Clear accountability for wellbeing outcome</w:t>
      </w:r>
      <w:r w:rsidR="53CFBF79" w:rsidRPr="0EB0CFED">
        <w:rPr>
          <w:rFonts w:ascii="Arial" w:eastAsia="Arial" w:hAnsi="Arial" w:cs="Arial"/>
          <w:color w:val="26221F"/>
        </w:rPr>
        <w:t>s.</w:t>
      </w:r>
    </w:p>
    <w:p w14:paraId="4B3A2E1A" w14:textId="0651C2AD" w:rsidR="2CC51CAD" w:rsidRPr="0068235E" w:rsidRDefault="249A46B4" w:rsidP="0EB0CFED">
      <w:pPr>
        <w:spacing w:before="60" w:after="90" w:line="480" w:lineRule="auto"/>
        <w:rPr>
          <w:rFonts w:ascii="Arial" w:hAnsi="Arial" w:cs="Arial"/>
        </w:rPr>
      </w:pPr>
      <w:r w:rsidRPr="0EB0CFED">
        <w:rPr>
          <w:rFonts w:ascii="Arial" w:eastAsia="Arial" w:hAnsi="Arial" w:cs="Arial"/>
          <w:color w:val="26221F"/>
        </w:rPr>
        <w:t>Workforce Health, Safety and Psychological Resilience</w:t>
      </w:r>
    </w:p>
    <w:p w14:paraId="62DAFD5F" w14:textId="53B7348E" w:rsidR="2CC51CAD" w:rsidRPr="0068235E" w:rsidRDefault="249A46B4" w:rsidP="00B10050">
      <w:pPr>
        <w:pStyle w:val="ListParagraph"/>
        <w:numPr>
          <w:ilvl w:val="0"/>
          <w:numId w:val="20"/>
        </w:numPr>
        <w:spacing w:after="0" w:line="480" w:lineRule="auto"/>
        <w:rPr>
          <w:rFonts w:ascii="Arial" w:eastAsia="Arial" w:hAnsi="Arial" w:cs="Arial"/>
          <w:color w:val="26221F"/>
        </w:rPr>
      </w:pPr>
      <w:r w:rsidRPr="0EB0CFED">
        <w:rPr>
          <w:rFonts w:ascii="Arial" w:eastAsia="Arial" w:hAnsi="Arial" w:cs="Arial"/>
          <w:color w:val="26221F"/>
        </w:rPr>
        <w:t>Enhanced Occupational Health capacity.</w:t>
      </w:r>
    </w:p>
    <w:p w14:paraId="214E76AB" w14:textId="7D17F343" w:rsidR="2CC51CAD" w:rsidRPr="0068235E" w:rsidRDefault="483E8D3D" w:rsidP="00B10050">
      <w:pPr>
        <w:pStyle w:val="ListParagraph"/>
        <w:numPr>
          <w:ilvl w:val="0"/>
          <w:numId w:val="20"/>
        </w:numPr>
        <w:spacing w:after="0" w:line="480" w:lineRule="auto"/>
        <w:rPr>
          <w:rFonts w:ascii="Arial" w:eastAsia="Arial" w:hAnsi="Arial" w:cs="Arial"/>
          <w:color w:val="26221F"/>
        </w:rPr>
      </w:pPr>
      <w:r w:rsidRPr="6311CB48">
        <w:rPr>
          <w:rFonts w:ascii="Arial" w:eastAsia="Arial" w:hAnsi="Arial" w:cs="Arial"/>
          <w:color w:val="26221F"/>
        </w:rPr>
        <w:t>Trauma-informed</w:t>
      </w:r>
      <w:r w:rsidR="2CA96CC1" w:rsidRPr="6311CB48">
        <w:rPr>
          <w:rFonts w:ascii="Arial" w:eastAsia="Arial" w:hAnsi="Arial" w:cs="Arial"/>
          <w:color w:val="26221F"/>
        </w:rPr>
        <w:t xml:space="preserve"> support pathways.</w:t>
      </w:r>
    </w:p>
    <w:p w14:paraId="168D2FD8" w14:textId="1F568413" w:rsidR="2CC51CAD" w:rsidRPr="0068235E" w:rsidRDefault="2B55E4AA" w:rsidP="00B10050">
      <w:pPr>
        <w:pStyle w:val="ListParagraph"/>
        <w:numPr>
          <w:ilvl w:val="0"/>
          <w:numId w:val="20"/>
        </w:numPr>
        <w:spacing w:after="0" w:line="480" w:lineRule="auto"/>
        <w:rPr>
          <w:rFonts w:ascii="Arial" w:eastAsia="Arial" w:hAnsi="Arial" w:cs="Arial"/>
          <w:color w:val="26221F"/>
        </w:rPr>
      </w:pPr>
      <w:r w:rsidRPr="6311CB48">
        <w:rPr>
          <w:rFonts w:ascii="Arial" w:eastAsia="Arial" w:hAnsi="Arial" w:cs="Arial"/>
          <w:color w:val="26221F"/>
        </w:rPr>
        <w:t>Early intervention</w:t>
      </w:r>
      <w:r w:rsidR="2CA96CC1" w:rsidRPr="6311CB48">
        <w:rPr>
          <w:rFonts w:ascii="Arial" w:eastAsia="Arial" w:hAnsi="Arial" w:cs="Arial"/>
          <w:color w:val="26221F"/>
        </w:rPr>
        <w:t xml:space="preserve"> mechanisms.</w:t>
      </w:r>
    </w:p>
    <w:p w14:paraId="5ECC2F01" w14:textId="56D51DAE" w:rsidR="2CC51CAD" w:rsidRPr="0068235E" w:rsidRDefault="2CA96CC1" w:rsidP="00B10050">
      <w:pPr>
        <w:pStyle w:val="ListParagraph"/>
        <w:numPr>
          <w:ilvl w:val="0"/>
          <w:numId w:val="20"/>
        </w:numPr>
        <w:spacing w:after="0" w:line="480" w:lineRule="auto"/>
        <w:rPr>
          <w:rFonts w:ascii="Arial" w:eastAsia="Arial" w:hAnsi="Arial" w:cs="Arial"/>
          <w:color w:val="26221F"/>
        </w:rPr>
      </w:pPr>
      <w:r w:rsidRPr="6311CB48">
        <w:rPr>
          <w:rFonts w:ascii="Arial" w:eastAsia="Arial" w:hAnsi="Arial" w:cs="Arial"/>
          <w:color w:val="26221F"/>
        </w:rPr>
        <w:t xml:space="preserve">Targeted support for </w:t>
      </w:r>
      <w:r w:rsidR="37C81774" w:rsidRPr="6311CB48">
        <w:rPr>
          <w:rFonts w:ascii="Arial" w:eastAsia="Arial" w:hAnsi="Arial" w:cs="Arial"/>
          <w:color w:val="26221F"/>
        </w:rPr>
        <w:t>high-risk</w:t>
      </w:r>
      <w:r w:rsidRPr="6311CB48">
        <w:rPr>
          <w:rFonts w:ascii="Arial" w:eastAsia="Arial" w:hAnsi="Arial" w:cs="Arial"/>
          <w:color w:val="26221F"/>
        </w:rPr>
        <w:t xml:space="preserve"> units.</w:t>
      </w:r>
    </w:p>
    <w:p w14:paraId="74C9CBB3" w14:textId="76EBA07F" w:rsidR="2CC51CAD" w:rsidRPr="0068235E" w:rsidRDefault="249A46B4" w:rsidP="00B10050">
      <w:pPr>
        <w:pStyle w:val="ListParagraph"/>
        <w:numPr>
          <w:ilvl w:val="0"/>
          <w:numId w:val="20"/>
        </w:numPr>
        <w:spacing w:after="0" w:line="480" w:lineRule="auto"/>
        <w:rPr>
          <w:rFonts w:ascii="Arial" w:eastAsia="Arial" w:hAnsi="Arial" w:cs="Arial"/>
          <w:color w:val="26221F"/>
        </w:rPr>
      </w:pPr>
      <w:r w:rsidRPr="0EB0CFED">
        <w:rPr>
          <w:rFonts w:ascii="Arial" w:eastAsia="Arial" w:hAnsi="Arial" w:cs="Arial"/>
          <w:color w:val="26221F"/>
        </w:rPr>
        <w:t>Preventative wellbeing initiatives.</w:t>
      </w:r>
    </w:p>
    <w:p w14:paraId="6EB45760" w14:textId="6DC51D19" w:rsidR="2CC51CAD" w:rsidRPr="0068235E" w:rsidRDefault="249A46B4" w:rsidP="0EB0CFED">
      <w:pPr>
        <w:spacing w:before="60" w:after="90" w:line="480" w:lineRule="auto"/>
        <w:rPr>
          <w:rFonts w:ascii="Arial" w:hAnsi="Arial" w:cs="Arial"/>
        </w:rPr>
      </w:pPr>
      <w:r w:rsidRPr="0EB0CFED">
        <w:rPr>
          <w:rFonts w:ascii="Arial" w:eastAsia="Arial" w:hAnsi="Arial" w:cs="Arial"/>
          <w:color w:val="26221F"/>
        </w:rPr>
        <w:t>Leadership, Culture and Behavioural Change</w:t>
      </w:r>
    </w:p>
    <w:p w14:paraId="01124F22" w14:textId="66A4C160" w:rsidR="2CC51CAD" w:rsidRPr="0068235E" w:rsidRDefault="249A46B4" w:rsidP="00B10050">
      <w:pPr>
        <w:pStyle w:val="ListParagraph"/>
        <w:numPr>
          <w:ilvl w:val="0"/>
          <w:numId w:val="19"/>
        </w:numPr>
        <w:spacing w:after="0" w:line="480" w:lineRule="auto"/>
        <w:rPr>
          <w:rFonts w:ascii="Arial" w:eastAsia="Arial" w:hAnsi="Arial" w:cs="Arial"/>
          <w:color w:val="26221F"/>
        </w:rPr>
      </w:pPr>
      <w:r w:rsidRPr="0EB0CFED">
        <w:rPr>
          <w:rFonts w:ascii="Arial" w:eastAsia="Arial" w:hAnsi="Arial" w:cs="Arial"/>
          <w:color w:val="26221F"/>
        </w:rPr>
        <w:t>Leadership development programmes.</w:t>
      </w:r>
    </w:p>
    <w:p w14:paraId="33FE6039" w14:textId="3E1EC98A" w:rsidR="2CC51CAD" w:rsidRPr="0068235E" w:rsidRDefault="249A46B4" w:rsidP="00B10050">
      <w:pPr>
        <w:pStyle w:val="ListParagraph"/>
        <w:numPr>
          <w:ilvl w:val="0"/>
          <w:numId w:val="19"/>
        </w:numPr>
        <w:spacing w:after="0" w:line="480" w:lineRule="auto"/>
        <w:rPr>
          <w:rFonts w:ascii="Arial" w:eastAsia="Arial" w:hAnsi="Arial" w:cs="Arial"/>
          <w:color w:val="26221F"/>
        </w:rPr>
      </w:pPr>
      <w:r w:rsidRPr="0EB0CFED">
        <w:rPr>
          <w:rFonts w:ascii="Arial" w:eastAsia="Arial" w:hAnsi="Arial" w:cs="Arial"/>
          <w:color w:val="26221F"/>
        </w:rPr>
        <w:t>Cultural change initiatives to reduce stigma.</w:t>
      </w:r>
    </w:p>
    <w:p w14:paraId="5440C216" w14:textId="2EE8E6DE" w:rsidR="2CC51CAD" w:rsidRPr="0068235E" w:rsidRDefault="249A46B4" w:rsidP="00B10050">
      <w:pPr>
        <w:pStyle w:val="ListParagraph"/>
        <w:numPr>
          <w:ilvl w:val="0"/>
          <w:numId w:val="19"/>
        </w:numPr>
        <w:spacing w:after="0" w:line="480" w:lineRule="auto"/>
        <w:rPr>
          <w:rFonts w:ascii="Arial" w:eastAsia="Arial" w:hAnsi="Arial" w:cs="Arial"/>
          <w:color w:val="26221F"/>
        </w:rPr>
      </w:pPr>
      <w:r w:rsidRPr="0EB0CFED">
        <w:rPr>
          <w:rFonts w:ascii="Arial" w:eastAsia="Arial" w:hAnsi="Arial" w:cs="Arial"/>
          <w:color w:val="26221F"/>
        </w:rPr>
        <w:t>Improved communication and engagement.</w:t>
      </w:r>
    </w:p>
    <w:p w14:paraId="60E4727C" w14:textId="625DAF14" w:rsidR="2CC51CAD" w:rsidRPr="0068235E" w:rsidRDefault="249A46B4" w:rsidP="0EB0CFED">
      <w:pPr>
        <w:spacing w:before="60" w:after="90" w:line="480" w:lineRule="auto"/>
        <w:rPr>
          <w:rFonts w:ascii="Arial" w:hAnsi="Arial" w:cs="Arial"/>
        </w:rPr>
      </w:pPr>
      <w:r w:rsidRPr="0EB0CFED">
        <w:rPr>
          <w:rFonts w:ascii="Arial" w:eastAsia="Arial" w:hAnsi="Arial" w:cs="Arial"/>
          <w:color w:val="26221F"/>
        </w:rPr>
        <w:t>Data, Insight and Performance Measurement</w:t>
      </w:r>
    </w:p>
    <w:p w14:paraId="6803E2C9" w14:textId="1CE7DB62" w:rsidR="2CC51CAD" w:rsidRPr="0068235E" w:rsidRDefault="13C20456" w:rsidP="00B10050">
      <w:pPr>
        <w:pStyle w:val="ListParagraph"/>
        <w:numPr>
          <w:ilvl w:val="0"/>
          <w:numId w:val="18"/>
        </w:numPr>
        <w:spacing w:after="0" w:line="480" w:lineRule="auto"/>
        <w:rPr>
          <w:rFonts w:ascii="Arial" w:eastAsia="Arial" w:hAnsi="Arial" w:cs="Arial"/>
          <w:color w:val="26221F"/>
        </w:rPr>
      </w:pPr>
      <w:r w:rsidRPr="0EB0CFED">
        <w:rPr>
          <w:rFonts w:ascii="Arial" w:eastAsia="Arial" w:hAnsi="Arial" w:cs="Arial"/>
          <w:color w:val="26221F"/>
        </w:rPr>
        <w:t>W</w:t>
      </w:r>
      <w:r w:rsidR="249A46B4" w:rsidRPr="0EB0CFED">
        <w:rPr>
          <w:rFonts w:ascii="Arial" w:eastAsia="Arial" w:hAnsi="Arial" w:cs="Arial"/>
          <w:color w:val="26221F"/>
        </w:rPr>
        <w:t>ellbeing data framework.</w:t>
      </w:r>
    </w:p>
    <w:p w14:paraId="2B7F30BC" w14:textId="4435BC09" w:rsidR="2CC51CAD" w:rsidRPr="0068235E" w:rsidRDefault="249A46B4" w:rsidP="00B10050">
      <w:pPr>
        <w:pStyle w:val="ListParagraph"/>
        <w:numPr>
          <w:ilvl w:val="0"/>
          <w:numId w:val="18"/>
        </w:numPr>
        <w:spacing w:after="0" w:line="480" w:lineRule="auto"/>
        <w:rPr>
          <w:rFonts w:ascii="Arial" w:eastAsia="Arial" w:hAnsi="Arial" w:cs="Arial"/>
          <w:color w:val="26221F"/>
        </w:rPr>
      </w:pPr>
      <w:r w:rsidRPr="0EB0CFED">
        <w:rPr>
          <w:rFonts w:ascii="Arial" w:eastAsia="Arial" w:hAnsi="Arial" w:cs="Arial"/>
          <w:color w:val="26221F"/>
        </w:rPr>
        <w:t>Integration of wellbeing metrics into dashboards.</w:t>
      </w:r>
    </w:p>
    <w:p w14:paraId="5DDCC00E" w14:textId="02F9DDE2" w:rsidR="2CC51CAD" w:rsidRPr="0068235E" w:rsidRDefault="249A46B4" w:rsidP="00B10050">
      <w:pPr>
        <w:pStyle w:val="ListParagraph"/>
        <w:numPr>
          <w:ilvl w:val="0"/>
          <w:numId w:val="18"/>
        </w:numPr>
        <w:spacing w:after="0" w:line="480" w:lineRule="auto"/>
        <w:rPr>
          <w:rFonts w:ascii="Arial" w:eastAsia="Arial" w:hAnsi="Arial" w:cs="Arial"/>
          <w:color w:val="26221F"/>
        </w:rPr>
      </w:pPr>
      <w:r w:rsidRPr="0EB0CFED">
        <w:rPr>
          <w:rFonts w:ascii="Arial" w:eastAsia="Arial" w:hAnsi="Arial" w:cs="Arial"/>
          <w:color w:val="26221F"/>
        </w:rPr>
        <w:t>Benchmarking against national policing</w:t>
      </w:r>
      <w:r w:rsidR="463E1BFA" w:rsidRPr="0EB0CFED">
        <w:rPr>
          <w:rFonts w:ascii="Arial" w:eastAsia="Arial" w:hAnsi="Arial" w:cs="Arial"/>
          <w:color w:val="26221F"/>
        </w:rPr>
        <w:t>.</w:t>
      </w:r>
    </w:p>
    <w:p w14:paraId="1EE50962" w14:textId="4F108864" w:rsidR="4566540D" w:rsidRPr="00917A17" w:rsidRDefault="249A46B4" w:rsidP="00B10050">
      <w:pPr>
        <w:pStyle w:val="ListParagraph"/>
        <w:numPr>
          <w:ilvl w:val="0"/>
          <w:numId w:val="18"/>
        </w:numPr>
        <w:spacing w:after="0" w:line="480" w:lineRule="auto"/>
        <w:rPr>
          <w:rFonts w:ascii="Arial" w:eastAsia="Arial" w:hAnsi="Arial" w:cs="Arial"/>
          <w:color w:val="26221F"/>
        </w:rPr>
      </w:pPr>
      <w:r w:rsidRPr="0EB0CFED">
        <w:rPr>
          <w:rFonts w:ascii="Arial" w:eastAsia="Arial" w:hAnsi="Arial" w:cs="Arial"/>
          <w:color w:val="26221F"/>
        </w:rPr>
        <w:t>Predictive analytics to identify hotspots and risk trends.</w:t>
      </w:r>
    </w:p>
    <w:p w14:paraId="2D524C99" w14:textId="693D86FC" w:rsidR="2CC51CAD" w:rsidRPr="00437057" w:rsidRDefault="2CA96CC1" w:rsidP="00C260D9">
      <w:pPr>
        <w:pStyle w:val="Heading2"/>
        <w:spacing w:line="480" w:lineRule="auto"/>
        <w:rPr>
          <w:rFonts w:ascii="Arial" w:hAnsi="Arial" w:cs="Arial"/>
        </w:rPr>
      </w:pPr>
      <w:bookmarkStart w:id="8" w:name="_Toc14215436"/>
      <w:r w:rsidRPr="00437057">
        <w:rPr>
          <w:rFonts w:ascii="Arial" w:hAnsi="Arial" w:cs="Arial"/>
        </w:rPr>
        <w:lastRenderedPageBreak/>
        <w:t>Implementation Timeline</w:t>
      </w:r>
      <w:bookmarkEnd w:id="8"/>
    </w:p>
    <w:p w14:paraId="2370DAF6" w14:textId="4F93C053" w:rsidR="2CC51CAD" w:rsidRPr="0068235E" w:rsidRDefault="249A46B4" w:rsidP="00C260D9">
      <w:pPr>
        <w:spacing w:after="180" w:line="480" w:lineRule="auto"/>
        <w:rPr>
          <w:rFonts w:ascii="Arial" w:hAnsi="Arial" w:cs="Arial"/>
        </w:rPr>
      </w:pPr>
      <w:r w:rsidRPr="0EB0CFED">
        <w:rPr>
          <w:rFonts w:ascii="Arial" w:eastAsia="Arial" w:hAnsi="Arial" w:cs="Arial"/>
          <w:color w:val="26221F"/>
        </w:rPr>
        <w:t>The strategy will be delivered in four phases:</w:t>
      </w:r>
    </w:p>
    <w:p w14:paraId="51A3B4F5" w14:textId="664ADCFF" w:rsidR="2CC51CAD" w:rsidRPr="0068235E" w:rsidRDefault="249A46B4" w:rsidP="00C260D9">
      <w:pPr>
        <w:spacing w:after="0" w:line="480" w:lineRule="auto"/>
        <w:rPr>
          <w:rFonts w:ascii="Arial" w:eastAsia="Arial" w:hAnsi="Arial" w:cs="Arial"/>
          <w:color w:val="26221F"/>
        </w:rPr>
      </w:pPr>
      <w:r w:rsidRPr="0EB0CFED">
        <w:rPr>
          <w:rFonts w:ascii="Arial" w:eastAsia="Arial" w:hAnsi="Arial" w:cs="Arial"/>
          <w:color w:val="26221F"/>
        </w:rPr>
        <w:t>Phase 1 – Diagnostic and Design (Months 1–3)</w:t>
      </w:r>
      <w:r w:rsidR="1D8C0970" w:rsidRPr="0EB0CFED">
        <w:rPr>
          <w:rFonts w:ascii="Arial" w:eastAsia="Arial" w:hAnsi="Arial" w:cs="Arial"/>
          <w:color w:val="26221F"/>
        </w:rPr>
        <w:t xml:space="preserve">: </w:t>
      </w:r>
      <w:r w:rsidRPr="0EB0CFED">
        <w:rPr>
          <w:rFonts w:ascii="Arial" w:eastAsia="Arial" w:hAnsi="Arial" w:cs="Arial"/>
          <w:color w:val="26221F"/>
        </w:rPr>
        <w:t>Data analysis, stakeholder engagement, governance design.</w:t>
      </w:r>
    </w:p>
    <w:p w14:paraId="6EC59BBF" w14:textId="5B176B5F" w:rsidR="2CC51CAD" w:rsidRPr="0068235E" w:rsidRDefault="249A46B4" w:rsidP="0EB0CFED">
      <w:pPr>
        <w:spacing w:after="0" w:line="480" w:lineRule="auto"/>
        <w:rPr>
          <w:rFonts w:ascii="Arial" w:eastAsia="Arial" w:hAnsi="Arial" w:cs="Arial"/>
          <w:color w:val="26221F"/>
        </w:rPr>
      </w:pPr>
      <w:r w:rsidRPr="0EB0CFED">
        <w:rPr>
          <w:rFonts w:ascii="Arial" w:eastAsia="Arial" w:hAnsi="Arial" w:cs="Arial"/>
          <w:color w:val="26221F"/>
        </w:rPr>
        <w:t>Phase 2 – Infrastructure and Capability (Months 4–9)</w:t>
      </w:r>
      <w:r w:rsidR="478C0435" w:rsidRPr="0EB0CFED">
        <w:rPr>
          <w:rFonts w:ascii="Arial" w:eastAsia="Arial" w:hAnsi="Arial" w:cs="Arial"/>
          <w:color w:val="26221F"/>
        </w:rPr>
        <w:t>: B</w:t>
      </w:r>
      <w:r w:rsidRPr="0EB0CFED">
        <w:rPr>
          <w:rFonts w:ascii="Arial" w:eastAsia="Arial" w:hAnsi="Arial" w:cs="Arial"/>
          <w:color w:val="26221F"/>
        </w:rPr>
        <w:t>uild dashboard, expand OH capacity</w:t>
      </w:r>
      <w:r w:rsidR="1D2B9EC4" w:rsidRPr="0EB0CFED">
        <w:rPr>
          <w:rFonts w:ascii="Arial" w:eastAsia="Arial" w:hAnsi="Arial" w:cs="Arial"/>
          <w:color w:val="26221F"/>
        </w:rPr>
        <w:t>, develop trauma pathways.</w:t>
      </w:r>
    </w:p>
    <w:p w14:paraId="4BEF7CD5" w14:textId="03C30889" w:rsidR="2CC51CAD" w:rsidRPr="0068235E" w:rsidRDefault="2CA96CC1" w:rsidP="0EB0CFED">
      <w:pPr>
        <w:spacing w:after="0" w:line="480" w:lineRule="auto"/>
        <w:rPr>
          <w:rFonts w:ascii="Arial" w:eastAsia="Arial" w:hAnsi="Arial" w:cs="Arial"/>
          <w:color w:val="26221F"/>
        </w:rPr>
      </w:pPr>
      <w:r w:rsidRPr="6311CB48">
        <w:rPr>
          <w:rFonts w:ascii="Arial" w:eastAsia="Arial" w:hAnsi="Arial" w:cs="Arial"/>
          <w:color w:val="26221F"/>
        </w:rPr>
        <w:t>Phase 3 – Intervention Rollout (Months 10–24)</w:t>
      </w:r>
      <w:r w:rsidR="1A125D07" w:rsidRPr="6311CB48">
        <w:rPr>
          <w:rFonts w:ascii="Arial" w:eastAsia="Arial" w:hAnsi="Arial" w:cs="Arial"/>
          <w:color w:val="26221F"/>
        </w:rPr>
        <w:t xml:space="preserve">: </w:t>
      </w:r>
      <w:r w:rsidRPr="6311CB48">
        <w:rPr>
          <w:rFonts w:ascii="Arial" w:eastAsia="Arial" w:hAnsi="Arial" w:cs="Arial"/>
          <w:color w:val="26221F"/>
        </w:rPr>
        <w:t xml:space="preserve">Leadership training, </w:t>
      </w:r>
      <w:r w:rsidR="12434F6B" w:rsidRPr="6311CB48">
        <w:rPr>
          <w:rFonts w:ascii="Arial" w:eastAsia="Arial" w:hAnsi="Arial" w:cs="Arial"/>
          <w:color w:val="26221F"/>
        </w:rPr>
        <w:t>early intervention</w:t>
      </w:r>
      <w:r w:rsidRPr="6311CB48">
        <w:rPr>
          <w:rFonts w:ascii="Arial" w:eastAsia="Arial" w:hAnsi="Arial" w:cs="Arial"/>
          <w:color w:val="26221F"/>
        </w:rPr>
        <w:t xml:space="preserve"> model</w:t>
      </w:r>
      <w:r w:rsidR="7F5B640F" w:rsidRPr="6311CB48">
        <w:rPr>
          <w:rFonts w:ascii="Arial" w:eastAsia="Arial" w:hAnsi="Arial" w:cs="Arial"/>
          <w:color w:val="26221F"/>
        </w:rPr>
        <w:t xml:space="preserve">, cultural change campaigns. </w:t>
      </w:r>
    </w:p>
    <w:p w14:paraId="1D5CC679" w14:textId="19633944" w:rsidR="4566540D" w:rsidRPr="00917A17" w:rsidRDefault="249A46B4" w:rsidP="0EB0CFED">
      <w:pPr>
        <w:spacing w:after="0" w:line="480" w:lineRule="auto"/>
        <w:rPr>
          <w:rFonts w:ascii="Arial" w:eastAsia="Arial" w:hAnsi="Arial" w:cs="Arial"/>
          <w:color w:val="26221F"/>
        </w:rPr>
      </w:pPr>
      <w:r w:rsidRPr="0EB0CFED">
        <w:rPr>
          <w:rFonts w:ascii="Arial" w:eastAsia="Arial" w:hAnsi="Arial" w:cs="Arial"/>
          <w:color w:val="26221F"/>
        </w:rPr>
        <w:t>Phase 4 – Evaluation and Continuous Improvement (Months 24+)</w:t>
      </w:r>
      <w:r w:rsidR="11FE926F" w:rsidRPr="0EB0CFED">
        <w:rPr>
          <w:rFonts w:ascii="Arial" w:eastAsia="Arial" w:hAnsi="Arial" w:cs="Arial"/>
          <w:color w:val="26221F"/>
        </w:rPr>
        <w:t xml:space="preserve">: </w:t>
      </w:r>
      <w:r w:rsidRPr="0EB0CFED">
        <w:rPr>
          <w:rFonts w:ascii="Arial" w:eastAsia="Arial" w:hAnsi="Arial" w:cs="Arial"/>
          <w:color w:val="26221F"/>
        </w:rPr>
        <w:t>KPI monitoring, annual review, refinement of interventions.</w:t>
      </w:r>
    </w:p>
    <w:p w14:paraId="2C579D9C" w14:textId="1F0983B8" w:rsidR="2CC51CAD" w:rsidRPr="00437057" w:rsidRDefault="2CA96CC1" w:rsidP="00C260D9">
      <w:pPr>
        <w:pStyle w:val="Heading2"/>
        <w:spacing w:line="480" w:lineRule="auto"/>
        <w:rPr>
          <w:rFonts w:ascii="Arial" w:hAnsi="Arial" w:cs="Arial"/>
        </w:rPr>
      </w:pPr>
      <w:bookmarkStart w:id="9" w:name="_Toc431516140"/>
      <w:r w:rsidRPr="00437057">
        <w:rPr>
          <w:rFonts w:ascii="Arial" w:hAnsi="Arial" w:cs="Arial"/>
        </w:rPr>
        <w:t>Risks, Barriers and Mitigation</w:t>
      </w:r>
      <w:bookmarkEnd w:id="9"/>
    </w:p>
    <w:p w14:paraId="6F9BBC22" w14:textId="0B2037F9" w:rsidR="2CC51CAD" w:rsidRPr="0068235E" w:rsidRDefault="249A46B4" w:rsidP="00C260D9">
      <w:pPr>
        <w:spacing w:after="180" w:line="480" w:lineRule="auto"/>
        <w:rPr>
          <w:rFonts w:ascii="Arial" w:eastAsia="Arial" w:hAnsi="Arial" w:cs="Arial"/>
          <w:color w:val="26221F"/>
        </w:rPr>
      </w:pPr>
      <w:r w:rsidRPr="0EB0CFED">
        <w:rPr>
          <w:rFonts w:ascii="Arial" w:eastAsia="Arial" w:hAnsi="Arial" w:cs="Arial"/>
          <w:color w:val="26221F"/>
        </w:rPr>
        <w:t>Key risks include</w:t>
      </w:r>
      <w:r w:rsidR="4BF20C6A" w:rsidRPr="0EB0CFED">
        <w:rPr>
          <w:rFonts w:ascii="Arial" w:eastAsia="Arial" w:hAnsi="Arial" w:cs="Arial"/>
          <w:color w:val="26221F"/>
        </w:rPr>
        <w:t>:</w:t>
      </w:r>
    </w:p>
    <w:p w14:paraId="7116FA76" w14:textId="1D6992FD" w:rsidR="2CC51CAD" w:rsidRPr="0068235E" w:rsidRDefault="249A46B4" w:rsidP="00C260D9">
      <w:pPr>
        <w:pStyle w:val="ListParagraph"/>
        <w:numPr>
          <w:ilvl w:val="0"/>
          <w:numId w:val="17"/>
        </w:numPr>
        <w:spacing w:after="0" w:line="480" w:lineRule="auto"/>
        <w:rPr>
          <w:rFonts w:ascii="Arial" w:eastAsia="Arial" w:hAnsi="Arial" w:cs="Arial"/>
          <w:color w:val="26221F"/>
        </w:rPr>
      </w:pPr>
      <w:r w:rsidRPr="0EB0CFED">
        <w:rPr>
          <w:rFonts w:ascii="Arial" w:eastAsia="Arial" w:hAnsi="Arial" w:cs="Arial"/>
          <w:color w:val="26221F"/>
        </w:rPr>
        <w:t xml:space="preserve">Cultural resistance </w:t>
      </w:r>
      <w:r w:rsidR="26388D05" w:rsidRPr="0EB0CFED">
        <w:rPr>
          <w:rFonts w:ascii="Arial" w:eastAsia="Arial" w:hAnsi="Arial" w:cs="Arial"/>
          <w:color w:val="26221F"/>
        </w:rPr>
        <w:t xml:space="preserve">will be </w:t>
      </w:r>
      <w:r w:rsidRPr="0EB0CFED">
        <w:rPr>
          <w:rFonts w:ascii="Arial" w:eastAsia="Arial" w:hAnsi="Arial" w:cs="Arial"/>
          <w:color w:val="26221F"/>
        </w:rPr>
        <w:t>mitigated through leadership engagement and communication.</w:t>
      </w:r>
    </w:p>
    <w:p w14:paraId="15AC24D2" w14:textId="022C3A26" w:rsidR="2CC51CAD" w:rsidRPr="0068235E" w:rsidRDefault="249A46B4" w:rsidP="00C260D9">
      <w:pPr>
        <w:pStyle w:val="ListParagraph"/>
        <w:numPr>
          <w:ilvl w:val="0"/>
          <w:numId w:val="17"/>
        </w:numPr>
        <w:spacing w:after="0" w:line="480" w:lineRule="auto"/>
        <w:rPr>
          <w:rFonts w:ascii="Arial" w:eastAsia="Arial" w:hAnsi="Arial" w:cs="Arial"/>
          <w:color w:val="26221F"/>
        </w:rPr>
      </w:pPr>
      <w:r w:rsidRPr="0EB0CFED">
        <w:rPr>
          <w:rFonts w:ascii="Arial" w:eastAsia="Arial" w:hAnsi="Arial" w:cs="Arial"/>
          <w:color w:val="26221F"/>
        </w:rPr>
        <w:t>Funding constraints</w:t>
      </w:r>
      <w:r w:rsidR="02DB7792" w:rsidRPr="0EB0CFED">
        <w:rPr>
          <w:rFonts w:ascii="Arial" w:eastAsia="Arial" w:hAnsi="Arial" w:cs="Arial"/>
          <w:color w:val="26221F"/>
        </w:rPr>
        <w:t xml:space="preserve"> will be </w:t>
      </w:r>
      <w:r w:rsidRPr="0EB0CFED">
        <w:rPr>
          <w:rFonts w:ascii="Arial" w:eastAsia="Arial" w:hAnsi="Arial" w:cs="Arial"/>
          <w:color w:val="26221F"/>
        </w:rPr>
        <w:t>mitigated through ROI modelling and phased investment.</w:t>
      </w:r>
    </w:p>
    <w:p w14:paraId="788D0A0A" w14:textId="749A68BA" w:rsidR="2CC51CAD" w:rsidRPr="0068235E" w:rsidRDefault="249A46B4" w:rsidP="00C260D9">
      <w:pPr>
        <w:pStyle w:val="ListParagraph"/>
        <w:numPr>
          <w:ilvl w:val="0"/>
          <w:numId w:val="17"/>
        </w:numPr>
        <w:spacing w:after="0" w:line="480" w:lineRule="auto"/>
        <w:rPr>
          <w:rFonts w:ascii="Arial" w:eastAsia="Arial" w:hAnsi="Arial" w:cs="Arial"/>
          <w:color w:val="26221F"/>
        </w:rPr>
      </w:pPr>
      <w:r w:rsidRPr="0EB0CFED">
        <w:rPr>
          <w:rFonts w:ascii="Arial" w:eastAsia="Arial" w:hAnsi="Arial" w:cs="Arial"/>
          <w:color w:val="26221F"/>
        </w:rPr>
        <w:t xml:space="preserve">Data quality issues </w:t>
      </w:r>
      <w:r w:rsidR="3AC4D75A" w:rsidRPr="0EB0CFED">
        <w:rPr>
          <w:rFonts w:ascii="Arial" w:eastAsia="Arial" w:hAnsi="Arial" w:cs="Arial"/>
          <w:color w:val="26221F"/>
        </w:rPr>
        <w:t>will be</w:t>
      </w:r>
      <w:r w:rsidR="2357C710" w:rsidRPr="0EB0CFED">
        <w:rPr>
          <w:rFonts w:ascii="Arial" w:eastAsia="Arial" w:hAnsi="Arial" w:cs="Arial"/>
          <w:color w:val="26221F"/>
        </w:rPr>
        <w:t xml:space="preserve"> </w:t>
      </w:r>
      <w:r w:rsidRPr="0EB0CFED">
        <w:rPr>
          <w:rFonts w:ascii="Arial" w:eastAsia="Arial" w:hAnsi="Arial" w:cs="Arial"/>
          <w:color w:val="26221F"/>
        </w:rPr>
        <w:t>mitigated through improved reporting processes.</w:t>
      </w:r>
    </w:p>
    <w:p w14:paraId="1DDF30DF" w14:textId="62606D0D" w:rsidR="4566540D" w:rsidRPr="00917A17" w:rsidRDefault="249A46B4" w:rsidP="00C260D9">
      <w:pPr>
        <w:pStyle w:val="ListParagraph"/>
        <w:numPr>
          <w:ilvl w:val="0"/>
          <w:numId w:val="17"/>
        </w:numPr>
        <w:spacing w:after="0" w:line="480" w:lineRule="auto"/>
        <w:rPr>
          <w:rFonts w:ascii="Arial" w:eastAsia="Arial" w:hAnsi="Arial" w:cs="Arial"/>
          <w:color w:val="26221F"/>
        </w:rPr>
      </w:pPr>
      <w:r w:rsidRPr="0EB0CFED">
        <w:rPr>
          <w:rFonts w:ascii="Arial" w:eastAsia="Arial" w:hAnsi="Arial" w:cs="Arial"/>
          <w:color w:val="26221F"/>
        </w:rPr>
        <w:t xml:space="preserve">Inconsistent leadership behaviours </w:t>
      </w:r>
      <w:r w:rsidR="3BCA3D6D" w:rsidRPr="0EB0CFED">
        <w:rPr>
          <w:rFonts w:ascii="Arial" w:eastAsia="Arial" w:hAnsi="Arial" w:cs="Arial"/>
          <w:color w:val="26221F"/>
        </w:rPr>
        <w:t xml:space="preserve">will be </w:t>
      </w:r>
      <w:r w:rsidRPr="0EB0CFED">
        <w:rPr>
          <w:rFonts w:ascii="Arial" w:eastAsia="Arial" w:hAnsi="Arial" w:cs="Arial"/>
          <w:color w:val="26221F"/>
        </w:rPr>
        <w:t>mitigated through supervision training.</w:t>
      </w:r>
    </w:p>
    <w:p w14:paraId="7F7E755F" w14:textId="08A5105F" w:rsidR="2CC51CAD" w:rsidRPr="00437057" w:rsidRDefault="2CA96CC1" w:rsidP="00C260D9">
      <w:pPr>
        <w:pStyle w:val="Heading2"/>
        <w:spacing w:line="480" w:lineRule="auto"/>
        <w:rPr>
          <w:rFonts w:ascii="Arial" w:hAnsi="Arial" w:cs="Arial"/>
        </w:rPr>
      </w:pPr>
      <w:bookmarkStart w:id="10" w:name="_Toc278225489"/>
      <w:r w:rsidRPr="00437057">
        <w:rPr>
          <w:rFonts w:ascii="Arial" w:hAnsi="Arial" w:cs="Arial"/>
        </w:rPr>
        <w:t>Strategic Impact</w:t>
      </w:r>
      <w:bookmarkEnd w:id="10"/>
    </w:p>
    <w:p w14:paraId="30C03014" w14:textId="49270781" w:rsidR="6EC14802" w:rsidRPr="0068235E" w:rsidRDefault="57C47909" w:rsidP="00C260D9">
      <w:pPr>
        <w:spacing w:before="180" w:after="180" w:line="480" w:lineRule="auto"/>
        <w:rPr>
          <w:rFonts w:ascii="Arial" w:eastAsia="Arial" w:hAnsi="Arial" w:cs="Arial"/>
          <w:color w:val="26221F"/>
        </w:rPr>
      </w:pPr>
      <w:r w:rsidRPr="6311CB48">
        <w:rPr>
          <w:rFonts w:ascii="Arial" w:eastAsia="Arial" w:hAnsi="Arial" w:cs="Arial"/>
          <w:color w:val="26221F"/>
        </w:rPr>
        <w:t xml:space="preserve">If implemented effectively, the strategy will reduce sickness absence, increase deployable capacity, improve morale and retention, strengthen public confidence, </w:t>
      </w:r>
      <w:r w:rsidRPr="6311CB48">
        <w:rPr>
          <w:rFonts w:ascii="Arial" w:eastAsia="Arial" w:hAnsi="Arial" w:cs="Arial"/>
          <w:color w:val="26221F"/>
        </w:rPr>
        <w:lastRenderedPageBreak/>
        <w:t xml:space="preserve">and deliver </w:t>
      </w:r>
      <w:r w:rsidR="7CADEF19" w:rsidRPr="6311CB48">
        <w:rPr>
          <w:rFonts w:ascii="Arial" w:eastAsia="Arial" w:hAnsi="Arial" w:cs="Arial"/>
          <w:color w:val="26221F"/>
        </w:rPr>
        <w:t>long-term</w:t>
      </w:r>
      <w:r w:rsidRPr="6311CB48">
        <w:rPr>
          <w:rFonts w:ascii="Arial" w:eastAsia="Arial" w:hAnsi="Arial" w:cs="Arial"/>
          <w:color w:val="26221F"/>
        </w:rPr>
        <w:t xml:space="preserve"> financial savings. This demonstrates clear alignment with strategic management theory and the force’s operational priorities.</w:t>
      </w:r>
    </w:p>
    <w:p w14:paraId="379430FF" w14:textId="629E893C" w:rsidR="6EC14802" w:rsidRPr="00437057" w:rsidRDefault="785EA6E8" w:rsidP="00C260D9">
      <w:pPr>
        <w:pStyle w:val="Heading1"/>
        <w:spacing w:line="480" w:lineRule="auto"/>
        <w:rPr>
          <w:rFonts w:ascii="Arial" w:hAnsi="Arial" w:cs="Arial"/>
        </w:rPr>
      </w:pPr>
      <w:bookmarkStart w:id="11" w:name="_Toc1024237497"/>
      <w:r w:rsidRPr="00437057">
        <w:rPr>
          <w:rFonts w:ascii="Arial" w:hAnsi="Arial" w:cs="Arial"/>
        </w:rPr>
        <w:t>Objectives</w:t>
      </w:r>
      <w:bookmarkEnd w:id="11"/>
    </w:p>
    <w:p w14:paraId="6F60CFB1" w14:textId="64EA988B" w:rsidR="724EE5E4" w:rsidRDefault="724EE5E4" w:rsidP="00C260D9">
      <w:pPr>
        <w:spacing w:after="180" w:line="480" w:lineRule="auto"/>
        <w:rPr>
          <w:rFonts w:ascii="Arial" w:eastAsia="Arial" w:hAnsi="Arial" w:cs="Arial"/>
          <w:color w:val="26221F"/>
        </w:rPr>
      </w:pPr>
      <w:r w:rsidRPr="6311CB48">
        <w:rPr>
          <w:rFonts w:ascii="Arial" w:eastAsia="Arial" w:hAnsi="Arial" w:cs="Arial"/>
          <w:color w:val="26221F"/>
        </w:rPr>
        <w:t>The overarching aim of the Wellbeing and Workforce Resilience Strategy is to strengthen organisational performance by improving workforce health, psychological resilience, and operational capacity. The following SMART objectives are measurable, time</w:t>
      </w:r>
      <w:r>
        <w:noBreakHyphen/>
      </w:r>
      <w:r w:rsidRPr="6311CB48">
        <w:rPr>
          <w:rFonts w:ascii="Arial" w:eastAsia="Arial" w:hAnsi="Arial" w:cs="Arial"/>
          <w:color w:val="26221F"/>
        </w:rPr>
        <w:t>bound, and aligned with the force’s strategic priorities, national policing expectations, and the theoretical frameworks underpinning this proposal.</w:t>
      </w:r>
    </w:p>
    <w:p w14:paraId="480936D7" w14:textId="3C1543F0"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Objective 1: Reduce psychological</w:t>
      </w:r>
      <w:r>
        <w:noBreakHyphen/>
      </w:r>
      <w:r w:rsidRPr="6311CB48">
        <w:rPr>
          <w:rFonts w:ascii="Arial" w:eastAsia="Arial" w:hAnsi="Arial" w:cs="Arial"/>
          <w:color w:val="26221F"/>
        </w:rPr>
        <w:t>related sickness absence by 15% within three years.</w:t>
      </w:r>
    </w:p>
    <w:p w14:paraId="5B4F6363" w14:textId="1BADDC4B"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This objective addresses a significant operational and financial risk. It will be achieved through enhanced trauma support pathways, early</w:t>
      </w:r>
      <w:r>
        <w:noBreakHyphen/>
      </w:r>
      <w:r w:rsidRPr="6311CB48">
        <w:rPr>
          <w:rFonts w:ascii="Arial" w:eastAsia="Arial" w:hAnsi="Arial" w:cs="Arial"/>
          <w:color w:val="26221F"/>
        </w:rPr>
        <w:t>intervention mechanisms, and improved Occupational Health capacity. Progress will be monitored through monthly sickness reporting and the wellbeing dashboard, with oversight through Leadership Accountability Meetings and the Strategic People Board.</w:t>
      </w:r>
    </w:p>
    <w:p w14:paraId="617357FA" w14:textId="6D3A876B"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Objective 2: Increase deployable workforce capacity by 10% within 24 months.</w:t>
      </w:r>
    </w:p>
    <w:p w14:paraId="6C323567" w14:textId="7A97E51A"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By reducing restricted</w:t>
      </w:r>
      <w:r>
        <w:noBreakHyphen/>
      </w:r>
      <w:r w:rsidRPr="6311CB48">
        <w:rPr>
          <w:rFonts w:ascii="Arial" w:eastAsia="Arial" w:hAnsi="Arial" w:cs="Arial"/>
          <w:color w:val="26221F"/>
        </w:rPr>
        <w:t>duty days, improving recovery times, and strengthening resilience in high</w:t>
      </w:r>
      <w:r>
        <w:noBreakHyphen/>
      </w:r>
      <w:r w:rsidRPr="6311CB48">
        <w:rPr>
          <w:rFonts w:ascii="Arial" w:eastAsia="Arial" w:hAnsi="Arial" w:cs="Arial"/>
          <w:color w:val="26221F"/>
        </w:rPr>
        <w:t>demand units, the force will increase the number of officers and staff available for frontline duties. This aligns with the Resource</w:t>
      </w:r>
      <w:r>
        <w:noBreakHyphen/>
      </w:r>
      <w:r w:rsidRPr="6311CB48">
        <w:rPr>
          <w:rFonts w:ascii="Arial" w:eastAsia="Arial" w:hAnsi="Arial" w:cs="Arial"/>
          <w:color w:val="26221F"/>
        </w:rPr>
        <w:t>Based View, which positions workforce capability as a strategic asset.</w:t>
      </w:r>
    </w:p>
    <w:p w14:paraId="6875B989" w14:textId="66299A16"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lastRenderedPageBreak/>
        <w:t>Objective 3: Establish a Gold/Silver/Bronze wellbeing governance structure by Q2 2027.</w:t>
      </w:r>
    </w:p>
    <w:p w14:paraId="17DD7931" w14:textId="12EB1F89"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This ensures clear accountability and leadership oversight by integrating wellbeing into existing boards and risk processes, enabling informed decision</w:t>
      </w:r>
      <w:r>
        <w:noBreakHyphen/>
      </w:r>
      <w:r w:rsidRPr="6311CB48">
        <w:rPr>
          <w:rFonts w:ascii="Arial" w:eastAsia="Arial" w:hAnsi="Arial" w:cs="Arial"/>
          <w:color w:val="26221F"/>
        </w:rPr>
        <w:t>making based on real</w:t>
      </w:r>
      <w:r>
        <w:noBreakHyphen/>
      </w:r>
      <w:r w:rsidRPr="6311CB48">
        <w:rPr>
          <w:rFonts w:ascii="Arial" w:eastAsia="Arial" w:hAnsi="Arial" w:cs="Arial"/>
          <w:color w:val="26221F"/>
        </w:rPr>
        <w:t>time data.</w:t>
      </w:r>
    </w:p>
    <w:p w14:paraId="66FCBE96" w14:textId="64D02C18"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Objective 4: Implement a wellbeing performance dashboard by Q4 2026.</w:t>
      </w:r>
    </w:p>
    <w:p w14:paraId="593C193A" w14:textId="5ACC8292"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The dashboard will consolidate key wellbeing metrics—including sickness, trauma exposure, OH referrals, and engagement indicators—supporting evidence</w:t>
      </w:r>
      <w:r>
        <w:noBreakHyphen/>
      </w:r>
      <w:r w:rsidRPr="6311CB48">
        <w:rPr>
          <w:rFonts w:ascii="Arial" w:eastAsia="Arial" w:hAnsi="Arial" w:cs="Arial"/>
          <w:color w:val="26221F"/>
        </w:rPr>
        <w:t>based decision</w:t>
      </w:r>
      <w:r>
        <w:noBreakHyphen/>
      </w:r>
      <w:r w:rsidRPr="6311CB48">
        <w:rPr>
          <w:rFonts w:ascii="Arial" w:eastAsia="Arial" w:hAnsi="Arial" w:cs="Arial"/>
          <w:color w:val="26221F"/>
        </w:rPr>
        <w:t>making and aligning with Balanced Scorecard principles.</w:t>
      </w:r>
    </w:p>
    <w:p w14:paraId="3565CC28" w14:textId="65DB3BD6"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Objective 5: Improve staff survey wellbeing scores by 10 points by 2028.</w:t>
      </w:r>
    </w:p>
    <w:p w14:paraId="545F664C" w14:textId="72F8949E"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This objective focuses on cultural and behavioural change through leadership development and targeted communication aimed at reducing stigma and encouraging early help</w:t>
      </w:r>
      <w:r>
        <w:noBreakHyphen/>
      </w:r>
      <w:r w:rsidRPr="6311CB48">
        <w:rPr>
          <w:rFonts w:ascii="Arial" w:eastAsia="Arial" w:hAnsi="Arial" w:cs="Arial"/>
          <w:color w:val="26221F"/>
        </w:rPr>
        <w:t>seeking.</w:t>
      </w:r>
    </w:p>
    <w:p w14:paraId="0A95E572" w14:textId="75DC10C3"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Objective 6: Reduce restricted</w:t>
      </w:r>
      <w:r>
        <w:noBreakHyphen/>
      </w:r>
      <w:r w:rsidRPr="6311CB48">
        <w:rPr>
          <w:rFonts w:ascii="Arial" w:eastAsia="Arial" w:hAnsi="Arial" w:cs="Arial"/>
          <w:color w:val="26221F"/>
        </w:rPr>
        <w:t>duty days by 20% within three years.</w:t>
      </w:r>
    </w:p>
    <w:p w14:paraId="05868B9F" w14:textId="6D5BD556"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This supports operational resilience and financial sustainability through improved case management, early intervention, and targeted support for high</w:t>
      </w:r>
      <w:r>
        <w:noBreakHyphen/>
      </w:r>
      <w:r w:rsidRPr="6311CB48">
        <w:rPr>
          <w:rFonts w:ascii="Arial" w:eastAsia="Arial" w:hAnsi="Arial" w:cs="Arial"/>
          <w:color w:val="26221F"/>
        </w:rPr>
        <w:t>risk roles (Cooper and Cartwright, 1997; NICE, 2022).</w:t>
      </w:r>
    </w:p>
    <w:p w14:paraId="3BE65154" w14:textId="2330B12E"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Objective 7: Deliver all major interventions by the end of 2028.</w:t>
      </w:r>
    </w:p>
    <w:p w14:paraId="4F934390" w14:textId="27431C3D" w:rsidR="724EE5E4" w:rsidRDefault="724EE5E4" w:rsidP="6311CB48">
      <w:pPr>
        <w:spacing w:after="180" w:line="480" w:lineRule="auto"/>
        <w:rPr>
          <w:rFonts w:ascii="Arial" w:eastAsia="Arial" w:hAnsi="Arial" w:cs="Arial"/>
          <w:color w:val="26221F"/>
        </w:rPr>
      </w:pPr>
      <w:r w:rsidRPr="6311CB48">
        <w:rPr>
          <w:rFonts w:ascii="Arial" w:eastAsia="Arial" w:hAnsi="Arial" w:cs="Arial"/>
          <w:color w:val="26221F"/>
        </w:rPr>
        <w:t>This ensures systematic delivery with clear milestones, resource allocation, and evaluation points, aligning with Kotter’s change model (Kotter, 1996).</w:t>
      </w:r>
    </w:p>
    <w:p w14:paraId="19A7D32A" w14:textId="354D2F9D" w:rsidR="652CBFFA" w:rsidRPr="00437057" w:rsidRDefault="4DDB052B" w:rsidP="00C260D9">
      <w:pPr>
        <w:pStyle w:val="Heading1"/>
        <w:spacing w:line="480" w:lineRule="auto"/>
        <w:rPr>
          <w:rFonts w:ascii="Arial" w:hAnsi="Arial" w:cs="Arial"/>
        </w:rPr>
      </w:pPr>
      <w:bookmarkStart w:id="12" w:name="_Toc1671501099"/>
      <w:r w:rsidRPr="00437057">
        <w:rPr>
          <w:rFonts w:ascii="Arial" w:hAnsi="Arial" w:cs="Arial"/>
        </w:rPr>
        <w:lastRenderedPageBreak/>
        <w:t>Options Analysis</w:t>
      </w:r>
      <w:bookmarkEnd w:id="12"/>
    </w:p>
    <w:p w14:paraId="3A6F69A4" w14:textId="5BD529A0" w:rsidR="652CBFFA" w:rsidRDefault="61EEAC29" w:rsidP="00C260D9">
      <w:pPr>
        <w:spacing w:after="180" w:line="480" w:lineRule="auto"/>
        <w:rPr>
          <w:rFonts w:ascii="Arial" w:eastAsia="Arial" w:hAnsi="Arial" w:cs="Arial"/>
          <w:color w:val="26221F"/>
        </w:rPr>
      </w:pPr>
      <w:r w:rsidRPr="6311CB48">
        <w:rPr>
          <w:rFonts w:ascii="Arial" w:eastAsia="Arial" w:hAnsi="Arial" w:cs="Arial"/>
          <w:color w:val="26221F"/>
        </w:rPr>
        <w:t>To determine the most effective and sustainable approach for delivering the Wellbeing and Workforce Resilience Strategy, three implementation options were evaluated against cost, feasibility, organisational readiness, risk, and expected impact on workforce wellbeing.</w:t>
      </w:r>
    </w:p>
    <w:p w14:paraId="30194B25" w14:textId="4D7A959A" w:rsidR="652CBFFA" w:rsidRDefault="61EEAC29" w:rsidP="6311CB48">
      <w:pPr>
        <w:spacing w:before="60" w:after="90" w:line="480" w:lineRule="auto"/>
        <w:rPr>
          <w:rFonts w:ascii="Arial" w:eastAsia="Arial" w:hAnsi="Arial" w:cs="Arial"/>
          <w:b/>
          <w:bCs/>
          <w:color w:val="26221F"/>
        </w:rPr>
      </w:pPr>
      <w:r w:rsidRPr="6311CB48">
        <w:rPr>
          <w:rFonts w:ascii="Arial" w:eastAsia="Arial" w:hAnsi="Arial" w:cs="Arial"/>
          <w:b/>
          <w:bCs/>
          <w:color w:val="26221F"/>
        </w:rPr>
        <w:t>Option 1: Targeted Investment Model (Preferred Option)</w:t>
      </w:r>
    </w:p>
    <w:p w14:paraId="6DEDC8E4" w14:textId="632F9BC4"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A blended model using internal teams for most delivery, supported by targeted investment in critical capacity gaps. This includes recruiting one Band 6 and one Band 7 OH Nurse Clinician, investing in leadership development, and strengthening trauma</w:t>
      </w:r>
      <w:r w:rsidR="652CBFFA">
        <w:noBreakHyphen/>
      </w:r>
      <w:r w:rsidRPr="6311CB48">
        <w:rPr>
          <w:rFonts w:ascii="Arial" w:eastAsia="Arial" w:hAnsi="Arial" w:cs="Arial"/>
          <w:color w:val="26221F"/>
        </w:rPr>
        <w:t>informed pathways through CPD and supervision.</w:t>
      </w:r>
    </w:p>
    <w:p w14:paraId="00E42F6D" w14:textId="329D0011"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Advantages:</w:t>
      </w:r>
    </w:p>
    <w:p w14:paraId="5D57C5CE" w14:textId="6B32B5DA" w:rsidR="652CBFFA" w:rsidRDefault="61EEAC29" w:rsidP="6311CB48">
      <w:pPr>
        <w:pStyle w:val="ListParagraph"/>
        <w:numPr>
          <w:ilvl w:val="0"/>
          <w:numId w:val="11"/>
        </w:numPr>
        <w:spacing w:after="0" w:line="480" w:lineRule="auto"/>
        <w:contextualSpacing w:val="0"/>
        <w:rPr>
          <w:rFonts w:ascii="Arial" w:eastAsia="Arial" w:hAnsi="Arial" w:cs="Arial"/>
          <w:color w:val="26221F"/>
        </w:rPr>
      </w:pPr>
      <w:r w:rsidRPr="6311CB48">
        <w:rPr>
          <w:rFonts w:ascii="Arial" w:eastAsia="Arial" w:hAnsi="Arial" w:cs="Arial"/>
          <w:color w:val="26221F"/>
        </w:rPr>
        <w:t>Addresses the most significant organisational risk: OH capacity</w:t>
      </w:r>
    </w:p>
    <w:p w14:paraId="170C8740" w14:textId="74E1E762" w:rsidR="652CBFFA" w:rsidRDefault="61EEAC29" w:rsidP="6311CB48">
      <w:pPr>
        <w:pStyle w:val="ListParagraph"/>
        <w:numPr>
          <w:ilvl w:val="0"/>
          <w:numId w:val="11"/>
        </w:numPr>
        <w:spacing w:after="0" w:line="480" w:lineRule="auto"/>
        <w:contextualSpacing w:val="0"/>
        <w:rPr>
          <w:rFonts w:ascii="Arial" w:eastAsia="Arial" w:hAnsi="Arial" w:cs="Arial"/>
          <w:color w:val="26221F"/>
        </w:rPr>
      </w:pPr>
      <w:r w:rsidRPr="6311CB48">
        <w:rPr>
          <w:rFonts w:ascii="Arial" w:eastAsia="Arial" w:hAnsi="Arial" w:cs="Arial"/>
          <w:color w:val="26221F"/>
        </w:rPr>
        <w:t>Maximises internal capability while keeping costs proportionate</w:t>
      </w:r>
    </w:p>
    <w:p w14:paraId="386B39F9" w14:textId="297672F2" w:rsidR="652CBFFA" w:rsidRDefault="61EEAC29" w:rsidP="6311CB48">
      <w:pPr>
        <w:pStyle w:val="ListParagraph"/>
        <w:numPr>
          <w:ilvl w:val="0"/>
          <w:numId w:val="11"/>
        </w:numPr>
        <w:spacing w:after="0" w:line="480" w:lineRule="auto"/>
        <w:contextualSpacing w:val="0"/>
        <w:rPr>
          <w:rFonts w:ascii="Arial" w:eastAsia="Arial" w:hAnsi="Arial" w:cs="Arial"/>
          <w:color w:val="26221F"/>
        </w:rPr>
      </w:pPr>
      <w:r w:rsidRPr="6311CB48">
        <w:rPr>
          <w:rFonts w:ascii="Arial" w:eastAsia="Arial" w:hAnsi="Arial" w:cs="Arial"/>
          <w:color w:val="26221F"/>
        </w:rPr>
        <w:t>Supports sustainable early</w:t>
      </w:r>
      <w:r w:rsidR="652CBFFA">
        <w:noBreakHyphen/>
      </w:r>
      <w:r w:rsidRPr="6311CB48">
        <w:rPr>
          <w:rFonts w:ascii="Arial" w:eastAsia="Arial" w:hAnsi="Arial" w:cs="Arial"/>
          <w:color w:val="26221F"/>
        </w:rPr>
        <w:t>intervention pathways</w:t>
      </w:r>
    </w:p>
    <w:p w14:paraId="5D2259FF" w14:textId="0EAC8A0A" w:rsidR="652CBFFA" w:rsidRDefault="61EEAC29" w:rsidP="6311CB48">
      <w:pPr>
        <w:pStyle w:val="ListParagraph"/>
        <w:numPr>
          <w:ilvl w:val="0"/>
          <w:numId w:val="11"/>
        </w:numPr>
        <w:spacing w:after="0" w:line="480" w:lineRule="auto"/>
        <w:contextualSpacing w:val="0"/>
        <w:rPr>
          <w:rFonts w:ascii="Arial" w:eastAsia="Arial" w:hAnsi="Arial" w:cs="Arial"/>
          <w:color w:val="26221F"/>
        </w:rPr>
      </w:pPr>
      <w:r w:rsidRPr="6311CB48">
        <w:rPr>
          <w:rFonts w:ascii="Arial" w:eastAsia="Arial" w:hAnsi="Arial" w:cs="Arial"/>
          <w:color w:val="26221F"/>
        </w:rPr>
        <w:t>Enables timely rollout of leadership and supervision standards</w:t>
      </w:r>
    </w:p>
    <w:p w14:paraId="5C1CBEEA" w14:textId="799C4726" w:rsidR="652CBFFA" w:rsidRDefault="61EEAC29" w:rsidP="6311CB48">
      <w:pPr>
        <w:pStyle w:val="ListParagraph"/>
        <w:numPr>
          <w:ilvl w:val="0"/>
          <w:numId w:val="11"/>
        </w:numPr>
        <w:spacing w:after="0" w:line="480" w:lineRule="auto"/>
        <w:contextualSpacing w:val="0"/>
        <w:rPr>
          <w:rFonts w:ascii="Arial" w:eastAsia="Arial" w:hAnsi="Arial" w:cs="Arial"/>
          <w:color w:val="26221F"/>
        </w:rPr>
      </w:pPr>
      <w:r w:rsidRPr="6311CB48">
        <w:rPr>
          <w:rFonts w:ascii="Arial" w:eastAsia="Arial" w:hAnsi="Arial" w:cs="Arial"/>
          <w:color w:val="26221F"/>
        </w:rPr>
        <w:t>Strong alignment with organisational culture</w:t>
      </w:r>
    </w:p>
    <w:p w14:paraId="7421180C" w14:textId="17C78F0B"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Disadvantages:</w:t>
      </w:r>
    </w:p>
    <w:p w14:paraId="58278D8D" w14:textId="1C13A901" w:rsidR="652CBFFA" w:rsidRDefault="61EEAC29" w:rsidP="6311CB48">
      <w:pPr>
        <w:pStyle w:val="ListParagraph"/>
        <w:numPr>
          <w:ilvl w:val="0"/>
          <w:numId w:val="10"/>
        </w:numPr>
        <w:spacing w:after="0" w:line="480" w:lineRule="auto"/>
        <w:contextualSpacing w:val="0"/>
        <w:rPr>
          <w:rFonts w:ascii="Arial" w:eastAsia="Arial" w:hAnsi="Arial" w:cs="Arial"/>
          <w:color w:val="26221F"/>
        </w:rPr>
      </w:pPr>
      <w:r w:rsidRPr="6311CB48">
        <w:rPr>
          <w:rFonts w:ascii="Arial" w:eastAsia="Arial" w:hAnsi="Arial" w:cs="Arial"/>
          <w:color w:val="26221F"/>
        </w:rPr>
        <w:t>Requires moderate financial investment</w:t>
      </w:r>
    </w:p>
    <w:p w14:paraId="54BF4EBE" w14:textId="69E86E7F" w:rsidR="652CBFFA" w:rsidRDefault="61EEAC29" w:rsidP="6311CB48">
      <w:pPr>
        <w:pStyle w:val="ListParagraph"/>
        <w:numPr>
          <w:ilvl w:val="0"/>
          <w:numId w:val="10"/>
        </w:numPr>
        <w:spacing w:after="0" w:line="480" w:lineRule="auto"/>
        <w:contextualSpacing w:val="0"/>
        <w:rPr>
          <w:rFonts w:ascii="Arial" w:eastAsia="Arial" w:hAnsi="Arial" w:cs="Arial"/>
          <w:color w:val="26221F"/>
        </w:rPr>
      </w:pPr>
      <w:r w:rsidRPr="6311CB48">
        <w:rPr>
          <w:rFonts w:ascii="Arial" w:eastAsia="Arial" w:hAnsi="Arial" w:cs="Arial"/>
          <w:color w:val="26221F"/>
        </w:rPr>
        <w:t>Recruitment of specialist clinicians may take time</w:t>
      </w:r>
    </w:p>
    <w:p w14:paraId="5CDB8361" w14:textId="2A9D4F49"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Risks:</w:t>
      </w:r>
    </w:p>
    <w:p w14:paraId="31D3C0C7" w14:textId="7E0F9280" w:rsidR="652CBFFA" w:rsidRDefault="61EEAC29" w:rsidP="6311CB48">
      <w:pPr>
        <w:pStyle w:val="ListParagraph"/>
        <w:numPr>
          <w:ilvl w:val="0"/>
          <w:numId w:val="9"/>
        </w:numPr>
        <w:spacing w:after="0" w:line="480" w:lineRule="auto"/>
        <w:contextualSpacing w:val="0"/>
        <w:rPr>
          <w:rFonts w:ascii="Arial" w:eastAsia="Arial" w:hAnsi="Arial" w:cs="Arial"/>
          <w:color w:val="26221F"/>
        </w:rPr>
      </w:pPr>
      <w:r w:rsidRPr="6311CB48">
        <w:rPr>
          <w:rFonts w:ascii="Arial" w:eastAsia="Arial" w:hAnsi="Arial" w:cs="Arial"/>
          <w:color w:val="26221F"/>
        </w:rPr>
        <w:t>Recruitment delays could slow early</w:t>
      </w:r>
      <w:r w:rsidR="652CBFFA">
        <w:noBreakHyphen/>
      </w:r>
      <w:r w:rsidRPr="6311CB48">
        <w:rPr>
          <w:rFonts w:ascii="Arial" w:eastAsia="Arial" w:hAnsi="Arial" w:cs="Arial"/>
          <w:color w:val="26221F"/>
        </w:rPr>
        <w:t>intervention rollout</w:t>
      </w:r>
    </w:p>
    <w:p w14:paraId="2CAFB3AE" w14:textId="729E2250" w:rsidR="652CBFFA" w:rsidRDefault="61EEAC29" w:rsidP="6311CB48">
      <w:pPr>
        <w:pStyle w:val="ListParagraph"/>
        <w:numPr>
          <w:ilvl w:val="0"/>
          <w:numId w:val="9"/>
        </w:numPr>
        <w:spacing w:after="0" w:line="480" w:lineRule="auto"/>
        <w:contextualSpacing w:val="0"/>
        <w:rPr>
          <w:rFonts w:ascii="Arial" w:eastAsia="Arial" w:hAnsi="Arial" w:cs="Arial"/>
          <w:color w:val="26221F"/>
        </w:rPr>
      </w:pPr>
      <w:r w:rsidRPr="6311CB48">
        <w:rPr>
          <w:rFonts w:ascii="Arial" w:eastAsia="Arial" w:hAnsi="Arial" w:cs="Arial"/>
          <w:color w:val="26221F"/>
        </w:rPr>
        <w:t>Requires sustained leadership engagement</w:t>
      </w:r>
    </w:p>
    <w:p w14:paraId="437010DD" w14:textId="58A5621E"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lastRenderedPageBreak/>
        <w:t>Assessment:</w:t>
      </w:r>
    </w:p>
    <w:p w14:paraId="4A612939" w14:textId="4CE75920"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High feasibility, high impact, and cost</w:t>
      </w:r>
      <w:r w:rsidR="652CBFFA">
        <w:noBreakHyphen/>
      </w:r>
      <w:r w:rsidRPr="6311CB48">
        <w:rPr>
          <w:rFonts w:ascii="Arial" w:eastAsia="Arial" w:hAnsi="Arial" w:cs="Arial"/>
          <w:color w:val="26221F"/>
        </w:rPr>
        <w:t>effective. This option balances affordability with meaningful organisational change and improved clinical capacity.</w:t>
      </w:r>
    </w:p>
    <w:p w14:paraId="6169CADF" w14:textId="4EBABB4D" w:rsidR="652CBFFA" w:rsidRDefault="61EEAC29" w:rsidP="6311CB48">
      <w:pPr>
        <w:spacing w:before="60" w:after="90" w:line="480" w:lineRule="auto"/>
        <w:rPr>
          <w:rFonts w:ascii="Arial" w:eastAsia="Arial" w:hAnsi="Arial" w:cs="Arial"/>
          <w:b/>
          <w:bCs/>
          <w:color w:val="26221F"/>
        </w:rPr>
      </w:pPr>
      <w:r w:rsidRPr="6311CB48">
        <w:rPr>
          <w:rFonts w:ascii="Arial" w:eastAsia="Arial" w:hAnsi="Arial" w:cs="Arial"/>
          <w:b/>
          <w:bCs/>
          <w:color w:val="26221F"/>
        </w:rPr>
        <w:t>Option 2: Minimal</w:t>
      </w:r>
      <w:r w:rsidR="652CBFFA">
        <w:noBreakHyphen/>
      </w:r>
      <w:r w:rsidRPr="6311CB48">
        <w:rPr>
          <w:rFonts w:ascii="Arial" w:eastAsia="Arial" w:hAnsi="Arial" w:cs="Arial"/>
          <w:b/>
          <w:bCs/>
          <w:color w:val="26221F"/>
        </w:rPr>
        <w:t>Investment / Internal</w:t>
      </w:r>
      <w:r w:rsidR="652CBFFA">
        <w:noBreakHyphen/>
      </w:r>
      <w:r w:rsidRPr="6311CB48">
        <w:rPr>
          <w:rFonts w:ascii="Arial" w:eastAsia="Arial" w:hAnsi="Arial" w:cs="Arial"/>
          <w:b/>
          <w:bCs/>
          <w:color w:val="26221F"/>
        </w:rPr>
        <w:t>Only Delivery</w:t>
      </w:r>
    </w:p>
    <w:p w14:paraId="5549EFD7" w14:textId="62957023"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This option relies entirely on existing internal resources, with Occupational Health, Data Analytics, Corporate Communications, Learning &amp; Development, and the in</w:t>
      </w:r>
      <w:r w:rsidR="652CBFFA">
        <w:noBreakHyphen/>
      </w:r>
      <w:r w:rsidRPr="6311CB48">
        <w:rPr>
          <w:rFonts w:ascii="Arial" w:eastAsia="Arial" w:hAnsi="Arial" w:cs="Arial"/>
          <w:color w:val="26221F"/>
        </w:rPr>
        <w:t>house counselling team delivering all workstreams within current capacity.</w:t>
      </w:r>
    </w:p>
    <w:p w14:paraId="1BF5E6D5" w14:textId="6A1B179F"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Advantages:</w:t>
      </w:r>
    </w:p>
    <w:p w14:paraId="69542EE7" w14:textId="5495BF15" w:rsidR="652CBFFA" w:rsidRDefault="61EEAC29" w:rsidP="6311CB48">
      <w:pPr>
        <w:pStyle w:val="ListParagraph"/>
        <w:numPr>
          <w:ilvl w:val="0"/>
          <w:numId w:val="14"/>
        </w:numPr>
        <w:spacing w:after="0" w:line="480" w:lineRule="auto"/>
        <w:contextualSpacing w:val="0"/>
        <w:rPr>
          <w:rFonts w:ascii="Arial" w:eastAsia="Arial" w:hAnsi="Arial" w:cs="Arial"/>
          <w:color w:val="26221F"/>
        </w:rPr>
      </w:pPr>
      <w:r w:rsidRPr="6311CB48">
        <w:rPr>
          <w:rFonts w:ascii="Arial" w:eastAsia="Arial" w:hAnsi="Arial" w:cs="Arial"/>
          <w:color w:val="26221F"/>
        </w:rPr>
        <w:t>Lowest financial cost</w:t>
      </w:r>
    </w:p>
    <w:p w14:paraId="49312A5D" w14:textId="3571DC37" w:rsidR="652CBFFA" w:rsidRDefault="61EEAC29" w:rsidP="6311CB48">
      <w:pPr>
        <w:pStyle w:val="ListParagraph"/>
        <w:numPr>
          <w:ilvl w:val="0"/>
          <w:numId w:val="14"/>
        </w:numPr>
        <w:spacing w:after="0" w:line="480" w:lineRule="auto"/>
        <w:contextualSpacing w:val="0"/>
        <w:rPr>
          <w:rFonts w:ascii="Arial" w:eastAsia="Arial" w:hAnsi="Arial" w:cs="Arial"/>
          <w:color w:val="26221F"/>
        </w:rPr>
      </w:pPr>
      <w:r w:rsidRPr="6311CB48">
        <w:rPr>
          <w:rFonts w:ascii="Arial" w:eastAsia="Arial" w:hAnsi="Arial" w:cs="Arial"/>
          <w:color w:val="26221F"/>
        </w:rPr>
        <w:t>High organisational ownership</w:t>
      </w:r>
    </w:p>
    <w:p w14:paraId="43C1995A" w14:textId="65F227D8" w:rsidR="652CBFFA" w:rsidRDefault="61EEAC29" w:rsidP="6311CB48">
      <w:pPr>
        <w:pStyle w:val="ListParagraph"/>
        <w:numPr>
          <w:ilvl w:val="0"/>
          <w:numId w:val="14"/>
        </w:numPr>
        <w:spacing w:after="0" w:line="480" w:lineRule="auto"/>
        <w:contextualSpacing w:val="0"/>
        <w:rPr>
          <w:rFonts w:ascii="Arial" w:eastAsia="Arial" w:hAnsi="Arial" w:cs="Arial"/>
          <w:color w:val="26221F"/>
        </w:rPr>
      </w:pPr>
      <w:r w:rsidRPr="6311CB48">
        <w:rPr>
          <w:rFonts w:ascii="Arial" w:eastAsia="Arial" w:hAnsi="Arial" w:cs="Arial"/>
          <w:color w:val="26221F"/>
        </w:rPr>
        <w:t>Builds internal capability</w:t>
      </w:r>
    </w:p>
    <w:p w14:paraId="00DFE1B4" w14:textId="1C36C939" w:rsidR="652CBFFA" w:rsidRDefault="61EEAC29" w:rsidP="6311CB48">
      <w:pPr>
        <w:pStyle w:val="ListParagraph"/>
        <w:numPr>
          <w:ilvl w:val="0"/>
          <w:numId w:val="14"/>
        </w:numPr>
        <w:spacing w:after="0" w:line="480" w:lineRule="auto"/>
        <w:contextualSpacing w:val="0"/>
        <w:rPr>
          <w:rFonts w:ascii="Arial" w:eastAsia="Arial" w:hAnsi="Arial" w:cs="Arial"/>
          <w:color w:val="26221F"/>
        </w:rPr>
      </w:pPr>
      <w:r w:rsidRPr="6311CB48">
        <w:rPr>
          <w:rFonts w:ascii="Arial" w:eastAsia="Arial" w:hAnsi="Arial" w:cs="Arial"/>
          <w:color w:val="26221F"/>
        </w:rPr>
        <w:t>Aligns with existing governance structures</w:t>
      </w:r>
    </w:p>
    <w:p w14:paraId="1216ABB2" w14:textId="60E6D109"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Disadvantages:</w:t>
      </w:r>
    </w:p>
    <w:p w14:paraId="385ACE78" w14:textId="5D39E06C" w:rsidR="652CBFFA" w:rsidRDefault="61EEAC29" w:rsidP="6311CB48">
      <w:pPr>
        <w:pStyle w:val="ListParagraph"/>
        <w:numPr>
          <w:ilvl w:val="0"/>
          <w:numId w:val="13"/>
        </w:numPr>
        <w:spacing w:after="0" w:line="480" w:lineRule="auto"/>
        <w:contextualSpacing w:val="0"/>
        <w:rPr>
          <w:rFonts w:ascii="Arial" w:eastAsia="Arial" w:hAnsi="Arial" w:cs="Arial"/>
          <w:color w:val="26221F"/>
        </w:rPr>
      </w:pPr>
      <w:r w:rsidRPr="6311CB48">
        <w:rPr>
          <w:rFonts w:ascii="Arial" w:eastAsia="Arial" w:hAnsi="Arial" w:cs="Arial"/>
          <w:color w:val="26221F"/>
        </w:rPr>
        <w:t>Insufficient OH capacity</w:t>
      </w:r>
    </w:p>
    <w:p w14:paraId="24A71EC5" w14:textId="5B5C4AFB" w:rsidR="652CBFFA" w:rsidRDefault="61EEAC29" w:rsidP="6311CB48">
      <w:pPr>
        <w:pStyle w:val="ListParagraph"/>
        <w:numPr>
          <w:ilvl w:val="0"/>
          <w:numId w:val="13"/>
        </w:numPr>
        <w:spacing w:after="0" w:line="480" w:lineRule="auto"/>
        <w:contextualSpacing w:val="0"/>
        <w:rPr>
          <w:rFonts w:ascii="Arial" w:eastAsia="Arial" w:hAnsi="Arial" w:cs="Arial"/>
          <w:color w:val="26221F"/>
        </w:rPr>
      </w:pPr>
      <w:r w:rsidRPr="6311CB48">
        <w:rPr>
          <w:rFonts w:ascii="Arial" w:eastAsia="Arial" w:hAnsi="Arial" w:cs="Arial"/>
          <w:color w:val="26221F"/>
        </w:rPr>
        <w:t>Risk of delays due to competing priorities</w:t>
      </w:r>
    </w:p>
    <w:p w14:paraId="007E2485" w14:textId="50702541" w:rsidR="652CBFFA" w:rsidRDefault="61EEAC29" w:rsidP="6311CB48">
      <w:pPr>
        <w:pStyle w:val="ListParagraph"/>
        <w:numPr>
          <w:ilvl w:val="0"/>
          <w:numId w:val="13"/>
        </w:numPr>
        <w:spacing w:after="0" w:line="480" w:lineRule="auto"/>
        <w:contextualSpacing w:val="0"/>
        <w:rPr>
          <w:rFonts w:ascii="Arial" w:eastAsia="Arial" w:hAnsi="Arial" w:cs="Arial"/>
          <w:color w:val="26221F"/>
        </w:rPr>
      </w:pPr>
      <w:r w:rsidRPr="6311CB48">
        <w:rPr>
          <w:rFonts w:ascii="Arial" w:eastAsia="Arial" w:hAnsi="Arial" w:cs="Arial"/>
          <w:color w:val="26221F"/>
        </w:rPr>
        <w:t>Limited ability to scale trauma</w:t>
      </w:r>
      <w:r w:rsidR="652CBFFA">
        <w:noBreakHyphen/>
      </w:r>
      <w:r w:rsidRPr="6311CB48">
        <w:rPr>
          <w:rFonts w:ascii="Arial" w:eastAsia="Arial" w:hAnsi="Arial" w:cs="Arial"/>
          <w:color w:val="26221F"/>
        </w:rPr>
        <w:t>informed support</w:t>
      </w:r>
    </w:p>
    <w:p w14:paraId="5BAF1CA6" w14:textId="2F24DFF9" w:rsidR="652CBFFA" w:rsidRDefault="61EEAC29" w:rsidP="6311CB48">
      <w:pPr>
        <w:pStyle w:val="ListParagraph"/>
        <w:numPr>
          <w:ilvl w:val="0"/>
          <w:numId w:val="13"/>
        </w:numPr>
        <w:spacing w:after="0" w:line="480" w:lineRule="auto"/>
        <w:contextualSpacing w:val="0"/>
        <w:rPr>
          <w:rFonts w:ascii="Arial" w:eastAsia="Arial" w:hAnsi="Arial" w:cs="Arial"/>
          <w:color w:val="26221F"/>
        </w:rPr>
      </w:pPr>
      <w:r w:rsidRPr="6311CB48">
        <w:rPr>
          <w:rFonts w:ascii="Arial" w:eastAsia="Arial" w:hAnsi="Arial" w:cs="Arial"/>
          <w:color w:val="26221F"/>
        </w:rPr>
        <w:t>Slow leadership training rollout</w:t>
      </w:r>
    </w:p>
    <w:p w14:paraId="51E27CB8" w14:textId="5F1BA57A"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Risks:</w:t>
      </w:r>
    </w:p>
    <w:p w14:paraId="0FDFA7CF" w14:textId="6DD86D34" w:rsidR="652CBFFA" w:rsidRDefault="61EEAC29" w:rsidP="6311CB48">
      <w:pPr>
        <w:pStyle w:val="ListParagraph"/>
        <w:numPr>
          <w:ilvl w:val="0"/>
          <w:numId w:val="12"/>
        </w:numPr>
        <w:spacing w:after="0" w:line="480" w:lineRule="auto"/>
        <w:contextualSpacing w:val="0"/>
        <w:rPr>
          <w:rFonts w:ascii="Arial" w:eastAsia="Arial" w:hAnsi="Arial" w:cs="Arial"/>
          <w:color w:val="26221F"/>
        </w:rPr>
      </w:pPr>
      <w:r w:rsidRPr="6311CB48">
        <w:rPr>
          <w:rFonts w:ascii="Arial" w:eastAsia="Arial" w:hAnsi="Arial" w:cs="Arial"/>
          <w:color w:val="26221F"/>
        </w:rPr>
        <w:t>Increased clinical waiting times</w:t>
      </w:r>
    </w:p>
    <w:p w14:paraId="178B17EC" w14:textId="1AB6FC8B" w:rsidR="652CBFFA" w:rsidRDefault="61EEAC29" w:rsidP="6311CB48">
      <w:pPr>
        <w:pStyle w:val="ListParagraph"/>
        <w:numPr>
          <w:ilvl w:val="0"/>
          <w:numId w:val="12"/>
        </w:numPr>
        <w:spacing w:after="0" w:line="480" w:lineRule="auto"/>
        <w:contextualSpacing w:val="0"/>
        <w:rPr>
          <w:rFonts w:ascii="Arial" w:eastAsia="Arial" w:hAnsi="Arial" w:cs="Arial"/>
          <w:color w:val="26221F"/>
        </w:rPr>
      </w:pPr>
      <w:r w:rsidRPr="6311CB48">
        <w:rPr>
          <w:rFonts w:ascii="Arial" w:eastAsia="Arial" w:hAnsi="Arial" w:cs="Arial"/>
          <w:color w:val="26221F"/>
        </w:rPr>
        <w:t>Reduced impact on sickness reduction</w:t>
      </w:r>
    </w:p>
    <w:p w14:paraId="3EA3E622" w14:textId="51667144" w:rsidR="652CBFFA" w:rsidRDefault="61EEAC29" w:rsidP="6311CB48">
      <w:pPr>
        <w:pStyle w:val="ListParagraph"/>
        <w:numPr>
          <w:ilvl w:val="0"/>
          <w:numId w:val="12"/>
        </w:numPr>
        <w:spacing w:after="0" w:line="480" w:lineRule="auto"/>
        <w:contextualSpacing w:val="0"/>
        <w:rPr>
          <w:rFonts w:ascii="Arial" w:eastAsia="Arial" w:hAnsi="Arial" w:cs="Arial"/>
          <w:color w:val="26221F"/>
        </w:rPr>
      </w:pPr>
      <w:r w:rsidRPr="6311CB48">
        <w:rPr>
          <w:rFonts w:ascii="Arial" w:eastAsia="Arial" w:hAnsi="Arial" w:cs="Arial"/>
          <w:color w:val="26221F"/>
        </w:rPr>
        <w:t>Staff perception of insufficient investment</w:t>
      </w:r>
    </w:p>
    <w:p w14:paraId="7F8D108E" w14:textId="46BA6591"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Assessment:</w:t>
      </w:r>
    </w:p>
    <w:p w14:paraId="6D57EE30" w14:textId="21859BB6"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lastRenderedPageBreak/>
        <w:t>Feasible but high</w:t>
      </w:r>
      <w:r w:rsidR="652CBFFA">
        <w:noBreakHyphen/>
      </w:r>
      <w:r w:rsidRPr="6311CB48">
        <w:rPr>
          <w:rFonts w:ascii="Arial" w:eastAsia="Arial" w:hAnsi="Arial" w:cs="Arial"/>
          <w:color w:val="26221F"/>
        </w:rPr>
        <w:t>risk. This option does not address known capacity gaps and may limit strategic impact.</w:t>
      </w:r>
    </w:p>
    <w:p w14:paraId="750664A3" w14:textId="07477EEF" w:rsidR="652CBFFA" w:rsidRDefault="61EEAC29" w:rsidP="6311CB48">
      <w:pPr>
        <w:spacing w:before="60" w:after="90" w:line="480" w:lineRule="auto"/>
        <w:rPr>
          <w:rFonts w:ascii="Arial" w:eastAsia="Arial" w:hAnsi="Arial" w:cs="Arial"/>
          <w:b/>
          <w:bCs/>
          <w:color w:val="26221F"/>
        </w:rPr>
      </w:pPr>
      <w:r w:rsidRPr="6311CB48">
        <w:rPr>
          <w:rFonts w:ascii="Arial" w:eastAsia="Arial" w:hAnsi="Arial" w:cs="Arial"/>
          <w:b/>
          <w:bCs/>
          <w:color w:val="26221F"/>
        </w:rPr>
        <w:t>Option 3: High</w:t>
      </w:r>
      <w:r w:rsidR="652CBFFA">
        <w:noBreakHyphen/>
      </w:r>
      <w:r w:rsidRPr="6311CB48">
        <w:rPr>
          <w:rFonts w:ascii="Arial" w:eastAsia="Arial" w:hAnsi="Arial" w:cs="Arial"/>
          <w:b/>
          <w:bCs/>
          <w:color w:val="26221F"/>
        </w:rPr>
        <w:t>Investment / External Commissioning Model</w:t>
      </w:r>
    </w:p>
    <w:p w14:paraId="12032463" w14:textId="2BE35881"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Significant investment in external providers to deliver OH expansion, trauma</w:t>
      </w:r>
      <w:r w:rsidR="652CBFFA">
        <w:noBreakHyphen/>
      </w:r>
      <w:r w:rsidRPr="6311CB48">
        <w:rPr>
          <w:rFonts w:ascii="Arial" w:eastAsia="Arial" w:hAnsi="Arial" w:cs="Arial"/>
          <w:color w:val="26221F"/>
        </w:rPr>
        <w:t>informed support, leadership training, and dashboard development, with internal teams acting primarily as coordinators.</w:t>
      </w:r>
    </w:p>
    <w:p w14:paraId="48EA208C" w14:textId="7EE85144"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Advantages:</w:t>
      </w:r>
    </w:p>
    <w:p w14:paraId="7AD1C37E" w14:textId="49E0670C" w:rsidR="652CBFFA" w:rsidRDefault="61EEAC29" w:rsidP="6311CB48">
      <w:pPr>
        <w:pStyle w:val="ListParagraph"/>
        <w:numPr>
          <w:ilvl w:val="0"/>
          <w:numId w:val="8"/>
        </w:numPr>
        <w:spacing w:after="0" w:line="480" w:lineRule="auto"/>
        <w:contextualSpacing w:val="0"/>
        <w:rPr>
          <w:rFonts w:ascii="Arial" w:eastAsia="Arial" w:hAnsi="Arial" w:cs="Arial"/>
          <w:color w:val="26221F"/>
        </w:rPr>
      </w:pPr>
      <w:r w:rsidRPr="6311CB48">
        <w:rPr>
          <w:rFonts w:ascii="Arial" w:eastAsia="Arial" w:hAnsi="Arial" w:cs="Arial"/>
          <w:color w:val="26221F"/>
        </w:rPr>
        <w:t>Fastest implementation</w:t>
      </w:r>
    </w:p>
    <w:p w14:paraId="0A01C4E4" w14:textId="5DD51A8A" w:rsidR="652CBFFA" w:rsidRDefault="61EEAC29" w:rsidP="6311CB48">
      <w:pPr>
        <w:pStyle w:val="ListParagraph"/>
        <w:numPr>
          <w:ilvl w:val="0"/>
          <w:numId w:val="8"/>
        </w:numPr>
        <w:spacing w:after="0" w:line="480" w:lineRule="auto"/>
        <w:contextualSpacing w:val="0"/>
        <w:rPr>
          <w:rFonts w:ascii="Arial" w:eastAsia="Arial" w:hAnsi="Arial" w:cs="Arial"/>
          <w:color w:val="26221F"/>
        </w:rPr>
      </w:pPr>
      <w:r w:rsidRPr="6311CB48">
        <w:rPr>
          <w:rFonts w:ascii="Arial" w:eastAsia="Arial" w:hAnsi="Arial" w:cs="Arial"/>
          <w:color w:val="26221F"/>
        </w:rPr>
        <w:t>Access to specialist expertise</w:t>
      </w:r>
    </w:p>
    <w:p w14:paraId="56DBE70C" w14:textId="7CC35B61" w:rsidR="652CBFFA" w:rsidRDefault="61EEAC29" w:rsidP="6311CB48">
      <w:pPr>
        <w:pStyle w:val="ListParagraph"/>
        <w:numPr>
          <w:ilvl w:val="0"/>
          <w:numId w:val="8"/>
        </w:numPr>
        <w:spacing w:after="0" w:line="480" w:lineRule="auto"/>
        <w:contextualSpacing w:val="0"/>
        <w:rPr>
          <w:rFonts w:ascii="Arial" w:eastAsia="Arial" w:hAnsi="Arial" w:cs="Arial"/>
          <w:color w:val="26221F"/>
        </w:rPr>
      </w:pPr>
      <w:r w:rsidRPr="6311CB48">
        <w:rPr>
          <w:rFonts w:ascii="Arial" w:eastAsia="Arial" w:hAnsi="Arial" w:cs="Arial"/>
          <w:color w:val="26221F"/>
        </w:rPr>
        <w:t>Reduces pressure on internal teams</w:t>
      </w:r>
    </w:p>
    <w:p w14:paraId="26D7EB03" w14:textId="1AAD3C8F"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Disadvantages:</w:t>
      </w:r>
    </w:p>
    <w:p w14:paraId="72CED4FB" w14:textId="0FAFF78D" w:rsidR="652CBFFA" w:rsidRDefault="61EEAC29" w:rsidP="6311CB48">
      <w:pPr>
        <w:pStyle w:val="ListParagraph"/>
        <w:numPr>
          <w:ilvl w:val="0"/>
          <w:numId w:val="7"/>
        </w:numPr>
        <w:spacing w:after="0" w:line="480" w:lineRule="auto"/>
        <w:contextualSpacing w:val="0"/>
        <w:rPr>
          <w:rFonts w:ascii="Arial" w:eastAsia="Arial" w:hAnsi="Arial" w:cs="Arial"/>
          <w:color w:val="26221F"/>
        </w:rPr>
      </w:pPr>
      <w:r w:rsidRPr="6311CB48">
        <w:rPr>
          <w:rFonts w:ascii="Arial" w:eastAsia="Arial" w:hAnsi="Arial" w:cs="Arial"/>
          <w:color w:val="26221F"/>
        </w:rPr>
        <w:t>Highest financial cost</w:t>
      </w:r>
    </w:p>
    <w:p w14:paraId="46122E4B" w14:textId="58FB513D" w:rsidR="652CBFFA" w:rsidRDefault="61EEAC29" w:rsidP="6311CB48">
      <w:pPr>
        <w:pStyle w:val="ListParagraph"/>
        <w:numPr>
          <w:ilvl w:val="0"/>
          <w:numId w:val="7"/>
        </w:numPr>
        <w:spacing w:after="0" w:line="480" w:lineRule="auto"/>
        <w:contextualSpacing w:val="0"/>
        <w:rPr>
          <w:rFonts w:ascii="Arial" w:eastAsia="Arial" w:hAnsi="Arial" w:cs="Arial"/>
          <w:color w:val="26221F"/>
        </w:rPr>
      </w:pPr>
      <w:r w:rsidRPr="6311CB48">
        <w:rPr>
          <w:rFonts w:ascii="Arial" w:eastAsia="Arial" w:hAnsi="Arial" w:cs="Arial"/>
          <w:color w:val="26221F"/>
        </w:rPr>
        <w:t>Lower organisational ownership</w:t>
      </w:r>
    </w:p>
    <w:p w14:paraId="55BFD1CE" w14:textId="2C29885B" w:rsidR="652CBFFA" w:rsidRDefault="61EEAC29" w:rsidP="6311CB48">
      <w:pPr>
        <w:pStyle w:val="ListParagraph"/>
        <w:numPr>
          <w:ilvl w:val="0"/>
          <w:numId w:val="7"/>
        </w:numPr>
        <w:spacing w:after="0" w:line="480" w:lineRule="auto"/>
        <w:contextualSpacing w:val="0"/>
        <w:rPr>
          <w:rFonts w:ascii="Arial" w:eastAsia="Arial" w:hAnsi="Arial" w:cs="Arial"/>
          <w:color w:val="26221F"/>
        </w:rPr>
      </w:pPr>
      <w:r w:rsidRPr="6311CB48">
        <w:rPr>
          <w:rFonts w:ascii="Arial" w:eastAsia="Arial" w:hAnsi="Arial" w:cs="Arial"/>
          <w:color w:val="26221F"/>
        </w:rPr>
        <w:t>Risk of provider dependency</w:t>
      </w:r>
    </w:p>
    <w:p w14:paraId="19DFE9F2" w14:textId="6892E728" w:rsidR="652CBFFA" w:rsidRDefault="61EEAC29" w:rsidP="6311CB48">
      <w:pPr>
        <w:pStyle w:val="ListParagraph"/>
        <w:numPr>
          <w:ilvl w:val="0"/>
          <w:numId w:val="7"/>
        </w:numPr>
        <w:spacing w:after="0" w:line="480" w:lineRule="auto"/>
        <w:contextualSpacing w:val="0"/>
        <w:rPr>
          <w:rFonts w:ascii="Arial" w:eastAsia="Arial" w:hAnsi="Arial" w:cs="Arial"/>
          <w:color w:val="26221F"/>
        </w:rPr>
      </w:pPr>
      <w:r w:rsidRPr="6311CB48">
        <w:rPr>
          <w:rFonts w:ascii="Arial" w:eastAsia="Arial" w:hAnsi="Arial" w:cs="Arial"/>
          <w:color w:val="26221F"/>
        </w:rPr>
        <w:t>Less sustainable once contracts end</w:t>
      </w:r>
    </w:p>
    <w:p w14:paraId="5E65AA17" w14:textId="1C68A230"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Risks:</w:t>
      </w:r>
    </w:p>
    <w:p w14:paraId="4A305CEF" w14:textId="3A7E7830" w:rsidR="652CBFFA" w:rsidRDefault="61EEAC29" w:rsidP="6311CB48">
      <w:pPr>
        <w:pStyle w:val="ListParagraph"/>
        <w:numPr>
          <w:ilvl w:val="0"/>
          <w:numId w:val="6"/>
        </w:numPr>
        <w:spacing w:after="0" w:line="480" w:lineRule="auto"/>
        <w:contextualSpacing w:val="0"/>
        <w:rPr>
          <w:rFonts w:ascii="Arial" w:eastAsia="Arial" w:hAnsi="Arial" w:cs="Arial"/>
          <w:color w:val="26221F"/>
        </w:rPr>
      </w:pPr>
      <w:r w:rsidRPr="6311CB48">
        <w:rPr>
          <w:rFonts w:ascii="Arial" w:eastAsia="Arial" w:hAnsi="Arial" w:cs="Arial"/>
          <w:color w:val="26221F"/>
        </w:rPr>
        <w:t>Budget overruns</w:t>
      </w:r>
    </w:p>
    <w:p w14:paraId="1C282EF8" w14:textId="0007BEAC" w:rsidR="652CBFFA" w:rsidRDefault="61EEAC29" w:rsidP="6311CB48">
      <w:pPr>
        <w:pStyle w:val="ListParagraph"/>
        <w:numPr>
          <w:ilvl w:val="0"/>
          <w:numId w:val="6"/>
        </w:numPr>
        <w:spacing w:after="0" w:line="480" w:lineRule="auto"/>
        <w:contextualSpacing w:val="0"/>
        <w:rPr>
          <w:rFonts w:ascii="Arial" w:eastAsia="Arial" w:hAnsi="Arial" w:cs="Arial"/>
          <w:color w:val="26221F"/>
        </w:rPr>
      </w:pPr>
      <w:r w:rsidRPr="6311CB48">
        <w:rPr>
          <w:rFonts w:ascii="Arial" w:eastAsia="Arial" w:hAnsi="Arial" w:cs="Arial"/>
          <w:color w:val="26221F"/>
        </w:rPr>
        <w:t>Reduced alignment with organisational culture</w:t>
      </w:r>
    </w:p>
    <w:p w14:paraId="5BDE346A" w14:textId="36926391" w:rsidR="652CBFFA" w:rsidRDefault="61EEAC29" w:rsidP="6311CB48">
      <w:pPr>
        <w:pStyle w:val="ListParagraph"/>
        <w:numPr>
          <w:ilvl w:val="0"/>
          <w:numId w:val="6"/>
        </w:numPr>
        <w:spacing w:after="0" w:line="480" w:lineRule="auto"/>
        <w:contextualSpacing w:val="0"/>
        <w:rPr>
          <w:rFonts w:ascii="Arial" w:eastAsia="Arial" w:hAnsi="Arial" w:cs="Arial"/>
          <w:color w:val="26221F"/>
        </w:rPr>
      </w:pPr>
      <w:r w:rsidRPr="6311CB48">
        <w:rPr>
          <w:rFonts w:ascii="Arial" w:eastAsia="Arial" w:hAnsi="Arial" w:cs="Arial"/>
          <w:color w:val="26221F"/>
        </w:rPr>
        <w:t>Duplication of existing internal capability</w:t>
      </w:r>
    </w:p>
    <w:p w14:paraId="631FD26A" w14:textId="360EB2BF"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Assessment:</w:t>
      </w:r>
    </w:p>
    <w:p w14:paraId="6FBF9998" w14:textId="54417064"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High cost with limited added value given strong internal capability. Not proportionate or necessary.</w:t>
      </w:r>
    </w:p>
    <w:p w14:paraId="4F626BD6" w14:textId="36AC41CD" w:rsidR="652CBFFA" w:rsidRDefault="61EEAC29" w:rsidP="6311CB48">
      <w:pPr>
        <w:spacing w:before="60" w:after="90" w:line="480" w:lineRule="auto"/>
        <w:rPr>
          <w:rFonts w:ascii="Arial" w:eastAsia="Arial" w:hAnsi="Arial" w:cs="Arial"/>
          <w:b/>
          <w:bCs/>
          <w:color w:val="26221F"/>
        </w:rPr>
      </w:pPr>
      <w:r w:rsidRPr="6311CB48">
        <w:rPr>
          <w:rFonts w:ascii="Arial" w:eastAsia="Arial" w:hAnsi="Arial" w:cs="Arial"/>
          <w:b/>
          <w:bCs/>
          <w:color w:val="26221F"/>
        </w:rPr>
        <w:lastRenderedPageBreak/>
        <w:t>Preferred Option Summary</w:t>
      </w:r>
    </w:p>
    <w:p w14:paraId="4F75E010" w14:textId="67625D53" w:rsidR="652CBFFA" w:rsidRDefault="61EEAC29" w:rsidP="6311CB48">
      <w:pPr>
        <w:spacing w:after="180" w:line="480" w:lineRule="auto"/>
        <w:rPr>
          <w:rFonts w:ascii="Arial" w:eastAsia="Arial" w:hAnsi="Arial" w:cs="Arial"/>
          <w:color w:val="26221F"/>
        </w:rPr>
      </w:pPr>
      <w:r w:rsidRPr="6311CB48">
        <w:rPr>
          <w:rFonts w:ascii="Arial" w:eastAsia="Arial" w:hAnsi="Arial" w:cs="Arial"/>
          <w:color w:val="26221F"/>
        </w:rPr>
        <w:t>Option 1 provides the strongest balance between impact, affordability, sustainability, and organisational readiness. It leverages internal strengths—including the in</w:t>
      </w:r>
      <w:r w:rsidR="652CBFFA">
        <w:noBreakHyphen/>
      </w:r>
      <w:r w:rsidRPr="6311CB48">
        <w:rPr>
          <w:rFonts w:ascii="Arial" w:eastAsia="Arial" w:hAnsi="Arial" w:cs="Arial"/>
          <w:color w:val="26221F"/>
        </w:rPr>
        <w:t>house counselling team, L&amp;D capability, Corporate Communications, and Data Analytics—while addressing the critical capacity gap within Occupational Health. This ensures the strategy is deliverable within realistic financial parameters, supports early intervention, and enables meaningful cultural and behavioural change. It also aligns with national policing expectations, the Police Covenant, and the organisation’s People Strategy.</w:t>
      </w:r>
    </w:p>
    <w:p w14:paraId="1395DF92" w14:textId="0E33542D" w:rsidR="652CBFFA" w:rsidRDefault="759DF6BA" w:rsidP="6311CB48">
      <w:pPr>
        <w:spacing w:before="60" w:after="90" w:line="480" w:lineRule="auto"/>
        <w:rPr>
          <w:rFonts w:ascii="Arial" w:eastAsia="Arial" w:hAnsi="Arial" w:cs="Arial"/>
          <w:color w:val="26221F"/>
        </w:rPr>
      </w:pPr>
      <w:r w:rsidRPr="6311CB48">
        <w:rPr>
          <w:rFonts w:ascii="Arial" w:eastAsia="Arial" w:hAnsi="Arial" w:cs="Arial"/>
          <w:color w:val="26221F"/>
        </w:rPr>
        <w:t>Financial Principles</w:t>
      </w:r>
    </w:p>
    <w:p w14:paraId="332304AB" w14:textId="136A60BC" w:rsidR="652CBFFA" w:rsidRDefault="759DF6BA" w:rsidP="6311CB48">
      <w:pPr>
        <w:spacing w:after="180" w:line="480" w:lineRule="auto"/>
        <w:rPr>
          <w:rFonts w:ascii="Arial" w:eastAsia="Arial" w:hAnsi="Arial" w:cs="Arial"/>
          <w:color w:val="26221F"/>
        </w:rPr>
      </w:pPr>
      <w:r w:rsidRPr="6311CB48">
        <w:rPr>
          <w:rFonts w:ascii="Arial" w:eastAsia="Arial" w:hAnsi="Arial" w:cs="Arial"/>
          <w:color w:val="26221F"/>
        </w:rPr>
        <w:t>The budgeting approach is guided by four principles:</w:t>
      </w:r>
    </w:p>
    <w:p w14:paraId="067EE7AC" w14:textId="18AA3CC5" w:rsidR="652CBFFA" w:rsidRDefault="759DF6BA" w:rsidP="6311CB48">
      <w:pPr>
        <w:pStyle w:val="ListParagraph"/>
        <w:numPr>
          <w:ilvl w:val="0"/>
          <w:numId w:val="5"/>
        </w:numPr>
        <w:spacing w:after="0" w:line="480" w:lineRule="auto"/>
        <w:contextualSpacing w:val="0"/>
        <w:rPr>
          <w:rFonts w:ascii="Arial" w:eastAsia="Arial" w:hAnsi="Arial" w:cs="Arial"/>
          <w:color w:val="26221F"/>
        </w:rPr>
      </w:pPr>
      <w:r w:rsidRPr="6311CB48">
        <w:rPr>
          <w:rFonts w:ascii="Arial" w:eastAsia="Arial" w:hAnsi="Arial" w:cs="Arial"/>
          <w:color w:val="26221F"/>
        </w:rPr>
        <w:t>Maximising internal capability: Using existing teams wherever possible.</w:t>
      </w:r>
    </w:p>
    <w:p w14:paraId="2285A88F" w14:textId="031A76EB" w:rsidR="652CBFFA" w:rsidRDefault="759DF6BA" w:rsidP="6311CB48">
      <w:pPr>
        <w:pStyle w:val="ListParagraph"/>
        <w:numPr>
          <w:ilvl w:val="0"/>
          <w:numId w:val="5"/>
        </w:numPr>
        <w:spacing w:after="0" w:line="480" w:lineRule="auto"/>
        <w:contextualSpacing w:val="0"/>
        <w:rPr>
          <w:rFonts w:ascii="Arial" w:eastAsia="Arial" w:hAnsi="Arial" w:cs="Arial"/>
          <w:color w:val="26221F"/>
        </w:rPr>
      </w:pPr>
      <w:r w:rsidRPr="6311CB48">
        <w:rPr>
          <w:rFonts w:ascii="Arial" w:eastAsia="Arial" w:hAnsi="Arial" w:cs="Arial"/>
          <w:color w:val="26221F"/>
        </w:rPr>
        <w:t>Targeted investment: Funding directed only to essential clinical or specialist capacity.</w:t>
      </w:r>
    </w:p>
    <w:p w14:paraId="4574F743" w14:textId="2BC59AE5" w:rsidR="652CBFFA" w:rsidRDefault="759DF6BA" w:rsidP="6311CB48">
      <w:pPr>
        <w:pStyle w:val="ListParagraph"/>
        <w:numPr>
          <w:ilvl w:val="0"/>
          <w:numId w:val="5"/>
        </w:numPr>
        <w:spacing w:after="0" w:line="480" w:lineRule="auto"/>
        <w:contextualSpacing w:val="0"/>
        <w:rPr>
          <w:rFonts w:ascii="Arial" w:eastAsia="Arial" w:hAnsi="Arial" w:cs="Arial"/>
          <w:color w:val="26221F"/>
        </w:rPr>
      </w:pPr>
      <w:r w:rsidRPr="6311CB48">
        <w:rPr>
          <w:rFonts w:ascii="Arial" w:eastAsia="Arial" w:hAnsi="Arial" w:cs="Arial"/>
          <w:color w:val="26221F"/>
        </w:rPr>
        <w:t>Cost avoidance: Prioritising interventions that reduce long</w:t>
      </w:r>
      <w:r w:rsidR="652CBFFA">
        <w:noBreakHyphen/>
      </w:r>
      <w:r w:rsidRPr="6311CB48">
        <w:rPr>
          <w:rFonts w:ascii="Arial" w:eastAsia="Arial" w:hAnsi="Arial" w:cs="Arial"/>
          <w:color w:val="26221F"/>
        </w:rPr>
        <w:t>term pressures such as sickness absence, overtime, and injury claims.</w:t>
      </w:r>
    </w:p>
    <w:p w14:paraId="60504AC7" w14:textId="594A4795" w:rsidR="652CBFFA" w:rsidRDefault="759DF6BA" w:rsidP="6311CB48">
      <w:pPr>
        <w:pStyle w:val="ListParagraph"/>
        <w:numPr>
          <w:ilvl w:val="0"/>
          <w:numId w:val="5"/>
        </w:numPr>
        <w:spacing w:after="0" w:line="480" w:lineRule="auto"/>
        <w:contextualSpacing w:val="0"/>
        <w:rPr>
          <w:rFonts w:ascii="Arial" w:eastAsia="Arial" w:hAnsi="Arial" w:cs="Arial"/>
          <w:color w:val="26221F"/>
        </w:rPr>
      </w:pPr>
      <w:r w:rsidRPr="6311CB48">
        <w:rPr>
          <w:rFonts w:ascii="Arial" w:eastAsia="Arial" w:hAnsi="Arial" w:cs="Arial"/>
          <w:color w:val="26221F"/>
        </w:rPr>
        <w:t>Sustainability: Ensuring long</w:t>
      </w:r>
      <w:r w:rsidR="652CBFFA">
        <w:noBreakHyphen/>
      </w:r>
      <w:r w:rsidRPr="6311CB48">
        <w:rPr>
          <w:rFonts w:ascii="Arial" w:eastAsia="Arial" w:hAnsi="Arial" w:cs="Arial"/>
          <w:color w:val="26221F"/>
        </w:rPr>
        <w:t>term cultural and behavioural change rather than short</w:t>
      </w:r>
      <w:r w:rsidR="652CBFFA">
        <w:noBreakHyphen/>
      </w:r>
      <w:r w:rsidRPr="6311CB48">
        <w:rPr>
          <w:rFonts w:ascii="Arial" w:eastAsia="Arial" w:hAnsi="Arial" w:cs="Arial"/>
          <w:color w:val="26221F"/>
        </w:rPr>
        <w:t>term fixes.</w:t>
      </w:r>
    </w:p>
    <w:p w14:paraId="3F0333DC" w14:textId="7457679E" w:rsidR="4C5EBBA5" w:rsidRPr="0068235E" w:rsidRDefault="4C5EBBA5" w:rsidP="4C5EBBA5">
      <w:pPr>
        <w:spacing w:after="0"/>
        <w:rPr>
          <w:rFonts w:ascii="Arial" w:hAnsi="Arial" w:cs="Arial"/>
          <w:color w:val="26221F"/>
          <w:sz w:val="22"/>
          <w:szCs w:val="22"/>
        </w:rPr>
      </w:pPr>
    </w:p>
    <w:p w14:paraId="33474942" w14:textId="61A48888" w:rsidR="4C5EBBA5" w:rsidRPr="0068235E" w:rsidRDefault="4C5EBBA5" w:rsidP="4C5EBBA5">
      <w:pPr>
        <w:spacing w:after="0"/>
        <w:rPr>
          <w:rFonts w:ascii="Arial" w:hAnsi="Arial" w:cs="Arial"/>
          <w:color w:val="26221F"/>
          <w:sz w:val="22"/>
          <w:szCs w:val="22"/>
        </w:rPr>
      </w:pP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2985"/>
        <w:gridCol w:w="2985"/>
        <w:gridCol w:w="2940"/>
      </w:tblGrid>
      <w:tr w:rsidR="0F6A85EF" w:rsidRPr="0068235E" w14:paraId="3C8570D5" w14:textId="77777777" w:rsidTr="6311CB48">
        <w:trPr>
          <w:trHeight w:val="285"/>
        </w:trPr>
        <w:tc>
          <w:tcPr>
            <w:tcW w:w="2985" w:type="dxa"/>
            <w:shd w:val="clear" w:color="auto" w:fill="F3E2D5"/>
          </w:tcPr>
          <w:p w14:paraId="1C91CBDE" w14:textId="1A4B37E1" w:rsidR="0F6A85EF" w:rsidRPr="00437057" w:rsidRDefault="0F6A85EF" w:rsidP="0F6A85EF">
            <w:pPr>
              <w:spacing w:after="0"/>
              <w:rPr>
                <w:rFonts w:ascii="Arial" w:hAnsi="Arial" w:cs="Arial"/>
              </w:rPr>
            </w:pPr>
            <w:r w:rsidRPr="00437057">
              <w:rPr>
                <w:rFonts w:ascii="Arial" w:eastAsia="Helvetica" w:hAnsi="Arial" w:cs="Arial"/>
                <w:b/>
                <w:bCs/>
                <w:color w:val="26221F"/>
                <w:sz w:val="22"/>
                <w:szCs w:val="22"/>
              </w:rPr>
              <w:t>Workstream</w:t>
            </w:r>
            <w:r w:rsidRPr="00437057">
              <w:rPr>
                <w:rFonts w:ascii="Arial" w:eastAsia="Helvetica" w:hAnsi="Arial" w:cs="Arial"/>
                <w:color w:val="26221F"/>
                <w:sz w:val="22"/>
                <w:szCs w:val="22"/>
              </w:rPr>
              <w:t xml:space="preserve"> </w:t>
            </w:r>
          </w:p>
        </w:tc>
        <w:tc>
          <w:tcPr>
            <w:tcW w:w="2985" w:type="dxa"/>
            <w:shd w:val="clear" w:color="auto" w:fill="F3E2D5"/>
          </w:tcPr>
          <w:p w14:paraId="763EE0FB" w14:textId="625C6174" w:rsidR="0F6A85EF" w:rsidRPr="00437057" w:rsidRDefault="0F6A85EF" w:rsidP="0F6A85EF">
            <w:pPr>
              <w:spacing w:after="0"/>
              <w:rPr>
                <w:rFonts w:ascii="Arial" w:hAnsi="Arial" w:cs="Arial"/>
              </w:rPr>
            </w:pPr>
            <w:r w:rsidRPr="00437057">
              <w:rPr>
                <w:rFonts w:ascii="Arial" w:eastAsia="Helvetica" w:hAnsi="Arial" w:cs="Arial"/>
                <w:b/>
                <w:bCs/>
                <w:color w:val="26221F"/>
                <w:sz w:val="22"/>
                <w:szCs w:val="22"/>
              </w:rPr>
              <w:t>Estimated Cost (36 Months)</w:t>
            </w:r>
            <w:r w:rsidRPr="00437057">
              <w:rPr>
                <w:rFonts w:ascii="Arial" w:eastAsia="Helvetica" w:hAnsi="Arial" w:cs="Arial"/>
                <w:color w:val="26221F"/>
                <w:sz w:val="22"/>
                <w:szCs w:val="22"/>
              </w:rPr>
              <w:t xml:space="preserve"> </w:t>
            </w:r>
          </w:p>
        </w:tc>
        <w:tc>
          <w:tcPr>
            <w:tcW w:w="2940" w:type="dxa"/>
            <w:shd w:val="clear" w:color="auto" w:fill="F3E2D5"/>
          </w:tcPr>
          <w:p w14:paraId="6AC32999" w14:textId="01ECDF2E" w:rsidR="0F6A85EF" w:rsidRPr="00437057" w:rsidRDefault="0F6A85EF" w:rsidP="0F6A85EF">
            <w:pPr>
              <w:spacing w:after="0"/>
              <w:rPr>
                <w:rFonts w:ascii="Arial" w:hAnsi="Arial" w:cs="Arial"/>
              </w:rPr>
            </w:pPr>
            <w:r w:rsidRPr="00437057">
              <w:rPr>
                <w:rFonts w:ascii="Arial" w:eastAsia="Helvetica" w:hAnsi="Arial" w:cs="Arial"/>
                <w:b/>
                <w:bCs/>
                <w:color w:val="26221F"/>
                <w:sz w:val="22"/>
                <w:szCs w:val="22"/>
              </w:rPr>
              <w:t>Rationale</w:t>
            </w:r>
            <w:r w:rsidRPr="00437057">
              <w:rPr>
                <w:rFonts w:ascii="Arial" w:eastAsia="Helvetica" w:hAnsi="Arial" w:cs="Arial"/>
                <w:color w:val="26221F"/>
                <w:sz w:val="22"/>
                <w:szCs w:val="22"/>
              </w:rPr>
              <w:t xml:space="preserve"> </w:t>
            </w:r>
          </w:p>
        </w:tc>
      </w:tr>
      <w:tr w:rsidR="0F6A85EF" w:rsidRPr="0068235E" w14:paraId="111E1AB1" w14:textId="77777777" w:rsidTr="6311CB48">
        <w:trPr>
          <w:trHeight w:val="285"/>
        </w:trPr>
        <w:tc>
          <w:tcPr>
            <w:tcW w:w="2985" w:type="dxa"/>
          </w:tcPr>
          <w:p w14:paraId="3AC3F967" w14:textId="42E452F9"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Governance &amp; Programme Management </w:t>
            </w:r>
          </w:p>
        </w:tc>
        <w:tc>
          <w:tcPr>
            <w:tcW w:w="2985" w:type="dxa"/>
          </w:tcPr>
          <w:p w14:paraId="47B13D1A" w14:textId="5E62BE8E" w:rsidR="0F6A85EF" w:rsidRPr="00437057" w:rsidRDefault="0D989820" w:rsidP="4C5EBBA5">
            <w:pPr>
              <w:spacing w:after="0"/>
              <w:rPr>
                <w:rFonts w:ascii="Arial" w:eastAsia="Helvetica" w:hAnsi="Arial" w:cs="Arial"/>
                <w:color w:val="26221F"/>
                <w:sz w:val="22"/>
                <w:szCs w:val="22"/>
              </w:rPr>
            </w:pPr>
            <w:r w:rsidRPr="00437057">
              <w:rPr>
                <w:rFonts w:ascii="Arial" w:eastAsia="Helvetica" w:hAnsi="Arial" w:cs="Arial"/>
                <w:b/>
                <w:bCs/>
                <w:color w:val="26221F"/>
                <w:sz w:val="22"/>
                <w:szCs w:val="22"/>
              </w:rPr>
              <w:t xml:space="preserve">Minimal </w:t>
            </w:r>
            <w:r w:rsidR="44F9026D" w:rsidRPr="00437057">
              <w:rPr>
                <w:rFonts w:ascii="Arial" w:eastAsia="Helvetica" w:hAnsi="Arial" w:cs="Arial"/>
                <w:b/>
                <w:bCs/>
                <w:color w:val="26221F"/>
                <w:sz w:val="22"/>
                <w:szCs w:val="22"/>
              </w:rPr>
              <w:t>under £5000 as working hours only, hosted on site</w:t>
            </w:r>
          </w:p>
        </w:tc>
        <w:tc>
          <w:tcPr>
            <w:tcW w:w="2940" w:type="dxa"/>
          </w:tcPr>
          <w:p w14:paraId="0479F0FA" w14:textId="6E6B1DD7"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Governance structure already in place; costs relate only to meeting facilitation, reporting tools, and leadership engagement. </w:t>
            </w:r>
          </w:p>
        </w:tc>
      </w:tr>
      <w:tr w:rsidR="0F6A85EF" w:rsidRPr="0068235E" w14:paraId="09BBD5D3" w14:textId="77777777" w:rsidTr="6311CB48">
        <w:trPr>
          <w:trHeight w:val="285"/>
        </w:trPr>
        <w:tc>
          <w:tcPr>
            <w:tcW w:w="2985" w:type="dxa"/>
          </w:tcPr>
          <w:p w14:paraId="2AF22E30" w14:textId="7049F680"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lastRenderedPageBreak/>
              <w:t xml:space="preserve">Occupational Health Expansion </w:t>
            </w:r>
          </w:p>
        </w:tc>
        <w:tc>
          <w:tcPr>
            <w:tcW w:w="2985" w:type="dxa"/>
          </w:tcPr>
          <w:p w14:paraId="133BA4D9" w14:textId="5B60BE57" w:rsidR="0F6A85EF" w:rsidRPr="00437057" w:rsidRDefault="00BB1361" w:rsidP="0F6A85EF">
            <w:pPr>
              <w:spacing w:after="0"/>
              <w:rPr>
                <w:rFonts w:ascii="Arial" w:hAnsi="Arial" w:cs="Arial"/>
              </w:rPr>
            </w:pPr>
            <w:r w:rsidRPr="00437057">
              <w:rPr>
                <w:rFonts w:ascii="Arial" w:eastAsia="Helvetica" w:hAnsi="Arial" w:cs="Arial"/>
                <w:b/>
                <w:bCs/>
                <w:color w:val="26221F"/>
                <w:sz w:val="22"/>
                <w:szCs w:val="22"/>
              </w:rPr>
              <w:t>Medium (</w:t>
            </w:r>
            <w:r w:rsidR="0D989820" w:rsidRPr="00437057">
              <w:rPr>
                <w:rFonts w:ascii="Arial" w:eastAsia="Helvetica" w:hAnsi="Arial" w:cs="Arial"/>
                <w:b/>
                <w:bCs/>
                <w:color w:val="26221F"/>
                <w:sz w:val="22"/>
                <w:szCs w:val="22"/>
              </w:rPr>
              <w:t>£</w:t>
            </w:r>
            <w:r w:rsidR="35C57BFE" w:rsidRPr="00437057">
              <w:rPr>
                <w:rFonts w:ascii="Arial" w:eastAsia="Helvetica" w:hAnsi="Arial" w:cs="Arial"/>
                <w:b/>
                <w:bCs/>
                <w:color w:val="26221F"/>
                <w:sz w:val="22"/>
                <w:szCs w:val="22"/>
              </w:rPr>
              <w:t>50</w:t>
            </w:r>
            <w:r w:rsidR="0D989820" w:rsidRPr="00437057">
              <w:rPr>
                <w:rFonts w:ascii="Arial" w:eastAsia="Helvetica" w:hAnsi="Arial" w:cs="Arial"/>
                <w:b/>
                <w:bCs/>
                <w:color w:val="26221F"/>
                <w:sz w:val="22"/>
                <w:szCs w:val="22"/>
              </w:rPr>
              <w:t>,000–£</w:t>
            </w:r>
            <w:r w:rsidR="3CEBCE42" w:rsidRPr="00437057">
              <w:rPr>
                <w:rFonts w:ascii="Arial" w:eastAsia="Helvetica" w:hAnsi="Arial" w:cs="Arial"/>
                <w:b/>
                <w:bCs/>
                <w:color w:val="26221F"/>
                <w:sz w:val="22"/>
                <w:szCs w:val="22"/>
              </w:rPr>
              <w:t>100</w:t>
            </w:r>
            <w:r w:rsidR="0D989820" w:rsidRPr="00437057">
              <w:rPr>
                <w:rFonts w:ascii="Arial" w:eastAsia="Helvetica" w:hAnsi="Arial" w:cs="Arial"/>
                <w:b/>
                <w:bCs/>
                <w:color w:val="26221F"/>
                <w:sz w:val="22"/>
                <w:szCs w:val="22"/>
              </w:rPr>
              <w:t>,000</w:t>
            </w:r>
            <w:r w:rsidRPr="00437057">
              <w:rPr>
                <w:rFonts w:ascii="Arial" w:eastAsia="Helvetica" w:hAnsi="Arial" w:cs="Arial"/>
                <w:b/>
                <w:bCs/>
                <w:color w:val="26221F"/>
                <w:sz w:val="22"/>
                <w:szCs w:val="22"/>
              </w:rPr>
              <w:t>)</w:t>
            </w:r>
            <w:r w:rsidR="0D989820" w:rsidRPr="00437057">
              <w:rPr>
                <w:rFonts w:ascii="Arial" w:eastAsia="Helvetica" w:hAnsi="Arial" w:cs="Arial"/>
                <w:color w:val="26221F"/>
                <w:sz w:val="22"/>
                <w:szCs w:val="22"/>
              </w:rPr>
              <w:t xml:space="preserve"> </w:t>
            </w:r>
            <w:r w:rsidRPr="00437057">
              <w:rPr>
                <w:rFonts w:ascii="Arial" w:eastAsia="Helvetica" w:hAnsi="Arial" w:cs="Arial"/>
                <w:color w:val="26221F"/>
                <w:sz w:val="22"/>
                <w:szCs w:val="22"/>
              </w:rPr>
              <w:t>– already budgeted for</w:t>
            </w:r>
          </w:p>
        </w:tc>
        <w:tc>
          <w:tcPr>
            <w:tcW w:w="2940" w:type="dxa"/>
          </w:tcPr>
          <w:p w14:paraId="77FBF7A2" w14:textId="559794B6"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Recruitment of </w:t>
            </w:r>
            <w:r w:rsidRPr="00437057">
              <w:rPr>
                <w:rFonts w:ascii="Arial" w:eastAsia="Helvetica" w:hAnsi="Arial" w:cs="Arial"/>
                <w:b/>
                <w:bCs/>
                <w:color w:val="26221F"/>
                <w:sz w:val="22"/>
                <w:szCs w:val="22"/>
              </w:rPr>
              <w:t>one Band 6</w:t>
            </w:r>
            <w:r w:rsidRPr="00437057">
              <w:rPr>
                <w:rFonts w:ascii="Arial" w:eastAsia="Helvetica" w:hAnsi="Arial" w:cs="Arial"/>
                <w:color w:val="26221F"/>
                <w:sz w:val="22"/>
                <w:szCs w:val="22"/>
              </w:rPr>
              <w:t xml:space="preserve"> and </w:t>
            </w:r>
            <w:r w:rsidRPr="00437057">
              <w:rPr>
                <w:rFonts w:ascii="Arial" w:eastAsia="Helvetica" w:hAnsi="Arial" w:cs="Arial"/>
                <w:b/>
                <w:bCs/>
                <w:color w:val="26221F"/>
                <w:sz w:val="22"/>
                <w:szCs w:val="22"/>
              </w:rPr>
              <w:t>one Band 7 OH Nurse Clinician</w:t>
            </w:r>
            <w:r w:rsidRPr="00437057">
              <w:rPr>
                <w:rFonts w:ascii="Arial" w:eastAsia="Helvetica" w:hAnsi="Arial" w:cs="Arial"/>
                <w:color w:val="26221F"/>
                <w:sz w:val="22"/>
                <w:szCs w:val="22"/>
              </w:rPr>
              <w:t xml:space="preserve"> to increase clinical capacity and reduce waiting times. </w:t>
            </w:r>
          </w:p>
        </w:tc>
      </w:tr>
      <w:tr w:rsidR="0F6A85EF" w:rsidRPr="0068235E" w14:paraId="08824221" w14:textId="77777777" w:rsidTr="6311CB48">
        <w:trPr>
          <w:trHeight w:val="285"/>
        </w:trPr>
        <w:tc>
          <w:tcPr>
            <w:tcW w:w="2985" w:type="dxa"/>
          </w:tcPr>
          <w:p w14:paraId="0C3FCC8E" w14:textId="58B04664" w:rsidR="0F6A85EF" w:rsidRPr="00437057" w:rsidRDefault="17B12817" w:rsidP="0F6A85EF">
            <w:pPr>
              <w:spacing w:after="0"/>
              <w:rPr>
                <w:rFonts w:ascii="Arial" w:hAnsi="Arial" w:cs="Arial"/>
              </w:rPr>
            </w:pPr>
            <w:r w:rsidRPr="00437057">
              <w:rPr>
                <w:rFonts w:ascii="Arial" w:eastAsia="Helvetica" w:hAnsi="Arial" w:cs="Arial"/>
                <w:color w:val="26221F"/>
                <w:sz w:val="22"/>
                <w:szCs w:val="22"/>
              </w:rPr>
              <w:t>Trauma Informed</w:t>
            </w:r>
            <w:r w:rsidR="25E24457" w:rsidRPr="00437057">
              <w:rPr>
                <w:rFonts w:ascii="Arial" w:eastAsia="Helvetica" w:hAnsi="Arial" w:cs="Arial"/>
                <w:color w:val="26221F"/>
                <w:sz w:val="22"/>
                <w:szCs w:val="22"/>
              </w:rPr>
              <w:t xml:space="preserve"> Support Pathways </w:t>
            </w:r>
          </w:p>
        </w:tc>
        <w:tc>
          <w:tcPr>
            <w:tcW w:w="2985" w:type="dxa"/>
          </w:tcPr>
          <w:p w14:paraId="2FCC43C8" w14:textId="10C2821F" w:rsidR="0F6A85EF" w:rsidRPr="00437057" w:rsidRDefault="0D989820" w:rsidP="4C5EBBA5">
            <w:pPr>
              <w:spacing w:after="0"/>
              <w:rPr>
                <w:rFonts w:ascii="Arial" w:eastAsia="Helvetica" w:hAnsi="Arial" w:cs="Arial"/>
                <w:b/>
                <w:bCs/>
                <w:color w:val="26221F"/>
                <w:sz w:val="22"/>
                <w:szCs w:val="22"/>
              </w:rPr>
            </w:pPr>
            <w:r w:rsidRPr="00437057">
              <w:rPr>
                <w:rFonts w:ascii="Arial" w:eastAsia="Helvetica" w:hAnsi="Arial" w:cs="Arial"/>
                <w:b/>
                <w:bCs/>
                <w:color w:val="26221F"/>
                <w:sz w:val="22"/>
                <w:szCs w:val="22"/>
              </w:rPr>
              <w:t xml:space="preserve">Low </w:t>
            </w:r>
            <w:r w:rsidR="00BB1361" w:rsidRPr="00437057">
              <w:rPr>
                <w:rFonts w:ascii="Arial" w:eastAsia="Helvetica" w:hAnsi="Arial" w:cs="Arial"/>
                <w:b/>
                <w:bCs/>
                <w:color w:val="26221F"/>
                <w:sz w:val="22"/>
                <w:szCs w:val="22"/>
              </w:rPr>
              <w:t>(</w:t>
            </w:r>
            <w:r w:rsidR="5D4070E8" w:rsidRPr="00437057">
              <w:rPr>
                <w:rFonts w:ascii="Arial" w:eastAsia="Helvetica" w:hAnsi="Arial" w:cs="Arial"/>
                <w:b/>
                <w:bCs/>
                <w:color w:val="26221F"/>
                <w:sz w:val="22"/>
                <w:szCs w:val="22"/>
              </w:rPr>
              <w:t>up to £10,000</w:t>
            </w:r>
            <w:r w:rsidR="00BB1361" w:rsidRPr="00437057">
              <w:rPr>
                <w:rFonts w:ascii="Arial" w:eastAsia="Helvetica" w:hAnsi="Arial" w:cs="Arial"/>
                <w:b/>
                <w:bCs/>
                <w:color w:val="26221F"/>
                <w:sz w:val="22"/>
                <w:szCs w:val="22"/>
              </w:rPr>
              <w:t>)</w:t>
            </w:r>
          </w:p>
        </w:tc>
        <w:tc>
          <w:tcPr>
            <w:tcW w:w="2940" w:type="dxa"/>
          </w:tcPr>
          <w:p w14:paraId="62413D84" w14:textId="1DCC8A0F" w:rsidR="0F6A85EF" w:rsidRPr="00437057" w:rsidRDefault="25E24457" w:rsidP="0F6A85EF">
            <w:pPr>
              <w:spacing w:after="0"/>
              <w:rPr>
                <w:rFonts w:ascii="Arial" w:hAnsi="Arial" w:cs="Arial"/>
              </w:rPr>
            </w:pPr>
            <w:r w:rsidRPr="00437057">
              <w:rPr>
                <w:rFonts w:ascii="Arial" w:eastAsia="Helvetica" w:hAnsi="Arial" w:cs="Arial"/>
                <w:color w:val="26221F"/>
                <w:sz w:val="22"/>
                <w:szCs w:val="22"/>
              </w:rPr>
              <w:t xml:space="preserve">Delivered primarily by </w:t>
            </w:r>
            <w:r w:rsidR="45AC4311" w:rsidRPr="00437057">
              <w:rPr>
                <w:rFonts w:ascii="Arial" w:eastAsia="Helvetica" w:hAnsi="Arial" w:cs="Arial"/>
                <w:color w:val="26221F"/>
                <w:sz w:val="22"/>
                <w:szCs w:val="22"/>
              </w:rPr>
              <w:t>in-house</w:t>
            </w:r>
            <w:r w:rsidRPr="00437057">
              <w:rPr>
                <w:rFonts w:ascii="Arial" w:eastAsia="Helvetica" w:hAnsi="Arial" w:cs="Arial"/>
                <w:color w:val="26221F"/>
                <w:sz w:val="22"/>
                <w:szCs w:val="22"/>
              </w:rPr>
              <w:t xml:space="preserve"> mental health counselling team; costs relate to supervision and specialist CPD. </w:t>
            </w:r>
          </w:p>
        </w:tc>
      </w:tr>
      <w:tr w:rsidR="0F6A85EF" w:rsidRPr="0068235E" w14:paraId="301234DE" w14:textId="77777777" w:rsidTr="6311CB48">
        <w:trPr>
          <w:trHeight w:val="285"/>
        </w:trPr>
        <w:tc>
          <w:tcPr>
            <w:tcW w:w="2985" w:type="dxa"/>
          </w:tcPr>
          <w:p w14:paraId="12469D94" w14:textId="4E42C964"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Leadership &amp; Supervision Training </w:t>
            </w:r>
          </w:p>
        </w:tc>
        <w:tc>
          <w:tcPr>
            <w:tcW w:w="2985" w:type="dxa"/>
          </w:tcPr>
          <w:p w14:paraId="02AFC73F" w14:textId="4D2D2B1C" w:rsidR="0F6A85EF" w:rsidRPr="00437057" w:rsidRDefault="00BB1361" w:rsidP="0F6A85EF">
            <w:pPr>
              <w:spacing w:after="0"/>
              <w:rPr>
                <w:rFonts w:ascii="Arial" w:hAnsi="Arial" w:cs="Arial"/>
              </w:rPr>
            </w:pPr>
            <w:r w:rsidRPr="00437057">
              <w:rPr>
                <w:rFonts w:ascii="Arial" w:eastAsia="Helvetica" w:hAnsi="Arial" w:cs="Arial"/>
                <w:b/>
                <w:bCs/>
                <w:color w:val="26221F"/>
                <w:sz w:val="22"/>
                <w:szCs w:val="22"/>
              </w:rPr>
              <w:t>Low (</w:t>
            </w:r>
            <w:r w:rsidR="0F6A85EF" w:rsidRPr="00437057">
              <w:rPr>
                <w:rFonts w:ascii="Arial" w:eastAsia="Helvetica" w:hAnsi="Arial" w:cs="Arial"/>
                <w:b/>
                <w:bCs/>
                <w:color w:val="26221F"/>
                <w:sz w:val="22"/>
                <w:szCs w:val="22"/>
              </w:rPr>
              <w:t>£</w:t>
            </w:r>
            <w:r w:rsidRPr="00437057">
              <w:rPr>
                <w:rFonts w:ascii="Arial" w:eastAsia="Helvetica" w:hAnsi="Arial" w:cs="Arial"/>
                <w:b/>
                <w:bCs/>
                <w:color w:val="26221F"/>
                <w:sz w:val="22"/>
                <w:szCs w:val="22"/>
              </w:rPr>
              <w:t>1</w:t>
            </w:r>
            <w:r w:rsidR="0F6A85EF" w:rsidRPr="00437057">
              <w:rPr>
                <w:rFonts w:ascii="Arial" w:eastAsia="Helvetica" w:hAnsi="Arial" w:cs="Arial"/>
                <w:b/>
                <w:bCs/>
                <w:color w:val="26221F"/>
                <w:sz w:val="22"/>
                <w:szCs w:val="22"/>
              </w:rPr>
              <w:t>0,000–£</w:t>
            </w:r>
            <w:r w:rsidRPr="00437057">
              <w:rPr>
                <w:rFonts w:ascii="Arial" w:eastAsia="Helvetica" w:hAnsi="Arial" w:cs="Arial"/>
                <w:b/>
                <w:bCs/>
                <w:color w:val="26221F"/>
                <w:sz w:val="22"/>
                <w:szCs w:val="22"/>
              </w:rPr>
              <w:t>4</w:t>
            </w:r>
            <w:r w:rsidR="0F6A85EF" w:rsidRPr="00437057">
              <w:rPr>
                <w:rFonts w:ascii="Arial" w:eastAsia="Helvetica" w:hAnsi="Arial" w:cs="Arial"/>
                <w:b/>
                <w:bCs/>
                <w:color w:val="26221F"/>
                <w:sz w:val="22"/>
                <w:szCs w:val="22"/>
              </w:rPr>
              <w:t>0,000</w:t>
            </w:r>
            <w:r w:rsidRPr="00437057">
              <w:rPr>
                <w:rFonts w:ascii="Arial" w:eastAsia="Helvetica" w:hAnsi="Arial" w:cs="Arial"/>
                <w:b/>
                <w:bCs/>
                <w:color w:val="26221F"/>
                <w:sz w:val="22"/>
                <w:szCs w:val="22"/>
              </w:rPr>
              <w:t>)</w:t>
            </w:r>
            <w:r w:rsidR="0F6A85EF" w:rsidRPr="00437057">
              <w:rPr>
                <w:rFonts w:ascii="Arial" w:eastAsia="Helvetica" w:hAnsi="Arial" w:cs="Arial"/>
                <w:color w:val="26221F"/>
                <w:sz w:val="22"/>
                <w:szCs w:val="22"/>
              </w:rPr>
              <w:t xml:space="preserve"> </w:t>
            </w:r>
          </w:p>
        </w:tc>
        <w:tc>
          <w:tcPr>
            <w:tcW w:w="2940" w:type="dxa"/>
          </w:tcPr>
          <w:p w14:paraId="46446FAE" w14:textId="2178901A" w:rsidR="0F6A85EF" w:rsidRPr="00437057" w:rsidRDefault="25E24457" w:rsidP="0F6A85EF">
            <w:pPr>
              <w:spacing w:after="0"/>
              <w:rPr>
                <w:rFonts w:ascii="Arial" w:hAnsi="Arial" w:cs="Arial"/>
              </w:rPr>
            </w:pPr>
            <w:r w:rsidRPr="00437057">
              <w:rPr>
                <w:rFonts w:ascii="Arial" w:eastAsia="Helvetica" w:hAnsi="Arial" w:cs="Arial"/>
                <w:color w:val="26221F"/>
                <w:sz w:val="22"/>
                <w:szCs w:val="22"/>
              </w:rPr>
              <w:t xml:space="preserve">Delivered by </w:t>
            </w:r>
            <w:r w:rsidR="10EDE0B2" w:rsidRPr="00437057">
              <w:rPr>
                <w:rFonts w:ascii="Arial" w:eastAsia="Helvetica" w:hAnsi="Arial" w:cs="Arial"/>
                <w:color w:val="26221F"/>
                <w:sz w:val="22"/>
                <w:szCs w:val="22"/>
              </w:rPr>
              <w:t>in-house</w:t>
            </w:r>
            <w:r w:rsidRPr="00437057">
              <w:rPr>
                <w:rFonts w:ascii="Arial" w:eastAsia="Helvetica" w:hAnsi="Arial" w:cs="Arial"/>
                <w:color w:val="26221F"/>
                <w:sz w:val="22"/>
                <w:szCs w:val="22"/>
              </w:rPr>
              <w:t xml:space="preserve"> L&amp;D team; costs relate to course design, materials, and protected learning time. </w:t>
            </w:r>
          </w:p>
        </w:tc>
      </w:tr>
      <w:tr w:rsidR="0F6A85EF" w:rsidRPr="0068235E" w14:paraId="7DE43AD3" w14:textId="77777777" w:rsidTr="6311CB48">
        <w:trPr>
          <w:trHeight w:val="285"/>
        </w:trPr>
        <w:tc>
          <w:tcPr>
            <w:tcW w:w="2985" w:type="dxa"/>
          </w:tcPr>
          <w:p w14:paraId="1D510568" w14:textId="76E34007"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Wellbeing Dashboard &amp; Data Infrastructure </w:t>
            </w:r>
          </w:p>
        </w:tc>
        <w:tc>
          <w:tcPr>
            <w:tcW w:w="2985" w:type="dxa"/>
          </w:tcPr>
          <w:p w14:paraId="18C80BC1" w14:textId="6A4045A6" w:rsidR="0F6A85EF" w:rsidRPr="00437057" w:rsidRDefault="0F6A85EF" w:rsidP="0F6A85EF">
            <w:pPr>
              <w:spacing w:after="0"/>
              <w:rPr>
                <w:rFonts w:ascii="Arial" w:hAnsi="Arial" w:cs="Arial"/>
              </w:rPr>
            </w:pPr>
            <w:r w:rsidRPr="00437057">
              <w:rPr>
                <w:rFonts w:ascii="Arial" w:eastAsia="Helvetica" w:hAnsi="Arial" w:cs="Arial"/>
                <w:b/>
                <w:bCs/>
                <w:color w:val="26221F"/>
                <w:sz w:val="22"/>
                <w:szCs w:val="22"/>
              </w:rPr>
              <w:t>Minimal (£5,000–£15,000)</w:t>
            </w:r>
            <w:r w:rsidRPr="00437057">
              <w:rPr>
                <w:rFonts w:ascii="Arial" w:eastAsia="Helvetica" w:hAnsi="Arial" w:cs="Arial"/>
                <w:color w:val="26221F"/>
                <w:sz w:val="22"/>
                <w:szCs w:val="22"/>
              </w:rPr>
              <w:t xml:space="preserve"> </w:t>
            </w:r>
          </w:p>
        </w:tc>
        <w:tc>
          <w:tcPr>
            <w:tcW w:w="2940" w:type="dxa"/>
          </w:tcPr>
          <w:p w14:paraId="0BD36EE7" w14:textId="71AB39D5"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Built by existing Data Analytics team; primary cost is staff time and potential software licences. </w:t>
            </w:r>
          </w:p>
        </w:tc>
      </w:tr>
      <w:tr w:rsidR="0F6A85EF" w:rsidRPr="0068235E" w14:paraId="43A4A11C" w14:textId="77777777" w:rsidTr="6311CB48">
        <w:trPr>
          <w:trHeight w:val="285"/>
        </w:trPr>
        <w:tc>
          <w:tcPr>
            <w:tcW w:w="2985" w:type="dxa"/>
          </w:tcPr>
          <w:p w14:paraId="462E6299" w14:textId="42FD1D1F"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Communication &amp; Cultural Change </w:t>
            </w:r>
          </w:p>
        </w:tc>
        <w:tc>
          <w:tcPr>
            <w:tcW w:w="2985" w:type="dxa"/>
          </w:tcPr>
          <w:p w14:paraId="660D1374" w14:textId="3103B6A6" w:rsidR="0F6A85EF" w:rsidRPr="00437057" w:rsidRDefault="0D989820" w:rsidP="0F6A85EF">
            <w:pPr>
              <w:spacing w:after="0"/>
              <w:rPr>
                <w:rFonts w:ascii="Arial" w:hAnsi="Arial" w:cs="Arial"/>
              </w:rPr>
            </w:pPr>
            <w:r w:rsidRPr="00437057">
              <w:rPr>
                <w:rFonts w:ascii="Arial" w:eastAsia="Helvetica" w:hAnsi="Arial" w:cs="Arial"/>
                <w:b/>
                <w:bCs/>
                <w:color w:val="26221F"/>
                <w:sz w:val="22"/>
                <w:szCs w:val="22"/>
              </w:rPr>
              <w:t xml:space="preserve">Minimal </w:t>
            </w:r>
            <w:r w:rsidR="00BB1361" w:rsidRPr="00437057">
              <w:rPr>
                <w:rFonts w:ascii="Arial" w:eastAsia="Helvetica" w:hAnsi="Arial" w:cs="Arial"/>
                <w:b/>
                <w:bCs/>
                <w:color w:val="26221F"/>
                <w:sz w:val="22"/>
                <w:szCs w:val="22"/>
              </w:rPr>
              <w:t>(</w:t>
            </w:r>
            <w:r w:rsidR="452D93D4" w:rsidRPr="00437057">
              <w:rPr>
                <w:rFonts w:ascii="Arial" w:eastAsia="Helvetica" w:hAnsi="Arial" w:cs="Arial"/>
                <w:b/>
                <w:bCs/>
                <w:color w:val="26221F"/>
                <w:sz w:val="22"/>
                <w:szCs w:val="22"/>
              </w:rPr>
              <w:t>up to £5000</w:t>
            </w:r>
            <w:r w:rsidR="00BB1361" w:rsidRPr="00437057">
              <w:rPr>
                <w:rFonts w:ascii="Arial" w:eastAsia="Helvetica" w:hAnsi="Arial" w:cs="Arial"/>
                <w:b/>
                <w:bCs/>
                <w:color w:val="26221F"/>
                <w:sz w:val="22"/>
                <w:szCs w:val="22"/>
              </w:rPr>
              <w:t>)</w:t>
            </w:r>
          </w:p>
        </w:tc>
        <w:tc>
          <w:tcPr>
            <w:tcW w:w="2940" w:type="dxa"/>
          </w:tcPr>
          <w:p w14:paraId="537B5D9B" w14:textId="2B5F8591"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Corporate Communications team already in place; costs relate to campaign materials only. </w:t>
            </w:r>
          </w:p>
        </w:tc>
      </w:tr>
      <w:tr w:rsidR="0F6A85EF" w:rsidRPr="0068235E" w14:paraId="4671710D" w14:textId="77777777" w:rsidTr="6311CB48">
        <w:trPr>
          <w:trHeight w:val="285"/>
        </w:trPr>
        <w:tc>
          <w:tcPr>
            <w:tcW w:w="2985" w:type="dxa"/>
          </w:tcPr>
          <w:p w14:paraId="0ACDB9E2" w14:textId="4BC41602" w:rsidR="0F6A85EF" w:rsidRPr="00437057" w:rsidRDefault="4E9BD1F8" w:rsidP="0F6A85EF">
            <w:pPr>
              <w:spacing w:after="0"/>
              <w:rPr>
                <w:rFonts w:ascii="Arial" w:hAnsi="Arial" w:cs="Arial"/>
              </w:rPr>
            </w:pPr>
            <w:r w:rsidRPr="00437057">
              <w:rPr>
                <w:rFonts w:ascii="Arial" w:eastAsia="Helvetica" w:hAnsi="Arial" w:cs="Arial"/>
                <w:color w:val="26221F"/>
                <w:sz w:val="22"/>
                <w:szCs w:val="22"/>
              </w:rPr>
              <w:t>High-risk</w:t>
            </w:r>
            <w:r w:rsidR="25E24457" w:rsidRPr="00437057">
              <w:rPr>
                <w:rFonts w:ascii="Arial" w:eastAsia="Helvetica" w:hAnsi="Arial" w:cs="Arial"/>
                <w:color w:val="26221F"/>
                <w:sz w:val="22"/>
                <w:szCs w:val="22"/>
              </w:rPr>
              <w:t xml:space="preserve"> Role Support </w:t>
            </w:r>
          </w:p>
        </w:tc>
        <w:tc>
          <w:tcPr>
            <w:tcW w:w="2985" w:type="dxa"/>
          </w:tcPr>
          <w:p w14:paraId="3042E0E7" w14:textId="6D93342D" w:rsidR="0F6A85EF" w:rsidRPr="00437057" w:rsidRDefault="0F6A85EF" w:rsidP="0F6A85EF">
            <w:pPr>
              <w:spacing w:after="0"/>
              <w:rPr>
                <w:rFonts w:ascii="Arial" w:hAnsi="Arial" w:cs="Arial"/>
              </w:rPr>
            </w:pPr>
            <w:r w:rsidRPr="00437057">
              <w:rPr>
                <w:rFonts w:ascii="Arial" w:eastAsia="Helvetica" w:hAnsi="Arial" w:cs="Arial"/>
                <w:b/>
                <w:bCs/>
                <w:color w:val="26221F"/>
                <w:sz w:val="22"/>
                <w:szCs w:val="22"/>
              </w:rPr>
              <w:t>Low (£10,000–£20,000)</w:t>
            </w:r>
            <w:r w:rsidRPr="00437057">
              <w:rPr>
                <w:rFonts w:ascii="Arial" w:eastAsia="Helvetica" w:hAnsi="Arial" w:cs="Arial"/>
                <w:color w:val="26221F"/>
                <w:sz w:val="22"/>
                <w:szCs w:val="22"/>
              </w:rPr>
              <w:t xml:space="preserve"> </w:t>
            </w:r>
          </w:p>
        </w:tc>
        <w:tc>
          <w:tcPr>
            <w:tcW w:w="2940" w:type="dxa"/>
          </w:tcPr>
          <w:p w14:paraId="05B65D53" w14:textId="2F83A4B2" w:rsidR="0F6A85EF" w:rsidRPr="00437057" w:rsidRDefault="25E24457" w:rsidP="0F6A85EF">
            <w:pPr>
              <w:spacing w:after="0"/>
              <w:rPr>
                <w:rFonts w:ascii="Arial" w:hAnsi="Arial" w:cs="Arial"/>
              </w:rPr>
            </w:pPr>
            <w:r w:rsidRPr="00437057">
              <w:rPr>
                <w:rFonts w:ascii="Arial" w:eastAsia="Helvetica" w:hAnsi="Arial" w:cs="Arial"/>
                <w:color w:val="26221F"/>
                <w:sz w:val="22"/>
                <w:szCs w:val="22"/>
              </w:rPr>
              <w:t xml:space="preserve">Delivered by </w:t>
            </w:r>
            <w:r w:rsidR="50AA316C" w:rsidRPr="00437057">
              <w:rPr>
                <w:rFonts w:ascii="Arial" w:eastAsia="Helvetica" w:hAnsi="Arial" w:cs="Arial"/>
                <w:color w:val="26221F"/>
                <w:sz w:val="22"/>
                <w:szCs w:val="22"/>
              </w:rPr>
              <w:t>in-house</w:t>
            </w:r>
            <w:r w:rsidRPr="00437057">
              <w:rPr>
                <w:rFonts w:ascii="Arial" w:eastAsia="Helvetica" w:hAnsi="Arial" w:cs="Arial"/>
                <w:color w:val="26221F"/>
                <w:sz w:val="22"/>
                <w:szCs w:val="22"/>
              </w:rPr>
              <w:t xml:space="preserve"> counselling team and supported by proposed online GAD</w:t>
            </w:r>
            <w:r w:rsidR="0F6A85EF" w:rsidRPr="00437057">
              <w:rPr>
                <w:rFonts w:ascii="Arial" w:hAnsi="Arial" w:cs="Arial"/>
              </w:rPr>
              <w:noBreakHyphen/>
            </w:r>
            <w:r w:rsidRPr="00437057">
              <w:rPr>
                <w:rFonts w:ascii="Arial" w:eastAsia="Helvetica" w:hAnsi="Arial" w:cs="Arial"/>
                <w:color w:val="26221F"/>
                <w:sz w:val="22"/>
                <w:szCs w:val="22"/>
              </w:rPr>
              <w:t>7/PHQ</w:t>
            </w:r>
            <w:r w:rsidR="0F6A85EF" w:rsidRPr="00437057">
              <w:rPr>
                <w:rFonts w:ascii="Arial" w:hAnsi="Arial" w:cs="Arial"/>
              </w:rPr>
              <w:noBreakHyphen/>
            </w:r>
            <w:r w:rsidRPr="00437057">
              <w:rPr>
                <w:rFonts w:ascii="Arial" w:eastAsia="Helvetica" w:hAnsi="Arial" w:cs="Arial"/>
                <w:color w:val="26221F"/>
                <w:sz w:val="22"/>
                <w:szCs w:val="22"/>
              </w:rPr>
              <w:t xml:space="preserve">9 screening tools. </w:t>
            </w:r>
          </w:p>
        </w:tc>
      </w:tr>
      <w:tr w:rsidR="0F6A85EF" w:rsidRPr="0068235E" w14:paraId="3B75A471" w14:textId="77777777" w:rsidTr="6311CB48">
        <w:trPr>
          <w:trHeight w:val="285"/>
        </w:trPr>
        <w:tc>
          <w:tcPr>
            <w:tcW w:w="2985" w:type="dxa"/>
          </w:tcPr>
          <w:p w14:paraId="1029756C" w14:textId="213011CE"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 xml:space="preserve">Evaluation &amp; Continuous Improvement </w:t>
            </w:r>
          </w:p>
        </w:tc>
        <w:tc>
          <w:tcPr>
            <w:tcW w:w="2985" w:type="dxa"/>
          </w:tcPr>
          <w:p w14:paraId="72D44B03" w14:textId="653CBF78" w:rsidR="0F6A85EF" w:rsidRPr="00437057" w:rsidRDefault="0F6A85EF" w:rsidP="0F6A85EF">
            <w:pPr>
              <w:spacing w:after="0"/>
              <w:rPr>
                <w:rFonts w:ascii="Arial" w:hAnsi="Arial" w:cs="Arial"/>
              </w:rPr>
            </w:pPr>
            <w:r w:rsidRPr="00437057">
              <w:rPr>
                <w:rFonts w:ascii="Arial" w:eastAsia="Helvetica" w:hAnsi="Arial" w:cs="Arial"/>
                <w:b/>
                <w:bCs/>
                <w:color w:val="26221F"/>
                <w:sz w:val="22"/>
                <w:szCs w:val="22"/>
              </w:rPr>
              <w:t>Minimal (£5,000–£10,000)</w:t>
            </w:r>
            <w:r w:rsidRPr="00437057">
              <w:rPr>
                <w:rFonts w:ascii="Arial" w:eastAsia="Helvetica" w:hAnsi="Arial" w:cs="Arial"/>
                <w:color w:val="26221F"/>
                <w:sz w:val="22"/>
                <w:szCs w:val="22"/>
              </w:rPr>
              <w:t xml:space="preserve"> </w:t>
            </w:r>
          </w:p>
        </w:tc>
        <w:tc>
          <w:tcPr>
            <w:tcW w:w="2940" w:type="dxa"/>
          </w:tcPr>
          <w:p w14:paraId="545E02EB" w14:textId="34261BFD" w:rsidR="0F6A85EF" w:rsidRPr="00437057" w:rsidRDefault="0F6A85EF" w:rsidP="0F6A85EF">
            <w:pPr>
              <w:spacing w:after="0"/>
              <w:rPr>
                <w:rFonts w:ascii="Arial" w:hAnsi="Arial" w:cs="Arial"/>
              </w:rPr>
            </w:pPr>
            <w:r w:rsidRPr="00437057">
              <w:rPr>
                <w:rFonts w:ascii="Arial" w:eastAsia="Helvetica" w:hAnsi="Arial" w:cs="Arial"/>
                <w:color w:val="26221F"/>
                <w:sz w:val="22"/>
                <w:szCs w:val="22"/>
              </w:rPr>
              <w:t>Led by Head of Health, Safety &amp; Wellbeing; costs relate to reporting tools and external validation if required.</w:t>
            </w:r>
          </w:p>
        </w:tc>
      </w:tr>
    </w:tbl>
    <w:p w14:paraId="620BFD33" w14:textId="18A3EA15" w:rsidR="0F6A85EF" w:rsidRPr="0068235E" w:rsidRDefault="0F6A85EF" w:rsidP="0F6A85EF">
      <w:pPr>
        <w:spacing w:after="0"/>
        <w:rPr>
          <w:rFonts w:ascii="Arial" w:hAnsi="Arial" w:cs="Arial"/>
          <w:color w:val="26221F"/>
          <w:sz w:val="22"/>
          <w:szCs w:val="22"/>
        </w:rPr>
      </w:pPr>
    </w:p>
    <w:p w14:paraId="2176EFA1" w14:textId="014FDA0D" w:rsidR="54D79EED" w:rsidRPr="0068235E" w:rsidRDefault="01E2624C" w:rsidP="6311CB48">
      <w:pPr>
        <w:spacing w:before="60" w:after="90" w:line="480" w:lineRule="auto"/>
        <w:rPr>
          <w:rFonts w:ascii="Arial" w:eastAsia="Arial" w:hAnsi="Arial" w:cs="Arial"/>
          <w:color w:val="26221F"/>
        </w:rPr>
      </w:pPr>
      <w:r w:rsidRPr="6311CB48">
        <w:rPr>
          <w:rFonts w:ascii="Arial" w:eastAsia="Arial" w:hAnsi="Arial" w:cs="Arial"/>
          <w:color w:val="26221F"/>
        </w:rPr>
        <w:t>Resource Requirements</w:t>
      </w:r>
    </w:p>
    <w:p w14:paraId="2738CECC" w14:textId="723B3830" w:rsidR="54D79EED" w:rsidRPr="0068235E" w:rsidRDefault="01E2624C" w:rsidP="6311CB48">
      <w:pPr>
        <w:spacing w:after="180" w:line="480" w:lineRule="auto"/>
        <w:rPr>
          <w:rFonts w:ascii="Arial" w:eastAsia="Arial" w:hAnsi="Arial" w:cs="Arial"/>
          <w:color w:val="26221F"/>
        </w:rPr>
      </w:pPr>
      <w:r w:rsidRPr="6311CB48">
        <w:rPr>
          <w:rFonts w:ascii="Arial" w:eastAsia="Arial" w:hAnsi="Arial" w:cs="Arial"/>
          <w:color w:val="26221F"/>
        </w:rPr>
        <w:t>Workforce Resources:</w:t>
      </w:r>
    </w:p>
    <w:p w14:paraId="158518C3" w14:textId="1B5F3B2E" w:rsidR="54D79EED" w:rsidRPr="0068235E" w:rsidRDefault="01E2624C" w:rsidP="6311CB48">
      <w:pPr>
        <w:pStyle w:val="ListParagraph"/>
        <w:numPr>
          <w:ilvl w:val="0"/>
          <w:numId w:val="4"/>
        </w:numPr>
        <w:spacing w:after="0" w:line="480" w:lineRule="auto"/>
        <w:contextualSpacing w:val="0"/>
        <w:rPr>
          <w:rFonts w:ascii="Arial" w:eastAsia="Arial" w:hAnsi="Arial" w:cs="Arial"/>
          <w:color w:val="26221F"/>
        </w:rPr>
      </w:pPr>
      <w:r w:rsidRPr="6311CB48">
        <w:rPr>
          <w:rFonts w:ascii="Arial" w:eastAsia="Arial" w:hAnsi="Arial" w:cs="Arial"/>
          <w:color w:val="26221F"/>
        </w:rPr>
        <w:t>1 × Band 6 OH Nurse Clinician</w:t>
      </w:r>
    </w:p>
    <w:p w14:paraId="3C6E1145" w14:textId="15870A28" w:rsidR="54D79EED" w:rsidRPr="0068235E" w:rsidRDefault="01E2624C" w:rsidP="6311CB48">
      <w:pPr>
        <w:pStyle w:val="ListParagraph"/>
        <w:numPr>
          <w:ilvl w:val="0"/>
          <w:numId w:val="4"/>
        </w:numPr>
        <w:spacing w:after="0" w:line="480" w:lineRule="auto"/>
        <w:contextualSpacing w:val="0"/>
        <w:rPr>
          <w:rFonts w:ascii="Arial" w:eastAsia="Arial" w:hAnsi="Arial" w:cs="Arial"/>
          <w:color w:val="26221F"/>
        </w:rPr>
      </w:pPr>
      <w:r w:rsidRPr="6311CB48">
        <w:rPr>
          <w:rFonts w:ascii="Arial" w:eastAsia="Arial" w:hAnsi="Arial" w:cs="Arial"/>
          <w:color w:val="26221F"/>
        </w:rPr>
        <w:t>1 × Band 7 OH Nurse Clinician</w:t>
      </w:r>
    </w:p>
    <w:p w14:paraId="1D31165C" w14:textId="1804B170" w:rsidR="54D79EED" w:rsidRPr="0068235E" w:rsidRDefault="01E2624C" w:rsidP="6311CB48">
      <w:pPr>
        <w:pStyle w:val="ListParagraph"/>
        <w:numPr>
          <w:ilvl w:val="0"/>
          <w:numId w:val="4"/>
        </w:numPr>
        <w:spacing w:after="0" w:line="480" w:lineRule="auto"/>
        <w:contextualSpacing w:val="0"/>
        <w:rPr>
          <w:rFonts w:ascii="Arial" w:eastAsia="Arial" w:hAnsi="Arial" w:cs="Arial"/>
          <w:color w:val="26221F"/>
        </w:rPr>
      </w:pPr>
      <w:r w:rsidRPr="6311CB48">
        <w:rPr>
          <w:rFonts w:ascii="Arial" w:eastAsia="Arial" w:hAnsi="Arial" w:cs="Arial"/>
          <w:color w:val="26221F"/>
        </w:rPr>
        <w:t>Existing Data Analytics, L&amp;D, Corporate Communications, and Counselling teams</w:t>
      </w:r>
    </w:p>
    <w:p w14:paraId="5B5D483D" w14:textId="733E613F" w:rsidR="54D79EED" w:rsidRPr="0068235E" w:rsidRDefault="01E2624C" w:rsidP="6311CB48">
      <w:pPr>
        <w:pStyle w:val="ListParagraph"/>
        <w:numPr>
          <w:ilvl w:val="0"/>
          <w:numId w:val="4"/>
        </w:numPr>
        <w:spacing w:after="0" w:line="480" w:lineRule="auto"/>
        <w:contextualSpacing w:val="0"/>
        <w:rPr>
          <w:rFonts w:ascii="Arial" w:eastAsia="Arial" w:hAnsi="Arial" w:cs="Arial"/>
          <w:color w:val="26221F"/>
        </w:rPr>
      </w:pPr>
      <w:r w:rsidRPr="6311CB48">
        <w:rPr>
          <w:rFonts w:ascii="Arial" w:eastAsia="Arial" w:hAnsi="Arial" w:cs="Arial"/>
          <w:color w:val="26221F"/>
        </w:rPr>
        <w:lastRenderedPageBreak/>
        <w:t>Head of Health, Safety &amp; Wellbeing for evaluation and continuous improvement</w:t>
      </w:r>
    </w:p>
    <w:p w14:paraId="542B17B0" w14:textId="3FA8C0D4" w:rsidR="54D79EED" w:rsidRPr="0068235E" w:rsidRDefault="01E2624C" w:rsidP="6311CB48">
      <w:pPr>
        <w:spacing w:after="180" w:line="480" w:lineRule="auto"/>
        <w:rPr>
          <w:rFonts w:ascii="Arial" w:eastAsia="Arial" w:hAnsi="Arial" w:cs="Arial"/>
          <w:color w:val="26221F"/>
        </w:rPr>
      </w:pPr>
      <w:r w:rsidRPr="6311CB48">
        <w:rPr>
          <w:rFonts w:ascii="Arial" w:eastAsia="Arial" w:hAnsi="Arial" w:cs="Arial"/>
          <w:color w:val="26221F"/>
        </w:rPr>
        <w:t>Technology &amp; Infrastructure:</w:t>
      </w:r>
    </w:p>
    <w:p w14:paraId="5E300FE3" w14:textId="3BD3594D" w:rsidR="54D79EED" w:rsidRPr="0068235E" w:rsidRDefault="01E2624C" w:rsidP="6311CB48">
      <w:pPr>
        <w:pStyle w:val="ListParagraph"/>
        <w:numPr>
          <w:ilvl w:val="0"/>
          <w:numId w:val="3"/>
        </w:numPr>
        <w:spacing w:after="0" w:line="480" w:lineRule="auto"/>
        <w:contextualSpacing w:val="0"/>
        <w:rPr>
          <w:rFonts w:ascii="Arial" w:eastAsia="Arial" w:hAnsi="Arial" w:cs="Arial"/>
          <w:color w:val="26221F"/>
        </w:rPr>
      </w:pPr>
      <w:r w:rsidRPr="6311CB48">
        <w:rPr>
          <w:rFonts w:ascii="Arial" w:eastAsia="Arial" w:hAnsi="Arial" w:cs="Arial"/>
          <w:color w:val="26221F"/>
        </w:rPr>
        <w:t>Existing psychological screening tools (GAD</w:t>
      </w:r>
      <w:r w:rsidR="54D79EED">
        <w:noBreakHyphen/>
      </w:r>
      <w:r w:rsidRPr="6311CB48">
        <w:rPr>
          <w:rFonts w:ascii="Arial" w:eastAsia="Arial" w:hAnsi="Arial" w:cs="Arial"/>
          <w:color w:val="26221F"/>
        </w:rPr>
        <w:t>7, PHQ</w:t>
      </w:r>
      <w:r w:rsidR="54D79EED">
        <w:noBreakHyphen/>
      </w:r>
      <w:r w:rsidRPr="6311CB48">
        <w:rPr>
          <w:rFonts w:ascii="Arial" w:eastAsia="Arial" w:hAnsi="Arial" w:cs="Arial"/>
          <w:color w:val="26221F"/>
        </w:rPr>
        <w:t>9)</w:t>
      </w:r>
    </w:p>
    <w:p w14:paraId="4615BAC0" w14:textId="4CA87492" w:rsidR="54D79EED" w:rsidRPr="0068235E" w:rsidRDefault="01E2624C" w:rsidP="6311CB48">
      <w:pPr>
        <w:pStyle w:val="ListParagraph"/>
        <w:numPr>
          <w:ilvl w:val="0"/>
          <w:numId w:val="3"/>
        </w:numPr>
        <w:spacing w:after="0" w:line="480" w:lineRule="auto"/>
        <w:contextualSpacing w:val="0"/>
        <w:rPr>
          <w:rFonts w:ascii="Arial" w:eastAsia="Arial" w:hAnsi="Arial" w:cs="Arial"/>
          <w:color w:val="26221F"/>
        </w:rPr>
      </w:pPr>
      <w:r w:rsidRPr="6311CB48">
        <w:rPr>
          <w:rFonts w:ascii="Arial" w:eastAsia="Arial" w:hAnsi="Arial" w:cs="Arial"/>
          <w:color w:val="26221F"/>
        </w:rPr>
        <w:t>Dashboard software licences (if required)</w:t>
      </w:r>
    </w:p>
    <w:p w14:paraId="3D24EF2F" w14:textId="6084F0B3" w:rsidR="54D79EED" w:rsidRPr="0068235E" w:rsidRDefault="01E2624C" w:rsidP="6311CB48">
      <w:pPr>
        <w:pStyle w:val="ListParagraph"/>
        <w:numPr>
          <w:ilvl w:val="0"/>
          <w:numId w:val="3"/>
        </w:numPr>
        <w:spacing w:after="0" w:line="480" w:lineRule="auto"/>
        <w:contextualSpacing w:val="0"/>
        <w:rPr>
          <w:rFonts w:ascii="Arial" w:eastAsia="Arial" w:hAnsi="Arial" w:cs="Arial"/>
          <w:color w:val="26221F"/>
        </w:rPr>
      </w:pPr>
      <w:r w:rsidRPr="6311CB48">
        <w:rPr>
          <w:rFonts w:ascii="Arial" w:eastAsia="Arial" w:hAnsi="Arial" w:cs="Arial"/>
          <w:color w:val="26221F"/>
        </w:rPr>
        <w:t>Secure data storage integrated with the new cloud</w:t>
      </w:r>
      <w:r w:rsidR="54D79EED">
        <w:noBreakHyphen/>
      </w:r>
      <w:r w:rsidRPr="6311CB48">
        <w:rPr>
          <w:rFonts w:ascii="Arial" w:eastAsia="Arial" w:hAnsi="Arial" w:cs="Arial"/>
          <w:color w:val="26221F"/>
        </w:rPr>
        <w:t>based OH system</w:t>
      </w:r>
    </w:p>
    <w:p w14:paraId="12FCF6B3" w14:textId="4272DB77" w:rsidR="54D79EED" w:rsidRPr="0068235E" w:rsidRDefault="01E2624C" w:rsidP="6311CB48">
      <w:pPr>
        <w:spacing w:before="60" w:after="90" w:line="480" w:lineRule="auto"/>
        <w:rPr>
          <w:rFonts w:ascii="Arial" w:eastAsia="Arial" w:hAnsi="Arial" w:cs="Arial"/>
          <w:color w:val="26221F"/>
        </w:rPr>
      </w:pPr>
      <w:r w:rsidRPr="6311CB48">
        <w:rPr>
          <w:rFonts w:ascii="Arial" w:eastAsia="Arial" w:hAnsi="Arial" w:cs="Arial"/>
          <w:color w:val="26221F"/>
        </w:rPr>
        <w:t>Return on Investment (ROI)</w:t>
      </w:r>
    </w:p>
    <w:p w14:paraId="2A893835" w14:textId="371E9EE6" w:rsidR="54D79EED" w:rsidRPr="0068235E" w:rsidRDefault="01E2624C" w:rsidP="6311CB48">
      <w:pPr>
        <w:spacing w:after="180" w:line="480" w:lineRule="auto"/>
        <w:rPr>
          <w:rFonts w:ascii="Arial" w:eastAsia="Arial" w:hAnsi="Arial" w:cs="Arial"/>
          <w:color w:val="26221F"/>
        </w:rPr>
      </w:pPr>
      <w:r w:rsidRPr="6311CB48">
        <w:rPr>
          <w:rFonts w:ascii="Arial" w:eastAsia="Arial" w:hAnsi="Arial" w:cs="Arial"/>
          <w:color w:val="26221F"/>
        </w:rPr>
        <w:t>Evidence shows that investment in mental health and early intervention generates significant financial returns through reduced sickness absence, improved productivity, and lower injury</w:t>
      </w:r>
      <w:r w:rsidR="54D79EED">
        <w:noBreakHyphen/>
      </w:r>
      <w:r w:rsidRPr="6311CB48">
        <w:rPr>
          <w:rFonts w:ascii="Arial" w:eastAsia="Arial" w:hAnsi="Arial" w:cs="Arial"/>
          <w:color w:val="26221F"/>
        </w:rPr>
        <w:t>related costs (Deloitte, 2020; HSE, 2023; Cooper and Cartwright, 1997).</w:t>
      </w:r>
    </w:p>
    <w:p w14:paraId="465EA5DE" w14:textId="37AC8FA7" w:rsidR="54D79EED" w:rsidRPr="0068235E" w:rsidRDefault="01E2624C" w:rsidP="6311CB48">
      <w:pPr>
        <w:spacing w:after="180" w:line="480" w:lineRule="auto"/>
        <w:rPr>
          <w:rFonts w:ascii="Arial" w:eastAsia="Arial" w:hAnsi="Arial" w:cs="Arial"/>
          <w:color w:val="26221F"/>
        </w:rPr>
      </w:pPr>
      <w:r w:rsidRPr="6311CB48">
        <w:rPr>
          <w:rFonts w:ascii="Arial" w:eastAsia="Arial" w:hAnsi="Arial" w:cs="Arial"/>
          <w:color w:val="26221F"/>
        </w:rPr>
        <w:t>Estimated benefits include:</w:t>
      </w:r>
    </w:p>
    <w:p w14:paraId="1202BCB9" w14:textId="64E3D7F3" w:rsidR="54D79EED" w:rsidRPr="0068235E" w:rsidRDefault="01E2624C" w:rsidP="6311CB48">
      <w:pPr>
        <w:pStyle w:val="ListParagraph"/>
        <w:numPr>
          <w:ilvl w:val="0"/>
          <w:numId w:val="2"/>
        </w:numPr>
        <w:spacing w:after="0" w:line="480" w:lineRule="auto"/>
        <w:contextualSpacing w:val="0"/>
        <w:rPr>
          <w:rFonts w:ascii="Arial" w:eastAsia="Arial" w:hAnsi="Arial" w:cs="Arial"/>
          <w:color w:val="26221F"/>
        </w:rPr>
      </w:pPr>
      <w:r w:rsidRPr="6311CB48">
        <w:rPr>
          <w:rFonts w:ascii="Arial" w:eastAsia="Arial" w:hAnsi="Arial" w:cs="Arial"/>
          <w:color w:val="26221F"/>
        </w:rPr>
        <w:t>15% reduction in psychological sickness = £250,000–£400,000 annual savings</w:t>
      </w:r>
    </w:p>
    <w:p w14:paraId="20664735" w14:textId="205832F3" w:rsidR="54D79EED" w:rsidRPr="0068235E" w:rsidRDefault="01E2624C" w:rsidP="6311CB48">
      <w:pPr>
        <w:pStyle w:val="ListParagraph"/>
        <w:numPr>
          <w:ilvl w:val="0"/>
          <w:numId w:val="2"/>
        </w:numPr>
        <w:spacing w:after="0" w:line="480" w:lineRule="auto"/>
        <w:contextualSpacing w:val="0"/>
        <w:rPr>
          <w:rFonts w:ascii="Arial" w:eastAsia="Arial" w:hAnsi="Arial" w:cs="Arial"/>
          <w:color w:val="26221F"/>
        </w:rPr>
      </w:pPr>
      <w:r w:rsidRPr="6311CB48">
        <w:rPr>
          <w:rFonts w:ascii="Arial" w:eastAsia="Arial" w:hAnsi="Arial" w:cs="Arial"/>
          <w:color w:val="26221F"/>
        </w:rPr>
        <w:t>Reduced restricted</w:t>
      </w:r>
      <w:r w:rsidR="54D79EED">
        <w:noBreakHyphen/>
      </w:r>
      <w:r w:rsidRPr="6311CB48">
        <w:rPr>
          <w:rFonts w:ascii="Arial" w:eastAsia="Arial" w:hAnsi="Arial" w:cs="Arial"/>
          <w:color w:val="26221F"/>
        </w:rPr>
        <w:t>duty days and overtime</w:t>
      </w:r>
    </w:p>
    <w:p w14:paraId="7D493D11" w14:textId="718E2E01" w:rsidR="54D79EED" w:rsidRPr="0068235E" w:rsidRDefault="01E2624C" w:rsidP="6311CB48">
      <w:pPr>
        <w:pStyle w:val="ListParagraph"/>
        <w:numPr>
          <w:ilvl w:val="0"/>
          <w:numId w:val="2"/>
        </w:numPr>
        <w:spacing w:after="0" w:line="480" w:lineRule="auto"/>
        <w:contextualSpacing w:val="0"/>
        <w:rPr>
          <w:rFonts w:ascii="Arial" w:eastAsia="Arial" w:hAnsi="Arial" w:cs="Arial"/>
          <w:color w:val="26221F"/>
        </w:rPr>
      </w:pPr>
      <w:r w:rsidRPr="6311CB48">
        <w:rPr>
          <w:rFonts w:ascii="Arial" w:eastAsia="Arial" w:hAnsi="Arial" w:cs="Arial"/>
          <w:color w:val="26221F"/>
        </w:rPr>
        <w:t>Earlier clinical intervention reducing long</w:t>
      </w:r>
      <w:r w:rsidR="54D79EED">
        <w:noBreakHyphen/>
      </w:r>
      <w:r w:rsidRPr="6311CB48">
        <w:rPr>
          <w:rFonts w:ascii="Arial" w:eastAsia="Arial" w:hAnsi="Arial" w:cs="Arial"/>
          <w:color w:val="26221F"/>
        </w:rPr>
        <w:t>term absences</w:t>
      </w:r>
    </w:p>
    <w:p w14:paraId="716EF6A0" w14:textId="5B66D74C" w:rsidR="54D79EED" w:rsidRPr="0068235E" w:rsidRDefault="01E2624C" w:rsidP="6311CB48">
      <w:pPr>
        <w:pStyle w:val="ListParagraph"/>
        <w:numPr>
          <w:ilvl w:val="0"/>
          <w:numId w:val="2"/>
        </w:numPr>
        <w:spacing w:after="0" w:line="480" w:lineRule="auto"/>
        <w:contextualSpacing w:val="0"/>
        <w:rPr>
          <w:rFonts w:ascii="Arial" w:eastAsia="Arial" w:hAnsi="Arial" w:cs="Arial"/>
          <w:color w:val="26221F"/>
        </w:rPr>
      </w:pPr>
      <w:r w:rsidRPr="6311CB48">
        <w:rPr>
          <w:rFonts w:ascii="Arial" w:eastAsia="Arial" w:hAnsi="Arial" w:cs="Arial"/>
          <w:color w:val="26221F"/>
        </w:rPr>
        <w:t>Improved leadership reducing turnover and performance management costs</w:t>
      </w:r>
    </w:p>
    <w:p w14:paraId="1F9DB33B" w14:textId="6FB52706" w:rsidR="54D79EED" w:rsidRPr="0068235E" w:rsidRDefault="01E2624C" w:rsidP="6311CB48">
      <w:pPr>
        <w:spacing w:after="180" w:line="480" w:lineRule="auto"/>
        <w:rPr>
          <w:rFonts w:ascii="Arial" w:eastAsia="Arial" w:hAnsi="Arial" w:cs="Arial"/>
          <w:color w:val="26221F"/>
        </w:rPr>
      </w:pPr>
      <w:r w:rsidRPr="6311CB48">
        <w:rPr>
          <w:rFonts w:ascii="Arial" w:eastAsia="Arial" w:hAnsi="Arial" w:cs="Arial"/>
          <w:color w:val="26221F"/>
        </w:rPr>
        <w:t>Over three years, the strategy is projected to generate net savings of £300,000–£900,000.</w:t>
      </w:r>
    </w:p>
    <w:p w14:paraId="11B8B790" w14:textId="4343F840" w:rsidR="54D79EED" w:rsidRPr="0068235E" w:rsidRDefault="01E2624C" w:rsidP="6311CB48">
      <w:pPr>
        <w:spacing w:before="60" w:after="90" w:line="480" w:lineRule="auto"/>
        <w:rPr>
          <w:rFonts w:ascii="Arial" w:eastAsia="Arial" w:hAnsi="Arial" w:cs="Arial"/>
          <w:color w:val="26221F"/>
        </w:rPr>
      </w:pPr>
      <w:r w:rsidRPr="6311CB48">
        <w:rPr>
          <w:rFonts w:ascii="Arial" w:eastAsia="Arial" w:hAnsi="Arial" w:cs="Arial"/>
          <w:color w:val="26221F"/>
        </w:rPr>
        <w:t>Funding Options</w:t>
      </w:r>
    </w:p>
    <w:p w14:paraId="4B680F05" w14:textId="4AADF2E9" w:rsidR="54D79EED" w:rsidRPr="0068235E" w:rsidRDefault="01E2624C" w:rsidP="6311CB48">
      <w:pPr>
        <w:pStyle w:val="ListParagraph"/>
        <w:numPr>
          <w:ilvl w:val="0"/>
          <w:numId w:val="1"/>
        </w:numPr>
        <w:spacing w:after="0" w:line="480" w:lineRule="auto"/>
        <w:contextualSpacing w:val="0"/>
        <w:rPr>
          <w:rFonts w:ascii="Arial" w:eastAsia="Arial" w:hAnsi="Arial" w:cs="Arial"/>
          <w:color w:val="26221F"/>
        </w:rPr>
      </w:pPr>
      <w:r w:rsidRPr="6311CB48">
        <w:rPr>
          <w:rFonts w:ascii="Arial" w:eastAsia="Arial" w:hAnsi="Arial" w:cs="Arial"/>
          <w:color w:val="26221F"/>
        </w:rPr>
        <w:t>Reallocation of existing wellbeing and OH budgets</w:t>
      </w:r>
    </w:p>
    <w:p w14:paraId="2A45323C" w14:textId="6A77D110" w:rsidR="54D79EED" w:rsidRPr="0068235E" w:rsidRDefault="01E2624C" w:rsidP="6311CB48">
      <w:pPr>
        <w:pStyle w:val="ListParagraph"/>
        <w:numPr>
          <w:ilvl w:val="0"/>
          <w:numId w:val="1"/>
        </w:numPr>
        <w:spacing w:after="0" w:line="480" w:lineRule="auto"/>
        <w:contextualSpacing w:val="0"/>
        <w:rPr>
          <w:rFonts w:ascii="Arial" w:eastAsia="Arial" w:hAnsi="Arial" w:cs="Arial"/>
          <w:color w:val="26221F"/>
        </w:rPr>
      </w:pPr>
      <w:r w:rsidRPr="6311CB48">
        <w:rPr>
          <w:rFonts w:ascii="Arial" w:eastAsia="Arial" w:hAnsi="Arial" w:cs="Arial"/>
          <w:color w:val="26221F"/>
        </w:rPr>
        <w:t>Efficiency savings from reduced sickness</w:t>
      </w:r>
    </w:p>
    <w:p w14:paraId="16D78D75" w14:textId="785CAFD5" w:rsidR="54D79EED" w:rsidRPr="0068235E" w:rsidRDefault="01E2624C" w:rsidP="6311CB48">
      <w:pPr>
        <w:pStyle w:val="ListParagraph"/>
        <w:numPr>
          <w:ilvl w:val="0"/>
          <w:numId w:val="1"/>
        </w:numPr>
        <w:spacing w:after="0" w:line="480" w:lineRule="auto"/>
        <w:contextualSpacing w:val="0"/>
        <w:rPr>
          <w:rFonts w:ascii="Arial" w:eastAsia="Arial" w:hAnsi="Arial" w:cs="Arial"/>
          <w:color w:val="26221F"/>
        </w:rPr>
      </w:pPr>
      <w:r w:rsidRPr="6311CB48">
        <w:rPr>
          <w:rFonts w:ascii="Arial" w:eastAsia="Arial" w:hAnsi="Arial" w:cs="Arial"/>
          <w:color w:val="26221F"/>
        </w:rPr>
        <w:t>Internal transformation funds</w:t>
      </w:r>
    </w:p>
    <w:p w14:paraId="68258B88" w14:textId="45A1C71B" w:rsidR="54D79EED" w:rsidRPr="0068235E" w:rsidRDefault="54D79EED" w:rsidP="54D79EED">
      <w:pPr>
        <w:spacing w:after="0"/>
        <w:rPr>
          <w:rFonts w:ascii="Arial" w:eastAsia="Arial" w:hAnsi="Arial" w:cs="Arial"/>
          <w:color w:val="26221F"/>
          <w:sz w:val="22"/>
          <w:szCs w:val="22"/>
        </w:rPr>
      </w:pP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2790"/>
        <w:gridCol w:w="2730"/>
        <w:gridCol w:w="2880"/>
      </w:tblGrid>
      <w:tr w:rsidR="0F6A85EF" w:rsidRPr="0068235E" w14:paraId="5AF6784F" w14:textId="77777777" w:rsidTr="4C5EBBA5">
        <w:trPr>
          <w:trHeight w:val="285"/>
        </w:trPr>
        <w:tc>
          <w:tcPr>
            <w:tcW w:w="2790" w:type="dxa"/>
            <w:shd w:val="clear" w:color="auto" w:fill="F3E2D5"/>
          </w:tcPr>
          <w:p w14:paraId="2B58A3B4" w14:textId="30C719B1" w:rsidR="0F6A85EF" w:rsidRPr="0068235E" w:rsidRDefault="0F6A85EF" w:rsidP="0F6A85EF">
            <w:pPr>
              <w:spacing w:after="0"/>
              <w:rPr>
                <w:rFonts w:ascii="Arial" w:hAnsi="Arial" w:cs="Arial"/>
              </w:rPr>
            </w:pPr>
            <w:r w:rsidRPr="0068235E">
              <w:rPr>
                <w:rFonts w:ascii="Arial" w:eastAsia="Helvetica" w:hAnsi="Arial" w:cs="Arial"/>
                <w:b/>
                <w:bCs/>
                <w:color w:val="26221F"/>
                <w:sz w:val="22"/>
                <w:szCs w:val="22"/>
              </w:rPr>
              <w:t>Risk</w:t>
            </w:r>
            <w:r w:rsidRPr="0068235E">
              <w:rPr>
                <w:rFonts w:ascii="Arial" w:eastAsia="Helvetica" w:hAnsi="Arial" w:cs="Arial"/>
                <w:color w:val="26221F"/>
                <w:sz w:val="22"/>
                <w:szCs w:val="22"/>
              </w:rPr>
              <w:t xml:space="preserve"> </w:t>
            </w:r>
          </w:p>
        </w:tc>
        <w:tc>
          <w:tcPr>
            <w:tcW w:w="2730" w:type="dxa"/>
            <w:shd w:val="clear" w:color="auto" w:fill="F3E2D5"/>
          </w:tcPr>
          <w:p w14:paraId="135AA2B0" w14:textId="313446C6" w:rsidR="0F6A85EF" w:rsidRPr="0068235E" w:rsidRDefault="0F6A85EF" w:rsidP="0F6A85EF">
            <w:pPr>
              <w:spacing w:after="0"/>
              <w:rPr>
                <w:rFonts w:ascii="Arial" w:hAnsi="Arial" w:cs="Arial"/>
              </w:rPr>
            </w:pPr>
            <w:r w:rsidRPr="0068235E">
              <w:rPr>
                <w:rFonts w:ascii="Arial" w:eastAsia="Helvetica" w:hAnsi="Arial" w:cs="Arial"/>
                <w:b/>
                <w:bCs/>
                <w:color w:val="26221F"/>
                <w:sz w:val="22"/>
                <w:szCs w:val="22"/>
              </w:rPr>
              <w:t>Impact</w:t>
            </w:r>
            <w:r w:rsidRPr="0068235E">
              <w:rPr>
                <w:rFonts w:ascii="Arial" w:eastAsia="Helvetica" w:hAnsi="Arial" w:cs="Arial"/>
                <w:color w:val="26221F"/>
                <w:sz w:val="22"/>
                <w:szCs w:val="22"/>
              </w:rPr>
              <w:t xml:space="preserve"> </w:t>
            </w:r>
          </w:p>
        </w:tc>
        <w:tc>
          <w:tcPr>
            <w:tcW w:w="2880" w:type="dxa"/>
            <w:shd w:val="clear" w:color="auto" w:fill="F3E2D5"/>
          </w:tcPr>
          <w:p w14:paraId="5F297501" w14:textId="7BCFC911" w:rsidR="0F6A85EF" w:rsidRPr="0068235E" w:rsidRDefault="0F6A85EF" w:rsidP="0F6A85EF">
            <w:pPr>
              <w:spacing w:after="0"/>
              <w:rPr>
                <w:rFonts w:ascii="Arial" w:hAnsi="Arial" w:cs="Arial"/>
              </w:rPr>
            </w:pPr>
            <w:r w:rsidRPr="0068235E">
              <w:rPr>
                <w:rFonts w:ascii="Arial" w:eastAsia="Helvetica" w:hAnsi="Arial" w:cs="Arial"/>
                <w:b/>
                <w:bCs/>
                <w:color w:val="26221F"/>
                <w:sz w:val="22"/>
                <w:szCs w:val="22"/>
              </w:rPr>
              <w:t>Mitigation</w:t>
            </w:r>
            <w:r w:rsidRPr="0068235E">
              <w:rPr>
                <w:rFonts w:ascii="Arial" w:eastAsia="Helvetica" w:hAnsi="Arial" w:cs="Arial"/>
                <w:color w:val="26221F"/>
                <w:sz w:val="22"/>
                <w:szCs w:val="22"/>
              </w:rPr>
              <w:t xml:space="preserve"> </w:t>
            </w:r>
          </w:p>
        </w:tc>
      </w:tr>
      <w:tr w:rsidR="0F6A85EF" w:rsidRPr="0068235E" w14:paraId="507953F3" w14:textId="77777777" w:rsidTr="4C5EBBA5">
        <w:trPr>
          <w:trHeight w:val="285"/>
        </w:trPr>
        <w:tc>
          <w:tcPr>
            <w:tcW w:w="2790" w:type="dxa"/>
          </w:tcPr>
          <w:p w14:paraId="38C69F20" w14:textId="39574DFB"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Recruitment challenges for OH clinicians </w:t>
            </w:r>
          </w:p>
        </w:tc>
        <w:tc>
          <w:tcPr>
            <w:tcW w:w="2730" w:type="dxa"/>
          </w:tcPr>
          <w:p w14:paraId="752D009C" w14:textId="7834297E"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Delays in capacity increase </w:t>
            </w:r>
          </w:p>
        </w:tc>
        <w:tc>
          <w:tcPr>
            <w:tcW w:w="2880" w:type="dxa"/>
          </w:tcPr>
          <w:p w14:paraId="0179B6F9" w14:textId="0F858DC8" w:rsidR="0F6A85EF" w:rsidRPr="0068235E" w:rsidRDefault="0D989820" w:rsidP="0F6A85EF">
            <w:pPr>
              <w:spacing w:after="0"/>
              <w:rPr>
                <w:rFonts w:ascii="Arial" w:hAnsi="Arial" w:cs="Arial"/>
              </w:rPr>
            </w:pPr>
            <w:r w:rsidRPr="0068235E">
              <w:rPr>
                <w:rFonts w:ascii="Arial" w:eastAsia="Helvetica" w:hAnsi="Arial" w:cs="Arial"/>
                <w:color w:val="26221F"/>
                <w:sz w:val="22"/>
                <w:szCs w:val="22"/>
              </w:rPr>
              <w:t xml:space="preserve">Early recruitment, flexible working options </w:t>
            </w:r>
          </w:p>
        </w:tc>
      </w:tr>
      <w:tr w:rsidR="0F6A85EF" w:rsidRPr="0068235E" w14:paraId="2E415293" w14:textId="77777777" w:rsidTr="4C5EBBA5">
        <w:trPr>
          <w:trHeight w:val="285"/>
        </w:trPr>
        <w:tc>
          <w:tcPr>
            <w:tcW w:w="2790" w:type="dxa"/>
          </w:tcPr>
          <w:p w14:paraId="6B3A0C50" w14:textId="25B4C23C"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Competing organisational priorities </w:t>
            </w:r>
          </w:p>
        </w:tc>
        <w:tc>
          <w:tcPr>
            <w:tcW w:w="2730" w:type="dxa"/>
          </w:tcPr>
          <w:p w14:paraId="2CEDF0E6" w14:textId="503796A6"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Reduced engagement </w:t>
            </w:r>
          </w:p>
        </w:tc>
        <w:tc>
          <w:tcPr>
            <w:tcW w:w="2880" w:type="dxa"/>
          </w:tcPr>
          <w:p w14:paraId="7161D4E4" w14:textId="61EA5026" w:rsidR="0F6A85EF" w:rsidRPr="0068235E" w:rsidRDefault="0D989820" w:rsidP="0F6A85EF">
            <w:pPr>
              <w:spacing w:after="0"/>
              <w:rPr>
                <w:rFonts w:ascii="Arial" w:hAnsi="Arial" w:cs="Arial"/>
              </w:rPr>
            </w:pPr>
            <w:r w:rsidRPr="0068235E">
              <w:rPr>
                <w:rFonts w:ascii="Arial" w:eastAsia="Helvetica" w:hAnsi="Arial" w:cs="Arial"/>
                <w:color w:val="26221F"/>
                <w:sz w:val="22"/>
                <w:szCs w:val="22"/>
              </w:rPr>
              <w:t>Chief Officer buy</w:t>
            </w:r>
            <w:r w:rsidR="0F6A85EF" w:rsidRPr="0068235E">
              <w:rPr>
                <w:rFonts w:ascii="Arial" w:hAnsi="Arial" w:cs="Arial"/>
              </w:rPr>
              <w:noBreakHyphen/>
            </w:r>
            <w:r w:rsidRPr="0068235E">
              <w:rPr>
                <w:rFonts w:ascii="Arial" w:eastAsia="Helvetica" w:hAnsi="Arial" w:cs="Arial"/>
                <w:color w:val="26221F"/>
                <w:sz w:val="22"/>
                <w:szCs w:val="22"/>
              </w:rPr>
              <w:t xml:space="preserve">in and clear governance </w:t>
            </w:r>
          </w:p>
        </w:tc>
      </w:tr>
      <w:tr w:rsidR="0F6A85EF" w:rsidRPr="0068235E" w14:paraId="0D5C3460" w14:textId="77777777" w:rsidTr="4C5EBBA5">
        <w:trPr>
          <w:trHeight w:val="285"/>
        </w:trPr>
        <w:tc>
          <w:tcPr>
            <w:tcW w:w="2790" w:type="dxa"/>
          </w:tcPr>
          <w:p w14:paraId="77D71265" w14:textId="778595F6"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Data integration delays </w:t>
            </w:r>
          </w:p>
        </w:tc>
        <w:tc>
          <w:tcPr>
            <w:tcW w:w="2730" w:type="dxa"/>
          </w:tcPr>
          <w:p w14:paraId="494795A3" w14:textId="04F21D02"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Dashboard timeline impact </w:t>
            </w:r>
          </w:p>
        </w:tc>
        <w:tc>
          <w:tcPr>
            <w:tcW w:w="2880" w:type="dxa"/>
          </w:tcPr>
          <w:p w14:paraId="21F827A6" w14:textId="20DA84C9"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Early ICT involvement, phased rollout </w:t>
            </w:r>
          </w:p>
        </w:tc>
      </w:tr>
      <w:tr w:rsidR="0F6A85EF" w:rsidRPr="0068235E" w14:paraId="2006497E" w14:textId="77777777" w:rsidTr="4C5EBBA5">
        <w:trPr>
          <w:trHeight w:val="285"/>
        </w:trPr>
        <w:tc>
          <w:tcPr>
            <w:tcW w:w="2790" w:type="dxa"/>
          </w:tcPr>
          <w:p w14:paraId="3C453924" w14:textId="41C7DE94"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Cultural resistance </w:t>
            </w:r>
          </w:p>
        </w:tc>
        <w:tc>
          <w:tcPr>
            <w:tcW w:w="2730" w:type="dxa"/>
          </w:tcPr>
          <w:p w14:paraId="220A32C3" w14:textId="66629DCA"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 xml:space="preserve">Reduced ROI </w:t>
            </w:r>
          </w:p>
        </w:tc>
        <w:tc>
          <w:tcPr>
            <w:tcW w:w="2880" w:type="dxa"/>
          </w:tcPr>
          <w:p w14:paraId="05239BFA" w14:textId="623586DB" w:rsidR="0F6A85EF" w:rsidRPr="0068235E" w:rsidRDefault="0F6A85EF" w:rsidP="0F6A85EF">
            <w:pPr>
              <w:spacing w:after="0"/>
              <w:rPr>
                <w:rFonts w:ascii="Arial" w:hAnsi="Arial" w:cs="Arial"/>
              </w:rPr>
            </w:pPr>
            <w:r w:rsidRPr="0068235E">
              <w:rPr>
                <w:rFonts w:ascii="Arial" w:eastAsia="Helvetica" w:hAnsi="Arial" w:cs="Arial"/>
                <w:color w:val="26221F"/>
                <w:sz w:val="22"/>
                <w:szCs w:val="22"/>
              </w:rPr>
              <w:t>Leadership training, comms campaigns</w:t>
            </w:r>
          </w:p>
        </w:tc>
      </w:tr>
    </w:tbl>
    <w:p w14:paraId="7AF7C678" w14:textId="710BB443" w:rsidR="54D79EED" w:rsidRPr="0068235E" w:rsidRDefault="54D79EED" w:rsidP="54D79EED">
      <w:pPr>
        <w:pStyle w:val="ListParagraph"/>
        <w:spacing w:after="0"/>
        <w:rPr>
          <w:rFonts w:ascii="Arial" w:eastAsia="Arial" w:hAnsi="Arial" w:cs="Arial"/>
          <w:color w:val="26221F"/>
          <w:sz w:val="22"/>
          <w:szCs w:val="22"/>
        </w:rPr>
      </w:pPr>
    </w:p>
    <w:p w14:paraId="76B6C18C" w14:textId="55CC39E2" w:rsidR="542CA2E8" w:rsidRPr="00437057" w:rsidRDefault="25EB3A30" w:rsidP="00C260D9">
      <w:pPr>
        <w:pStyle w:val="Heading1"/>
        <w:spacing w:line="480" w:lineRule="auto"/>
        <w:rPr>
          <w:rFonts w:ascii="Arial" w:hAnsi="Arial" w:cs="Arial"/>
        </w:rPr>
      </w:pPr>
      <w:bookmarkStart w:id="13" w:name="_Toc1350835587"/>
      <w:r w:rsidRPr="00437057">
        <w:rPr>
          <w:rFonts w:ascii="Arial" w:hAnsi="Arial" w:cs="Arial"/>
        </w:rPr>
        <w:t>I</w:t>
      </w:r>
      <w:r w:rsidR="4BEFBCE0" w:rsidRPr="00437057">
        <w:rPr>
          <w:rFonts w:ascii="Arial" w:hAnsi="Arial" w:cs="Arial"/>
        </w:rPr>
        <w:t xml:space="preserve">mplementation </w:t>
      </w:r>
      <w:r w:rsidR="06ACEB43" w:rsidRPr="00437057">
        <w:rPr>
          <w:rFonts w:ascii="Arial" w:hAnsi="Arial" w:cs="Arial"/>
        </w:rPr>
        <w:t>Plan</w:t>
      </w:r>
      <w:bookmarkEnd w:id="13"/>
    </w:p>
    <w:p w14:paraId="2950CD57" w14:textId="14C29FBF" w:rsidR="25940712" w:rsidRDefault="25940712" w:rsidP="00C260D9">
      <w:pPr>
        <w:spacing w:after="180" w:line="480" w:lineRule="auto"/>
      </w:pPr>
      <w:r w:rsidRPr="6311CB48">
        <w:rPr>
          <w:rFonts w:ascii="Arial" w:eastAsia="Arial" w:hAnsi="Arial" w:cs="Arial"/>
          <w:color w:val="26221F"/>
        </w:rPr>
        <w:t>The implementation plan sets out the structured approach for delivering the Wellbeing and Workforce Resilience Strategy over a 36</w:t>
      </w:r>
      <w:r>
        <w:noBreakHyphen/>
      </w:r>
      <w:r w:rsidRPr="6311CB48">
        <w:rPr>
          <w:rFonts w:ascii="Arial" w:eastAsia="Arial" w:hAnsi="Arial" w:cs="Arial"/>
          <w:color w:val="26221F"/>
        </w:rPr>
        <w:t>month period. It aligns with the Gantt chart, governance model, and organisational capacity, adopting a phased methodology to ensure safe, sustainable delivery and meaningful cultural change.</w:t>
      </w:r>
    </w:p>
    <w:p w14:paraId="6A76B05C" w14:textId="77777777" w:rsidR="1AC0AE7D" w:rsidRDefault="1AC0AE7D" w:rsidP="6311CB48">
      <w:pPr>
        <w:pStyle w:val="Heading2"/>
        <w:keepNext w:val="0"/>
        <w:keepLines w:val="0"/>
        <w:spacing w:line="480" w:lineRule="auto"/>
        <w:rPr>
          <w:rFonts w:ascii="Arial" w:eastAsia="Arial" w:hAnsi="Arial" w:cs="Arial"/>
          <w:sz w:val="24"/>
          <w:szCs w:val="24"/>
        </w:rPr>
      </w:pPr>
      <w:bookmarkStart w:id="14" w:name="_Toc577264076"/>
      <w:r w:rsidRPr="6311CB48">
        <w:rPr>
          <w:rFonts w:ascii="Arial" w:eastAsia="Arial" w:hAnsi="Arial" w:cs="Arial"/>
          <w:sz w:val="24"/>
          <w:szCs w:val="24"/>
        </w:rPr>
        <w:t>Gantt Chart Narrative</w:t>
      </w:r>
      <w:bookmarkEnd w:id="14"/>
    </w:p>
    <w:p w14:paraId="5EA1F586" w14:textId="708595FA" w:rsidR="1AC0AE7D" w:rsidRDefault="1AC0AE7D" w:rsidP="6311CB48">
      <w:pPr>
        <w:spacing w:after="180" w:line="480" w:lineRule="auto"/>
        <w:rPr>
          <w:rFonts w:ascii="Arial" w:eastAsia="Arial" w:hAnsi="Arial" w:cs="Arial"/>
          <w:color w:val="26221F"/>
        </w:rPr>
      </w:pPr>
      <w:r w:rsidRPr="6311CB48">
        <w:rPr>
          <w:rFonts w:ascii="Arial" w:eastAsia="Arial" w:hAnsi="Arial" w:cs="Arial"/>
          <w:color w:val="26221F"/>
        </w:rPr>
        <w:t>The 36</w:t>
      </w:r>
      <w:r>
        <w:noBreakHyphen/>
      </w:r>
      <w:r w:rsidRPr="6311CB48">
        <w:rPr>
          <w:rFonts w:ascii="Arial" w:eastAsia="Arial" w:hAnsi="Arial" w:cs="Arial"/>
          <w:color w:val="26221F"/>
        </w:rPr>
        <w:t>month implementation plan follows a phased structure aligned to the Gantt chart (See Appendix), ensuring sequencing, dependencies, and resource allocation are managed effectively. This approach builds foundational capability before large</w:t>
      </w:r>
      <w:r>
        <w:noBreakHyphen/>
      </w:r>
      <w:r w:rsidRPr="6311CB48">
        <w:rPr>
          <w:rFonts w:ascii="Arial" w:eastAsia="Arial" w:hAnsi="Arial" w:cs="Arial"/>
          <w:color w:val="26221F"/>
        </w:rPr>
        <w:t>scale rollout, supports cultural change, and enables the organisation to deliver interventions safely, sustainably, and in line with operational capacity.</w:t>
      </w:r>
    </w:p>
    <w:p w14:paraId="2E05133C" w14:textId="3E4A712A" w:rsidR="436F0B9A" w:rsidRDefault="436F0B9A" w:rsidP="6311CB48">
      <w:pPr>
        <w:spacing w:before="60" w:after="90" w:line="480" w:lineRule="auto"/>
        <w:rPr>
          <w:rFonts w:ascii="Arial" w:eastAsia="Arial" w:hAnsi="Arial" w:cs="Arial"/>
          <w:color w:val="26221F"/>
        </w:rPr>
      </w:pPr>
      <w:r w:rsidRPr="6311CB48">
        <w:rPr>
          <w:rFonts w:ascii="Arial" w:eastAsia="Arial" w:hAnsi="Arial" w:cs="Arial"/>
          <w:color w:val="26221F"/>
        </w:rPr>
        <w:t>Phase 1: Diagnostic and Design (Months 1–3)</w:t>
      </w:r>
    </w:p>
    <w:p w14:paraId="08EDD721" w14:textId="34A61CE1" w:rsidR="436F0B9A" w:rsidRDefault="436F0B9A" w:rsidP="6311CB48">
      <w:pPr>
        <w:spacing w:after="180" w:line="480" w:lineRule="auto"/>
        <w:rPr>
          <w:rFonts w:ascii="Arial" w:eastAsia="Arial" w:hAnsi="Arial" w:cs="Arial"/>
          <w:color w:val="26221F"/>
        </w:rPr>
      </w:pPr>
      <w:r w:rsidRPr="6311CB48">
        <w:rPr>
          <w:rFonts w:ascii="Arial" w:eastAsia="Arial" w:hAnsi="Arial" w:cs="Arial"/>
          <w:color w:val="26221F"/>
        </w:rPr>
        <w:t>Phase 1 establishes the strategic foundations for the programme. Key activities include a diagnostic review of current wellbeing provision, analysis of sickness and trauma</w:t>
      </w:r>
      <w:r>
        <w:noBreakHyphen/>
      </w:r>
      <w:r w:rsidRPr="6311CB48">
        <w:rPr>
          <w:rFonts w:ascii="Arial" w:eastAsia="Arial" w:hAnsi="Arial" w:cs="Arial"/>
          <w:color w:val="26221F"/>
        </w:rPr>
        <w:t xml:space="preserve">exposure data, and structured engagement with People Services, Occupational Health, Learning and Development, Data Analytics, Corporate </w:t>
      </w:r>
      <w:r w:rsidRPr="6311CB48">
        <w:rPr>
          <w:rFonts w:ascii="Arial" w:eastAsia="Arial" w:hAnsi="Arial" w:cs="Arial"/>
          <w:color w:val="26221F"/>
        </w:rPr>
        <w:lastRenderedPageBreak/>
        <w:t>Communications, and Operational Commanders. This ensures the intervention design is operationally feasible and aligned with organisational capability. The Gold/Silver/Bronze governance structure is confirmed, KPIs for the wellbeing dashboard are defined, and resource requirements are identified. Outputs include a baseline wellbeing profile, confirmed governance arrangements, and finalised intervention designs.</w:t>
      </w:r>
    </w:p>
    <w:p w14:paraId="12DFB4B9" w14:textId="7C17B8C0" w:rsidR="436F0B9A" w:rsidRDefault="436F0B9A" w:rsidP="6311CB48">
      <w:pPr>
        <w:spacing w:before="60" w:after="90" w:line="480" w:lineRule="auto"/>
        <w:rPr>
          <w:rFonts w:ascii="Arial" w:eastAsia="Arial" w:hAnsi="Arial" w:cs="Arial"/>
          <w:color w:val="26221F"/>
        </w:rPr>
      </w:pPr>
      <w:r w:rsidRPr="6311CB48">
        <w:rPr>
          <w:rFonts w:ascii="Arial" w:eastAsia="Arial" w:hAnsi="Arial" w:cs="Arial"/>
          <w:color w:val="26221F"/>
        </w:rPr>
        <w:t>Phase 2: Infrastructure and Capability Development (Months 4–9)</w:t>
      </w:r>
    </w:p>
    <w:p w14:paraId="6A7A1E13" w14:textId="62D779F5" w:rsidR="436F0B9A" w:rsidRDefault="436F0B9A" w:rsidP="6311CB48">
      <w:pPr>
        <w:spacing w:after="180" w:line="480" w:lineRule="auto"/>
        <w:rPr>
          <w:rFonts w:ascii="Arial" w:eastAsia="Arial" w:hAnsi="Arial" w:cs="Arial"/>
          <w:color w:val="26221F"/>
        </w:rPr>
      </w:pPr>
      <w:r w:rsidRPr="6311CB48">
        <w:rPr>
          <w:rFonts w:ascii="Arial" w:eastAsia="Arial" w:hAnsi="Arial" w:cs="Arial"/>
          <w:color w:val="26221F"/>
        </w:rPr>
        <w:t>This phase builds the organisational infrastructure required for long</w:t>
      </w:r>
      <w:r>
        <w:noBreakHyphen/>
      </w:r>
      <w:r w:rsidRPr="6311CB48">
        <w:rPr>
          <w:rFonts w:ascii="Arial" w:eastAsia="Arial" w:hAnsi="Arial" w:cs="Arial"/>
          <w:color w:val="26221F"/>
        </w:rPr>
        <w:t>term delivery. Activities include formalising governance arrangements, expanding Occupational Health capacity through recruitment of one Band 6 and one Band 7 OH Nurse Clinician, developing trauma</w:t>
      </w:r>
      <w:r>
        <w:noBreakHyphen/>
      </w:r>
      <w:r w:rsidRPr="6311CB48">
        <w:rPr>
          <w:rFonts w:ascii="Arial" w:eastAsia="Arial" w:hAnsi="Arial" w:cs="Arial"/>
          <w:color w:val="26221F"/>
        </w:rPr>
        <w:t>informed support pathways, and designing leadership and supervision training. The wellbeing dashboard is built and tested by the Data Analytics Team, providing early visibility of key metrics. Communication materials are prepared, and online psychological screening tools (GAD</w:t>
      </w:r>
      <w:r>
        <w:noBreakHyphen/>
      </w:r>
      <w:r w:rsidRPr="6311CB48">
        <w:rPr>
          <w:rFonts w:ascii="Arial" w:eastAsia="Arial" w:hAnsi="Arial" w:cs="Arial"/>
          <w:color w:val="26221F"/>
        </w:rPr>
        <w:t>7, PHQ</w:t>
      </w:r>
      <w:r>
        <w:noBreakHyphen/>
      </w:r>
      <w:r w:rsidRPr="6311CB48">
        <w:rPr>
          <w:rFonts w:ascii="Arial" w:eastAsia="Arial" w:hAnsi="Arial" w:cs="Arial"/>
          <w:color w:val="26221F"/>
        </w:rPr>
        <w:t>9) are embedded into support pathways. Outputs include expanded OH capacity, a trauma</w:t>
      </w:r>
      <w:r>
        <w:noBreakHyphen/>
      </w:r>
      <w:r w:rsidRPr="6311CB48">
        <w:rPr>
          <w:rFonts w:ascii="Arial" w:eastAsia="Arial" w:hAnsi="Arial" w:cs="Arial"/>
          <w:color w:val="26221F"/>
        </w:rPr>
        <w:t>informed support model, leadership training curriculum, and a prototype dashboard.</w:t>
      </w:r>
    </w:p>
    <w:p w14:paraId="2AE7E9B8" w14:textId="741A8DFB" w:rsidR="436F0B9A" w:rsidRDefault="436F0B9A" w:rsidP="6311CB48">
      <w:pPr>
        <w:spacing w:before="60" w:after="90" w:line="480" w:lineRule="auto"/>
        <w:rPr>
          <w:rFonts w:ascii="Arial" w:eastAsia="Arial" w:hAnsi="Arial" w:cs="Arial"/>
          <w:color w:val="26221F"/>
        </w:rPr>
      </w:pPr>
      <w:r w:rsidRPr="6311CB48">
        <w:rPr>
          <w:rFonts w:ascii="Arial" w:eastAsia="Arial" w:hAnsi="Arial" w:cs="Arial"/>
          <w:color w:val="26221F"/>
        </w:rPr>
        <w:t>Phase 3: Intervention Rollout (Months 10–24)</w:t>
      </w:r>
    </w:p>
    <w:p w14:paraId="0F0201EF" w14:textId="4C68D28D" w:rsidR="436F0B9A" w:rsidRDefault="436F0B9A" w:rsidP="6311CB48">
      <w:pPr>
        <w:spacing w:after="180" w:line="480" w:lineRule="auto"/>
        <w:rPr>
          <w:rFonts w:ascii="Arial" w:eastAsia="Arial" w:hAnsi="Arial" w:cs="Arial"/>
          <w:color w:val="26221F"/>
        </w:rPr>
      </w:pPr>
      <w:r w:rsidRPr="6311CB48">
        <w:rPr>
          <w:rFonts w:ascii="Arial" w:eastAsia="Arial" w:hAnsi="Arial" w:cs="Arial"/>
          <w:color w:val="26221F"/>
        </w:rPr>
        <w:t>This is the most operationally intensive phase. Leadership and supervision training is rolled out across the organisation, embedding wellbeing</w:t>
      </w:r>
      <w:r>
        <w:noBreakHyphen/>
      </w:r>
      <w:r w:rsidRPr="6311CB48">
        <w:rPr>
          <w:rFonts w:ascii="Arial" w:eastAsia="Arial" w:hAnsi="Arial" w:cs="Arial"/>
          <w:color w:val="26221F"/>
        </w:rPr>
        <w:t>focused supervision standards. The early</w:t>
      </w:r>
      <w:r>
        <w:noBreakHyphen/>
      </w:r>
      <w:r w:rsidRPr="6311CB48">
        <w:rPr>
          <w:rFonts w:ascii="Arial" w:eastAsia="Arial" w:hAnsi="Arial" w:cs="Arial"/>
          <w:color w:val="26221F"/>
        </w:rPr>
        <w:t>intervention model is launched, supported by OH and HR Business Partners. High</w:t>
      </w:r>
      <w:r>
        <w:noBreakHyphen/>
      </w:r>
      <w:r w:rsidRPr="6311CB48">
        <w:rPr>
          <w:rFonts w:ascii="Arial" w:eastAsia="Arial" w:hAnsi="Arial" w:cs="Arial"/>
          <w:color w:val="26221F"/>
        </w:rPr>
        <w:t>risk role support is delivered through the in</w:t>
      </w:r>
      <w:r>
        <w:noBreakHyphen/>
      </w:r>
      <w:r w:rsidRPr="6311CB48">
        <w:rPr>
          <w:rFonts w:ascii="Arial" w:eastAsia="Arial" w:hAnsi="Arial" w:cs="Arial"/>
          <w:color w:val="26221F"/>
        </w:rPr>
        <w:t>house counselling team and online screening tools. Organisation</w:t>
      </w:r>
      <w:r>
        <w:noBreakHyphen/>
      </w:r>
      <w:r w:rsidRPr="6311CB48">
        <w:rPr>
          <w:rFonts w:ascii="Arial" w:eastAsia="Arial" w:hAnsi="Arial" w:cs="Arial"/>
          <w:color w:val="26221F"/>
        </w:rPr>
        <w:t xml:space="preserve">wide communication campaigns support cultural change, reduce stigma, and encourage early </w:t>
      </w:r>
      <w:r w:rsidRPr="6311CB48">
        <w:rPr>
          <w:rFonts w:ascii="Arial" w:eastAsia="Arial" w:hAnsi="Arial" w:cs="Arial"/>
          <w:color w:val="26221F"/>
        </w:rPr>
        <w:lastRenderedPageBreak/>
        <w:t>help</w:t>
      </w:r>
      <w:r>
        <w:noBreakHyphen/>
      </w:r>
      <w:r w:rsidRPr="6311CB48">
        <w:rPr>
          <w:rFonts w:ascii="Arial" w:eastAsia="Arial" w:hAnsi="Arial" w:cs="Arial"/>
          <w:color w:val="26221F"/>
        </w:rPr>
        <w:t>seeking. The wellbeing dashboard becomes fully operational, enabling real</w:t>
      </w:r>
      <w:r>
        <w:noBreakHyphen/>
      </w:r>
      <w:r w:rsidRPr="6311CB48">
        <w:rPr>
          <w:rFonts w:ascii="Arial" w:eastAsia="Arial" w:hAnsi="Arial" w:cs="Arial"/>
          <w:color w:val="26221F"/>
        </w:rPr>
        <w:t>time monitoring of KPIs and early identification of emerging risks. Outputs include a trained leadership cohort, embedded supervision standards, an operational early</w:t>
      </w:r>
      <w:r>
        <w:noBreakHyphen/>
      </w:r>
      <w:r w:rsidRPr="6311CB48">
        <w:rPr>
          <w:rFonts w:ascii="Arial" w:eastAsia="Arial" w:hAnsi="Arial" w:cs="Arial"/>
          <w:color w:val="26221F"/>
        </w:rPr>
        <w:t>intervention model, and a live dashboard.</w:t>
      </w:r>
    </w:p>
    <w:p w14:paraId="3EE6A779" w14:textId="267C3BB1" w:rsidR="436F0B9A" w:rsidRDefault="436F0B9A" w:rsidP="6311CB48">
      <w:pPr>
        <w:spacing w:before="60" w:after="90" w:line="480" w:lineRule="auto"/>
        <w:rPr>
          <w:rFonts w:ascii="Arial" w:eastAsia="Arial" w:hAnsi="Arial" w:cs="Arial"/>
          <w:color w:val="26221F"/>
        </w:rPr>
      </w:pPr>
      <w:r w:rsidRPr="6311CB48">
        <w:rPr>
          <w:rFonts w:ascii="Arial" w:eastAsia="Arial" w:hAnsi="Arial" w:cs="Arial"/>
          <w:color w:val="26221F"/>
        </w:rPr>
        <w:t>Phase 4: Evaluation and Continuous Improvement (Months 24–36)</w:t>
      </w:r>
    </w:p>
    <w:p w14:paraId="4005C875" w14:textId="5FC6E130" w:rsidR="436F0B9A" w:rsidRDefault="436F0B9A" w:rsidP="6311CB48">
      <w:pPr>
        <w:spacing w:after="180" w:line="480" w:lineRule="auto"/>
        <w:rPr>
          <w:rFonts w:ascii="Arial" w:eastAsia="Arial" w:hAnsi="Arial" w:cs="Arial"/>
          <w:color w:val="26221F"/>
        </w:rPr>
      </w:pPr>
      <w:r w:rsidRPr="6311CB48">
        <w:rPr>
          <w:rFonts w:ascii="Arial" w:eastAsia="Arial" w:hAnsi="Arial" w:cs="Arial"/>
          <w:color w:val="26221F"/>
        </w:rPr>
        <w:t>The final phase evaluates the impact of the strategy, reviews performance against KPIs, and embeds continuous improvement processes. Annual evaluation reports inform refinements to interventions, resource allocation, and governance arrangements. Clinical demand, sickness trends, and workforce feedback are reviewed to ensure the strategy remains responsive to organisational needs and external pressures. Outputs include annual evaluation reports, updated action plans, and recommendations for future investment.</w:t>
      </w:r>
    </w:p>
    <w:p w14:paraId="0515B703" w14:textId="23F9E213" w:rsidR="436F0B9A" w:rsidRDefault="436F0B9A" w:rsidP="6311CB48">
      <w:pPr>
        <w:spacing w:after="180" w:line="480" w:lineRule="auto"/>
        <w:rPr>
          <w:rFonts w:ascii="Arial" w:eastAsia="Arial" w:hAnsi="Arial" w:cs="Arial"/>
          <w:color w:val="26221F"/>
        </w:rPr>
      </w:pPr>
      <w:r w:rsidRPr="6311CB48">
        <w:rPr>
          <w:rFonts w:ascii="Arial" w:eastAsia="Arial" w:hAnsi="Arial" w:cs="Arial"/>
          <w:color w:val="26221F"/>
        </w:rPr>
        <w:t>The phased approach aligns with Kotter’s change model, ensuring early wins, sustained momentum, and embedded cultural change. It also supports financial planning through staged investment and resource allocation.</w:t>
      </w:r>
    </w:p>
    <w:p w14:paraId="536F122F" w14:textId="6DBC883D" w:rsidR="643292AA" w:rsidRDefault="236F6E48" w:rsidP="6311CB48">
      <w:pPr>
        <w:pStyle w:val="Heading2"/>
        <w:keepNext w:val="0"/>
        <w:keepLines w:val="0"/>
        <w:spacing w:line="480" w:lineRule="auto"/>
        <w:rPr>
          <w:rFonts w:ascii="Arial" w:eastAsia="Arial" w:hAnsi="Arial" w:cs="Arial"/>
          <w:sz w:val="24"/>
          <w:szCs w:val="24"/>
        </w:rPr>
      </w:pPr>
      <w:bookmarkStart w:id="15" w:name="_Toc2012730755"/>
      <w:r w:rsidRPr="6311CB48">
        <w:rPr>
          <w:rFonts w:ascii="Arial" w:eastAsia="Arial" w:hAnsi="Arial" w:cs="Arial"/>
          <w:sz w:val="24"/>
          <w:szCs w:val="24"/>
        </w:rPr>
        <w:t>R</w:t>
      </w:r>
      <w:r w:rsidR="16ADFA3C" w:rsidRPr="6311CB48">
        <w:rPr>
          <w:rFonts w:ascii="Arial" w:eastAsia="Arial" w:hAnsi="Arial" w:cs="Arial"/>
          <w:sz w:val="24"/>
          <w:szCs w:val="24"/>
        </w:rPr>
        <w:t>esponsibility Matrix (RACI)</w:t>
      </w:r>
      <w:bookmarkEnd w:id="15"/>
    </w:p>
    <w:p w14:paraId="367352A3" w14:textId="588F6E44" w:rsidR="56A88342" w:rsidRDefault="56A88342" w:rsidP="6311CB48">
      <w:pPr>
        <w:spacing w:after="180" w:line="480" w:lineRule="auto"/>
        <w:rPr>
          <w:rFonts w:ascii="Arial" w:eastAsia="Arial" w:hAnsi="Arial" w:cs="Arial"/>
          <w:color w:val="26221F"/>
        </w:rPr>
      </w:pPr>
      <w:r w:rsidRPr="6311CB48">
        <w:rPr>
          <w:rFonts w:ascii="Arial" w:eastAsia="Arial" w:hAnsi="Arial" w:cs="Arial"/>
          <w:color w:val="26221F"/>
        </w:rPr>
        <w:t>A clear accountability framework underpins delivery of the strategy</w:t>
      </w:r>
      <w:r w:rsidR="4A8E0A88" w:rsidRPr="6311CB48">
        <w:rPr>
          <w:rFonts w:ascii="Arial" w:eastAsia="Arial" w:hAnsi="Arial" w:cs="Arial"/>
          <w:color w:val="26221F"/>
        </w:rPr>
        <w:t xml:space="preserve"> (See Appendix)</w:t>
      </w:r>
      <w:r w:rsidR="223319D5" w:rsidRPr="6311CB48">
        <w:rPr>
          <w:rFonts w:ascii="Arial" w:eastAsia="Arial" w:hAnsi="Arial" w:cs="Arial"/>
          <w:color w:val="26221F"/>
        </w:rPr>
        <w:t xml:space="preserve">. </w:t>
      </w:r>
      <w:r w:rsidRPr="6311CB48">
        <w:rPr>
          <w:rFonts w:ascii="Arial" w:eastAsia="Arial" w:hAnsi="Arial" w:cs="Arial"/>
          <w:color w:val="26221F"/>
        </w:rPr>
        <w:t>The Head of People Services is the primary Accountable officer for most wellbeing</w:t>
      </w:r>
      <w:r>
        <w:noBreakHyphen/>
      </w:r>
      <w:r w:rsidRPr="6311CB48">
        <w:rPr>
          <w:rFonts w:ascii="Arial" w:eastAsia="Arial" w:hAnsi="Arial" w:cs="Arial"/>
          <w:color w:val="26221F"/>
        </w:rPr>
        <w:t xml:space="preserve">related workstreams, reflecting strategic responsibility for workforce health and organisational culture. Operational delivery is assigned to Responsible </w:t>
      </w:r>
      <w:r w:rsidR="6B825831" w:rsidRPr="6311CB48">
        <w:rPr>
          <w:rFonts w:ascii="Arial" w:eastAsia="Arial" w:hAnsi="Arial" w:cs="Arial"/>
          <w:color w:val="26221F"/>
        </w:rPr>
        <w:t>L</w:t>
      </w:r>
      <w:r w:rsidRPr="6311CB48">
        <w:rPr>
          <w:rFonts w:ascii="Arial" w:eastAsia="Arial" w:hAnsi="Arial" w:cs="Arial"/>
          <w:color w:val="26221F"/>
        </w:rPr>
        <w:t>eads with subject</w:t>
      </w:r>
      <w:r>
        <w:noBreakHyphen/>
      </w:r>
      <w:r w:rsidRPr="6311CB48">
        <w:rPr>
          <w:rFonts w:ascii="Arial" w:eastAsia="Arial" w:hAnsi="Arial" w:cs="Arial"/>
          <w:color w:val="26221F"/>
        </w:rPr>
        <w:t>matter expertise, including the HR Analytics Lead for diagnostic data, the Head of Health, Safety and Wellbeing for Occupational Health and trauma</w:t>
      </w:r>
      <w:r>
        <w:noBreakHyphen/>
      </w:r>
      <w:r w:rsidRPr="6311CB48">
        <w:rPr>
          <w:rFonts w:ascii="Arial" w:eastAsia="Arial" w:hAnsi="Arial" w:cs="Arial"/>
          <w:color w:val="26221F"/>
        </w:rPr>
        <w:t xml:space="preserve">informed pathways, and Learning and Development for leadership and supervision training. Consulted stakeholders include Occupational Health, staff </w:t>
      </w:r>
      <w:r w:rsidRPr="6311CB48">
        <w:rPr>
          <w:rFonts w:ascii="Arial" w:eastAsia="Arial" w:hAnsi="Arial" w:cs="Arial"/>
          <w:color w:val="26221F"/>
        </w:rPr>
        <w:lastRenderedPageBreak/>
        <w:t>associations, ICT, Finance, and Staff Networks. The Informed group includes the Chief Officer Team, line managers, and the wider workforce. The RACI structure reinforces the Gold/Silver/Bronze governance model and ensures coordinated delivery.</w:t>
      </w:r>
    </w:p>
    <w:p w14:paraId="2ACFD702" w14:textId="0A38174C" w:rsidR="472E8C79" w:rsidRDefault="53E78D76" w:rsidP="6311CB48">
      <w:pPr>
        <w:pStyle w:val="Heading2"/>
        <w:keepNext w:val="0"/>
        <w:keepLines w:val="0"/>
        <w:spacing w:line="480" w:lineRule="auto"/>
        <w:rPr>
          <w:rFonts w:ascii="Arial" w:eastAsia="Arial" w:hAnsi="Arial" w:cs="Arial"/>
          <w:color w:val="26221F"/>
          <w:sz w:val="24"/>
          <w:szCs w:val="24"/>
        </w:rPr>
      </w:pPr>
      <w:bookmarkStart w:id="16" w:name="_Toc551287243"/>
      <w:r w:rsidRPr="6311CB48">
        <w:rPr>
          <w:rFonts w:ascii="Arial" w:eastAsia="Arial" w:hAnsi="Arial" w:cs="Arial"/>
          <w:sz w:val="24"/>
          <w:szCs w:val="24"/>
        </w:rPr>
        <w:t>Financial Budgeting &amp; Resources</w:t>
      </w:r>
      <w:bookmarkEnd w:id="16"/>
    </w:p>
    <w:p w14:paraId="4DB8666D" w14:textId="41A18147" w:rsidR="3110C240" w:rsidRDefault="3110C240" w:rsidP="6311CB48">
      <w:pPr>
        <w:spacing w:after="180" w:line="480" w:lineRule="auto"/>
        <w:rPr>
          <w:rFonts w:ascii="Arial" w:eastAsia="Arial" w:hAnsi="Arial" w:cs="Arial"/>
          <w:color w:val="26221F"/>
        </w:rPr>
      </w:pPr>
      <w:r w:rsidRPr="6311CB48">
        <w:rPr>
          <w:rFonts w:ascii="Arial" w:eastAsia="Arial" w:hAnsi="Arial" w:cs="Arial"/>
          <w:color w:val="26221F"/>
        </w:rPr>
        <w:t>The financial model reflects the organisation’s existing capabilities and internal expertise, significantly reducing overall cost. Targeted investment focuses on essential clinical capacity, leadership development, and digital infrastructure, while internal teams deliver most interventions at minimal cost. Resource requirements include two OH Nurse Clinicians, existing Data Analytics, L&amp;D, Corporate Communications, and counselling teams, and secure data integration through the new cloud</w:t>
      </w:r>
      <w:r>
        <w:noBreakHyphen/>
      </w:r>
      <w:r w:rsidRPr="6311CB48">
        <w:rPr>
          <w:rFonts w:ascii="Arial" w:eastAsia="Arial" w:hAnsi="Arial" w:cs="Arial"/>
          <w:color w:val="26221F"/>
        </w:rPr>
        <w:t>based OH system.</w:t>
      </w:r>
    </w:p>
    <w:p w14:paraId="5706BD21" w14:textId="52B32267" w:rsidR="6FA62DE6" w:rsidRDefault="6FA62DE6" w:rsidP="6311CB48">
      <w:pPr>
        <w:spacing w:after="180" w:line="480" w:lineRule="auto"/>
        <w:rPr>
          <w:rFonts w:ascii="Arial" w:eastAsia="Arial" w:hAnsi="Arial" w:cs="Arial"/>
          <w:color w:val="26221F"/>
        </w:rPr>
      </w:pPr>
      <w:r w:rsidRPr="6311CB48">
        <w:rPr>
          <w:rFonts w:ascii="Arial" w:eastAsia="Arial" w:hAnsi="Arial" w:cs="Arial"/>
          <w:color w:val="26221F"/>
        </w:rPr>
        <w:t>Benefits Realisation</w:t>
      </w:r>
    </w:p>
    <w:p w14:paraId="55D80104" w14:textId="776C8400" w:rsidR="6FA62DE6" w:rsidRDefault="6FA62DE6" w:rsidP="6311CB48">
      <w:pPr>
        <w:spacing w:after="180" w:line="480" w:lineRule="auto"/>
        <w:rPr>
          <w:rFonts w:ascii="Arial" w:eastAsia="Arial" w:hAnsi="Arial" w:cs="Arial"/>
          <w:color w:val="26221F"/>
        </w:rPr>
      </w:pPr>
      <w:r w:rsidRPr="6311CB48">
        <w:rPr>
          <w:rFonts w:ascii="Arial" w:eastAsia="Arial" w:hAnsi="Arial" w:cs="Arial"/>
          <w:color w:val="26221F"/>
        </w:rPr>
        <w:t>The implementation plan is designed to deliver measurable improvements in workforce wellbeing and organisational performance. Expected benefits include reduced psychological</w:t>
      </w:r>
      <w:r>
        <w:noBreakHyphen/>
      </w:r>
      <w:r w:rsidRPr="6311CB48">
        <w:rPr>
          <w:rFonts w:ascii="Arial" w:eastAsia="Arial" w:hAnsi="Arial" w:cs="Arial"/>
          <w:color w:val="26221F"/>
        </w:rPr>
        <w:t>related sickness, increased deployable capacity, improved leadership capability, strengthened early</w:t>
      </w:r>
      <w:r>
        <w:noBreakHyphen/>
      </w:r>
      <w:r w:rsidRPr="6311CB48">
        <w:rPr>
          <w:rFonts w:ascii="Arial" w:eastAsia="Arial" w:hAnsi="Arial" w:cs="Arial"/>
          <w:color w:val="26221F"/>
        </w:rPr>
        <w:t>intervention pathways, enhanced organisational culture, and better data</w:t>
      </w:r>
      <w:r>
        <w:noBreakHyphen/>
      </w:r>
      <w:r w:rsidRPr="6311CB48">
        <w:rPr>
          <w:rFonts w:ascii="Arial" w:eastAsia="Arial" w:hAnsi="Arial" w:cs="Arial"/>
          <w:color w:val="26221F"/>
        </w:rPr>
        <w:t>driven decision</w:t>
      </w:r>
      <w:r>
        <w:noBreakHyphen/>
      </w:r>
      <w:r w:rsidRPr="6311CB48">
        <w:rPr>
          <w:rFonts w:ascii="Arial" w:eastAsia="Arial" w:hAnsi="Arial" w:cs="Arial"/>
          <w:color w:val="26221F"/>
        </w:rPr>
        <w:t>making. These benefits will be tracked through the wellbeing dashboard and annual evaluation cycle.</w:t>
      </w:r>
    </w:p>
    <w:p w14:paraId="303FACD4" w14:textId="1B6953C2" w:rsidR="542CA2E8" w:rsidRPr="00437057" w:rsidRDefault="4BEFBCE0" w:rsidP="00C260D9">
      <w:pPr>
        <w:pStyle w:val="Heading1"/>
        <w:spacing w:line="480" w:lineRule="auto"/>
        <w:rPr>
          <w:rFonts w:ascii="Arial" w:hAnsi="Arial" w:cs="Arial"/>
        </w:rPr>
      </w:pPr>
      <w:bookmarkStart w:id="17" w:name="_Toc903594525"/>
      <w:r w:rsidRPr="00437057">
        <w:rPr>
          <w:rFonts w:ascii="Arial" w:hAnsi="Arial" w:cs="Arial"/>
        </w:rPr>
        <w:t>Conclusion</w:t>
      </w:r>
      <w:bookmarkEnd w:id="17"/>
    </w:p>
    <w:p w14:paraId="59EBEE32" w14:textId="797CD51A" w:rsidR="2B10ED07" w:rsidRDefault="2B10ED07" w:rsidP="00C260D9">
      <w:pPr>
        <w:spacing w:after="180" w:line="480" w:lineRule="auto"/>
        <w:rPr>
          <w:rFonts w:ascii="Arial" w:eastAsia="Arial" w:hAnsi="Arial" w:cs="Arial"/>
          <w:color w:val="26221F"/>
        </w:rPr>
      </w:pPr>
      <w:r w:rsidRPr="6311CB48">
        <w:rPr>
          <w:rFonts w:ascii="Arial" w:eastAsia="Arial" w:hAnsi="Arial" w:cs="Arial"/>
          <w:color w:val="26221F"/>
        </w:rPr>
        <w:t>The development of the Wellbeing and Workforce Resilience Strategy demonstrates a clear, evidence</w:t>
      </w:r>
      <w:r>
        <w:noBreakHyphen/>
      </w:r>
      <w:r w:rsidRPr="6311CB48">
        <w:rPr>
          <w:rFonts w:ascii="Arial" w:eastAsia="Arial" w:hAnsi="Arial" w:cs="Arial"/>
          <w:color w:val="26221F"/>
        </w:rPr>
        <w:t xml:space="preserve">based commitment to strengthening organisational health, </w:t>
      </w:r>
      <w:r w:rsidRPr="6311CB48">
        <w:rPr>
          <w:rFonts w:ascii="Arial" w:eastAsia="Arial" w:hAnsi="Arial" w:cs="Arial"/>
          <w:color w:val="26221F"/>
        </w:rPr>
        <w:lastRenderedPageBreak/>
        <w:t>operational effectiveness, and long</w:t>
      </w:r>
      <w:r>
        <w:noBreakHyphen/>
      </w:r>
      <w:r w:rsidRPr="6311CB48">
        <w:rPr>
          <w:rFonts w:ascii="Arial" w:eastAsia="Arial" w:hAnsi="Arial" w:cs="Arial"/>
          <w:color w:val="26221F"/>
        </w:rPr>
        <w:t>term workforce sustainability. The diagnostic process identified the key drivers of psychological risk, sickness absence, and reduced deployable capacity, aligning these findings with national policing expectations, the Police Covenant, and internal strategic priorities (HSE, 2023; College of Policing, 2021).</w:t>
      </w:r>
    </w:p>
    <w:p w14:paraId="42A35692" w14:textId="657C2050" w:rsidR="2B10ED07" w:rsidRDefault="2B10ED07" w:rsidP="6311CB48">
      <w:pPr>
        <w:spacing w:after="180" w:line="480" w:lineRule="auto"/>
        <w:rPr>
          <w:rFonts w:ascii="Arial" w:eastAsia="Arial" w:hAnsi="Arial" w:cs="Arial"/>
          <w:color w:val="26221F"/>
        </w:rPr>
      </w:pPr>
      <w:r w:rsidRPr="6311CB48">
        <w:rPr>
          <w:rFonts w:ascii="Arial" w:eastAsia="Arial" w:hAnsi="Arial" w:cs="Arial"/>
          <w:color w:val="26221F"/>
        </w:rPr>
        <w:t>The organisation already possesses strong foundations, including established governance structures, internal analytics capability, in</w:t>
      </w:r>
      <w:r>
        <w:noBreakHyphen/>
      </w:r>
      <w:r w:rsidRPr="6311CB48">
        <w:rPr>
          <w:rFonts w:ascii="Arial" w:eastAsia="Arial" w:hAnsi="Arial" w:cs="Arial"/>
          <w:color w:val="26221F"/>
        </w:rPr>
        <w:t>house counselling provision, and a capable Learning and Development and Corporate Communications function. These strengths ensure that the strategy is operationally feasible and proportionate, with the targeted</w:t>
      </w:r>
      <w:r>
        <w:noBreakHyphen/>
      </w:r>
      <w:r w:rsidRPr="6311CB48">
        <w:rPr>
          <w:rFonts w:ascii="Arial" w:eastAsia="Arial" w:hAnsi="Arial" w:cs="Arial"/>
          <w:color w:val="26221F"/>
        </w:rPr>
        <w:t>investment model</w:t>
      </w:r>
      <w:r w:rsidR="13D7C3EB" w:rsidRPr="6311CB48">
        <w:rPr>
          <w:rFonts w:ascii="Arial" w:eastAsia="Arial" w:hAnsi="Arial" w:cs="Arial"/>
          <w:color w:val="26221F"/>
        </w:rPr>
        <w:t xml:space="preserve"> </w:t>
      </w:r>
      <w:r w:rsidRPr="6311CB48">
        <w:rPr>
          <w:rFonts w:ascii="Arial" w:eastAsia="Arial" w:hAnsi="Arial" w:cs="Arial"/>
          <w:color w:val="26221F"/>
        </w:rPr>
        <w:t>focused on expanding Occupational Health capacity through recruitment of a Band 6 and Band 7 OH Nurse Clinician</w:t>
      </w:r>
      <w:r w:rsidR="38320C49" w:rsidRPr="6311CB48">
        <w:rPr>
          <w:rFonts w:ascii="Arial" w:eastAsia="Arial" w:hAnsi="Arial" w:cs="Arial"/>
          <w:color w:val="26221F"/>
        </w:rPr>
        <w:t xml:space="preserve">, </w:t>
      </w:r>
      <w:r w:rsidRPr="6311CB48">
        <w:rPr>
          <w:rFonts w:ascii="Arial" w:eastAsia="Arial" w:hAnsi="Arial" w:cs="Arial"/>
          <w:color w:val="26221F"/>
        </w:rPr>
        <w:t>providing the most effective balance between affordability, feasibility, and impact.</w:t>
      </w:r>
    </w:p>
    <w:p w14:paraId="5D5D7942" w14:textId="795E090D" w:rsidR="2B10ED07" w:rsidRDefault="2B10ED07" w:rsidP="6311CB48">
      <w:pPr>
        <w:spacing w:after="180" w:line="480" w:lineRule="auto"/>
        <w:rPr>
          <w:rFonts w:ascii="Arial" w:eastAsia="Arial" w:hAnsi="Arial" w:cs="Arial"/>
          <w:color w:val="26221F"/>
        </w:rPr>
      </w:pPr>
      <w:r w:rsidRPr="6311CB48">
        <w:rPr>
          <w:rFonts w:ascii="Arial" w:eastAsia="Arial" w:hAnsi="Arial" w:cs="Arial"/>
          <w:color w:val="26221F"/>
        </w:rPr>
        <w:t>The phased implementation plan supports sustainable cultural and behavioural change, enabling a shift towards early intervention, trauma</w:t>
      </w:r>
      <w:r>
        <w:noBreakHyphen/>
      </w:r>
      <w:r w:rsidRPr="6311CB48">
        <w:rPr>
          <w:rFonts w:ascii="Arial" w:eastAsia="Arial" w:hAnsi="Arial" w:cs="Arial"/>
          <w:color w:val="26221F"/>
        </w:rPr>
        <w:t>informed practice, and leadership</w:t>
      </w:r>
      <w:r>
        <w:noBreakHyphen/>
      </w:r>
      <w:r w:rsidRPr="6311CB48">
        <w:rPr>
          <w:rFonts w:ascii="Arial" w:eastAsia="Arial" w:hAnsi="Arial" w:cs="Arial"/>
          <w:color w:val="26221F"/>
        </w:rPr>
        <w:t xml:space="preserve">driven wellbeing (Cooper and Cartwright, 1997; Brewin, 2014). The </w:t>
      </w:r>
      <w:r w:rsidR="52232E4B" w:rsidRPr="6311CB48">
        <w:rPr>
          <w:rFonts w:ascii="Arial" w:eastAsia="Arial" w:hAnsi="Arial" w:cs="Arial"/>
          <w:color w:val="26221F"/>
        </w:rPr>
        <w:t>W</w:t>
      </w:r>
      <w:r w:rsidRPr="6311CB48">
        <w:rPr>
          <w:rFonts w:ascii="Arial" w:eastAsia="Arial" w:hAnsi="Arial" w:cs="Arial"/>
          <w:color w:val="26221F"/>
        </w:rPr>
        <w:t xml:space="preserve">ellbeing </w:t>
      </w:r>
      <w:r w:rsidR="11D1160F" w:rsidRPr="6311CB48">
        <w:rPr>
          <w:rFonts w:ascii="Arial" w:eastAsia="Arial" w:hAnsi="Arial" w:cs="Arial"/>
          <w:color w:val="26221F"/>
        </w:rPr>
        <w:t>D</w:t>
      </w:r>
      <w:r w:rsidRPr="6311CB48">
        <w:rPr>
          <w:rFonts w:ascii="Arial" w:eastAsia="Arial" w:hAnsi="Arial" w:cs="Arial"/>
          <w:color w:val="26221F"/>
        </w:rPr>
        <w:t>ashboard will enhance organisational intelligence and support data</w:t>
      </w:r>
      <w:r>
        <w:noBreakHyphen/>
      </w:r>
      <w:r w:rsidRPr="6311CB48">
        <w:rPr>
          <w:rFonts w:ascii="Arial" w:eastAsia="Arial" w:hAnsi="Arial" w:cs="Arial"/>
          <w:color w:val="26221F"/>
        </w:rPr>
        <w:t>driven decision</w:t>
      </w:r>
      <w:r>
        <w:noBreakHyphen/>
      </w:r>
      <w:r w:rsidRPr="6311CB48">
        <w:rPr>
          <w:rFonts w:ascii="Arial" w:eastAsia="Arial" w:hAnsi="Arial" w:cs="Arial"/>
          <w:color w:val="26221F"/>
        </w:rPr>
        <w:t>making, while leadership and supervision standards embed wellbeing into everyday management practice (Arnold and Connelly, 2013).</w:t>
      </w:r>
    </w:p>
    <w:p w14:paraId="6EE95AD4" w14:textId="6C28F751" w:rsidR="2B10ED07" w:rsidRDefault="2B10ED07" w:rsidP="6311CB48">
      <w:pPr>
        <w:spacing w:after="180" w:line="480" w:lineRule="auto"/>
        <w:rPr>
          <w:rFonts w:ascii="Arial" w:eastAsia="Arial" w:hAnsi="Arial" w:cs="Arial"/>
          <w:color w:val="26221F"/>
        </w:rPr>
      </w:pPr>
      <w:r w:rsidRPr="6311CB48">
        <w:rPr>
          <w:rFonts w:ascii="Arial" w:eastAsia="Arial" w:hAnsi="Arial" w:cs="Arial"/>
          <w:color w:val="26221F"/>
        </w:rPr>
        <w:t>The strategy is projected to deliver significant financial and operational benefits, including reductions in psychological</w:t>
      </w:r>
      <w:r>
        <w:noBreakHyphen/>
      </w:r>
      <w:r w:rsidRPr="6311CB48">
        <w:rPr>
          <w:rFonts w:ascii="Arial" w:eastAsia="Arial" w:hAnsi="Arial" w:cs="Arial"/>
          <w:color w:val="26221F"/>
        </w:rPr>
        <w:t>related sickness, improved deployable capacity, and enhanced workforce engagement. These outcomes will be monitored through a robust evaluation framework led by the Head of Health, Safety and Wellbeing, ensuring continuous improvement and long</w:t>
      </w:r>
      <w:r>
        <w:noBreakHyphen/>
      </w:r>
      <w:r w:rsidRPr="6311CB48">
        <w:rPr>
          <w:rFonts w:ascii="Arial" w:eastAsia="Arial" w:hAnsi="Arial" w:cs="Arial"/>
          <w:color w:val="26221F"/>
        </w:rPr>
        <w:t>term cultural change (Deloitte, 2020).</w:t>
      </w:r>
    </w:p>
    <w:p w14:paraId="7531C676" w14:textId="1959590D" w:rsidR="2B10ED07" w:rsidRDefault="2B10ED07" w:rsidP="6311CB48">
      <w:pPr>
        <w:spacing w:after="180" w:line="480" w:lineRule="auto"/>
        <w:rPr>
          <w:rFonts w:ascii="Arial" w:eastAsia="Arial" w:hAnsi="Arial" w:cs="Arial"/>
          <w:color w:val="26221F"/>
        </w:rPr>
      </w:pPr>
      <w:r w:rsidRPr="6311CB48">
        <w:rPr>
          <w:rFonts w:ascii="Arial" w:eastAsia="Arial" w:hAnsi="Arial" w:cs="Arial"/>
          <w:color w:val="26221F"/>
        </w:rPr>
        <w:lastRenderedPageBreak/>
        <w:t>Overall, the strategy provides a coherent, sustainable, and cost</w:t>
      </w:r>
      <w:r>
        <w:noBreakHyphen/>
      </w:r>
      <w:r w:rsidRPr="6311CB48">
        <w:rPr>
          <w:rFonts w:ascii="Arial" w:eastAsia="Arial" w:hAnsi="Arial" w:cs="Arial"/>
          <w:color w:val="26221F"/>
        </w:rPr>
        <w:t>effective approach to improving workforce wellbeing and organisational resilience over the next 36 months.</w:t>
      </w:r>
    </w:p>
    <w:p w14:paraId="71AE9169" w14:textId="6A532E37" w:rsidR="542CA2E8" w:rsidRPr="00437057" w:rsidRDefault="4BEFBCE0" w:rsidP="00C260D9">
      <w:pPr>
        <w:pStyle w:val="Heading1"/>
        <w:spacing w:line="480" w:lineRule="auto"/>
        <w:rPr>
          <w:rFonts w:ascii="Arial" w:hAnsi="Arial" w:cs="Arial"/>
        </w:rPr>
      </w:pPr>
      <w:bookmarkStart w:id="18" w:name="_Toc766622262"/>
      <w:r w:rsidRPr="00437057">
        <w:rPr>
          <w:rFonts w:ascii="Arial" w:hAnsi="Arial" w:cs="Arial"/>
        </w:rPr>
        <w:t>Recommendations</w:t>
      </w:r>
      <w:bookmarkEnd w:id="18"/>
    </w:p>
    <w:p w14:paraId="5D2FC0B6" w14:textId="5A08DD4C" w:rsidR="4C5EBBA5" w:rsidRDefault="312F9F45" w:rsidP="00C260D9">
      <w:pPr>
        <w:spacing w:after="180" w:line="480" w:lineRule="auto"/>
        <w:rPr>
          <w:rFonts w:ascii="Arial" w:eastAsia="Arial" w:hAnsi="Arial" w:cs="Arial"/>
          <w:color w:val="26221F"/>
        </w:rPr>
      </w:pPr>
      <w:r w:rsidRPr="6311CB48">
        <w:rPr>
          <w:rFonts w:ascii="Arial" w:eastAsia="Arial" w:hAnsi="Arial" w:cs="Arial"/>
          <w:color w:val="26221F"/>
        </w:rPr>
        <w:t>The following recommendations will support successful delivery, sustainability, and long</w:t>
      </w:r>
      <w:r w:rsidR="4C5EBBA5">
        <w:noBreakHyphen/>
      </w:r>
      <w:r w:rsidRPr="6311CB48">
        <w:rPr>
          <w:rFonts w:ascii="Arial" w:eastAsia="Arial" w:hAnsi="Arial" w:cs="Arial"/>
          <w:color w:val="26221F"/>
        </w:rPr>
        <w:t>term impact of the Wellbeing and Workforce Resilience Strategy. They reflect organisational readiness, internal capability, and the targeted</w:t>
      </w:r>
      <w:r w:rsidR="4C5EBBA5">
        <w:noBreakHyphen/>
      </w:r>
      <w:r w:rsidRPr="6311CB48">
        <w:rPr>
          <w:rFonts w:ascii="Arial" w:eastAsia="Arial" w:hAnsi="Arial" w:cs="Arial"/>
          <w:color w:val="26221F"/>
        </w:rPr>
        <w:t>investment model identified as the most effective and proportionate approach.</w:t>
      </w:r>
    </w:p>
    <w:p w14:paraId="08E080A6" w14:textId="1834BB53"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1. Invest in Targeted Occupational Health Capacity</w:t>
      </w:r>
    </w:p>
    <w:p w14:paraId="60509CD0" w14:textId="31B4E601"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Recruiting one Band 6 and one Band 7 OH Nurse Clinician should be prioritised to address the current clinical capacity gap. This will reduce waiting times, strengthen early</w:t>
      </w:r>
      <w:r w:rsidR="4C5EBBA5">
        <w:noBreakHyphen/>
      </w:r>
      <w:r w:rsidRPr="6311CB48">
        <w:rPr>
          <w:rFonts w:ascii="Arial" w:eastAsia="Arial" w:hAnsi="Arial" w:cs="Arial"/>
          <w:color w:val="26221F"/>
        </w:rPr>
        <w:t>intervention capability, support high</w:t>
      </w:r>
      <w:r w:rsidR="4C5EBBA5">
        <w:noBreakHyphen/>
      </w:r>
      <w:r w:rsidRPr="6311CB48">
        <w:rPr>
          <w:rFonts w:ascii="Arial" w:eastAsia="Arial" w:hAnsi="Arial" w:cs="Arial"/>
          <w:color w:val="26221F"/>
        </w:rPr>
        <w:t>risk role screening, and reduce long</w:t>
      </w:r>
      <w:r w:rsidR="4C5EBBA5">
        <w:noBreakHyphen/>
      </w:r>
      <w:r w:rsidRPr="6311CB48">
        <w:rPr>
          <w:rFonts w:ascii="Arial" w:eastAsia="Arial" w:hAnsi="Arial" w:cs="Arial"/>
          <w:color w:val="26221F"/>
        </w:rPr>
        <w:t>term sickness and restricted</w:t>
      </w:r>
      <w:r w:rsidR="4C5EBBA5">
        <w:noBreakHyphen/>
      </w:r>
      <w:r w:rsidRPr="6311CB48">
        <w:rPr>
          <w:rFonts w:ascii="Arial" w:eastAsia="Arial" w:hAnsi="Arial" w:cs="Arial"/>
          <w:color w:val="26221F"/>
        </w:rPr>
        <w:t>duty abstractions. This is the most critical enabler of improved workforce resilience.</w:t>
      </w:r>
    </w:p>
    <w:p w14:paraId="47957D17" w14:textId="06796ABD"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 xml:space="preserve">2. Implement Leadership and Supervision Training Through the </w:t>
      </w:r>
      <w:proofErr w:type="gramStart"/>
      <w:r w:rsidRPr="6311CB48">
        <w:rPr>
          <w:rFonts w:ascii="Arial" w:eastAsia="Arial" w:hAnsi="Arial" w:cs="Arial"/>
          <w:color w:val="26221F"/>
        </w:rPr>
        <w:t>In</w:t>
      </w:r>
      <w:proofErr w:type="gramEnd"/>
      <w:r w:rsidR="4C5EBBA5">
        <w:noBreakHyphen/>
      </w:r>
      <w:r w:rsidRPr="6311CB48">
        <w:rPr>
          <w:rFonts w:ascii="Arial" w:eastAsia="Arial" w:hAnsi="Arial" w:cs="Arial"/>
          <w:color w:val="26221F"/>
        </w:rPr>
        <w:t>House L&amp;D Team</w:t>
      </w:r>
    </w:p>
    <w:p w14:paraId="37DC4676" w14:textId="0398112E"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Wellbeing</w:t>
      </w:r>
      <w:r w:rsidR="4C5EBBA5">
        <w:noBreakHyphen/>
      </w:r>
      <w:r w:rsidRPr="6311CB48">
        <w:rPr>
          <w:rFonts w:ascii="Arial" w:eastAsia="Arial" w:hAnsi="Arial" w:cs="Arial"/>
          <w:color w:val="26221F"/>
        </w:rPr>
        <w:t>focused leadership and supervision training should be developed and delivered internally to ensure cultural alignment and cost</w:t>
      </w:r>
      <w:r w:rsidR="4C5EBBA5">
        <w:noBreakHyphen/>
      </w:r>
      <w:r w:rsidRPr="6311CB48">
        <w:rPr>
          <w:rFonts w:ascii="Arial" w:eastAsia="Arial" w:hAnsi="Arial" w:cs="Arial"/>
          <w:color w:val="26221F"/>
        </w:rPr>
        <w:t>effectiveness. This will embed wellbeing into everyday management practice, strengthen early</w:t>
      </w:r>
      <w:r w:rsidR="4C5EBBA5">
        <w:noBreakHyphen/>
      </w:r>
      <w:r w:rsidRPr="6311CB48">
        <w:rPr>
          <w:rFonts w:ascii="Arial" w:eastAsia="Arial" w:hAnsi="Arial" w:cs="Arial"/>
          <w:color w:val="26221F"/>
        </w:rPr>
        <w:t>intervention confidence, and support consistent people management. Protected learning time should be agreed at Chief Officer level.</w:t>
      </w:r>
    </w:p>
    <w:p w14:paraId="6E3436D2" w14:textId="15B939A3"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3. Launch the Wellbeing Dashboard to Enable Data</w:t>
      </w:r>
      <w:r w:rsidR="4C5EBBA5">
        <w:noBreakHyphen/>
      </w:r>
      <w:r w:rsidRPr="6311CB48">
        <w:rPr>
          <w:rFonts w:ascii="Arial" w:eastAsia="Arial" w:hAnsi="Arial" w:cs="Arial"/>
          <w:color w:val="26221F"/>
        </w:rPr>
        <w:t>Driven Decision</w:t>
      </w:r>
      <w:r w:rsidR="4C5EBBA5">
        <w:noBreakHyphen/>
      </w:r>
      <w:r w:rsidRPr="6311CB48">
        <w:rPr>
          <w:rFonts w:ascii="Arial" w:eastAsia="Arial" w:hAnsi="Arial" w:cs="Arial"/>
          <w:color w:val="26221F"/>
        </w:rPr>
        <w:t>Making</w:t>
      </w:r>
    </w:p>
    <w:p w14:paraId="25D61A91" w14:textId="11D15B6C"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lastRenderedPageBreak/>
        <w:t>The Data Analytics Team should develop and maintain the wellbeing dashboard using existing systems. The dashboard will provide real</w:t>
      </w:r>
      <w:r w:rsidR="4C5EBBA5">
        <w:noBreakHyphen/>
      </w:r>
      <w:r w:rsidRPr="6311CB48">
        <w:rPr>
          <w:rFonts w:ascii="Arial" w:eastAsia="Arial" w:hAnsi="Arial" w:cs="Arial"/>
          <w:color w:val="26221F"/>
        </w:rPr>
        <w:t>time insight into sickness, trauma exposure, and wellbeing trends, enabling early identification of risks and strengthening governance and accountability.</w:t>
      </w:r>
    </w:p>
    <w:p w14:paraId="2D541EB1" w14:textId="47818147"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4. Embed Trauma</w:t>
      </w:r>
      <w:r w:rsidR="4C5EBBA5">
        <w:noBreakHyphen/>
      </w:r>
      <w:r w:rsidRPr="6311CB48">
        <w:rPr>
          <w:rFonts w:ascii="Arial" w:eastAsia="Arial" w:hAnsi="Arial" w:cs="Arial"/>
          <w:color w:val="26221F"/>
        </w:rPr>
        <w:t>Informed Support Pathways Using Internal Counselling Expertise</w:t>
      </w:r>
    </w:p>
    <w:p w14:paraId="0DEDAD9C" w14:textId="6A560C59"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Trauma</w:t>
      </w:r>
      <w:r w:rsidR="4C5EBBA5">
        <w:noBreakHyphen/>
      </w:r>
      <w:r w:rsidRPr="6311CB48">
        <w:rPr>
          <w:rFonts w:ascii="Arial" w:eastAsia="Arial" w:hAnsi="Arial" w:cs="Arial"/>
          <w:color w:val="26221F"/>
        </w:rPr>
        <w:t>informed pathways should be formalised using the in</w:t>
      </w:r>
      <w:r w:rsidR="4C5EBBA5">
        <w:noBreakHyphen/>
      </w:r>
      <w:r w:rsidRPr="6311CB48">
        <w:rPr>
          <w:rFonts w:ascii="Arial" w:eastAsia="Arial" w:hAnsi="Arial" w:cs="Arial"/>
          <w:color w:val="26221F"/>
        </w:rPr>
        <w:t>house counselling team, supported by CPD and clinical supervision. This will enhance support for high</w:t>
      </w:r>
      <w:r w:rsidR="4C5EBBA5">
        <w:noBreakHyphen/>
      </w:r>
      <w:r w:rsidRPr="6311CB48">
        <w:rPr>
          <w:rFonts w:ascii="Arial" w:eastAsia="Arial" w:hAnsi="Arial" w:cs="Arial"/>
          <w:color w:val="26221F"/>
        </w:rPr>
        <w:t>risk roles, improve psychological safety, and strengthen early</w:t>
      </w:r>
      <w:r w:rsidR="4C5EBBA5">
        <w:noBreakHyphen/>
      </w:r>
      <w:r w:rsidRPr="6311CB48">
        <w:rPr>
          <w:rFonts w:ascii="Arial" w:eastAsia="Arial" w:hAnsi="Arial" w:cs="Arial"/>
          <w:color w:val="26221F"/>
        </w:rPr>
        <w:t>intervention capability. The online GAD</w:t>
      </w:r>
      <w:r w:rsidR="4C5EBBA5">
        <w:noBreakHyphen/>
      </w:r>
      <w:r w:rsidRPr="6311CB48">
        <w:rPr>
          <w:rFonts w:ascii="Arial" w:eastAsia="Arial" w:hAnsi="Arial" w:cs="Arial"/>
          <w:color w:val="26221F"/>
        </w:rPr>
        <w:t>7 and PHQ</w:t>
      </w:r>
      <w:r w:rsidR="4C5EBBA5">
        <w:noBreakHyphen/>
      </w:r>
      <w:r w:rsidRPr="6311CB48">
        <w:rPr>
          <w:rFonts w:ascii="Arial" w:eastAsia="Arial" w:hAnsi="Arial" w:cs="Arial"/>
          <w:color w:val="26221F"/>
        </w:rPr>
        <w:t>9 screening process should be integrated into this pathway.</w:t>
      </w:r>
    </w:p>
    <w:p w14:paraId="43126693" w14:textId="21F4C3EF"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5. Deliver a Structured Communication and Cultural Change Programme</w:t>
      </w:r>
    </w:p>
    <w:p w14:paraId="061D03E4" w14:textId="3E10D077"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Corporate Communications should lead a sustained engagement programme to promote the strategy, normalise help</w:t>
      </w:r>
      <w:r w:rsidR="4C5EBBA5">
        <w:noBreakHyphen/>
      </w:r>
      <w:r w:rsidRPr="6311CB48">
        <w:rPr>
          <w:rFonts w:ascii="Arial" w:eastAsia="Arial" w:hAnsi="Arial" w:cs="Arial"/>
          <w:color w:val="26221F"/>
        </w:rPr>
        <w:t>seeking behaviours, reinforce leadership expectations, and support cultural change across commands.</w:t>
      </w:r>
    </w:p>
    <w:p w14:paraId="7A81B6EB" w14:textId="028297DE"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6. Maintain Strong Governance Through the Gold/Silver/Bronze Model</w:t>
      </w:r>
    </w:p>
    <w:p w14:paraId="7066A486" w14:textId="4137E641"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The governance structure should be fully adopted, with clear accountability at each level. Chief Officer and Command buy</w:t>
      </w:r>
      <w:r w:rsidR="4C5EBBA5">
        <w:noBreakHyphen/>
      </w:r>
      <w:r w:rsidRPr="6311CB48">
        <w:rPr>
          <w:rFonts w:ascii="Arial" w:eastAsia="Arial" w:hAnsi="Arial" w:cs="Arial"/>
          <w:color w:val="26221F"/>
        </w:rPr>
        <w:t>in is essential to drive cultural change, ensure consistent implementation, and maintain strategic oversight. Governance should be reviewed annually.</w:t>
      </w:r>
    </w:p>
    <w:p w14:paraId="03F805D8" w14:textId="37124095"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7. Establish a Robust Evaluation and Continuous Improvement Cycle</w:t>
      </w:r>
    </w:p>
    <w:p w14:paraId="0D164A88" w14:textId="431B5A9D"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lastRenderedPageBreak/>
        <w:t>The Head of Health, Safety &amp; Wellbeing should lead an annual evaluation process to monitor KPIs, assess clinical demand and workforce feedback, refine interventions, and report progress to Chief Officer Group.</w:t>
      </w:r>
    </w:p>
    <w:p w14:paraId="13FAF022" w14:textId="72C2080B"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8. Adopt the Targeted</w:t>
      </w:r>
      <w:r w:rsidR="4C5EBBA5">
        <w:noBreakHyphen/>
      </w:r>
      <w:r w:rsidRPr="6311CB48">
        <w:rPr>
          <w:rFonts w:ascii="Arial" w:eastAsia="Arial" w:hAnsi="Arial" w:cs="Arial"/>
          <w:color w:val="26221F"/>
        </w:rPr>
        <w:t>Investment Model as the Preferred Delivery Approach</w:t>
      </w:r>
    </w:p>
    <w:p w14:paraId="326EACFD" w14:textId="4723A81C"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The organisation should formally adopt the targeted</w:t>
      </w:r>
      <w:r w:rsidR="4C5EBBA5">
        <w:noBreakHyphen/>
      </w:r>
      <w:r w:rsidRPr="6311CB48">
        <w:rPr>
          <w:rFonts w:ascii="Arial" w:eastAsia="Arial" w:hAnsi="Arial" w:cs="Arial"/>
          <w:color w:val="26221F"/>
        </w:rPr>
        <w:t>investment model to maximise internal capability, minimise financial cost, address critical capacity gaps, and ensure long</w:t>
      </w:r>
      <w:r w:rsidR="4C5EBBA5">
        <w:noBreakHyphen/>
      </w:r>
      <w:r w:rsidRPr="6311CB48">
        <w:rPr>
          <w:rFonts w:ascii="Arial" w:eastAsia="Arial" w:hAnsi="Arial" w:cs="Arial"/>
          <w:color w:val="26221F"/>
        </w:rPr>
        <w:t>term sustainability.</w:t>
      </w:r>
    </w:p>
    <w:p w14:paraId="67FE7B9C" w14:textId="59DE346E" w:rsidR="4C5EBBA5" w:rsidRDefault="312F9F45" w:rsidP="6311CB48">
      <w:pPr>
        <w:spacing w:after="180" w:line="480" w:lineRule="auto"/>
        <w:rPr>
          <w:rFonts w:ascii="Arial" w:eastAsia="Arial" w:hAnsi="Arial" w:cs="Arial"/>
          <w:color w:val="26221F"/>
        </w:rPr>
      </w:pPr>
      <w:r w:rsidRPr="6311CB48">
        <w:rPr>
          <w:rFonts w:ascii="Arial" w:eastAsia="Arial" w:hAnsi="Arial" w:cs="Arial"/>
          <w:color w:val="26221F"/>
        </w:rPr>
        <w:t>Collectively, these recommendations provide a clear, achievable, and cost</w:t>
      </w:r>
      <w:r w:rsidR="4C5EBBA5">
        <w:noBreakHyphen/>
      </w:r>
      <w:r w:rsidRPr="6311CB48">
        <w:rPr>
          <w:rFonts w:ascii="Arial" w:eastAsia="Arial" w:hAnsi="Arial" w:cs="Arial"/>
          <w:color w:val="26221F"/>
        </w:rPr>
        <w:t>effective roadmap for delivering the strategy and strengthening workforce capability, service quality, and organisational resilience.</w:t>
      </w:r>
    </w:p>
    <w:p w14:paraId="62222A13" w14:textId="04470717" w:rsidR="4C5EBBA5" w:rsidRDefault="4C5EBBA5" w:rsidP="4C5EBBA5">
      <w:pPr>
        <w:rPr>
          <w:rFonts w:ascii="Arial" w:eastAsia="Arial" w:hAnsi="Arial" w:cs="Arial"/>
        </w:rPr>
      </w:pPr>
    </w:p>
    <w:p w14:paraId="27E03F1B" w14:textId="77777777" w:rsidR="00917A17" w:rsidRDefault="00917A17" w:rsidP="4C5EBBA5">
      <w:pPr>
        <w:rPr>
          <w:rFonts w:ascii="Arial" w:eastAsia="Arial" w:hAnsi="Arial" w:cs="Arial"/>
        </w:rPr>
      </w:pPr>
    </w:p>
    <w:p w14:paraId="4DCD7D27" w14:textId="77777777" w:rsidR="00917A17" w:rsidRDefault="00917A17" w:rsidP="4C5EBBA5">
      <w:pPr>
        <w:rPr>
          <w:rFonts w:ascii="Arial" w:eastAsia="Arial" w:hAnsi="Arial" w:cs="Arial"/>
        </w:rPr>
      </w:pPr>
    </w:p>
    <w:p w14:paraId="5C214391" w14:textId="2B4676DC" w:rsidR="00917A17" w:rsidRDefault="00917A17" w:rsidP="0EB0CFED">
      <w:pPr>
        <w:rPr>
          <w:rFonts w:ascii="Arial" w:eastAsia="Arial" w:hAnsi="Arial" w:cs="Arial"/>
        </w:rPr>
      </w:pPr>
    </w:p>
    <w:p w14:paraId="41F0AFD9" w14:textId="26CEFD3F" w:rsidR="00917A17" w:rsidRDefault="00917A17" w:rsidP="0EB0CFED">
      <w:pPr>
        <w:rPr>
          <w:rFonts w:ascii="Arial" w:eastAsia="Arial" w:hAnsi="Arial" w:cs="Arial"/>
        </w:rPr>
      </w:pPr>
    </w:p>
    <w:p w14:paraId="056F6FDF" w14:textId="7E793CCF" w:rsidR="00917A17" w:rsidRDefault="00917A17" w:rsidP="0EB0CFED">
      <w:pPr>
        <w:rPr>
          <w:rFonts w:ascii="Arial" w:eastAsia="Arial" w:hAnsi="Arial" w:cs="Arial"/>
        </w:rPr>
      </w:pPr>
    </w:p>
    <w:p w14:paraId="6D686FAA" w14:textId="74FA2C88" w:rsidR="00917A17" w:rsidRDefault="00917A17" w:rsidP="0EB0CFED">
      <w:pPr>
        <w:rPr>
          <w:rFonts w:ascii="Arial" w:eastAsia="Arial" w:hAnsi="Arial" w:cs="Arial"/>
        </w:rPr>
      </w:pPr>
    </w:p>
    <w:p w14:paraId="494FD51C" w14:textId="2CF05B7C" w:rsidR="00917A17" w:rsidRDefault="00917A17" w:rsidP="0EB0CFED">
      <w:pPr>
        <w:rPr>
          <w:rFonts w:ascii="Arial" w:eastAsia="Arial" w:hAnsi="Arial" w:cs="Arial"/>
        </w:rPr>
      </w:pPr>
    </w:p>
    <w:p w14:paraId="778E5403" w14:textId="4CB0C127" w:rsidR="00917A17" w:rsidRDefault="00917A17" w:rsidP="0EB0CFED">
      <w:pPr>
        <w:rPr>
          <w:rFonts w:ascii="Arial" w:eastAsia="Arial" w:hAnsi="Arial" w:cs="Arial"/>
        </w:rPr>
      </w:pPr>
    </w:p>
    <w:p w14:paraId="1FFF9633" w14:textId="6BD46467" w:rsidR="0F6A85EF" w:rsidRDefault="0F6A85EF" w:rsidP="0F6A85EF"/>
    <w:p w14:paraId="5FE865F3" w14:textId="77777777" w:rsidR="00917A17" w:rsidRDefault="00917A17" w:rsidP="0F6A85EF"/>
    <w:p w14:paraId="0B671FEA" w14:textId="77777777" w:rsidR="00917A17" w:rsidRDefault="00917A17" w:rsidP="0F6A85EF"/>
    <w:p w14:paraId="3C7304D7" w14:textId="77777777" w:rsidR="00917A17" w:rsidRDefault="00917A17" w:rsidP="0F6A85EF"/>
    <w:p w14:paraId="0634696B" w14:textId="77777777" w:rsidR="00917A17" w:rsidRDefault="00917A17" w:rsidP="0F6A85EF"/>
    <w:p w14:paraId="53F18D84" w14:textId="77777777" w:rsidR="00917A17" w:rsidRDefault="00917A17" w:rsidP="0F6A85EF"/>
    <w:p w14:paraId="51978380" w14:textId="7D9D5E39" w:rsidR="0EB0CFED" w:rsidRPr="00437057" w:rsidRDefault="4BEFBCE0" w:rsidP="6311CB48">
      <w:pPr>
        <w:pStyle w:val="Heading1"/>
        <w:rPr>
          <w:rFonts w:ascii="Arial" w:hAnsi="Arial" w:cs="Arial"/>
        </w:rPr>
      </w:pPr>
      <w:bookmarkStart w:id="19" w:name="_Toc649893759"/>
      <w:r w:rsidRPr="00437057">
        <w:rPr>
          <w:rFonts w:ascii="Arial" w:hAnsi="Arial" w:cs="Arial"/>
        </w:rPr>
        <w:lastRenderedPageBreak/>
        <w:t>Appendi</w:t>
      </w:r>
      <w:r w:rsidR="3240BE8A" w:rsidRPr="00437057">
        <w:rPr>
          <w:rFonts w:ascii="Arial" w:hAnsi="Arial" w:cs="Arial"/>
        </w:rPr>
        <w:t>x</w:t>
      </w:r>
      <w:bookmarkEnd w:id="19"/>
    </w:p>
    <w:p w14:paraId="1E307740" w14:textId="39D96B17" w:rsidR="4566540D" w:rsidRPr="00437057" w:rsidRDefault="3F8ED417" w:rsidP="0F6A85EF">
      <w:pPr>
        <w:rPr>
          <w:rFonts w:ascii="Arial" w:hAnsi="Arial" w:cs="Arial"/>
        </w:rPr>
      </w:pPr>
      <w:r w:rsidRPr="00437057">
        <w:rPr>
          <w:rFonts w:ascii="Arial" w:hAnsi="Arial" w:cs="Arial"/>
        </w:rPr>
        <w:t>WELLBEING &amp; WORKFORCE RESILIENCE STRATEGY – GANTT CHART (36 MONTHS)</w:t>
      </w:r>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1998"/>
        <w:gridCol w:w="1808"/>
        <w:gridCol w:w="1730"/>
        <w:gridCol w:w="1730"/>
        <w:gridCol w:w="1730"/>
      </w:tblGrid>
      <w:tr w:rsidR="0F6A85EF" w14:paraId="19F96A67" w14:textId="77777777" w:rsidTr="6311CB48">
        <w:trPr>
          <w:trHeight w:val="285"/>
        </w:trPr>
        <w:tc>
          <w:tcPr>
            <w:tcW w:w="1890" w:type="dxa"/>
            <w:shd w:val="clear" w:color="auto" w:fill="F3E2D5"/>
          </w:tcPr>
          <w:p w14:paraId="222F7021" w14:textId="59FF452D" w:rsidR="0F6A85EF" w:rsidRDefault="0F6A85EF" w:rsidP="0F6A85EF">
            <w:pPr>
              <w:spacing w:after="0"/>
            </w:pPr>
            <w:r w:rsidRPr="0F6A85EF">
              <w:rPr>
                <w:rFonts w:ascii="Helvetica" w:eastAsia="Helvetica" w:hAnsi="Helvetica" w:cs="Helvetica"/>
                <w:b/>
                <w:bCs/>
                <w:color w:val="26221F"/>
                <w:sz w:val="22"/>
                <w:szCs w:val="22"/>
              </w:rPr>
              <w:t>Workstream / Phase</w:t>
            </w:r>
            <w:r w:rsidRPr="0F6A85EF">
              <w:rPr>
                <w:rFonts w:ascii="Helvetica" w:eastAsia="Helvetica" w:hAnsi="Helvetica" w:cs="Helvetica"/>
                <w:color w:val="26221F"/>
                <w:sz w:val="22"/>
                <w:szCs w:val="22"/>
              </w:rPr>
              <w:t xml:space="preserve"> </w:t>
            </w:r>
          </w:p>
        </w:tc>
        <w:tc>
          <w:tcPr>
            <w:tcW w:w="1410" w:type="dxa"/>
            <w:shd w:val="clear" w:color="auto" w:fill="F3E2D5"/>
          </w:tcPr>
          <w:p w14:paraId="2C404C02" w14:textId="740F69C6" w:rsidR="0F6A85EF" w:rsidRDefault="0F6A85EF" w:rsidP="0F6A85EF">
            <w:pPr>
              <w:spacing w:after="0"/>
            </w:pPr>
            <w:r w:rsidRPr="0F6A85EF">
              <w:rPr>
                <w:rFonts w:ascii="Helvetica" w:eastAsia="Helvetica" w:hAnsi="Helvetica" w:cs="Helvetica"/>
                <w:b/>
                <w:bCs/>
                <w:color w:val="26221F"/>
                <w:sz w:val="22"/>
                <w:szCs w:val="22"/>
              </w:rPr>
              <w:t>Months 1–3</w:t>
            </w:r>
            <w:r w:rsidRPr="0F6A85EF">
              <w:rPr>
                <w:rFonts w:ascii="Helvetica" w:eastAsia="Helvetica" w:hAnsi="Helvetica" w:cs="Helvetica"/>
                <w:color w:val="26221F"/>
                <w:sz w:val="22"/>
                <w:szCs w:val="22"/>
              </w:rPr>
              <w:t xml:space="preserve"> </w:t>
            </w:r>
          </w:p>
        </w:tc>
        <w:tc>
          <w:tcPr>
            <w:tcW w:w="1890" w:type="dxa"/>
            <w:shd w:val="clear" w:color="auto" w:fill="F3E2D5"/>
          </w:tcPr>
          <w:p w14:paraId="6EB9F48C" w14:textId="51B0A9E6" w:rsidR="0F6A85EF" w:rsidRDefault="0F6A85EF" w:rsidP="0F6A85EF">
            <w:pPr>
              <w:spacing w:after="0"/>
            </w:pPr>
            <w:r w:rsidRPr="0F6A85EF">
              <w:rPr>
                <w:rFonts w:ascii="Helvetica" w:eastAsia="Helvetica" w:hAnsi="Helvetica" w:cs="Helvetica"/>
                <w:b/>
                <w:bCs/>
                <w:color w:val="26221F"/>
                <w:sz w:val="22"/>
                <w:szCs w:val="22"/>
              </w:rPr>
              <w:t>Months 4–9</w:t>
            </w:r>
            <w:r w:rsidRPr="0F6A85EF">
              <w:rPr>
                <w:rFonts w:ascii="Helvetica" w:eastAsia="Helvetica" w:hAnsi="Helvetica" w:cs="Helvetica"/>
                <w:color w:val="26221F"/>
                <w:sz w:val="22"/>
                <w:szCs w:val="22"/>
              </w:rPr>
              <w:t xml:space="preserve"> </w:t>
            </w:r>
          </w:p>
        </w:tc>
        <w:tc>
          <w:tcPr>
            <w:tcW w:w="1890" w:type="dxa"/>
            <w:shd w:val="clear" w:color="auto" w:fill="F3E2D5"/>
          </w:tcPr>
          <w:p w14:paraId="02A0E542" w14:textId="564FEF77" w:rsidR="0F6A85EF" w:rsidRDefault="0F6A85EF" w:rsidP="0F6A85EF">
            <w:pPr>
              <w:spacing w:after="0"/>
            </w:pPr>
            <w:r w:rsidRPr="0F6A85EF">
              <w:rPr>
                <w:rFonts w:ascii="Helvetica" w:eastAsia="Helvetica" w:hAnsi="Helvetica" w:cs="Helvetica"/>
                <w:b/>
                <w:bCs/>
                <w:color w:val="26221F"/>
                <w:sz w:val="22"/>
                <w:szCs w:val="22"/>
              </w:rPr>
              <w:t>Months 10–24</w:t>
            </w:r>
            <w:r w:rsidRPr="0F6A85EF">
              <w:rPr>
                <w:rFonts w:ascii="Helvetica" w:eastAsia="Helvetica" w:hAnsi="Helvetica" w:cs="Helvetica"/>
                <w:color w:val="26221F"/>
                <w:sz w:val="22"/>
                <w:szCs w:val="22"/>
              </w:rPr>
              <w:t xml:space="preserve"> </w:t>
            </w:r>
          </w:p>
        </w:tc>
        <w:tc>
          <w:tcPr>
            <w:tcW w:w="1890" w:type="dxa"/>
            <w:shd w:val="clear" w:color="auto" w:fill="F3E2D5"/>
          </w:tcPr>
          <w:p w14:paraId="35E41339" w14:textId="64163A8D" w:rsidR="0F6A85EF" w:rsidRDefault="0F6A85EF" w:rsidP="0F6A85EF">
            <w:pPr>
              <w:spacing w:after="0"/>
            </w:pPr>
            <w:r w:rsidRPr="0F6A85EF">
              <w:rPr>
                <w:rFonts w:ascii="Helvetica" w:eastAsia="Helvetica" w:hAnsi="Helvetica" w:cs="Helvetica"/>
                <w:b/>
                <w:bCs/>
                <w:color w:val="26221F"/>
                <w:sz w:val="22"/>
                <w:szCs w:val="22"/>
              </w:rPr>
              <w:t>Months 24–36</w:t>
            </w:r>
            <w:r w:rsidRPr="0F6A85EF">
              <w:rPr>
                <w:rFonts w:ascii="Helvetica" w:eastAsia="Helvetica" w:hAnsi="Helvetica" w:cs="Helvetica"/>
                <w:color w:val="26221F"/>
                <w:sz w:val="22"/>
                <w:szCs w:val="22"/>
              </w:rPr>
              <w:t xml:space="preserve"> </w:t>
            </w:r>
          </w:p>
        </w:tc>
      </w:tr>
      <w:tr w:rsidR="0F6A85EF" w14:paraId="2C05207C" w14:textId="77777777" w:rsidTr="6311CB48">
        <w:trPr>
          <w:trHeight w:val="285"/>
        </w:trPr>
        <w:tc>
          <w:tcPr>
            <w:tcW w:w="1890" w:type="dxa"/>
          </w:tcPr>
          <w:p w14:paraId="09100D3D" w14:textId="677A62A1" w:rsidR="0F6A85EF" w:rsidRDefault="0F6A85EF" w:rsidP="0F6A85EF">
            <w:pPr>
              <w:spacing w:after="0"/>
            </w:pPr>
            <w:r w:rsidRPr="0F6A85EF">
              <w:rPr>
                <w:rFonts w:ascii="Helvetica" w:eastAsia="Helvetica" w:hAnsi="Helvetica" w:cs="Helvetica"/>
                <w:b/>
                <w:bCs/>
                <w:color w:val="26221F"/>
                <w:sz w:val="22"/>
                <w:szCs w:val="22"/>
              </w:rPr>
              <w:t>Phase 1: Diagnostic &amp; Design</w:t>
            </w:r>
            <w:r w:rsidRPr="0F6A85EF">
              <w:rPr>
                <w:rFonts w:ascii="Helvetica" w:eastAsia="Helvetica" w:hAnsi="Helvetica" w:cs="Helvetica"/>
                <w:color w:val="26221F"/>
                <w:sz w:val="22"/>
                <w:szCs w:val="22"/>
              </w:rPr>
              <w:t xml:space="preserve"> </w:t>
            </w:r>
          </w:p>
        </w:tc>
        <w:tc>
          <w:tcPr>
            <w:tcW w:w="1410" w:type="dxa"/>
          </w:tcPr>
          <w:p w14:paraId="5EA12966" w14:textId="037E08B4"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2BDD3477" w14:textId="40337D69" w:rsidR="0F6A85EF" w:rsidRDefault="0F6A85EF" w:rsidP="0F6A85EF">
            <w:pPr>
              <w:spacing w:after="0"/>
            </w:pPr>
            <w:r w:rsidRPr="0F6A85EF">
              <w:rPr>
                <w:rFonts w:ascii="Helvetica" w:eastAsia="Helvetica" w:hAnsi="Helvetica" w:cs="Helvetica"/>
              </w:rPr>
              <w:t xml:space="preserve">  </w:t>
            </w:r>
          </w:p>
        </w:tc>
        <w:tc>
          <w:tcPr>
            <w:tcW w:w="1890" w:type="dxa"/>
          </w:tcPr>
          <w:p w14:paraId="57736414" w14:textId="30C8D9CF" w:rsidR="0F6A85EF" w:rsidRDefault="0F6A85EF" w:rsidP="0F6A85EF">
            <w:pPr>
              <w:spacing w:after="0"/>
            </w:pPr>
            <w:r w:rsidRPr="0F6A85EF">
              <w:rPr>
                <w:rFonts w:ascii="Helvetica" w:eastAsia="Helvetica" w:hAnsi="Helvetica" w:cs="Helvetica"/>
              </w:rPr>
              <w:t xml:space="preserve">  </w:t>
            </w:r>
          </w:p>
        </w:tc>
        <w:tc>
          <w:tcPr>
            <w:tcW w:w="1890" w:type="dxa"/>
          </w:tcPr>
          <w:p w14:paraId="6ECCA2AB" w14:textId="226F213F" w:rsidR="0F6A85EF" w:rsidRDefault="0F6A85EF" w:rsidP="0F6A85EF">
            <w:pPr>
              <w:spacing w:after="0"/>
            </w:pPr>
            <w:r w:rsidRPr="0F6A85EF">
              <w:rPr>
                <w:rFonts w:ascii="Helvetica" w:eastAsia="Helvetica" w:hAnsi="Helvetica" w:cs="Helvetica"/>
              </w:rPr>
              <w:t xml:space="preserve">  </w:t>
            </w:r>
          </w:p>
        </w:tc>
      </w:tr>
      <w:tr w:rsidR="0F6A85EF" w14:paraId="4D888599" w14:textId="77777777" w:rsidTr="6311CB48">
        <w:trPr>
          <w:trHeight w:val="285"/>
        </w:trPr>
        <w:tc>
          <w:tcPr>
            <w:tcW w:w="1890" w:type="dxa"/>
          </w:tcPr>
          <w:p w14:paraId="571F6DDC" w14:textId="19537B4F" w:rsidR="0F6A85EF" w:rsidRDefault="0F6A85EF" w:rsidP="0F6A85EF">
            <w:pPr>
              <w:spacing w:after="0"/>
            </w:pPr>
            <w:r w:rsidRPr="0F6A85EF">
              <w:rPr>
                <w:rFonts w:ascii="Helvetica" w:eastAsia="Helvetica" w:hAnsi="Helvetica" w:cs="Helvetica"/>
                <w:color w:val="26221F"/>
                <w:sz w:val="22"/>
                <w:szCs w:val="22"/>
              </w:rPr>
              <w:t xml:space="preserve">Data analysis &amp; baseline assessment </w:t>
            </w:r>
          </w:p>
        </w:tc>
        <w:tc>
          <w:tcPr>
            <w:tcW w:w="1410" w:type="dxa"/>
          </w:tcPr>
          <w:p w14:paraId="59464C4D" w14:textId="0CD68F5F"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09C467C2" w14:textId="7D3BD4B0" w:rsidR="0F6A85EF" w:rsidRDefault="0F6A85EF" w:rsidP="0F6A85EF">
            <w:pPr>
              <w:spacing w:after="0"/>
            </w:pPr>
            <w:r w:rsidRPr="0F6A85EF">
              <w:rPr>
                <w:rFonts w:ascii="Helvetica" w:eastAsia="Helvetica" w:hAnsi="Helvetica" w:cs="Helvetica"/>
              </w:rPr>
              <w:t xml:space="preserve">  </w:t>
            </w:r>
          </w:p>
        </w:tc>
        <w:tc>
          <w:tcPr>
            <w:tcW w:w="1890" w:type="dxa"/>
          </w:tcPr>
          <w:p w14:paraId="05D9902F" w14:textId="16629757" w:rsidR="0F6A85EF" w:rsidRDefault="0F6A85EF" w:rsidP="0F6A85EF">
            <w:pPr>
              <w:spacing w:after="0"/>
            </w:pPr>
            <w:r w:rsidRPr="0F6A85EF">
              <w:rPr>
                <w:rFonts w:ascii="Helvetica" w:eastAsia="Helvetica" w:hAnsi="Helvetica" w:cs="Helvetica"/>
              </w:rPr>
              <w:t xml:space="preserve">  </w:t>
            </w:r>
          </w:p>
        </w:tc>
        <w:tc>
          <w:tcPr>
            <w:tcW w:w="1890" w:type="dxa"/>
          </w:tcPr>
          <w:p w14:paraId="1BF08A32" w14:textId="49FF2319" w:rsidR="0F6A85EF" w:rsidRDefault="0F6A85EF" w:rsidP="0F6A85EF">
            <w:pPr>
              <w:spacing w:after="0"/>
            </w:pPr>
            <w:r w:rsidRPr="0F6A85EF">
              <w:rPr>
                <w:rFonts w:ascii="Helvetica" w:eastAsia="Helvetica" w:hAnsi="Helvetica" w:cs="Helvetica"/>
              </w:rPr>
              <w:t xml:space="preserve">  </w:t>
            </w:r>
          </w:p>
        </w:tc>
      </w:tr>
      <w:tr w:rsidR="0F6A85EF" w14:paraId="7144849E" w14:textId="77777777" w:rsidTr="6311CB48">
        <w:trPr>
          <w:trHeight w:val="285"/>
        </w:trPr>
        <w:tc>
          <w:tcPr>
            <w:tcW w:w="1890" w:type="dxa"/>
          </w:tcPr>
          <w:p w14:paraId="66726700" w14:textId="25ADF13D" w:rsidR="0F6A85EF" w:rsidRDefault="0F6A85EF" w:rsidP="0F6A85EF">
            <w:pPr>
              <w:spacing w:after="0"/>
            </w:pPr>
            <w:r w:rsidRPr="0F6A85EF">
              <w:rPr>
                <w:rFonts w:ascii="Helvetica" w:eastAsia="Helvetica" w:hAnsi="Helvetica" w:cs="Helvetica"/>
                <w:color w:val="26221F"/>
                <w:sz w:val="22"/>
                <w:szCs w:val="22"/>
              </w:rPr>
              <w:t xml:space="preserve">Stakeholder engagement </w:t>
            </w:r>
          </w:p>
        </w:tc>
        <w:tc>
          <w:tcPr>
            <w:tcW w:w="1410" w:type="dxa"/>
          </w:tcPr>
          <w:p w14:paraId="23D57483" w14:textId="2A5A6A57" w:rsidR="0F6A85EF" w:rsidRDefault="0F6A85EF" w:rsidP="0F6A85EF">
            <w:pPr>
              <w:spacing w:after="0"/>
            </w:pPr>
            <w:r w:rsidRPr="0F6A85EF">
              <w:rPr>
                <w:rFonts w:ascii="Arial" w:eastAsia="Arial" w:hAnsi="Arial" w:cs="Arial"/>
                <w:color w:val="26221F"/>
                <w:sz w:val="22"/>
                <w:szCs w:val="22"/>
              </w:rPr>
              <w:t>███████</w:t>
            </w:r>
          </w:p>
        </w:tc>
        <w:tc>
          <w:tcPr>
            <w:tcW w:w="1890" w:type="dxa"/>
          </w:tcPr>
          <w:p w14:paraId="28C7649F" w14:textId="595E7240" w:rsidR="0F6A85EF" w:rsidRDefault="0F6A85EF" w:rsidP="0F6A85EF">
            <w:pPr>
              <w:spacing w:after="0"/>
            </w:pPr>
            <w:r w:rsidRPr="0F6A85EF">
              <w:rPr>
                <w:rFonts w:ascii="Helvetica" w:eastAsia="Helvetica" w:hAnsi="Helvetica" w:cs="Helvetica"/>
              </w:rPr>
              <w:t xml:space="preserve">  </w:t>
            </w:r>
          </w:p>
        </w:tc>
        <w:tc>
          <w:tcPr>
            <w:tcW w:w="1890" w:type="dxa"/>
          </w:tcPr>
          <w:p w14:paraId="641ABE9D" w14:textId="13456815" w:rsidR="0F6A85EF" w:rsidRDefault="0F6A85EF" w:rsidP="0F6A85EF">
            <w:pPr>
              <w:spacing w:after="0"/>
            </w:pPr>
            <w:r w:rsidRPr="0F6A85EF">
              <w:rPr>
                <w:rFonts w:ascii="Helvetica" w:eastAsia="Helvetica" w:hAnsi="Helvetica" w:cs="Helvetica"/>
              </w:rPr>
              <w:t xml:space="preserve">  </w:t>
            </w:r>
          </w:p>
        </w:tc>
        <w:tc>
          <w:tcPr>
            <w:tcW w:w="1890" w:type="dxa"/>
          </w:tcPr>
          <w:p w14:paraId="4FF2508C" w14:textId="1D4E70F7" w:rsidR="0F6A85EF" w:rsidRDefault="0F6A85EF" w:rsidP="0F6A85EF">
            <w:pPr>
              <w:spacing w:after="0"/>
            </w:pPr>
            <w:r w:rsidRPr="0F6A85EF">
              <w:rPr>
                <w:rFonts w:ascii="Helvetica" w:eastAsia="Helvetica" w:hAnsi="Helvetica" w:cs="Helvetica"/>
              </w:rPr>
              <w:t xml:space="preserve">  </w:t>
            </w:r>
          </w:p>
        </w:tc>
      </w:tr>
      <w:tr w:rsidR="0F6A85EF" w14:paraId="60472282" w14:textId="77777777" w:rsidTr="6311CB48">
        <w:trPr>
          <w:trHeight w:val="285"/>
        </w:trPr>
        <w:tc>
          <w:tcPr>
            <w:tcW w:w="1890" w:type="dxa"/>
          </w:tcPr>
          <w:p w14:paraId="1B30EB13" w14:textId="7F6F2524" w:rsidR="0F6A85EF" w:rsidRDefault="25E24457" w:rsidP="0F6A85EF">
            <w:pPr>
              <w:spacing w:after="0"/>
            </w:pPr>
            <w:r w:rsidRPr="6311CB48">
              <w:rPr>
                <w:rFonts w:ascii="Helvetica" w:eastAsia="Helvetica" w:hAnsi="Helvetica" w:cs="Helvetica"/>
                <w:color w:val="26221F"/>
                <w:sz w:val="22"/>
                <w:szCs w:val="22"/>
              </w:rPr>
              <w:t>Governance model design Gold/Silver/Bronz</w:t>
            </w:r>
            <w:r w:rsidR="545149B4" w:rsidRPr="6311CB48">
              <w:rPr>
                <w:rFonts w:ascii="Helvetica" w:eastAsia="Helvetica" w:hAnsi="Helvetica" w:cs="Helvetica"/>
                <w:color w:val="26221F"/>
                <w:sz w:val="22"/>
                <w:szCs w:val="22"/>
              </w:rPr>
              <w:t>e</w:t>
            </w:r>
          </w:p>
        </w:tc>
        <w:tc>
          <w:tcPr>
            <w:tcW w:w="1410" w:type="dxa"/>
          </w:tcPr>
          <w:p w14:paraId="37D5FA5D" w14:textId="2E813D83"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523F059D" w14:textId="208EBB9D" w:rsidR="0F6A85EF" w:rsidRDefault="0F6A85EF" w:rsidP="0F6A85EF">
            <w:pPr>
              <w:spacing w:after="0"/>
            </w:pPr>
            <w:r w:rsidRPr="0F6A85EF">
              <w:rPr>
                <w:rFonts w:ascii="Helvetica" w:eastAsia="Helvetica" w:hAnsi="Helvetica" w:cs="Helvetica"/>
              </w:rPr>
              <w:t xml:space="preserve">  </w:t>
            </w:r>
          </w:p>
        </w:tc>
        <w:tc>
          <w:tcPr>
            <w:tcW w:w="1890" w:type="dxa"/>
          </w:tcPr>
          <w:p w14:paraId="0744E32A" w14:textId="08FC0B84" w:rsidR="0F6A85EF" w:rsidRDefault="0F6A85EF" w:rsidP="0F6A85EF">
            <w:pPr>
              <w:spacing w:after="0"/>
            </w:pPr>
            <w:r w:rsidRPr="0F6A85EF">
              <w:rPr>
                <w:rFonts w:ascii="Helvetica" w:eastAsia="Helvetica" w:hAnsi="Helvetica" w:cs="Helvetica"/>
              </w:rPr>
              <w:t xml:space="preserve">  </w:t>
            </w:r>
          </w:p>
        </w:tc>
        <w:tc>
          <w:tcPr>
            <w:tcW w:w="1890" w:type="dxa"/>
          </w:tcPr>
          <w:p w14:paraId="38C86FA2" w14:textId="406F47F3" w:rsidR="0F6A85EF" w:rsidRDefault="0F6A85EF" w:rsidP="0F6A85EF">
            <w:pPr>
              <w:spacing w:after="0"/>
            </w:pPr>
            <w:r w:rsidRPr="0F6A85EF">
              <w:rPr>
                <w:rFonts w:ascii="Helvetica" w:eastAsia="Helvetica" w:hAnsi="Helvetica" w:cs="Helvetica"/>
              </w:rPr>
              <w:t xml:space="preserve">  </w:t>
            </w:r>
          </w:p>
        </w:tc>
      </w:tr>
      <w:tr w:rsidR="0F6A85EF" w14:paraId="1579246A" w14:textId="77777777" w:rsidTr="6311CB48">
        <w:trPr>
          <w:trHeight w:val="285"/>
        </w:trPr>
        <w:tc>
          <w:tcPr>
            <w:tcW w:w="1890" w:type="dxa"/>
          </w:tcPr>
          <w:p w14:paraId="5F7DFBF8" w14:textId="7F87981D" w:rsidR="0F6A85EF" w:rsidRDefault="0F6A85EF" w:rsidP="0F6A85EF">
            <w:pPr>
              <w:spacing w:after="0"/>
            </w:pPr>
            <w:r w:rsidRPr="0F6A85EF">
              <w:rPr>
                <w:rFonts w:ascii="Helvetica" w:eastAsia="Helvetica" w:hAnsi="Helvetica" w:cs="Helvetica"/>
                <w:color w:val="26221F"/>
                <w:sz w:val="22"/>
                <w:szCs w:val="22"/>
              </w:rPr>
              <w:t xml:space="preserve">Dashboard specification </w:t>
            </w:r>
          </w:p>
        </w:tc>
        <w:tc>
          <w:tcPr>
            <w:tcW w:w="1410" w:type="dxa"/>
          </w:tcPr>
          <w:p w14:paraId="65D93796" w14:textId="564EAA93"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25EF5FCD" w14:textId="671C512D" w:rsidR="0F6A85EF" w:rsidRDefault="0F6A85EF" w:rsidP="0F6A85EF">
            <w:pPr>
              <w:spacing w:after="0"/>
            </w:pPr>
            <w:r w:rsidRPr="0F6A85EF">
              <w:rPr>
                <w:rFonts w:ascii="Helvetica" w:eastAsia="Helvetica" w:hAnsi="Helvetica" w:cs="Helvetica"/>
              </w:rPr>
              <w:t xml:space="preserve">  </w:t>
            </w:r>
          </w:p>
        </w:tc>
        <w:tc>
          <w:tcPr>
            <w:tcW w:w="1890" w:type="dxa"/>
          </w:tcPr>
          <w:p w14:paraId="159ED07B" w14:textId="70542BF5" w:rsidR="0F6A85EF" w:rsidRDefault="0F6A85EF" w:rsidP="0F6A85EF">
            <w:pPr>
              <w:spacing w:after="0"/>
            </w:pPr>
            <w:r w:rsidRPr="0F6A85EF">
              <w:rPr>
                <w:rFonts w:ascii="Helvetica" w:eastAsia="Helvetica" w:hAnsi="Helvetica" w:cs="Helvetica"/>
              </w:rPr>
              <w:t xml:space="preserve">  </w:t>
            </w:r>
          </w:p>
        </w:tc>
        <w:tc>
          <w:tcPr>
            <w:tcW w:w="1890" w:type="dxa"/>
          </w:tcPr>
          <w:p w14:paraId="60499C9C" w14:textId="594FB601" w:rsidR="0F6A85EF" w:rsidRDefault="0F6A85EF" w:rsidP="0F6A85EF">
            <w:pPr>
              <w:spacing w:after="0"/>
            </w:pPr>
            <w:r w:rsidRPr="0F6A85EF">
              <w:rPr>
                <w:rFonts w:ascii="Helvetica" w:eastAsia="Helvetica" w:hAnsi="Helvetica" w:cs="Helvetica"/>
              </w:rPr>
              <w:t xml:space="preserve">  </w:t>
            </w:r>
          </w:p>
        </w:tc>
      </w:tr>
      <w:tr w:rsidR="0F6A85EF" w14:paraId="739E646D" w14:textId="77777777" w:rsidTr="6311CB48">
        <w:trPr>
          <w:trHeight w:val="285"/>
        </w:trPr>
        <w:tc>
          <w:tcPr>
            <w:tcW w:w="1890" w:type="dxa"/>
          </w:tcPr>
          <w:p w14:paraId="402A67AB" w14:textId="240964FC" w:rsidR="0F6A85EF" w:rsidRDefault="0F6A85EF" w:rsidP="0F6A85EF">
            <w:pPr>
              <w:spacing w:after="0"/>
            </w:pPr>
            <w:r w:rsidRPr="0F6A85EF">
              <w:rPr>
                <w:rFonts w:ascii="Helvetica" w:eastAsia="Helvetica" w:hAnsi="Helvetica" w:cs="Helvetica"/>
                <w:color w:val="26221F"/>
                <w:sz w:val="22"/>
                <w:szCs w:val="22"/>
              </w:rPr>
              <w:t xml:space="preserve">Resource planning </w:t>
            </w:r>
          </w:p>
        </w:tc>
        <w:tc>
          <w:tcPr>
            <w:tcW w:w="1410" w:type="dxa"/>
          </w:tcPr>
          <w:p w14:paraId="79192E00" w14:textId="5D884B37"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429A8496" w14:textId="133FC742" w:rsidR="0F6A85EF" w:rsidRDefault="0F6A85EF" w:rsidP="0F6A85EF">
            <w:pPr>
              <w:spacing w:after="0"/>
            </w:pPr>
            <w:r w:rsidRPr="0F6A85EF">
              <w:rPr>
                <w:rFonts w:ascii="Helvetica" w:eastAsia="Helvetica" w:hAnsi="Helvetica" w:cs="Helvetica"/>
              </w:rPr>
              <w:t xml:space="preserve">  </w:t>
            </w:r>
          </w:p>
        </w:tc>
        <w:tc>
          <w:tcPr>
            <w:tcW w:w="1890" w:type="dxa"/>
          </w:tcPr>
          <w:p w14:paraId="1FD353DD" w14:textId="0806A87A" w:rsidR="0F6A85EF" w:rsidRDefault="0F6A85EF" w:rsidP="0F6A85EF">
            <w:pPr>
              <w:spacing w:after="0"/>
            </w:pPr>
            <w:r w:rsidRPr="0F6A85EF">
              <w:rPr>
                <w:rFonts w:ascii="Helvetica" w:eastAsia="Helvetica" w:hAnsi="Helvetica" w:cs="Helvetica"/>
              </w:rPr>
              <w:t xml:space="preserve">  </w:t>
            </w:r>
          </w:p>
        </w:tc>
        <w:tc>
          <w:tcPr>
            <w:tcW w:w="1890" w:type="dxa"/>
          </w:tcPr>
          <w:p w14:paraId="44C5B005" w14:textId="37CE117E" w:rsidR="0F6A85EF" w:rsidRDefault="0F6A85EF" w:rsidP="0F6A85EF">
            <w:pPr>
              <w:spacing w:after="0"/>
            </w:pPr>
            <w:r w:rsidRPr="0F6A85EF">
              <w:rPr>
                <w:rFonts w:ascii="Helvetica" w:eastAsia="Helvetica" w:hAnsi="Helvetica" w:cs="Helvetica"/>
              </w:rPr>
              <w:t xml:space="preserve">  </w:t>
            </w:r>
          </w:p>
        </w:tc>
      </w:tr>
      <w:tr w:rsidR="0F6A85EF" w14:paraId="0C3D4966" w14:textId="77777777" w:rsidTr="6311CB48">
        <w:trPr>
          <w:trHeight w:val="285"/>
        </w:trPr>
        <w:tc>
          <w:tcPr>
            <w:tcW w:w="1890" w:type="dxa"/>
          </w:tcPr>
          <w:p w14:paraId="6F996EE1" w14:textId="07E6D35C" w:rsidR="0F6A85EF" w:rsidRDefault="0F6A85EF" w:rsidP="0F6A85EF">
            <w:pPr>
              <w:spacing w:after="0"/>
            </w:pPr>
            <w:r w:rsidRPr="0F6A85EF">
              <w:rPr>
                <w:rFonts w:ascii="Helvetica" w:eastAsia="Helvetica" w:hAnsi="Helvetica" w:cs="Helvetica"/>
                <w:b/>
                <w:bCs/>
                <w:color w:val="26221F"/>
                <w:sz w:val="22"/>
                <w:szCs w:val="22"/>
              </w:rPr>
              <w:t>Phase 2: Infrastructure &amp; Capability Development</w:t>
            </w:r>
            <w:r w:rsidRPr="0F6A85EF">
              <w:rPr>
                <w:rFonts w:ascii="Helvetica" w:eastAsia="Helvetica" w:hAnsi="Helvetica" w:cs="Helvetica"/>
                <w:color w:val="26221F"/>
                <w:sz w:val="22"/>
                <w:szCs w:val="22"/>
              </w:rPr>
              <w:t xml:space="preserve"> </w:t>
            </w:r>
          </w:p>
        </w:tc>
        <w:tc>
          <w:tcPr>
            <w:tcW w:w="1410" w:type="dxa"/>
          </w:tcPr>
          <w:p w14:paraId="2A17F3F2" w14:textId="448CF1B8" w:rsidR="0F6A85EF" w:rsidRDefault="0F6A85EF" w:rsidP="0F6A85EF">
            <w:pPr>
              <w:spacing w:after="0"/>
            </w:pPr>
            <w:r w:rsidRPr="0F6A85EF">
              <w:rPr>
                <w:rFonts w:ascii="Helvetica" w:eastAsia="Helvetica" w:hAnsi="Helvetica" w:cs="Helvetica"/>
              </w:rPr>
              <w:t xml:space="preserve">  </w:t>
            </w:r>
          </w:p>
        </w:tc>
        <w:tc>
          <w:tcPr>
            <w:tcW w:w="1890" w:type="dxa"/>
          </w:tcPr>
          <w:p w14:paraId="3C78A247" w14:textId="2E99F2CA"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21074958" w14:textId="69749479" w:rsidR="0F6A85EF" w:rsidRDefault="0F6A85EF" w:rsidP="0F6A85EF">
            <w:pPr>
              <w:spacing w:after="0"/>
            </w:pPr>
            <w:r w:rsidRPr="0F6A85EF">
              <w:rPr>
                <w:rFonts w:ascii="Helvetica" w:eastAsia="Helvetica" w:hAnsi="Helvetica" w:cs="Helvetica"/>
              </w:rPr>
              <w:t xml:space="preserve">  </w:t>
            </w:r>
          </w:p>
        </w:tc>
        <w:tc>
          <w:tcPr>
            <w:tcW w:w="1890" w:type="dxa"/>
          </w:tcPr>
          <w:p w14:paraId="15229471" w14:textId="1E92DEB8" w:rsidR="0F6A85EF" w:rsidRDefault="0F6A85EF" w:rsidP="0F6A85EF">
            <w:pPr>
              <w:spacing w:after="0"/>
            </w:pPr>
            <w:r w:rsidRPr="0F6A85EF">
              <w:rPr>
                <w:rFonts w:ascii="Helvetica" w:eastAsia="Helvetica" w:hAnsi="Helvetica" w:cs="Helvetica"/>
              </w:rPr>
              <w:t xml:space="preserve">  </w:t>
            </w:r>
          </w:p>
        </w:tc>
      </w:tr>
      <w:tr w:rsidR="0F6A85EF" w14:paraId="64CC1197" w14:textId="77777777" w:rsidTr="6311CB48">
        <w:trPr>
          <w:trHeight w:val="285"/>
        </w:trPr>
        <w:tc>
          <w:tcPr>
            <w:tcW w:w="1890" w:type="dxa"/>
          </w:tcPr>
          <w:p w14:paraId="61707C03" w14:textId="5D6DE352" w:rsidR="0F6A85EF" w:rsidRDefault="0F6A85EF" w:rsidP="0F6A85EF">
            <w:pPr>
              <w:spacing w:after="0"/>
            </w:pPr>
            <w:r w:rsidRPr="0F6A85EF">
              <w:rPr>
                <w:rFonts w:ascii="Helvetica" w:eastAsia="Helvetica" w:hAnsi="Helvetica" w:cs="Helvetica"/>
                <w:color w:val="26221F"/>
                <w:sz w:val="22"/>
                <w:szCs w:val="22"/>
              </w:rPr>
              <w:t xml:space="preserve">Governance structure implementation </w:t>
            </w:r>
          </w:p>
        </w:tc>
        <w:tc>
          <w:tcPr>
            <w:tcW w:w="1410" w:type="dxa"/>
          </w:tcPr>
          <w:p w14:paraId="0F4DD512" w14:textId="08799B40" w:rsidR="0F6A85EF" w:rsidRDefault="0F6A85EF" w:rsidP="0F6A85EF">
            <w:pPr>
              <w:spacing w:after="0"/>
            </w:pPr>
            <w:r w:rsidRPr="0F6A85EF">
              <w:rPr>
                <w:rFonts w:ascii="Helvetica" w:eastAsia="Helvetica" w:hAnsi="Helvetica" w:cs="Helvetica"/>
              </w:rPr>
              <w:t xml:space="preserve">  </w:t>
            </w:r>
          </w:p>
        </w:tc>
        <w:tc>
          <w:tcPr>
            <w:tcW w:w="1890" w:type="dxa"/>
          </w:tcPr>
          <w:p w14:paraId="293D0D26" w14:textId="1045A1BD"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71524B1F" w14:textId="0F9B925E" w:rsidR="0F6A85EF" w:rsidRDefault="0F6A85EF" w:rsidP="0F6A85EF">
            <w:pPr>
              <w:spacing w:after="0"/>
            </w:pPr>
            <w:r w:rsidRPr="0F6A85EF">
              <w:rPr>
                <w:rFonts w:ascii="Helvetica" w:eastAsia="Helvetica" w:hAnsi="Helvetica" w:cs="Helvetica"/>
              </w:rPr>
              <w:t xml:space="preserve">  </w:t>
            </w:r>
          </w:p>
        </w:tc>
        <w:tc>
          <w:tcPr>
            <w:tcW w:w="1890" w:type="dxa"/>
          </w:tcPr>
          <w:p w14:paraId="6DBC6948" w14:textId="7672F0AF" w:rsidR="0F6A85EF" w:rsidRDefault="0F6A85EF" w:rsidP="0F6A85EF">
            <w:pPr>
              <w:spacing w:after="0"/>
            </w:pPr>
            <w:r w:rsidRPr="0F6A85EF">
              <w:rPr>
                <w:rFonts w:ascii="Helvetica" w:eastAsia="Helvetica" w:hAnsi="Helvetica" w:cs="Helvetica"/>
              </w:rPr>
              <w:t xml:space="preserve">  </w:t>
            </w:r>
          </w:p>
        </w:tc>
      </w:tr>
      <w:tr w:rsidR="0F6A85EF" w14:paraId="10AFED90" w14:textId="77777777" w:rsidTr="6311CB48">
        <w:trPr>
          <w:trHeight w:val="285"/>
        </w:trPr>
        <w:tc>
          <w:tcPr>
            <w:tcW w:w="1890" w:type="dxa"/>
          </w:tcPr>
          <w:p w14:paraId="08A2714D" w14:textId="44804FF9" w:rsidR="0F6A85EF" w:rsidRDefault="0F6A85EF" w:rsidP="0F6A85EF">
            <w:pPr>
              <w:spacing w:after="0"/>
            </w:pPr>
            <w:proofErr w:type="gramStart"/>
            <w:r w:rsidRPr="0F6A85EF">
              <w:rPr>
                <w:rFonts w:ascii="Helvetica" w:eastAsia="Helvetica" w:hAnsi="Helvetica" w:cs="Helvetica"/>
                <w:color w:val="26221F"/>
                <w:sz w:val="22"/>
                <w:szCs w:val="22"/>
              </w:rPr>
              <w:t>OH</w:t>
            </w:r>
            <w:proofErr w:type="gramEnd"/>
            <w:r w:rsidRPr="0F6A85EF">
              <w:rPr>
                <w:rFonts w:ascii="Helvetica" w:eastAsia="Helvetica" w:hAnsi="Helvetica" w:cs="Helvetica"/>
                <w:color w:val="26221F"/>
                <w:sz w:val="22"/>
                <w:szCs w:val="22"/>
              </w:rPr>
              <w:t xml:space="preserve"> capacity expansion </w:t>
            </w:r>
          </w:p>
        </w:tc>
        <w:tc>
          <w:tcPr>
            <w:tcW w:w="1410" w:type="dxa"/>
          </w:tcPr>
          <w:p w14:paraId="3B45CC93" w14:textId="39826AAE" w:rsidR="0F6A85EF" w:rsidRDefault="0F6A85EF" w:rsidP="0F6A85EF">
            <w:pPr>
              <w:spacing w:after="0"/>
            </w:pPr>
            <w:r w:rsidRPr="0F6A85EF">
              <w:rPr>
                <w:rFonts w:ascii="Helvetica" w:eastAsia="Helvetica" w:hAnsi="Helvetica" w:cs="Helvetica"/>
              </w:rPr>
              <w:t xml:space="preserve">  </w:t>
            </w:r>
          </w:p>
        </w:tc>
        <w:tc>
          <w:tcPr>
            <w:tcW w:w="1890" w:type="dxa"/>
          </w:tcPr>
          <w:p w14:paraId="73D6C506" w14:textId="7BAD5C8A"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6D98D416" w14:textId="6C35A3FC" w:rsidR="0F6A85EF" w:rsidRDefault="0F6A85EF" w:rsidP="0F6A85EF">
            <w:pPr>
              <w:spacing w:after="0"/>
            </w:pPr>
            <w:r w:rsidRPr="0F6A85EF">
              <w:rPr>
                <w:rFonts w:ascii="Helvetica" w:eastAsia="Helvetica" w:hAnsi="Helvetica" w:cs="Helvetica"/>
              </w:rPr>
              <w:t xml:space="preserve">  </w:t>
            </w:r>
          </w:p>
        </w:tc>
        <w:tc>
          <w:tcPr>
            <w:tcW w:w="1890" w:type="dxa"/>
          </w:tcPr>
          <w:p w14:paraId="069516F4" w14:textId="3F9C0870" w:rsidR="0F6A85EF" w:rsidRDefault="0F6A85EF" w:rsidP="0F6A85EF">
            <w:pPr>
              <w:spacing w:after="0"/>
            </w:pPr>
            <w:r w:rsidRPr="0F6A85EF">
              <w:rPr>
                <w:rFonts w:ascii="Helvetica" w:eastAsia="Helvetica" w:hAnsi="Helvetica" w:cs="Helvetica"/>
              </w:rPr>
              <w:t xml:space="preserve">  </w:t>
            </w:r>
          </w:p>
        </w:tc>
      </w:tr>
      <w:tr w:rsidR="0F6A85EF" w14:paraId="579F1C68" w14:textId="77777777" w:rsidTr="6311CB48">
        <w:trPr>
          <w:trHeight w:val="285"/>
        </w:trPr>
        <w:tc>
          <w:tcPr>
            <w:tcW w:w="1890" w:type="dxa"/>
          </w:tcPr>
          <w:p w14:paraId="3EDC73E8" w14:textId="5C2D6585" w:rsidR="0F6A85EF" w:rsidRDefault="28F8C8F4" w:rsidP="0F6A85EF">
            <w:pPr>
              <w:spacing w:after="0"/>
            </w:pPr>
            <w:r w:rsidRPr="6311CB48">
              <w:rPr>
                <w:rFonts w:ascii="Helvetica" w:eastAsia="Helvetica" w:hAnsi="Helvetica" w:cs="Helvetica"/>
                <w:color w:val="26221F"/>
                <w:sz w:val="22"/>
                <w:szCs w:val="22"/>
              </w:rPr>
              <w:t>Trauma-informed</w:t>
            </w:r>
            <w:r w:rsidR="25E24457" w:rsidRPr="6311CB48">
              <w:rPr>
                <w:rFonts w:ascii="Helvetica" w:eastAsia="Helvetica" w:hAnsi="Helvetica" w:cs="Helvetica"/>
                <w:color w:val="26221F"/>
                <w:sz w:val="22"/>
                <w:szCs w:val="22"/>
              </w:rPr>
              <w:t xml:space="preserve"> pathway design </w:t>
            </w:r>
          </w:p>
        </w:tc>
        <w:tc>
          <w:tcPr>
            <w:tcW w:w="1410" w:type="dxa"/>
          </w:tcPr>
          <w:p w14:paraId="4E3739DE" w14:textId="2E5E1A1E" w:rsidR="0F6A85EF" w:rsidRDefault="0F6A85EF" w:rsidP="0F6A85EF">
            <w:pPr>
              <w:spacing w:after="0"/>
            </w:pPr>
            <w:r w:rsidRPr="0F6A85EF">
              <w:rPr>
                <w:rFonts w:ascii="Helvetica" w:eastAsia="Helvetica" w:hAnsi="Helvetica" w:cs="Helvetica"/>
              </w:rPr>
              <w:t xml:space="preserve">  </w:t>
            </w:r>
          </w:p>
        </w:tc>
        <w:tc>
          <w:tcPr>
            <w:tcW w:w="1890" w:type="dxa"/>
          </w:tcPr>
          <w:p w14:paraId="3340A272" w14:textId="1675ABAC"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270D85CA" w14:textId="6A1658B7" w:rsidR="0F6A85EF" w:rsidRDefault="0F6A85EF" w:rsidP="0F6A85EF">
            <w:pPr>
              <w:spacing w:after="0"/>
            </w:pPr>
            <w:r w:rsidRPr="0F6A85EF">
              <w:rPr>
                <w:rFonts w:ascii="Helvetica" w:eastAsia="Helvetica" w:hAnsi="Helvetica" w:cs="Helvetica"/>
              </w:rPr>
              <w:t xml:space="preserve">  </w:t>
            </w:r>
          </w:p>
        </w:tc>
        <w:tc>
          <w:tcPr>
            <w:tcW w:w="1890" w:type="dxa"/>
          </w:tcPr>
          <w:p w14:paraId="5F7A7A36" w14:textId="7C7F0C6B" w:rsidR="0F6A85EF" w:rsidRDefault="0F6A85EF" w:rsidP="0F6A85EF">
            <w:pPr>
              <w:spacing w:after="0"/>
            </w:pPr>
            <w:r w:rsidRPr="0F6A85EF">
              <w:rPr>
                <w:rFonts w:ascii="Helvetica" w:eastAsia="Helvetica" w:hAnsi="Helvetica" w:cs="Helvetica"/>
              </w:rPr>
              <w:t xml:space="preserve">  </w:t>
            </w:r>
          </w:p>
        </w:tc>
      </w:tr>
      <w:tr w:rsidR="0F6A85EF" w14:paraId="19F7F95A" w14:textId="77777777" w:rsidTr="6311CB48">
        <w:trPr>
          <w:trHeight w:val="285"/>
        </w:trPr>
        <w:tc>
          <w:tcPr>
            <w:tcW w:w="1890" w:type="dxa"/>
          </w:tcPr>
          <w:p w14:paraId="18A4D57B" w14:textId="632FFB3E" w:rsidR="0F6A85EF" w:rsidRDefault="0F6A85EF" w:rsidP="0F6A85EF">
            <w:pPr>
              <w:spacing w:after="0"/>
            </w:pPr>
            <w:r w:rsidRPr="0F6A85EF">
              <w:rPr>
                <w:rFonts w:ascii="Helvetica" w:eastAsia="Helvetica" w:hAnsi="Helvetica" w:cs="Helvetica"/>
                <w:color w:val="26221F"/>
                <w:sz w:val="22"/>
                <w:szCs w:val="22"/>
              </w:rPr>
              <w:t xml:space="preserve">Leadership &amp; supervision training design </w:t>
            </w:r>
          </w:p>
        </w:tc>
        <w:tc>
          <w:tcPr>
            <w:tcW w:w="1410" w:type="dxa"/>
          </w:tcPr>
          <w:p w14:paraId="4B630B7E" w14:textId="4F45ADDF" w:rsidR="0F6A85EF" w:rsidRDefault="0F6A85EF" w:rsidP="0F6A85EF">
            <w:pPr>
              <w:spacing w:after="0"/>
            </w:pPr>
            <w:r w:rsidRPr="0F6A85EF">
              <w:rPr>
                <w:rFonts w:ascii="Helvetica" w:eastAsia="Helvetica" w:hAnsi="Helvetica" w:cs="Helvetica"/>
              </w:rPr>
              <w:t xml:space="preserve">  </w:t>
            </w:r>
          </w:p>
        </w:tc>
        <w:tc>
          <w:tcPr>
            <w:tcW w:w="1890" w:type="dxa"/>
          </w:tcPr>
          <w:p w14:paraId="244909E3" w14:textId="20278634"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291E82BD" w14:textId="55D8C9DB" w:rsidR="0F6A85EF" w:rsidRDefault="0F6A85EF" w:rsidP="0F6A85EF">
            <w:pPr>
              <w:spacing w:after="0"/>
            </w:pPr>
            <w:r w:rsidRPr="0F6A85EF">
              <w:rPr>
                <w:rFonts w:ascii="Helvetica" w:eastAsia="Helvetica" w:hAnsi="Helvetica" w:cs="Helvetica"/>
              </w:rPr>
              <w:t xml:space="preserve">  </w:t>
            </w:r>
          </w:p>
        </w:tc>
        <w:tc>
          <w:tcPr>
            <w:tcW w:w="1890" w:type="dxa"/>
          </w:tcPr>
          <w:p w14:paraId="64F80E66" w14:textId="2F1AA8B9" w:rsidR="0F6A85EF" w:rsidRDefault="0F6A85EF" w:rsidP="0F6A85EF">
            <w:pPr>
              <w:spacing w:after="0"/>
            </w:pPr>
            <w:r w:rsidRPr="0F6A85EF">
              <w:rPr>
                <w:rFonts w:ascii="Helvetica" w:eastAsia="Helvetica" w:hAnsi="Helvetica" w:cs="Helvetica"/>
              </w:rPr>
              <w:t xml:space="preserve">  </w:t>
            </w:r>
          </w:p>
        </w:tc>
      </w:tr>
      <w:tr w:rsidR="0F6A85EF" w14:paraId="46CA73D7" w14:textId="77777777" w:rsidTr="6311CB48">
        <w:trPr>
          <w:trHeight w:val="285"/>
        </w:trPr>
        <w:tc>
          <w:tcPr>
            <w:tcW w:w="1890" w:type="dxa"/>
          </w:tcPr>
          <w:p w14:paraId="08589358" w14:textId="33215B6D" w:rsidR="0F6A85EF" w:rsidRDefault="0F6A85EF" w:rsidP="0F6A85EF">
            <w:pPr>
              <w:spacing w:after="0"/>
            </w:pPr>
            <w:r w:rsidRPr="0F6A85EF">
              <w:rPr>
                <w:rFonts w:ascii="Helvetica" w:eastAsia="Helvetica" w:hAnsi="Helvetica" w:cs="Helvetica"/>
                <w:color w:val="26221F"/>
                <w:sz w:val="22"/>
                <w:szCs w:val="22"/>
              </w:rPr>
              <w:t xml:space="preserve">Dashboard build &amp; testing </w:t>
            </w:r>
          </w:p>
        </w:tc>
        <w:tc>
          <w:tcPr>
            <w:tcW w:w="1410" w:type="dxa"/>
          </w:tcPr>
          <w:p w14:paraId="2AED6AFB" w14:textId="41D4D3C9" w:rsidR="0F6A85EF" w:rsidRDefault="0F6A85EF" w:rsidP="0F6A85EF">
            <w:pPr>
              <w:spacing w:after="0"/>
            </w:pPr>
            <w:r w:rsidRPr="0F6A85EF">
              <w:rPr>
                <w:rFonts w:ascii="Helvetica" w:eastAsia="Helvetica" w:hAnsi="Helvetica" w:cs="Helvetica"/>
              </w:rPr>
              <w:t xml:space="preserve">  </w:t>
            </w:r>
          </w:p>
        </w:tc>
        <w:tc>
          <w:tcPr>
            <w:tcW w:w="1890" w:type="dxa"/>
          </w:tcPr>
          <w:p w14:paraId="6EA2297F" w14:textId="4D6969FC"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3438B600" w14:textId="34652FBF" w:rsidR="0F6A85EF" w:rsidRDefault="0F6A85EF" w:rsidP="0F6A85EF">
            <w:pPr>
              <w:spacing w:after="0"/>
            </w:pPr>
            <w:r w:rsidRPr="0F6A85EF">
              <w:rPr>
                <w:rFonts w:ascii="Helvetica" w:eastAsia="Helvetica" w:hAnsi="Helvetica" w:cs="Helvetica"/>
              </w:rPr>
              <w:t xml:space="preserve">  </w:t>
            </w:r>
          </w:p>
        </w:tc>
        <w:tc>
          <w:tcPr>
            <w:tcW w:w="1890" w:type="dxa"/>
          </w:tcPr>
          <w:p w14:paraId="71A50C86" w14:textId="301B0411" w:rsidR="0F6A85EF" w:rsidRDefault="0F6A85EF" w:rsidP="0F6A85EF">
            <w:pPr>
              <w:spacing w:after="0"/>
            </w:pPr>
            <w:r w:rsidRPr="0F6A85EF">
              <w:rPr>
                <w:rFonts w:ascii="Helvetica" w:eastAsia="Helvetica" w:hAnsi="Helvetica" w:cs="Helvetica"/>
              </w:rPr>
              <w:t xml:space="preserve">  </w:t>
            </w:r>
          </w:p>
        </w:tc>
      </w:tr>
      <w:tr w:rsidR="0F6A85EF" w14:paraId="02EB632C" w14:textId="77777777" w:rsidTr="6311CB48">
        <w:trPr>
          <w:trHeight w:val="285"/>
        </w:trPr>
        <w:tc>
          <w:tcPr>
            <w:tcW w:w="1890" w:type="dxa"/>
          </w:tcPr>
          <w:p w14:paraId="0D049259" w14:textId="1D42638C" w:rsidR="0F6A85EF" w:rsidRDefault="0F6A85EF" w:rsidP="0F6A85EF">
            <w:pPr>
              <w:spacing w:after="0"/>
            </w:pPr>
            <w:r w:rsidRPr="0F6A85EF">
              <w:rPr>
                <w:rFonts w:ascii="Helvetica" w:eastAsia="Helvetica" w:hAnsi="Helvetica" w:cs="Helvetica"/>
                <w:color w:val="26221F"/>
                <w:sz w:val="22"/>
                <w:szCs w:val="22"/>
              </w:rPr>
              <w:t xml:space="preserve">Procurement (if required) </w:t>
            </w:r>
          </w:p>
        </w:tc>
        <w:tc>
          <w:tcPr>
            <w:tcW w:w="1410" w:type="dxa"/>
          </w:tcPr>
          <w:p w14:paraId="1CC30CC6" w14:textId="30ED4A6F" w:rsidR="0F6A85EF" w:rsidRDefault="0F6A85EF" w:rsidP="0F6A85EF">
            <w:pPr>
              <w:spacing w:after="0"/>
            </w:pPr>
            <w:r w:rsidRPr="0F6A85EF">
              <w:rPr>
                <w:rFonts w:ascii="Helvetica" w:eastAsia="Helvetica" w:hAnsi="Helvetica" w:cs="Helvetica"/>
              </w:rPr>
              <w:t xml:space="preserve">  </w:t>
            </w:r>
          </w:p>
        </w:tc>
        <w:tc>
          <w:tcPr>
            <w:tcW w:w="1890" w:type="dxa"/>
          </w:tcPr>
          <w:p w14:paraId="3C00B92F" w14:textId="3758A75A"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07A5D6E7" w14:textId="5012F89F" w:rsidR="0F6A85EF" w:rsidRDefault="0F6A85EF" w:rsidP="0F6A85EF">
            <w:pPr>
              <w:spacing w:after="0"/>
            </w:pPr>
            <w:r w:rsidRPr="0F6A85EF">
              <w:rPr>
                <w:rFonts w:ascii="Helvetica" w:eastAsia="Helvetica" w:hAnsi="Helvetica" w:cs="Helvetica"/>
              </w:rPr>
              <w:t xml:space="preserve">  </w:t>
            </w:r>
          </w:p>
        </w:tc>
        <w:tc>
          <w:tcPr>
            <w:tcW w:w="1890" w:type="dxa"/>
          </w:tcPr>
          <w:p w14:paraId="59BA5D2D" w14:textId="41500502" w:rsidR="0F6A85EF" w:rsidRDefault="0F6A85EF" w:rsidP="0F6A85EF">
            <w:pPr>
              <w:spacing w:after="0"/>
            </w:pPr>
            <w:r w:rsidRPr="0F6A85EF">
              <w:rPr>
                <w:rFonts w:ascii="Helvetica" w:eastAsia="Helvetica" w:hAnsi="Helvetica" w:cs="Helvetica"/>
              </w:rPr>
              <w:t xml:space="preserve">  </w:t>
            </w:r>
          </w:p>
        </w:tc>
      </w:tr>
      <w:tr w:rsidR="0F6A85EF" w14:paraId="39FE2D0C" w14:textId="77777777" w:rsidTr="6311CB48">
        <w:trPr>
          <w:trHeight w:val="285"/>
        </w:trPr>
        <w:tc>
          <w:tcPr>
            <w:tcW w:w="1890" w:type="dxa"/>
          </w:tcPr>
          <w:p w14:paraId="1CFE3B9B" w14:textId="402191DC" w:rsidR="0F6A85EF" w:rsidRDefault="0F6A85EF" w:rsidP="0F6A85EF">
            <w:pPr>
              <w:spacing w:after="0"/>
            </w:pPr>
            <w:r w:rsidRPr="0F6A85EF">
              <w:rPr>
                <w:rFonts w:ascii="Helvetica" w:eastAsia="Helvetica" w:hAnsi="Helvetica" w:cs="Helvetica"/>
                <w:b/>
                <w:bCs/>
                <w:color w:val="26221F"/>
                <w:sz w:val="22"/>
                <w:szCs w:val="22"/>
              </w:rPr>
              <w:t>Phase 3: Intervention Rollout</w:t>
            </w:r>
            <w:r w:rsidRPr="0F6A85EF">
              <w:rPr>
                <w:rFonts w:ascii="Helvetica" w:eastAsia="Helvetica" w:hAnsi="Helvetica" w:cs="Helvetica"/>
                <w:color w:val="26221F"/>
                <w:sz w:val="22"/>
                <w:szCs w:val="22"/>
              </w:rPr>
              <w:t xml:space="preserve"> </w:t>
            </w:r>
          </w:p>
        </w:tc>
        <w:tc>
          <w:tcPr>
            <w:tcW w:w="1410" w:type="dxa"/>
          </w:tcPr>
          <w:p w14:paraId="7C7E329C" w14:textId="6E462E73" w:rsidR="0F6A85EF" w:rsidRDefault="0F6A85EF" w:rsidP="0F6A85EF">
            <w:pPr>
              <w:spacing w:after="0"/>
            </w:pPr>
            <w:r w:rsidRPr="0F6A85EF">
              <w:rPr>
                <w:rFonts w:ascii="Helvetica" w:eastAsia="Helvetica" w:hAnsi="Helvetica" w:cs="Helvetica"/>
              </w:rPr>
              <w:t xml:space="preserve">  </w:t>
            </w:r>
          </w:p>
        </w:tc>
        <w:tc>
          <w:tcPr>
            <w:tcW w:w="1890" w:type="dxa"/>
          </w:tcPr>
          <w:p w14:paraId="2756DCFF" w14:textId="788153F1" w:rsidR="0F6A85EF" w:rsidRDefault="0F6A85EF" w:rsidP="0F6A85EF">
            <w:pPr>
              <w:spacing w:after="0"/>
            </w:pPr>
            <w:r w:rsidRPr="0F6A85EF">
              <w:rPr>
                <w:rFonts w:ascii="Helvetica" w:eastAsia="Helvetica" w:hAnsi="Helvetica" w:cs="Helvetica"/>
              </w:rPr>
              <w:t xml:space="preserve">  </w:t>
            </w:r>
          </w:p>
        </w:tc>
        <w:tc>
          <w:tcPr>
            <w:tcW w:w="1890" w:type="dxa"/>
          </w:tcPr>
          <w:p w14:paraId="2EC92352" w14:textId="34AFBB7A"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3012A44D" w14:textId="648DB2F1" w:rsidR="0F6A85EF" w:rsidRDefault="0F6A85EF" w:rsidP="0F6A85EF">
            <w:pPr>
              <w:spacing w:after="0"/>
            </w:pPr>
            <w:r w:rsidRPr="0F6A85EF">
              <w:rPr>
                <w:rFonts w:ascii="Helvetica" w:eastAsia="Helvetica" w:hAnsi="Helvetica" w:cs="Helvetica"/>
              </w:rPr>
              <w:t xml:space="preserve">  </w:t>
            </w:r>
          </w:p>
        </w:tc>
      </w:tr>
      <w:tr w:rsidR="0F6A85EF" w14:paraId="30589BF6" w14:textId="77777777" w:rsidTr="6311CB48">
        <w:trPr>
          <w:trHeight w:val="285"/>
        </w:trPr>
        <w:tc>
          <w:tcPr>
            <w:tcW w:w="1890" w:type="dxa"/>
          </w:tcPr>
          <w:p w14:paraId="0DCE9D0E" w14:textId="180AB082" w:rsidR="0F6A85EF" w:rsidRDefault="0F6A85EF" w:rsidP="0F6A85EF">
            <w:pPr>
              <w:spacing w:after="0"/>
            </w:pPr>
            <w:r w:rsidRPr="0F6A85EF">
              <w:rPr>
                <w:rFonts w:ascii="Helvetica" w:eastAsia="Helvetica" w:hAnsi="Helvetica" w:cs="Helvetica"/>
                <w:color w:val="26221F"/>
                <w:sz w:val="22"/>
                <w:szCs w:val="22"/>
              </w:rPr>
              <w:lastRenderedPageBreak/>
              <w:t xml:space="preserve">Leadership development rollout </w:t>
            </w:r>
          </w:p>
        </w:tc>
        <w:tc>
          <w:tcPr>
            <w:tcW w:w="1410" w:type="dxa"/>
          </w:tcPr>
          <w:p w14:paraId="7F0BC8BD" w14:textId="38B2D0E7" w:rsidR="0F6A85EF" w:rsidRDefault="0F6A85EF" w:rsidP="0F6A85EF">
            <w:pPr>
              <w:spacing w:after="0"/>
            </w:pPr>
            <w:r w:rsidRPr="0F6A85EF">
              <w:rPr>
                <w:rFonts w:ascii="Helvetica" w:eastAsia="Helvetica" w:hAnsi="Helvetica" w:cs="Helvetica"/>
              </w:rPr>
              <w:t xml:space="preserve">  </w:t>
            </w:r>
          </w:p>
        </w:tc>
        <w:tc>
          <w:tcPr>
            <w:tcW w:w="1890" w:type="dxa"/>
          </w:tcPr>
          <w:p w14:paraId="4B8F41C5" w14:textId="295AF521" w:rsidR="0F6A85EF" w:rsidRDefault="0F6A85EF" w:rsidP="0F6A85EF">
            <w:pPr>
              <w:spacing w:after="0"/>
            </w:pPr>
            <w:r w:rsidRPr="0F6A85EF">
              <w:rPr>
                <w:rFonts w:ascii="Helvetica" w:eastAsia="Helvetica" w:hAnsi="Helvetica" w:cs="Helvetica"/>
              </w:rPr>
              <w:t xml:space="preserve">  </w:t>
            </w:r>
          </w:p>
        </w:tc>
        <w:tc>
          <w:tcPr>
            <w:tcW w:w="1890" w:type="dxa"/>
          </w:tcPr>
          <w:p w14:paraId="7698AFEB" w14:textId="3AC5996C"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0CAF3835" w14:textId="327395B5" w:rsidR="0F6A85EF" w:rsidRDefault="0F6A85EF" w:rsidP="0F6A85EF">
            <w:pPr>
              <w:spacing w:after="0"/>
            </w:pPr>
            <w:r w:rsidRPr="0F6A85EF">
              <w:rPr>
                <w:rFonts w:ascii="Helvetica" w:eastAsia="Helvetica" w:hAnsi="Helvetica" w:cs="Helvetica"/>
              </w:rPr>
              <w:t xml:space="preserve">  </w:t>
            </w:r>
          </w:p>
        </w:tc>
      </w:tr>
      <w:tr w:rsidR="0F6A85EF" w14:paraId="788FCBA7" w14:textId="77777777" w:rsidTr="6311CB48">
        <w:trPr>
          <w:trHeight w:val="285"/>
        </w:trPr>
        <w:tc>
          <w:tcPr>
            <w:tcW w:w="1890" w:type="dxa"/>
          </w:tcPr>
          <w:p w14:paraId="698238C5" w14:textId="1C4AC8A0" w:rsidR="0F6A85EF" w:rsidRDefault="39E05525" w:rsidP="0F6A85EF">
            <w:pPr>
              <w:spacing w:after="0"/>
            </w:pPr>
            <w:r w:rsidRPr="6311CB48">
              <w:rPr>
                <w:rFonts w:ascii="Helvetica" w:eastAsia="Helvetica" w:hAnsi="Helvetica" w:cs="Helvetica"/>
                <w:color w:val="26221F"/>
                <w:sz w:val="22"/>
                <w:szCs w:val="22"/>
              </w:rPr>
              <w:t>Early intervention</w:t>
            </w:r>
            <w:r w:rsidR="25E24457" w:rsidRPr="6311CB48">
              <w:rPr>
                <w:rFonts w:ascii="Helvetica" w:eastAsia="Helvetica" w:hAnsi="Helvetica" w:cs="Helvetica"/>
                <w:color w:val="26221F"/>
                <w:sz w:val="22"/>
                <w:szCs w:val="22"/>
              </w:rPr>
              <w:t xml:space="preserve"> model implementation </w:t>
            </w:r>
          </w:p>
        </w:tc>
        <w:tc>
          <w:tcPr>
            <w:tcW w:w="1410" w:type="dxa"/>
          </w:tcPr>
          <w:p w14:paraId="19AF55E0" w14:textId="3586A462" w:rsidR="0F6A85EF" w:rsidRDefault="0F6A85EF" w:rsidP="0F6A85EF">
            <w:pPr>
              <w:spacing w:after="0"/>
            </w:pPr>
            <w:r w:rsidRPr="0F6A85EF">
              <w:rPr>
                <w:rFonts w:ascii="Helvetica" w:eastAsia="Helvetica" w:hAnsi="Helvetica" w:cs="Helvetica"/>
              </w:rPr>
              <w:t xml:space="preserve">  </w:t>
            </w:r>
          </w:p>
        </w:tc>
        <w:tc>
          <w:tcPr>
            <w:tcW w:w="1890" w:type="dxa"/>
          </w:tcPr>
          <w:p w14:paraId="5A449EB5" w14:textId="1D53A5C5" w:rsidR="0F6A85EF" w:rsidRDefault="0F6A85EF" w:rsidP="0F6A85EF">
            <w:pPr>
              <w:spacing w:after="0"/>
            </w:pPr>
            <w:r w:rsidRPr="0F6A85EF">
              <w:rPr>
                <w:rFonts w:ascii="Helvetica" w:eastAsia="Helvetica" w:hAnsi="Helvetica" w:cs="Helvetica"/>
              </w:rPr>
              <w:t xml:space="preserve">  </w:t>
            </w:r>
          </w:p>
        </w:tc>
        <w:tc>
          <w:tcPr>
            <w:tcW w:w="1890" w:type="dxa"/>
          </w:tcPr>
          <w:p w14:paraId="6A5D4E75" w14:textId="1B29BAEE"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0BE3D0A6" w14:textId="4A75651F" w:rsidR="0F6A85EF" w:rsidRDefault="0F6A85EF" w:rsidP="0F6A85EF">
            <w:pPr>
              <w:spacing w:after="0"/>
            </w:pPr>
            <w:r w:rsidRPr="0F6A85EF">
              <w:rPr>
                <w:rFonts w:ascii="Helvetica" w:eastAsia="Helvetica" w:hAnsi="Helvetica" w:cs="Helvetica"/>
              </w:rPr>
              <w:t xml:space="preserve">  </w:t>
            </w:r>
          </w:p>
        </w:tc>
      </w:tr>
      <w:tr w:rsidR="0F6A85EF" w14:paraId="788C84F5" w14:textId="77777777" w:rsidTr="6311CB48">
        <w:trPr>
          <w:trHeight w:val="285"/>
        </w:trPr>
        <w:tc>
          <w:tcPr>
            <w:tcW w:w="1890" w:type="dxa"/>
          </w:tcPr>
          <w:p w14:paraId="3179D8BF" w14:textId="46FE2E76" w:rsidR="0F6A85EF" w:rsidRDefault="366DA41F" w:rsidP="0F6A85EF">
            <w:pPr>
              <w:spacing w:after="0"/>
            </w:pPr>
            <w:r w:rsidRPr="6311CB48">
              <w:rPr>
                <w:rFonts w:ascii="Helvetica" w:eastAsia="Helvetica" w:hAnsi="Helvetica" w:cs="Helvetica"/>
                <w:color w:val="26221F"/>
                <w:sz w:val="22"/>
                <w:szCs w:val="22"/>
              </w:rPr>
              <w:t>High-risk</w:t>
            </w:r>
            <w:r w:rsidR="25E24457" w:rsidRPr="6311CB48">
              <w:rPr>
                <w:rFonts w:ascii="Helvetica" w:eastAsia="Helvetica" w:hAnsi="Helvetica" w:cs="Helvetica"/>
                <w:color w:val="26221F"/>
                <w:sz w:val="22"/>
                <w:szCs w:val="22"/>
              </w:rPr>
              <w:t xml:space="preserve"> unit support programme </w:t>
            </w:r>
          </w:p>
        </w:tc>
        <w:tc>
          <w:tcPr>
            <w:tcW w:w="1410" w:type="dxa"/>
          </w:tcPr>
          <w:p w14:paraId="1D7E61D5" w14:textId="5892F316" w:rsidR="0F6A85EF" w:rsidRDefault="0F6A85EF" w:rsidP="0F6A85EF">
            <w:pPr>
              <w:spacing w:after="0"/>
            </w:pPr>
            <w:r w:rsidRPr="0F6A85EF">
              <w:rPr>
                <w:rFonts w:ascii="Helvetica" w:eastAsia="Helvetica" w:hAnsi="Helvetica" w:cs="Helvetica"/>
              </w:rPr>
              <w:t xml:space="preserve">  </w:t>
            </w:r>
          </w:p>
        </w:tc>
        <w:tc>
          <w:tcPr>
            <w:tcW w:w="1890" w:type="dxa"/>
          </w:tcPr>
          <w:p w14:paraId="129C83F7" w14:textId="79FEFD14" w:rsidR="0F6A85EF" w:rsidRDefault="0F6A85EF" w:rsidP="0F6A85EF">
            <w:pPr>
              <w:spacing w:after="0"/>
            </w:pPr>
            <w:r w:rsidRPr="0F6A85EF">
              <w:rPr>
                <w:rFonts w:ascii="Helvetica" w:eastAsia="Helvetica" w:hAnsi="Helvetica" w:cs="Helvetica"/>
              </w:rPr>
              <w:t xml:space="preserve">  </w:t>
            </w:r>
          </w:p>
        </w:tc>
        <w:tc>
          <w:tcPr>
            <w:tcW w:w="1890" w:type="dxa"/>
          </w:tcPr>
          <w:p w14:paraId="2581FCAC" w14:textId="276089F0"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3B7D8B3A" w14:textId="543E8C46" w:rsidR="0F6A85EF" w:rsidRDefault="0F6A85EF" w:rsidP="0F6A85EF">
            <w:pPr>
              <w:spacing w:after="0"/>
            </w:pPr>
            <w:r w:rsidRPr="0F6A85EF">
              <w:rPr>
                <w:rFonts w:ascii="Helvetica" w:eastAsia="Helvetica" w:hAnsi="Helvetica" w:cs="Helvetica"/>
              </w:rPr>
              <w:t xml:space="preserve">  </w:t>
            </w:r>
          </w:p>
        </w:tc>
      </w:tr>
      <w:tr w:rsidR="0F6A85EF" w14:paraId="5624AC94" w14:textId="77777777" w:rsidTr="6311CB48">
        <w:trPr>
          <w:trHeight w:val="285"/>
        </w:trPr>
        <w:tc>
          <w:tcPr>
            <w:tcW w:w="1890" w:type="dxa"/>
          </w:tcPr>
          <w:p w14:paraId="097A9DD8" w14:textId="08FB9647" w:rsidR="0F6A85EF" w:rsidRDefault="0F6A85EF" w:rsidP="0F6A85EF">
            <w:pPr>
              <w:spacing w:after="0"/>
            </w:pPr>
            <w:r w:rsidRPr="0F6A85EF">
              <w:rPr>
                <w:rFonts w:ascii="Helvetica" w:eastAsia="Helvetica" w:hAnsi="Helvetica" w:cs="Helvetica"/>
                <w:color w:val="26221F"/>
                <w:sz w:val="22"/>
                <w:szCs w:val="22"/>
              </w:rPr>
              <w:t xml:space="preserve">Communication &amp; cultural change campaigns </w:t>
            </w:r>
          </w:p>
        </w:tc>
        <w:tc>
          <w:tcPr>
            <w:tcW w:w="1410" w:type="dxa"/>
          </w:tcPr>
          <w:p w14:paraId="5CB99EFD" w14:textId="01645BF2" w:rsidR="0F6A85EF" w:rsidRDefault="0F6A85EF" w:rsidP="0F6A85EF">
            <w:pPr>
              <w:spacing w:after="0"/>
            </w:pPr>
            <w:r w:rsidRPr="0F6A85EF">
              <w:rPr>
                <w:rFonts w:ascii="Helvetica" w:eastAsia="Helvetica" w:hAnsi="Helvetica" w:cs="Helvetica"/>
              </w:rPr>
              <w:t xml:space="preserve">  </w:t>
            </w:r>
          </w:p>
        </w:tc>
        <w:tc>
          <w:tcPr>
            <w:tcW w:w="1890" w:type="dxa"/>
          </w:tcPr>
          <w:p w14:paraId="5E98BC07" w14:textId="33BD39B4" w:rsidR="0F6A85EF" w:rsidRDefault="0F6A85EF" w:rsidP="0F6A85EF">
            <w:pPr>
              <w:spacing w:after="0"/>
            </w:pPr>
            <w:r w:rsidRPr="0F6A85EF">
              <w:rPr>
                <w:rFonts w:ascii="Helvetica" w:eastAsia="Helvetica" w:hAnsi="Helvetica" w:cs="Helvetica"/>
              </w:rPr>
              <w:t xml:space="preserve">  </w:t>
            </w:r>
          </w:p>
        </w:tc>
        <w:tc>
          <w:tcPr>
            <w:tcW w:w="1890" w:type="dxa"/>
          </w:tcPr>
          <w:p w14:paraId="3665288D" w14:textId="2C675ED4"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414B8599" w14:textId="4E02B27C" w:rsidR="0F6A85EF" w:rsidRDefault="0F6A85EF" w:rsidP="0F6A85EF">
            <w:pPr>
              <w:spacing w:after="0"/>
            </w:pPr>
            <w:r w:rsidRPr="0F6A85EF">
              <w:rPr>
                <w:rFonts w:ascii="Helvetica" w:eastAsia="Helvetica" w:hAnsi="Helvetica" w:cs="Helvetica"/>
              </w:rPr>
              <w:t xml:space="preserve">  </w:t>
            </w:r>
          </w:p>
        </w:tc>
      </w:tr>
      <w:tr w:rsidR="0F6A85EF" w14:paraId="67A1BB14" w14:textId="77777777" w:rsidTr="6311CB48">
        <w:trPr>
          <w:trHeight w:val="285"/>
        </w:trPr>
        <w:tc>
          <w:tcPr>
            <w:tcW w:w="1890" w:type="dxa"/>
          </w:tcPr>
          <w:p w14:paraId="3282750C" w14:textId="128123C6" w:rsidR="0F6A85EF" w:rsidRDefault="0F6A85EF" w:rsidP="0F6A85EF">
            <w:pPr>
              <w:spacing w:after="0"/>
            </w:pPr>
            <w:r w:rsidRPr="0F6A85EF">
              <w:rPr>
                <w:rFonts w:ascii="Helvetica" w:eastAsia="Helvetica" w:hAnsi="Helvetica" w:cs="Helvetica"/>
                <w:color w:val="26221F"/>
                <w:sz w:val="22"/>
                <w:szCs w:val="22"/>
              </w:rPr>
              <w:t xml:space="preserve">Dashboard fully operational </w:t>
            </w:r>
          </w:p>
        </w:tc>
        <w:tc>
          <w:tcPr>
            <w:tcW w:w="1410" w:type="dxa"/>
          </w:tcPr>
          <w:p w14:paraId="58264E80" w14:textId="55408986" w:rsidR="0F6A85EF" w:rsidRDefault="0F6A85EF" w:rsidP="0F6A85EF">
            <w:pPr>
              <w:spacing w:after="0"/>
            </w:pPr>
            <w:r w:rsidRPr="0F6A85EF">
              <w:rPr>
                <w:rFonts w:ascii="Helvetica" w:eastAsia="Helvetica" w:hAnsi="Helvetica" w:cs="Helvetica"/>
              </w:rPr>
              <w:t xml:space="preserve">  </w:t>
            </w:r>
          </w:p>
        </w:tc>
        <w:tc>
          <w:tcPr>
            <w:tcW w:w="1890" w:type="dxa"/>
          </w:tcPr>
          <w:p w14:paraId="0832B3A8" w14:textId="5456B134" w:rsidR="0F6A85EF" w:rsidRDefault="0F6A85EF" w:rsidP="0F6A85EF">
            <w:pPr>
              <w:spacing w:after="0"/>
            </w:pPr>
            <w:r w:rsidRPr="0F6A85EF">
              <w:rPr>
                <w:rFonts w:ascii="Helvetica" w:eastAsia="Helvetica" w:hAnsi="Helvetica" w:cs="Helvetica"/>
              </w:rPr>
              <w:t xml:space="preserve">  </w:t>
            </w:r>
          </w:p>
        </w:tc>
        <w:tc>
          <w:tcPr>
            <w:tcW w:w="1890" w:type="dxa"/>
          </w:tcPr>
          <w:p w14:paraId="2A65E8BB" w14:textId="1387D0B5" w:rsidR="0F6A85EF" w:rsidRDefault="0F6A85EF" w:rsidP="0F6A85EF">
            <w:pPr>
              <w:spacing w:after="0"/>
            </w:pPr>
            <w:r w:rsidRPr="0F6A85EF">
              <w:rPr>
                <w:rFonts w:ascii="Arial" w:eastAsia="Arial" w:hAnsi="Arial" w:cs="Arial"/>
                <w:color w:val="26221F"/>
                <w:sz w:val="22"/>
                <w:szCs w:val="22"/>
              </w:rPr>
              <w:t xml:space="preserve">████████ </w:t>
            </w:r>
          </w:p>
        </w:tc>
        <w:tc>
          <w:tcPr>
            <w:tcW w:w="1890" w:type="dxa"/>
          </w:tcPr>
          <w:p w14:paraId="3A64A47D" w14:textId="3DFA5808" w:rsidR="0F6A85EF" w:rsidRDefault="0F6A85EF" w:rsidP="0F6A85EF">
            <w:pPr>
              <w:spacing w:after="0"/>
            </w:pPr>
            <w:r w:rsidRPr="0F6A85EF">
              <w:rPr>
                <w:rFonts w:ascii="Helvetica" w:eastAsia="Helvetica" w:hAnsi="Helvetica" w:cs="Helvetica"/>
              </w:rPr>
              <w:t xml:space="preserve">  </w:t>
            </w:r>
          </w:p>
        </w:tc>
      </w:tr>
      <w:tr w:rsidR="0F6A85EF" w14:paraId="3EDA3646" w14:textId="77777777" w:rsidTr="6311CB48">
        <w:trPr>
          <w:trHeight w:val="285"/>
        </w:trPr>
        <w:tc>
          <w:tcPr>
            <w:tcW w:w="1890" w:type="dxa"/>
          </w:tcPr>
          <w:p w14:paraId="641D906E" w14:textId="60549C24" w:rsidR="0F6A85EF" w:rsidRDefault="0F6A85EF" w:rsidP="0F6A85EF">
            <w:pPr>
              <w:spacing w:after="0"/>
            </w:pPr>
            <w:r w:rsidRPr="0F6A85EF">
              <w:rPr>
                <w:rFonts w:ascii="Helvetica" w:eastAsia="Helvetica" w:hAnsi="Helvetica" w:cs="Helvetica"/>
                <w:b/>
                <w:bCs/>
                <w:color w:val="26221F"/>
                <w:sz w:val="22"/>
                <w:szCs w:val="22"/>
              </w:rPr>
              <w:t>Phase 4: Evaluation &amp; Continuous Improvement</w:t>
            </w:r>
            <w:r w:rsidRPr="0F6A85EF">
              <w:rPr>
                <w:rFonts w:ascii="Helvetica" w:eastAsia="Helvetica" w:hAnsi="Helvetica" w:cs="Helvetica"/>
                <w:color w:val="26221F"/>
                <w:sz w:val="22"/>
                <w:szCs w:val="22"/>
              </w:rPr>
              <w:t xml:space="preserve"> </w:t>
            </w:r>
          </w:p>
        </w:tc>
        <w:tc>
          <w:tcPr>
            <w:tcW w:w="1410" w:type="dxa"/>
          </w:tcPr>
          <w:p w14:paraId="4D0AF312" w14:textId="50BDDC7E" w:rsidR="0F6A85EF" w:rsidRDefault="0F6A85EF" w:rsidP="0F6A85EF">
            <w:pPr>
              <w:spacing w:after="0"/>
            </w:pPr>
            <w:r w:rsidRPr="0F6A85EF">
              <w:rPr>
                <w:rFonts w:ascii="Helvetica" w:eastAsia="Helvetica" w:hAnsi="Helvetica" w:cs="Helvetica"/>
              </w:rPr>
              <w:t xml:space="preserve">  </w:t>
            </w:r>
          </w:p>
        </w:tc>
        <w:tc>
          <w:tcPr>
            <w:tcW w:w="1890" w:type="dxa"/>
          </w:tcPr>
          <w:p w14:paraId="68406F6B" w14:textId="23A21B6C" w:rsidR="0F6A85EF" w:rsidRDefault="0F6A85EF" w:rsidP="0F6A85EF">
            <w:pPr>
              <w:spacing w:after="0"/>
            </w:pPr>
            <w:r w:rsidRPr="0F6A85EF">
              <w:rPr>
                <w:rFonts w:ascii="Helvetica" w:eastAsia="Helvetica" w:hAnsi="Helvetica" w:cs="Helvetica"/>
              </w:rPr>
              <w:t xml:space="preserve">  </w:t>
            </w:r>
          </w:p>
        </w:tc>
        <w:tc>
          <w:tcPr>
            <w:tcW w:w="1890" w:type="dxa"/>
          </w:tcPr>
          <w:p w14:paraId="5F9ABEAA" w14:textId="25299338" w:rsidR="0F6A85EF" w:rsidRDefault="0F6A85EF" w:rsidP="0F6A85EF">
            <w:pPr>
              <w:spacing w:after="0"/>
            </w:pPr>
            <w:r w:rsidRPr="0F6A85EF">
              <w:rPr>
                <w:rFonts w:ascii="Helvetica" w:eastAsia="Helvetica" w:hAnsi="Helvetica" w:cs="Helvetica"/>
              </w:rPr>
              <w:t xml:space="preserve">  </w:t>
            </w:r>
          </w:p>
        </w:tc>
        <w:tc>
          <w:tcPr>
            <w:tcW w:w="1890" w:type="dxa"/>
          </w:tcPr>
          <w:p w14:paraId="5E40C0FC" w14:textId="4297C6EE" w:rsidR="0F6A85EF" w:rsidRDefault="0F6A85EF" w:rsidP="0F6A85EF">
            <w:pPr>
              <w:spacing w:after="0"/>
            </w:pPr>
            <w:r w:rsidRPr="0F6A85EF">
              <w:rPr>
                <w:rFonts w:ascii="Arial" w:eastAsia="Arial" w:hAnsi="Arial" w:cs="Arial"/>
                <w:color w:val="26221F"/>
                <w:sz w:val="22"/>
                <w:szCs w:val="22"/>
              </w:rPr>
              <w:t xml:space="preserve">██████████ </w:t>
            </w:r>
          </w:p>
        </w:tc>
      </w:tr>
      <w:tr w:rsidR="0F6A85EF" w14:paraId="4D904814" w14:textId="77777777" w:rsidTr="6311CB48">
        <w:trPr>
          <w:trHeight w:val="285"/>
        </w:trPr>
        <w:tc>
          <w:tcPr>
            <w:tcW w:w="1890" w:type="dxa"/>
          </w:tcPr>
          <w:p w14:paraId="2CAA644E" w14:textId="3A7DB512" w:rsidR="0F6A85EF" w:rsidRDefault="0F6A85EF" w:rsidP="0F6A85EF">
            <w:pPr>
              <w:spacing w:after="0"/>
            </w:pPr>
            <w:r w:rsidRPr="0F6A85EF">
              <w:rPr>
                <w:rFonts w:ascii="Helvetica" w:eastAsia="Helvetica" w:hAnsi="Helvetica" w:cs="Helvetica"/>
                <w:color w:val="26221F"/>
                <w:sz w:val="22"/>
                <w:szCs w:val="22"/>
              </w:rPr>
              <w:t xml:space="preserve">KPI monitoring &amp; reporting </w:t>
            </w:r>
          </w:p>
        </w:tc>
        <w:tc>
          <w:tcPr>
            <w:tcW w:w="1410" w:type="dxa"/>
          </w:tcPr>
          <w:p w14:paraId="2AB8782F" w14:textId="6AABB01C" w:rsidR="0F6A85EF" w:rsidRDefault="0F6A85EF" w:rsidP="0F6A85EF">
            <w:pPr>
              <w:spacing w:after="0"/>
            </w:pPr>
            <w:r w:rsidRPr="0F6A85EF">
              <w:rPr>
                <w:rFonts w:ascii="Helvetica" w:eastAsia="Helvetica" w:hAnsi="Helvetica" w:cs="Helvetica"/>
              </w:rPr>
              <w:t xml:space="preserve">  </w:t>
            </w:r>
          </w:p>
        </w:tc>
        <w:tc>
          <w:tcPr>
            <w:tcW w:w="1890" w:type="dxa"/>
          </w:tcPr>
          <w:p w14:paraId="6A219101" w14:textId="14FAEE67" w:rsidR="0F6A85EF" w:rsidRDefault="0F6A85EF" w:rsidP="0F6A85EF">
            <w:pPr>
              <w:spacing w:after="0"/>
            </w:pPr>
            <w:r w:rsidRPr="0F6A85EF">
              <w:rPr>
                <w:rFonts w:ascii="Helvetica" w:eastAsia="Helvetica" w:hAnsi="Helvetica" w:cs="Helvetica"/>
              </w:rPr>
              <w:t xml:space="preserve">  </w:t>
            </w:r>
          </w:p>
        </w:tc>
        <w:tc>
          <w:tcPr>
            <w:tcW w:w="1890" w:type="dxa"/>
          </w:tcPr>
          <w:p w14:paraId="45CD70BC" w14:textId="6251C46F" w:rsidR="0F6A85EF" w:rsidRDefault="0F6A85EF" w:rsidP="0F6A85EF">
            <w:pPr>
              <w:spacing w:after="0"/>
            </w:pPr>
            <w:r w:rsidRPr="0F6A85EF">
              <w:rPr>
                <w:rFonts w:ascii="Helvetica" w:eastAsia="Helvetica" w:hAnsi="Helvetica" w:cs="Helvetica"/>
              </w:rPr>
              <w:t xml:space="preserve">  </w:t>
            </w:r>
          </w:p>
        </w:tc>
        <w:tc>
          <w:tcPr>
            <w:tcW w:w="1890" w:type="dxa"/>
          </w:tcPr>
          <w:p w14:paraId="6DD292AD" w14:textId="77BAF630" w:rsidR="0F6A85EF" w:rsidRDefault="0F6A85EF" w:rsidP="0F6A85EF">
            <w:pPr>
              <w:spacing w:after="0"/>
            </w:pPr>
            <w:r w:rsidRPr="0F6A85EF">
              <w:rPr>
                <w:rFonts w:ascii="Arial" w:eastAsia="Arial" w:hAnsi="Arial" w:cs="Arial"/>
                <w:color w:val="26221F"/>
                <w:sz w:val="22"/>
                <w:szCs w:val="22"/>
              </w:rPr>
              <w:t xml:space="preserve">██████████ </w:t>
            </w:r>
          </w:p>
        </w:tc>
      </w:tr>
      <w:tr w:rsidR="0F6A85EF" w14:paraId="6023A423" w14:textId="77777777" w:rsidTr="6311CB48">
        <w:trPr>
          <w:trHeight w:val="285"/>
        </w:trPr>
        <w:tc>
          <w:tcPr>
            <w:tcW w:w="1890" w:type="dxa"/>
          </w:tcPr>
          <w:p w14:paraId="0D7F8717" w14:textId="31459381" w:rsidR="0F6A85EF" w:rsidRDefault="0F6A85EF" w:rsidP="0F6A85EF">
            <w:pPr>
              <w:spacing w:after="0"/>
            </w:pPr>
            <w:r w:rsidRPr="0F6A85EF">
              <w:rPr>
                <w:rFonts w:ascii="Helvetica" w:eastAsia="Helvetica" w:hAnsi="Helvetica" w:cs="Helvetica"/>
                <w:color w:val="26221F"/>
                <w:sz w:val="22"/>
                <w:szCs w:val="22"/>
              </w:rPr>
              <w:t xml:space="preserve">Annual evaluation report </w:t>
            </w:r>
          </w:p>
        </w:tc>
        <w:tc>
          <w:tcPr>
            <w:tcW w:w="1410" w:type="dxa"/>
          </w:tcPr>
          <w:p w14:paraId="35A7822F" w14:textId="6F37FB0B" w:rsidR="0F6A85EF" w:rsidRDefault="0F6A85EF" w:rsidP="0F6A85EF">
            <w:pPr>
              <w:spacing w:after="0"/>
            </w:pPr>
            <w:r w:rsidRPr="0F6A85EF">
              <w:rPr>
                <w:rFonts w:ascii="Helvetica" w:eastAsia="Helvetica" w:hAnsi="Helvetica" w:cs="Helvetica"/>
              </w:rPr>
              <w:t xml:space="preserve">  </w:t>
            </w:r>
          </w:p>
        </w:tc>
        <w:tc>
          <w:tcPr>
            <w:tcW w:w="1890" w:type="dxa"/>
          </w:tcPr>
          <w:p w14:paraId="40E15B6F" w14:textId="3BBB8015" w:rsidR="0F6A85EF" w:rsidRDefault="0F6A85EF" w:rsidP="0F6A85EF">
            <w:pPr>
              <w:spacing w:after="0"/>
            </w:pPr>
            <w:r w:rsidRPr="0F6A85EF">
              <w:rPr>
                <w:rFonts w:ascii="Helvetica" w:eastAsia="Helvetica" w:hAnsi="Helvetica" w:cs="Helvetica"/>
              </w:rPr>
              <w:t xml:space="preserve">  </w:t>
            </w:r>
          </w:p>
        </w:tc>
        <w:tc>
          <w:tcPr>
            <w:tcW w:w="1890" w:type="dxa"/>
          </w:tcPr>
          <w:p w14:paraId="1FF00169" w14:textId="0D894E92" w:rsidR="0F6A85EF" w:rsidRDefault="0F6A85EF" w:rsidP="0F6A85EF">
            <w:pPr>
              <w:spacing w:after="0"/>
            </w:pPr>
            <w:r w:rsidRPr="0F6A85EF">
              <w:rPr>
                <w:rFonts w:ascii="Helvetica" w:eastAsia="Helvetica" w:hAnsi="Helvetica" w:cs="Helvetica"/>
              </w:rPr>
              <w:t xml:space="preserve">  </w:t>
            </w:r>
          </w:p>
        </w:tc>
        <w:tc>
          <w:tcPr>
            <w:tcW w:w="1890" w:type="dxa"/>
          </w:tcPr>
          <w:p w14:paraId="20F9FE16" w14:textId="0B07ABF4" w:rsidR="0F6A85EF" w:rsidRDefault="0F6A85EF" w:rsidP="0F6A85EF">
            <w:pPr>
              <w:spacing w:after="0"/>
            </w:pPr>
            <w:r w:rsidRPr="0F6A85EF">
              <w:rPr>
                <w:rFonts w:ascii="Arial" w:eastAsia="Arial" w:hAnsi="Arial" w:cs="Arial"/>
                <w:color w:val="26221F"/>
                <w:sz w:val="22"/>
                <w:szCs w:val="22"/>
              </w:rPr>
              <w:t xml:space="preserve">████████ </w:t>
            </w:r>
          </w:p>
        </w:tc>
      </w:tr>
      <w:tr w:rsidR="0F6A85EF" w14:paraId="6CF6AACC" w14:textId="77777777" w:rsidTr="6311CB48">
        <w:trPr>
          <w:trHeight w:val="285"/>
        </w:trPr>
        <w:tc>
          <w:tcPr>
            <w:tcW w:w="8970" w:type="dxa"/>
            <w:gridSpan w:val="5"/>
            <w:tcBorders>
              <w:top w:val="single" w:sz="8" w:space="0" w:color="auto"/>
            </w:tcBorders>
          </w:tcPr>
          <w:p w14:paraId="24D8C61B" w14:textId="4C34859C" w:rsidR="0F6A85EF" w:rsidRDefault="0F6A85EF" w:rsidP="0EB0CFED">
            <w:pPr>
              <w:spacing w:after="0"/>
              <w:rPr>
                <w:rFonts w:ascii="Helvetica" w:eastAsia="Helvetica" w:hAnsi="Helvetica" w:cs="Helvetica"/>
                <w:b/>
                <w:bCs/>
                <w:color w:val="26221F"/>
                <w:sz w:val="22"/>
                <w:szCs w:val="22"/>
              </w:rPr>
            </w:pPr>
          </w:p>
          <w:p w14:paraId="7826F5BA" w14:textId="610C1846" w:rsidR="0F6A85EF" w:rsidRDefault="31AF985E" w:rsidP="0F6A85EF">
            <w:pPr>
              <w:spacing w:after="0"/>
            </w:pPr>
            <w:r w:rsidRPr="0EB0CFED">
              <w:rPr>
                <w:rFonts w:ascii="Helvetica" w:eastAsia="Helvetica" w:hAnsi="Helvetica" w:cs="Helvetica"/>
                <w:b/>
                <w:bCs/>
                <w:color w:val="26221F"/>
                <w:sz w:val="22"/>
                <w:szCs w:val="22"/>
              </w:rPr>
              <w:t>RACI Matrix</w:t>
            </w:r>
          </w:p>
          <w:p w14:paraId="68642891" w14:textId="32C7E33D" w:rsidR="0F6A85EF" w:rsidRDefault="46EA53D2" w:rsidP="0EB0CFED">
            <w:pPr>
              <w:spacing w:after="0"/>
              <w:rPr>
                <w:rFonts w:ascii="Helvetica" w:eastAsia="Helvetica" w:hAnsi="Helvetica" w:cs="Helvetica"/>
                <w:b/>
                <w:bCs/>
                <w:color w:val="26221F"/>
                <w:sz w:val="22"/>
                <w:szCs w:val="22"/>
              </w:rPr>
            </w:pPr>
            <w:r w:rsidRPr="0EB0CFED">
              <w:rPr>
                <w:rFonts w:ascii="Helvetica" w:eastAsia="Helvetica" w:hAnsi="Helvetica" w:cs="Helvetica"/>
                <w:b/>
                <w:bCs/>
                <w:color w:val="26221F"/>
                <w:sz w:val="22"/>
                <w:szCs w:val="22"/>
              </w:rPr>
              <w:t xml:space="preserve"> </w:t>
            </w:r>
          </w:p>
        </w:tc>
      </w:tr>
      <w:tr w:rsidR="0F6A85EF" w14:paraId="0632404E" w14:textId="77777777" w:rsidTr="6311CB48">
        <w:trPr>
          <w:trHeight w:val="285"/>
        </w:trPr>
        <w:tc>
          <w:tcPr>
            <w:tcW w:w="1890" w:type="dxa"/>
            <w:shd w:val="clear" w:color="auto" w:fill="F3E2D5"/>
          </w:tcPr>
          <w:p w14:paraId="5F3B0A69" w14:textId="59C45042" w:rsidR="0F6A85EF" w:rsidRDefault="0F6A85EF" w:rsidP="0F6A85EF">
            <w:pPr>
              <w:spacing w:after="0"/>
            </w:pPr>
            <w:r w:rsidRPr="0F6A85EF">
              <w:rPr>
                <w:rFonts w:ascii="Helvetica" w:eastAsia="Helvetica" w:hAnsi="Helvetica" w:cs="Helvetica"/>
                <w:b/>
                <w:bCs/>
                <w:color w:val="26221F"/>
                <w:sz w:val="22"/>
                <w:szCs w:val="22"/>
              </w:rPr>
              <w:t>Workstream / Activity</w:t>
            </w:r>
            <w:r w:rsidRPr="0F6A85EF">
              <w:rPr>
                <w:rFonts w:ascii="Helvetica" w:eastAsia="Helvetica" w:hAnsi="Helvetica" w:cs="Helvetica"/>
                <w:color w:val="26221F"/>
                <w:sz w:val="22"/>
                <w:szCs w:val="22"/>
              </w:rPr>
              <w:t xml:space="preserve"> </w:t>
            </w:r>
          </w:p>
        </w:tc>
        <w:tc>
          <w:tcPr>
            <w:tcW w:w="1410" w:type="dxa"/>
            <w:shd w:val="clear" w:color="auto" w:fill="F3E2D5"/>
          </w:tcPr>
          <w:p w14:paraId="0F2A7ACB" w14:textId="7CB1D859" w:rsidR="0F6A85EF" w:rsidRDefault="0F6A85EF" w:rsidP="0F6A85EF">
            <w:pPr>
              <w:spacing w:after="0"/>
            </w:pPr>
            <w:r w:rsidRPr="0F6A85EF">
              <w:rPr>
                <w:rFonts w:ascii="Helvetica" w:eastAsia="Helvetica" w:hAnsi="Helvetica" w:cs="Helvetica"/>
                <w:b/>
                <w:bCs/>
                <w:color w:val="26221F"/>
                <w:sz w:val="22"/>
                <w:szCs w:val="22"/>
              </w:rPr>
              <w:t>Responsible (R)</w:t>
            </w:r>
            <w:r w:rsidRPr="0F6A85EF">
              <w:rPr>
                <w:rFonts w:ascii="Helvetica" w:eastAsia="Helvetica" w:hAnsi="Helvetica" w:cs="Helvetica"/>
                <w:color w:val="26221F"/>
                <w:sz w:val="22"/>
                <w:szCs w:val="22"/>
              </w:rPr>
              <w:t xml:space="preserve"> </w:t>
            </w:r>
          </w:p>
        </w:tc>
        <w:tc>
          <w:tcPr>
            <w:tcW w:w="1890" w:type="dxa"/>
            <w:shd w:val="clear" w:color="auto" w:fill="F3E2D5"/>
          </w:tcPr>
          <w:p w14:paraId="2CA7DF7F" w14:textId="27350A8B" w:rsidR="0F6A85EF" w:rsidRDefault="0F6A85EF" w:rsidP="0F6A85EF">
            <w:pPr>
              <w:spacing w:after="0"/>
            </w:pPr>
            <w:r w:rsidRPr="0F6A85EF">
              <w:rPr>
                <w:rFonts w:ascii="Helvetica" w:eastAsia="Helvetica" w:hAnsi="Helvetica" w:cs="Helvetica"/>
                <w:b/>
                <w:bCs/>
                <w:color w:val="26221F"/>
                <w:sz w:val="22"/>
                <w:szCs w:val="22"/>
              </w:rPr>
              <w:t>Accountable (A)</w:t>
            </w:r>
            <w:r w:rsidRPr="0F6A85EF">
              <w:rPr>
                <w:rFonts w:ascii="Helvetica" w:eastAsia="Helvetica" w:hAnsi="Helvetica" w:cs="Helvetica"/>
                <w:color w:val="26221F"/>
                <w:sz w:val="22"/>
                <w:szCs w:val="22"/>
              </w:rPr>
              <w:t xml:space="preserve"> </w:t>
            </w:r>
          </w:p>
        </w:tc>
        <w:tc>
          <w:tcPr>
            <w:tcW w:w="1890" w:type="dxa"/>
            <w:shd w:val="clear" w:color="auto" w:fill="F3E2D5"/>
          </w:tcPr>
          <w:p w14:paraId="17C509EA" w14:textId="120E8398" w:rsidR="0F6A85EF" w:rsidRDefault="0F6A85EF" w:rsidP="0F6A85EF">
            <w:pPr>
              <w:spacing w:after="0"/>
            </w:pPr>
            <w:r w:rsidRPr="0F6A85EF">
              <w:rPr>
                <w:rFonts w:ascii="Helvetica" w:eastAsia="Helvetica" w:hAnsi="Helvetica" w:cs="Helvetica"/>
                <w:b/>
                <w:bCs/>
                <w:color w:val="26221F"/>
                <w:sz w:val="22"/>
                <w:szCs w:val="22"/>
              </w:rPr>
              <w:t>Consulted (C)</w:t>
            </w:r>
            <w:r w:rsidRPr="0F6A85EF">
              <w:rPr>
                <w:rFonts w:ascii="Helvetica" w:eastAsia="Helvetica" w:hAnsi="Helvetica" w:cs="Helvetica"/>
                <w:color w:val="26221F"/>
                <w:sz w:val="22"/>
                <w:szCs w:val="22"/>
              </w:rPr>
              <w:t xml:space="preserve"> </w:t>
            </w:r>
          </w:p>
        </w:tc>
        <w:tc>
          <w:tcPr>
            <w:tcW w:w="1890" w:type="dxa"/>
            <w:shd w:val="clear" w:color="auto" w:fill="F3E2D5"/>
          </w:tcPr>
          <w:p w14:paraId="6AC17128" w14:textId="1FDE4F3A" w:rsidR="0F6A85EF" w:rsidRDefault="46EA53D2" w:rsidP="0F6A85EF">
            <w:pPr>
              <w:spacing w:after="0"/>
            </w:pPr>
            <w:r w:rsidRPr="0EB0CFED">
              <w:rPr>
                <w:rFonts w:ascii="Helvetica" w:eastAsia="Helvetica" w:hAnsi="Helvetica" w:cs="Helvetica"/>
                <w:b/>
                <w:bCs/>
                <w:color w:val="26221F"/>
                <w:sz w:val="22"/>
                <w:szCs w:val="22"/>
              </w:rPr>
              <w:t xml:space="preserve">Informed </w:t>
            </w:r>
            <w:proofErr w:type="gramStart"/>
            <w:r w:rsidR="2A5B0770" w:rsidRPr="0EB0CFED">
              <w:rPr>
                <w:rFonts w:ascii="Helvetica" w:eastAsia="Helvetica" w:hAnsi="Helvetica" w:cs="Helvetica"/>
                <w:b/>
                <w:bCs/>
                <w:color w:val="26221F"/>
                <w:sz w:val="22"/>
                <w:szCs w:val="22"/>
              </w:rPr>
              <w:t xml:space="preserve">   </w:t>
            </w:r>
            <w:r w:rsidRPr="0EB0CFED">
              <w:rPr>
                <w:rFonts w:ascii="Helvetica" w:eastAsia="Helvetica" w:hAnsi="Helvetica" w:cs="Helvetica"/>
                <w:b/>
                <w:bCs/>
                <w:color w:val="26221F"/>
                <w:sz w:val="22"/>
                <w:szCs w:val="22"/>
              </w:rPr>
              <w:t>(</w:t>
            </w:r>
            <w:proofErr w:type="gramEnd"/>
            <w:r w:rsidRPr="0EB0CFED">
              <w:rPr>
                <w:rFonts w:ascii="Helvetica" w:eastAsia="Helvetica" w:hAnsi="Helvetica" w:cs="Helvetica"/>
                <w:b/>
                <w:bCs/>
                <w:color w:val="26221F"/>
                <w:sz w:val="22"/>
                <w:szCs w:val="22"/>
              </w:rPr>
              <w:t>I)</w:t>
            </w:r>
            <w:r w:rsidRPr="0EB0CFED">
              <w:rPr>
                <w:rFonts w:ascii="Helvetica" w:eastAsia="Helvetica" w:hAnsi="Helvetica" w:cs="Helvetica"/>
                <w:color w:val="26221F"/>
                <w:sz w:val="22"/>
                <w:szCs w:val="22"/>
              </w:rPr>
              <w:t xml:space="preserve"> </w:t>
            </w:r>
          </w:p>
        </w:tc>
      </w:tr>
      <w:tr w:rsidR="0F6A85EF" w14:paraId="116AA0EF" w14:textId="77777777" w:rsidTr="6311CB48">
        <w:trPr>
          <w:trHeight w:val="285"/>
        </w:trPr>
        <w:tc>
          <w:tcPr>
            <w:tcW w:w="1890" w:type="dxa"/>
          </w:tcPr>
          <w:p w14:paraId="5830CE30" w14:textId="182C2661" w:rsidR="0F6A85EF" w:rsidRDefault="0F6A85EF" w:rsidP="0F6A85EF">
            <w:pPr>
              <w:spacing w:after="0"/>
            </w:pPr>
            <w:r w:rsidRPr="0F6A85EF">
              <w:rPr>
                <w:rFonts w:ascii="Helvetica" w:eastAsia="Helvetica" w:hAnsi="Helvetica" w:cs="Helvetica"/>
                <w:color w:val="26221F"/>
                <w:sz w:val="22"/>
                <w:szCs w:val="22"/>
              </w:rPr>
              <w:t xml:space="preserve">Diagnostic &amp; data analysis </w:t>
            </w:r>
          </w:p>
        </w:tc>
        <w:tc>
          <w:tcPr>
            <w:tcW w:w="1410" w:type="dxa"/>
          </w:tcPr>
          <w:p w14:paraId="6CC1CC19" w14:textId="6B196BEE" w:rsidR="0F6A85EF" w:rsidRDefault="0F6A85EF" w:rsidP="0F6A85EF">
            <w:pPr>
              <w:spacing w:after="0"/>
            </w:pPr>
            <w:r w:rsidRPr="0F6A85EF">
              <w:rPr>
                <w:rFonts w:ascii="Helvetica" w:eastAsia="Helvetica" w:hAnsi="Helvetica" w:cs="Helvetica"/>
                <w:color w:val="26221F"/>
                <w:sz w:val="22"/>
                <w:szCs w:val="22"/>
              </w:rPr>
              <w:t xml:space="preserve">HR Analytics Lead </w:t>
            </w:r>
          </w:p>
        </w:tc>
        <w:tc>
          <w:tcPr>
            <w:tcW w:w="1890" w:type="dxa"/>
          </w:tcPr>
          <w:p w14:paraId="635BE9E6" w14:textId="423BC009" w:rsidR="0F6A85EF" w:rsidRDefault="0F6A85EF" w:rsidP="0F6A85EF">
            <w:pPr>
              <w:spacing w:after="0"/>
            </w:pPr>
            <w:r w:rsidRPr="0F6A85EF">
              <w:rPr>
                <w:rFonts w:ascii="Helvetica" w:eastAsia="Helvetica" w:hAnsi="Helvetica" w:cs="Helvetica"/>
                <w:color w:val="26221F"/>
                <w:sz w:val="22"/>
                <w:szCs w:val="22"/>
              </w:rPr>
              <w:t xml:space="preserve">Head of People Services </w:t>
            </w:r>
          </w:p>
        </w:tc>
        <w:tc>
          <w:tcPr>
            <w:tcW w:w="1890" w:type="dxa"/>
          </w:tcPr>
          <w:p w14:paraId="253775A3" w14:textId="276EF0F2" w:rsidR="0F6A85EF" w:rsidRDefault="0F6A85EF" w:rsidP="0F6A85EF">
            <w:pPr>
              <w:spacing w:after="0"/>
            </w:pPr>
            <w:r w:rsidRPr="0F6A85EF">
              <w:rPr>
                <w:rFonts w:ascii="Helvetica" w:eastAsia="Helvetica" w:hAnsi="Helvetica" w:cs="Helvetica"/>
                <w:color w:val="26221F"/>
                <w:sz w:val="22"/>
                <w:szCs w:val="22"/>
              </w:rPr>
              <w:t xml:space="preserve">OH, Staff Associations </w:t>
            </w:r>
          </w:p>
        </w:tc>
        <w:tc>
          <w:tcPr>
            <w:tcW w:w="1890" w:type="dxa"/>
          </w:tcPr>
          <w:p w14:paraId="7ECEF8EB" w14:textId="4313DC01" w:rsidR="0F6A85EF" w:rsidRDefault="0F6A85EF" w:rsidP="0F6A85EF">
            <w:pPr>
              <w:spacing w:after="0"/>
            </w:pPr>
            <w:r w:rsidRPr="0F6A85EF">
              <w:rPr>
                <w:rFonts w:ascii="Helvetica" w:eastAsia="Helvetica" w:hAnsi="Helvetica" w:cs="Helvetica"/>
                <w:color w:val="26221F"/>
                <w:sz w:val="22"/>
                <w:szCs w:val="22"/>
              </w:rPr>
              <w:t xml:space="preserve">Chief Officer Team </w:t>
            </w:r>
          </w:p>
        </w:tc>
      </w:tr>
      <w:tr w:rsidR="0F6A85EF" w14:paraId="4597B153" w14:textId="77777777" w:rsidTr="6311CB48">
        <w:trPr>
          <w:trHeight w:val="285"/>
        </w:trPr>
        <w:tc>
          <w:tcPr>
            <w:tcW w:w="1890" w:type="dxa"/>
          </w:tcPr>
          <w:p w14:paraId="2CCC0582" w14:textId="79C6895E" w:rsidR="0F6A85EF" w:rsidRDefault="0F6A85EF" w:rsidP="0F6A85EF">
            <w:pPr>
              <w:spacing w:after="0"/>
            </w:pPr>
            <w:r w:rsidRPr="0F6A85EF">
              <w:rPr>
                <w:rFonts w:ascii="Helvetica" w:eastAsia="Helvetica" w:hAnsi="Helvetica" w:cs="Helvetica"/>
                <w:color w:val="26221F"/>
                <w:sz w:val="22"/>
                <w:szCs w:val="22"/>
              </w:rPr>
              <w:t xml:space="preserve">Governance structure design </w:t>
            </w:r>
          </w:p>
        </w:tc>
        <w:tc>
          <w:tcPr>
            <w:tcW w:w="1410" w:type="dxa"/>
          </w:tcPr>
          <w:p w14:paraId="2758E326" w14:textId="485CD1C9" w:rsidR="0F6A85EF" w:rsidRDefault="0F6A85EF" w:rsidP="0F6A85EF">
            <w:pPr>
              <w:spacing w:after="0"/>
            </w:pPr>
            <w:r w:rsidRPr="0F6A85EF">
              <w:rPr>
                <w:rFonts w:ascii="Helvetica" w:eastAsia="Helvetica" w:hAnsi="Helvetica" w:cs="Helvetica"/>
                <w:color w:val="26221F"/>
                <w:sz w:val="22"/>
                <w:szCs w:val="22"/>
              </w:rPr>
              <w:t xml:space="preserve">Corporate Development </w:t>
            </w:r>
          </w:p>
        </w:tc>
        <w:tc>
          <w:tcPr>
            <w:tcW w:w="1890" w:type="dxa"/>
          </w:tcPr>
          <w:p w14:paraId="0ADFAF64" w14:textId="2D47FDFB" w:rsidR="0F6A85EF" w:rsidRDefault="0F6A85EF" w:rsidP="0F6A85EF">
            <w:pPr>
              <w:spacing w:after="0"/>
            </w:pPr>
            <w:r w:rsidRPr="0F6A85EF">
              <w:rPr>
                <w:rFonts w:ascii="Helvetica" w:eastAsia="Helvetica" w:hAnsi="Helvetica" w:cs="Helvetica"/>
                <w:color w:val="26221F"/>
                <w:sz w:val="22"/>
                <w:szCs w:val="22"/>
              </w:rPr>
              <w:t xml:space="preserve">Deputy Chief Constable </w:t>
            </w:r>
          </w:p>
        </w:tc>
        <w:tc>
          <w:tcPr>
            <w:tcW w:w="1890" w:type="dxa"/>
          </w:tcPr>
          <w:p w14:paraId="4F67F6F4" w14:textId="57825A99" w:rsidR="0F6A85EF" w:rsidRDefault="0F6A85EF" w:rsidP="0F6A85EF">
            <w:pPr>
              <w:spacing w:after="0"/>
            </w:pPr>
            <w:r w:rsidRPr="0F6A85EF">
              <w:rPr>
                <w:rFonts w:ascii="Helvetica" w:eastAsia="Helvetica" w:hAnsi="Helvetica" w:cs="Helvetica"/>
                <w:color w:val="26221F"/>
                <w:sz w:val="22"/>
                <w:szCs w:val="22"/>
              </w:rPr>
              <w:t xml:space="preserve">HR, OH, Unions </w:t>
            </w:r>
          </w:p>
        </w:tc>
        <w:tc>
          <w:tcPr>
            <w:tcW w:w="1890" w:type="dxa"/>
          </w:tcPr>
          <w:p w14:paraId="61DD5A94" w14:textId="07EEB211" w:rsidR="0F6A85EF" w:rsidRDefault="0F6A85EF" w:rsidP="0F6A85EF">
            <w:pPr>
              <w:spacing w:after="0"/>
            </w:pPr>
            <w:r w:rsidRPr="0F6A85EF">
              <w:rPr>
                <w:rFonts w:ascii="Helvetica" w:eastAsia="Helvetica" w:hAnsi="Helvetica" w:cs="Helvetica"/>
                <w:color w:val="26221F"/>
                <w:sz w:val="22"/>
                <w:szCs w:val="22"/>
              </w:rPr>
              <w:t xml:space="preserve">Workforce </w:t>
            </w:r>
          </w:p>
        </w:tc>
      </w:tr>
      <w:tr w:rsidR="0F6A85EF" w14:paraId="70701F7C" w14:textId="77777777" w:rsidTr="6311CB48">
        <w:trPr>
          <w:trHeight w:val="285"/>
        </w:trPr>
        <w:tc>
          <w:tcPr>
            <w:tcW w:w="1890" w:type="dxa"/>
          </w:tcPr>
          <w:p w14:paraId="5545F60F" w14:textId="42D53EA2" w:rsidR="0F6A85EF" w:rsidRDefault="0F6A85EF" w:rsidP="0F6A85EF">
            <w:pPr>
              <w:spacing w:after="0"/>
            </w:pPr>
            <w:r w:rsidRPr="0F6A85EF">
              <w:rPr>
                <w:rFonts w:ascii="Helvetica" w:eastAsia="Helvetica" w:hAnsi="Helvetica" w:cs="Helvetica"/>
                <w:color w:val="26221F"/>
                <w:sz w:val="22"/>
                <w:szCs w:val="22"/>
              </w:rPr>
              <w:t xml:space="preserve">Wellbeing dashboard development </w:t>
            </w:r>
          </w:p>
        </w:tc>
        <w:tc>
          <w:tcPr>
            <w:tcW w:w="1410" w:type="dxa"/>
          </w:tcPr>
          <w:p w14:paraId="625FB270" w14:textId="008A9E90" w:rsidR="0F6A85EF" w:rsidRDefault="0F6A85EF" w:rsidP="0F6A85EF">
            <w:pPr>
              <w:spacing w:after="0"/>
            </w:pPr>
            <w:r w:rsidRPr="0F6A85EF">
              <w:rPr>
                <w:rFonts w:ascii="Helvetica" w:eastAsia="Helvetica" w:hAnsi="Helvetica" w:cs="Helvetica"/>
                <w:color w:val="26221F"/>
                <w:sz w:val="22"/>
                <w:szCs w:val="22"/>
              </w:rPr>
              <w:t xml:space="preserve">Data &amp; Insight Team </w:t>
            </w:r>
          </w:p>
        </w:tc>
        <w:tc>
          <w:tcPr>
            <w:tcW w:w="1890" w:type="dxa"/>
          </w:tcPr>
          <w:p w14:paraId="4A8891A8" w14:textId="78011EBA" w:rsidR="0F6A85EF" w:rsidRDefault="0F6A85EF" w:rsidP="0F6A85EF">
            <w:pPr>
              <w:spacing w:after="0"/>
            </w:pPr>
            <w:r w:rsidRPr="0F6A85EF">
              <w:rPr>
                <w:rFonts w:ascii="Helvetica" w:eastAsia="Helvetica" w:hAnsi="Helvetica" w:cs="Helvetica"/>
                <w:color w:val="26221F"/>
                <w:sz w:val="22"/>
                <w:szCs w:val="22"/>
              </w:rPr>
              <w:t xml:space="preserve">Head of People Services </w:t>
            </w:r>
          </w:p>
        </w:tc>
        <w:tc>
          <w:tcPr>
            <w:tcW w:w="1890" w:type="dxa"/>
          </w:tcPr>
          <w:p w14:paraId="18A22302" w14:textId="7BF61A1C" w:rsidR="0F6A85EF" w:rsidRDefault="0F6A85EF" w:rsidP="0F6A85EF">
            <w:pPr>
              <w:spacing w:after="0"/>
            </w:pPr>
            <w:r w:rsidRPr="0F6A85EF">
              <w:rPr>
                <w:rFonts w:ascii="Helvetica" w:eastAsia="Helvetica" w:hAnsi="Helvetica" w:cs="Helvetica"/>
                <w:color w:val="26221F"/>
                <w:sz w:val="22"/>
                <w:szCs w:val="22"/>
              </w:rPr>
              <w:t xml:space="preserve">ICT, HR, OH </w:t>
            </w:r>
          </w:p>
        </w:tc>
        <w:tc>
          <w:tcPr>
            <w:tcW w:w="1890" w:type="dxa"/>
          </w:tcPr>
          <w:p w14:paraId="4117023C" w14:textId="4D348823" w:rsidR="0F6A85EF" w:rsidRDefault="0F6A85EF" w:rsidP="0F6A85EF">
            <w:pPr>
              <w:spacing w:after="0"/>
            </w:pPr>
            <w:r w:rsidRPr="0F6A85EF">
              <w:rPr>
                <w:rFonts w:ascii="Helvetica" w:eastAsia="Helvetica" w:hAnsi="Helvetica" w:cs="Helvetica"/>
                <w:color w:val="26221F"/>
                <w:sz w:val="22"/>
                <w:szCs w:val="22"/>
              </w:rPr>
              <w:t xml:space="preserve">Chief Officer Team </w:t>
            </w:r>
          </w:p>
        </w:tc>
      </w:tr>
      <w:tr w:rsidR="0F6A85EF" w14:paraId="6359B091" w14:textId="77777777" w:rsidTr="6311CB48">
        <w:trPr>
          <w:trHeight w:val="285"/>
        </w:trPr>
        <w:tc>
          <w:tcPr>
            <w:tcW w:w="1890" w:type="dxa"/>
          </w:tcPr>
          <w:p w14:paraId="6D287A12" w14:textId="48A17FC8" w:rsidR="0F6A85EF" w:rsidRDefault="0F6A85EF" w:rsidP="0F6A85EF">
            <w:pPr>
              <w:spacing w:after="0"/>
            </w:pPr>
            <w:r w:rsidRPr="0F6A85EF">
              <w:rPr>
                <w:rFonts w:ascii="Helvetica" w:eastAsia="Helvetica" w:hAnsi="Helvetica" w:cs="Helvetica"/>
                <w:color w:val="26221F"/>
                <w:sz w:val="22"/>
                <w:szCs w:val="22"/>
              </w:rPr>
              <w:t xml:space="preserve">OH expansion </w:t>
            </w:r>
          </w:p>
        </w:tc>
        <w:tc>
          <w:tcPr>
            <w:tcW w:w="1410" w:type="dxa"/>
          </w:tcPr>
          <w:p w14:paraId="256636A3" w14:textId="7299C02B" w:rsidR="0F6A85EF" w:rsidRDefault="0F6A85EF" w:rsidP="0F6A85EF">
            <w:pPr>
              <w:spacing w:after="0"/>
            </w:pPr>
            <w:r w:rsidRPr="0F6A85EF">
              <w:rPr>
                <w:rFonts w:ascii="Helvetica" w:eastAsia="Helvetica" w:hAnsi="Helvetica" w:cs="Helvetica"/>
                <w:color w:val="26221F"/>
                <w:sz w:val="22"/>
                <w:szCs w:val="22"/>
              </w:rPr>
              <w:t xml:space="preserve">OH Manager </w:t>
            </w:r>
          </w:p>
        </w:tc>
        <w:tc>
          <w:tcPr>
            <w:tcW w:w="1890" w:type="dxa"/>
          </w:tcPr>
          <w:p w14:paraId="7109E4FB" w14:textId="0EAB238A" w:rsidR="0F6A85EF" w:rsidRDefault="0F6A85EF" w:rsidP="0F6A85EF">
            <w:pPr>
              <w:spacing w:after="0"/>
            </w:pPr>
            <w:r w:rsidRPr="0F6A85EF">
              <w:rPr>
                <w:rFonts w:ascii="Helvetica" w:eastAsia="Helvetica" w:hAnsi="Helvetica" w:cs="Helvetica"/>
                <w:color w:val="26221F"/>
                <w:sz w:val="22"/>
                <w:szCs w:val="22"/>
              </w:rPr>
              <w:t xml:space="preserve">Head of People Services </w:t>
            </w:r>
          </w:p>
        </w:tc>
        <w:tc>
          <w:tcPr>
            <w:tcW w:w="1890" w:type="dxa"/>
          </w:tcPr>
          <w:p w14:paraId="3C70D178" w14:textId="3F75AFBB" w:rsidR="0F6A85EF" w:rsidRDefault="0F6A85EF" w:rsidP="0F6A85EF">
            <w:pPr>
              <w:spacing w:after="0"/>
            </w:pPr>
            <w:r w:rsidRPr="0F6A85EF">
              <w:rPr>
                <w:rFonts w:ascii="Helvetica" w:eastAsia="Helvetica" w:hAnsi="Helvetica" w:cs="Helvetica"/>
                <w:color w:val="26221F"/>
                <w:sz w:val="22"/>
                <w:szCs w:val="22"/>
              </w:rPr>
              <w:t xml:space="preserve">Finance, Procurement </w:t>
            </w:r>
          </w:p>
        </w:tc>
        <w:tc>
          <w:tcPr>
            <w:tcW w:w="1890" w:type="dxa"/>
          </w:tcPr>
          <w:p w14:paraId="4958AB71" w14:textId="371C5222" w:rsidR="0F6A85EF" w:rsidRDefault="0F6A85EF" w:rsidP="0F6A85EF">
            <w:pPr>
              <w:spacing w:after="0"/>
            </w:pPr>
            <w:r w:rsidRPr="0F6A85EF">
              <w:rPr>
                <w:rFonts w:ascii="Helvetica" w:eastAsia="Helvetica" w:hAnsi="Helvetica" w:cs="Helvetica"/>
                <w:color w:val="26221F"/>
                <w:sz w:val="22"/>
                <w:szCs w:val="22"/>
              </w:rPr>
              <w:t xml:space="preserve">Line Managers </w:t>
            </w:r>
          </w:p>
        </w:tc>
      </w:tr>
      <w:tr w:rsidR="0F6A85EF" w14:paraId="551AD13B" w14:textId="77777777" w:rsidTr="6311CB48">
        <w:trPr>
          <w:trHeight w:val="285"/>
        </w:trPr>
        <w:tc>
          <w:tcPr>
            <w:tcW w:w="1890" w:type="dxa"/>
          </w:tcPr>
          <w:p w14:paraId="7249D9BC" w14:textId="10765B14" w:rsidR="0F6A85EF" w:rsidRDefault="2A00C668" w:rsidP="0F6A85EF">
            <w:pPr>
              <w:spacing w:after="0"/>
            </w:pPr>
            <w:r w:rsidRPr="6311CB48">
              <w:rPr>
                <w:rFonts w:ascii="Helvetica" w:eastAsia="Helvetica" w:hAnsi="Helvetica" w:cs="Helvetica"/>
                <w:color w:val="26221F"/>
                <w:sz w:val="22"/>
                <w:szCs w:val="22"/>
              </w:rPr>
              <w:t>Trauma-informed</w:t>
            </w:r>
            <w:r w:rsidR="25E24457" w:rsidRPr="6311CB48">
              <w:rPr>
                <w:rFonts w:ascii="Helvetica" w:eastAsia="Helvetica" w:hAnsi="Helvetica" w:cs="Helvetica"/>
                <w:color w:val="26221F"/>
                <w:sz w:val="22"/>
                <w:szCs w:val="22"/>
              </w:rPr>
              <w:t xml:space="preserve"> support pathways </w:t>
            </w:r>
          </w:p>
        </w:tc>
        <w:tc>
          <w:tcPr>
            <w:tcW w:w="1410" w:type="dxa"/>
          </w:tcPr>
          <w:p w14:paraId="3BF8187B" w14:textId="51435927" w:rsidR="0F6A85EF" w:rsidRDefault="0F6A85EF" w:rsidP="0F6A85EF">
            <w:pPr>
              <w:spacing w:after="0"/>
            </w:pPr>
            <w:r w:rsidRPr="0F6A85EF">
              <w:rPr>
                <w:rFonts w:ascii="Helvetica" w:eastAsia="Helvetica" w:hAnsi="Helvetica" w:cs="Helvetica"/>
                <w:color w:val="26221F"/>
                <w:sz w:val="22"/>
                <w:szCs w:val="22"/>
              </w:rPr>
              <w:t xml:space="preserve">OH Manager </w:t>
            </w:r>
          </w:p>
        </w:tc>
        <w:tc>
          <w:tcPr>
            <w:tcW w:w="1890" w:type="dxa"/>
          </w:tcPr>
          <w:p w14:paraId="299697D9" w14:textId="49C983BA" w:rsidR="0F6A85EF" w:rsidRDefault="0F6A85EF" w:rsidP="0F6A85EF">
            <w:pPr>
              <w:spacing w:after="0"/>
            </w:pPr>
            <w:r w:rsidRPr="0F6A85EF">
              <w:rPr>
                <w:rFonts w:ascii="Helvetica" w:eastAsia="Helvetica" w:hAnsi="Helvetica" w:cs="Helvetica"/>
                <w:color w:val="26221F"/>
                <w:sz w:val="22"/>
                <w:szCs w:val="22"/>
              </w:rPr>
              <w:t xml:space="preserve">Head of People Services </w:t>
            </w:r>
          </w:p>
        </w:tc>
        <w:tc>
          <w:tcPr>
            <w:tcW w:w="1890" w:type="dxa"/>
          </w:tcPr>
          <w:p w14:paraId="66F63D51" w14:textId="28261C13" w:rsidR="0F6A85EF" w:rsidRDefault="0F6A85EF" w:rsidP="0F6A85EF">
            <w:pPr>
              <w:spacing w:after="0"/>
            </w:pPr>
            <w:r w:rsidRPr="0F6A85EF">
              <w:rPr>
                <w:rFonts w:ascii="Helvetica" w:eastAsia="Helvetica" w:hAnsi="Helvetica" w:cs="Helvetica"/>
                <w:color w:val="26221F"/>
                <w:sz w:val="22"/>
                <w:szCs w:val="22"/>
              </w:rPr>
              <w:t xml:space="preserve">Staff Networks, Unions </w:t>
            </w:r>
          </w:p>
        </w:tc>
        <w:tc>
          <w:tcPr>
            <w:tcW w:w="1890" w:type="dxa"/>
          </w:tcPr>
          <w:p w14:paraId="035E2062" w14:textId="0F2D0C67" w:rsidR="0F6A85EF" w:rsidRDefault="0F6A85EF" w:rsidP="0F6A85EF">
            <w:pPr>
              <w:spacing w:after="0"/>
            </w:pPr>
            <w:r w:rsidRPr="0F6A85EF">
              <w:rPr>
                <w:rFonts w:ascii="Helvetica" w:eastAsia="Helvetica" w:hAnsi="Helvetica" w:cs="Helvetica"/>
                <w:color w:val="26221F"/>
                <w:sz w:val="22"/>
                <w:szCs w:val="22"/>
              </w:rPr>
              <w:t xml:space="preserve">Workforce </w:t>
            </w:r>
          </w:p>
        </w:tc>
      </w:tr>
      <w:tr w:rsidR="0F6A85EF" w14:paraId="7C76B355" w14:textId="77777777" w:rsidTr="6311CB48">
        <w:trPr>
          <w:trHeight w:val="285"/>
        </w:trPr>
        <w:tc>
          <w:tcPr>
            <w:tcW w:w="1890" w:type="dxa"/>
          </w:tcPr>
          <w:p w14:paraId="52CE7CDA" w14:textId="2AFDA3DE" w:rsidR="0F6A85EF" w:rsidRDefault="0F6A85EF" w:rsidP="0F6A85EF">
            <w:pPr>
              <w:spacing w:after="0"/>
            </w:pPr>
            <w:r w:rsidRPr="0F6A85EF">
              <w:rPr>
                <w:rFonts w:ascii="Helvetica" w:eastAsia="Helvetica" w:hAnsi="Helvetica" w:cs="Helvetica"/>
                <w:color w:val="26221F"/>
                <w:sz w:val="22"/>
                <w:szCs w:val="22"/>
              </w:rPr>
              <w:t xml:space="preserve">Leadership &amp; supervision training </w:t>
            </w:r>
          </w:p>
        </w:tc>
        <w:tc>
          <w:tcPr>
            <w:tcW w:w="1410" w:type="dxa"/>
          </w:tcPr>
          <w:p w14:paraId="57343BAB" w14:textId="43C53FFD" w:rsidR="0F6A85EF" w:rsidRDefault="0F6A85EF" w:rsidP="0F6A85EF">
            <w:pPr>
              <w:spacing w:after="0"/>
            </w:pPr>
            <w:r w:rsidRPr="0F6A85EF">
              <w:rPr>
                <w:rFonts w:ascii="Helvetica" w:eastAsia="Helvetica" w:hAnsi="Helvetica" w:cs="Helvetica"/>
                <w:color w:val="26221F"/>
                <w:sz w:val="22"/>
                <w:szCs w:val="22"/>
              </w:rPr>
              <w:t xml:space="preserve">Learning &amp; Development </w:t>
            </w:r>
          </w:p>
        </w:tc>
        <w:tc>
          <w:tcPr>
            <w:tcW w:w="1890" w:type="dxa"/>
          </w:tcPr>
          <w:p w14:paraId="484334DF" w14:textId="7DC05DEF" w:rsidR="0F6A85EF" w:rsidRDefault="0F6A85EF" w:rsidP="0F6A85EF">
            <w:pPr>
              <w:spacing w:after="0"/>
            </w:pPr>
            <w:r w:rsidRPr="0F6A85EF">
              <w:rPr>
                <w:rFonts w:ascii="Helvetica" w:eastAsia="Helvetica" w:hAnsi="Helvetica" w:cs="Helvetica"/>
                <w:color w:val="26221F"/>
                <w:sz w:val="22"/>
                <w:szCs w:val="22"/>
              </w:rPr>
              <w:t xml:space="preserve">ACC (People) </w:t>
            </w:r>
          </w:p>
        </w:tc>
        <w:tc>
          <w:tcPr>
            <w:tcW w:w="1890" w:type="dxa"/>
          </w:tcPr>
          <w:p w14:paraId="7909812B" w14:textId="1733CD65" w:rsidR="0F6A85EF" w:rsidRDefault="0F6A85EF" w:rsidP="0F6A85EF">
            <w:pPr>
              <w:spacing w:after="0"/>
            </w:pPr>
            <w:r w:rsidRPr="0F6A85EF">
              <w:rPr>
                <w:rFonts w:ascii="Helvetica" w:eastAsia="Helvetica" w:hAnsi="Helvetica" w:cs="Helvetica"/>
                <w:color w:val="26221F"/>
                <w:sz w:val="22"/>
                <w:szCs w:val="22"/>
              </w:rPr>
              <w:t xml:space="preserve">HR, OH </w:t>
            </w:r>
          </w:p>
        </w:tc>
        <w:tc>
          <w:tcPr>
            <w:tcW w:w="1890" w:type="dxa"/>
          </w:tcPr>
          <w:p w14:paraId="12997D1D" w14:textId="54C18D46" w:rsidR="0F6A85EF" w:rsidRDefault="0F6A85EF" w:rsidP="0F6A85EF">
            <w:pPr>
              <w:spacing w:after="0"/>
            </w:pPr>
            <w:r w:rsidRPr="0F6A85EF">
              <w:rPr>
                <w:rFonts w:ascii="Helvetica" w:eastAsia="Helvetica" w:hAnsi="Helvetica" w:cs="Helvetica"/>
                <w:color w:val="26221F"/>
                <w:sz w:val="22"/>
                <w:szCs w:val="22"/>
              </w:rPr>
              <w:t xml:space="preserve">Supervisors </w:t>
            </w:r>
          </w:p>
        </w:tc>
      </w:tr>
      <w:tr w:rsidR="0F6A85EF" w14:paraId="7711C25E" w14:textId="77777777" w:rsidTr="6311CB48">
        <w:trPr>
          <w:trHeight w:val="285"/>
        </w:trPr>
        <w:tc>
          <w:tcPr>
            <w:tcW w:w="1890" w:type="dxa"/>
          </w:tcPr>
          <w:p w14:paraId="32E21825" w14:textId="0FA72ABE" w:rsidR="0F6A85EF" w:rsidRDefault="5BFF55E1" w:rsidP="0F6A85EF">
            <w:pPr>
              <w:spacing w:after="0"/>
            </w:pPr>
            <w:r w:rsidRPr="6311CB48">
              <w:rPr>
                <w:rFonts w:ascii="Helvetica" w:eastAsia="Helvetica" w:hAnsi="Helvetica" w:cs="Helvetica"/>
                <w:color w:val="26221F"/>
                <w:sz w:val="22"/>
                <w:szCs w:val="22"/>
              </w:rPr>
              <w:lastRenderedPageBreak/>
              <w:t>Early intervention</w:t>
            </w:r>
            <w:r w:rsidR="25E24457" w:rsidRPr="6311CB48">
              <w:rPr>
                <w:rFonts w:ascii="Helvetica" w:eastAsia="Helvetica" w:hAnsi="Helvetica" w:cs="Helvetica"/>
                <w:color w:val="26221F"/>
                <w:sz w:val="22"/>
                <w:szCs w:val="22"/>
              </w:rPr>
              <w:t xml:space="preserve"> model </w:t>
            </w:r>
          </w:p>
        </w:tc>
        <w:tc>
          <w:tcPr>
            <w:tcW w:w="1410" w:type="dxa"/>
          </w:tcPr>
          <w:p w14:paraId="38D62D16" w14:textId="09B94BB1" w:rsidR="0F6A85EF" w:rsidRDefault="0F6A85EF" w:rsidP="0F6A85EF">
            <w:pPr>
              <w:spacing w:after="0"/>
            </w:pPr>
            <w:r w:rsidRPr="0F6A85EF">
              <w:rPr>
                <w:rFonts w:ascii="Helvetica" w:eastAsia="Helvetica" w:hAnsi="Helvetica" w:cs="Helvetica"/>
                <w:color w:val="26221F"/>
                <w:sz w:val="22"/>
                <w:szCs w:val="22"/>
              </w:rPr>
              <w:t xml:space="preserve">HR Business Partners </w:t>
            </w:r>
          </w:p>
        </w:tc>
        <w:tc>
          <w:tcPr>
            <w:tcW w:w="1890" w:type="dxa"/>
          </w:tcPr>
          <w:p w14:paraId="0A4F70E4" w14:textId="6190B14C" w:rsidR="0F6A85EF" w:rsidRDefault="0F6A85EF" w:rsidP="0F6A85EF">
            <w:pPr>
              <w:spacing w:after="0"/>
            </w:pPr>
            <w:r w:rsidRPr="0F6A85EF">
              <w:rPr>
                <w:rFonts w:ascii="Helvetica" w:eastAsia="Helvetica" w:hAnsi="Helvetica" w:cs="Helvetica"/>
                <w:color w:val="26221F"/>
                <w:sz w:val="22"/>
                <w:szCs w:val="22"/>
              </w:rPr>
              <w:t xml:space="preserve">Head of People Services </w:t>
            </w:r>
          </w:p>
        </w:tc>
        <w:tc>
          <w:tcPr>
            <w:tcW w:w="1890" w:type="dxa"/>
          </w:tcPr>
          <w:p w14:paraId="5CABCA58" w14:textId="4F43B9E5" w:rsidR="0F6A85EF" w:rsidRDefault="0F6A85EF" w:rsidP="0F6A85EF">
            <w:pPr>
              <w:spacing w:after="0"/>
            </w:pPr>
            <w:r w:rsidRPr="0F6A85EF">
              <w:rPr>
                <w:rFonts w:ascii="Helvetica" w:eastAsia="Helvetica" w:hAnsi="Helvetica" w:cs="Helvetica"/>
                <w:color w:val="26221F"/>
                <w:sz w:val="22"/>
                <w:szCs w:val="22"/>
              </w:rPr>
              <w:t xml:space="preserve">OH, Line Managers </w:t>
            </w:r>
          </w:p>
        </w:tc>
        <w:tc>
          <w:tcPr>
            <w:tcW w:w="1890" w:type="dxa"/>
          </w:tcPr>
          <w:p w14:paraId="73D38AD7" w14:textId="2D3CE720" w:rsidR="0F6A85EF" w:rsidRDefault="0F6A85EF" w:rsidP="0F6A85EF">
            <w:pPr>
              <w:spacing w:after="0"/>
            </w:pPr>
            <w:r w:rsidRPr="0F6A85EF">
              <w:rPr>
                <w:rFonts w:ascii="Helvetica" w:eastAsia="Helvetica" w:hAnsi="Helvetica" w:cs="Helvetica"/>
                <w:color w:val="26221F"/>
                <w:sz w:val="22"/>
                <w:szCs w:val="22"/>
              </w:rPr>
              <w:t xml:space="preserve">Workforce </w:t>
            </w:r>
          </w:p>
        </w:tc>
      </w:tr>
      <w:tr w:rsidR="0F6A85EF" w14:paraId="5A5AF744" w14:textId="77777777" w:rsidTr="6311CB48">
        <w:trPr>
          <w:trHeight w:val="285"/>
        </w:trPr>
        <w:tc>
          <w:tcPr>
            <w:tcW w:w="1890" w:type="dxa"/>
          </w:tcPr>
          <w:p w14:paraId="0F1BE371" w14:textId="4DB4E60B" w:rsidR="0F6A85EF" w:rsidRDefault="4C79762C" w:rsidP="0F6A85EF">
            <w:pPr>
              <w:spacing w:after="0"/>
            </w:pPr>
            <w:r w:rsidRPr="6311CB48">
              <w:rPr>
                <w:rFonts w:ascii="Helvetica" w:eastAsia="Helvetica" w:hAnsi="Helvetica" w:cs="Helvetica"/>
                <w:color w:val="26221F"/>
                <w:sz w:val="22"/>
                <w:szCs w:val="22"/>
              </w:rPr>
              <w:t>High-risk</w:t>
            </w:r>
            <w:r w:rsidR="25E24457" w:rsidRPr="6311CB48">
              <w:rPr>
                <w:rFonts w:ascii="Helvetica" w:eastAsia="Helvetica" w:hAnsi="Helvetica" w:cs="Helvetica"/>
                <w:color w:val="26221F"/>
                <w:sz w:val="22"/>
                <w:szCs w:val="22"/>
              </w:rPr>
              <w:t xml:space="preserve"> unit support </w:t>
            </w:r>
          </w:p>
        </w:tc>
        <w:tc>
          <w:tcPr>
            <w:tcW w:w="1410" w:type="dxa"/>
          </w:tcPr>
          <w:p w14:paraId="02694B47" w14:textId="5184F08C" w:rsidR="0F6A85EF" w:rsidRDefault="0F6A85EF" w:rsidP="0F6A85EF">
            <w:pPr>
              <w:spacing w:after="0"/>
            </w:pPr>
            <w:r w:rsidRPr="0F6A85EF">
              <w:rPr>
                <w:rFonts w:ascii="Helvetica" w:eastAsia="Helvetica" w:hAnsi="Helvetica" w:cs="Helvetica"/>
                <w:color w:val="26221F"/>
                <w:sz w:val="22"/>
                <w:szCs w:val="22"/>
              </w:rPr>
              <w:t xml:space="preserve">Operational Commanders </w:t>
            </w:r>
          </w:p>
        </w:tc>
        <w:tc>
          <w:tcPr>
            <w:tcW w:w="1890" w:type="dxa"/>
          </w:tcPr>
          <w:p w14:paraId="48325EB8" w14:textId="54AD9F70" w:rsidR="0F6A85EF" w:rsidRDefault="0F6A85EF" w:rsidP="0F6A85EF">
            <w:pPr>
              <w:spacing w:after="0"/>
            </w:pPr>
            <w:r w:rsidRPr="0F6A85EF">
              <w:rPr>
                <w:rFonts w:ascii="Helvetica" w:eastAsia="Helvetica" w:hAnsi="Helvetica" w:cs="Helvetica"/>
                <w:color w:val="26221F"/>
                <w:sz w:val="22"/>
                <w:szCs w:val="22"/>
              </w:rPr>
              <w:t xml:space="preserve">ACC (Operations) </w:t>
            </w:r>
          </w:p>
        </w:tc>
        <w:tc>
          <w:tcPr>
            <w:tcW w:w="1890" w:type="dxa"/>
          </w:tcPr>
          <w:p w14:paraId="7D3CC8C4" w14:textId="616CCCB6" w:rsidR="0F6A85EF" w:rsidRDefault="0F6A85EF" w:rsidP="0F6A85EF">
            <w:pPr>
              <w:spacing w:after="0"/>
            </w:pPr>
            <w:r w:rsidRPr="0F6A85EF">
              <w:rPr>
                <w:rFonts w:ascii="Helvetica" w:eastAsia="Helvetica" w:hAnsi="Helvetica" w:cs="Helvetica"/>
                <w:color w:val="26221F"/>
                <w:sz w:val="22"/>
                <w:szCs w:val="22"/>
              </w:rPr>
              <w:t xml:space="preserve">OH, HR </w:t>
            </w:r>
          </w:p>
        </w:tc>
        <w:tc>
          <w:tcPr>
            <w:tcW w:w="1890" w:type="dxa"/>
          </w:tcPr>
          <w:p w14:paraId="16C4E547" w14:textId="58BD3B11" w:rsidR="0F6A85EF" w:rsidRDefault="0F6A85EF" w:rsidP="0F6A85EF">
            <w:pPr>
              <w:spacing w:after="0"/>
            </w:pPr>
            <w:r w:rsidRPr="0F6A85EF">
              <w:rPr>
                <w:rFonts w:ascii="Helvetica" w:eastAsia="Helvetica" w:hAnsi="Helvetica" w:cs="Helvetica"/>
                <w:color w:val="26221F"/>
                <w:sz w:val="22"/>
                <w:szCs w:val="22"/>
              </w:rPr>
              <w:t xml:space="preserve">Chief Officer Team </w:t>
            </w:r>
          </w:p>
        </w:tc>
      </w:tr>
      <w:tr w:rsidR="0F6A85EF" w14:paraId="1DA3B882" w14:textId="77777777" w:rsidTr="6311CB48">
        <w:trPr>
          <w:trHeight w:val="285"/>
        </w:trPr>
        <w:tc>
          <w:tcPr>
            <w:tcW w:w="1890" w:type="dxa"/>
          </w:tcPr>
          <w:p w14:paraId="274B6C3C" w14:textId="360CFF3D" w:rsidR="0F6A85EF" w:rsidRDefault="0F6A85EF" w:rsidP="0F6A85EF">
            <w:pPr>
              <w:spacing w:after="0"/>
            </w:pPr>
            <w:r w:rsidRPr="0F6A85EF">
              <w:rPr>
                <w:rFonts w:ascii="Helvetica" w:eastAsia="Helvetica" w:hAnsi="Helvetica" w:cs="Helvetica"/>
                <w:color w:val="26221F"/>
                <w:sz w:val="22"/>
                <w:szCs w:val="22"/>
              </w:rPr>
              <w:t xml:space="preserve">Communication &amp; engagement </w:t>
            </w:r>
          </w:p>
        </w:tc>
        <w:tc>
          <w:tcPr>
            <w:tcW w:w="1410" w:type="dxa"/>
          </w:tcPr>
          <w:p w14:paraId="50A42A15" w14:textId="601D16A1" w:rsidR="0F6A85EF" w:rsidRDefault="0F6A85EF" w:rsidP="0F6A85EF">
            <w:pPr>
              <w:spacing w:after="0"/>
            </w:pPr>
            <w:r w:rsidRPr="0F6A85EF">
              <w:rPr>
                <w:rFonts w:ascii="Helvetica" w:eastAsia="Helvetica" w:hAnsi="Helvetica" w:cs="Helvetica"/>
                <w:color w:val="26221F"/>
                <w:sz w:val="22"/>
                <w:szCs w:val="22"/>
              </w:rPr>
              <w:t xml:space="preserve">Corporate Communications </w:t>
            </w:r>
          </w:p>
        </w:tc>
        <w:tc>
          <w:tcPr>
            <w:tcW w:w="1890" w:type="dxa"/>
          </w:tcPr>
          <w:p w14:paraId="0B136A92" w14:textId="05EE289F" w:rsidR="0F6A85EF" w:rsidRDefault="0F6A85EF" w:rsidP="0F6A85EF">
            <w:pPr>
              <w:spacing w:after="0"/>
            </w:pPr>
            <w:r w:rsidRPr="0F6A85EF">
              <w:rPr>
                <w:rFonts w:ascii="Helvetica" w:eastAsia="Helvetica" w:hAnsi="Helvetica" w:cs="Helvetica"/>
                <w:color w:val="26221F"/>
                <w:sz w:val="22"/>
                <w:szCs w:val="22"/>
              </w:rPr>
              <w:t xml:space="preserve">Deputy Chief Constable </w:t>
            </w:r>
          </w:p>
        </w:tc>
        <w:tc>
          <w:tcPr>
            <w:tcW w:w="1890" w:type="dxa"/>
          </w:tcPr>
          <w:p w14:paraId="0C5F2347" w14:textId="47677553" w:rsidR="0F6A85EF" w:rsidRDefault="0F6A85EF" w:rsidP="0F6A85EF">
            <w:pPr>
              <w:spacing w:after="0"/>
            </w:pPr>
            <w:r w:rsidRPr="0F6A85EF">
              <w:rPr>
                <w:rFonts w:ascii="Helvetica" w:eastAsia="Helvetica" w:hAnsi="Helvetica" w:cs="Helvetica"/>
                <w:color w:val="26221F"/>
                <w:sz w:val="22"/>
                <w:szCs w:val="22"/>
              </w:rPr>
              <w:t xml:space="preserve">Staff Networks </w:t>
            </w:r>
          </w:p>
        </w:tc>
        <w:tc>
          <w:tcPr>
            <w:tcW w:w="1890" w:type="dxa"/>
          </w:tcPr>
          <w:p w14:paraId="3230EFEF" w14:textId="39F29959" w:rsidR="0F6A85EF" w:rsidRDefault="0F6A85EF" w:rsidP="0F6A85EF">
            <w:pPr>
              <w:spacing w:after="0"/>
            </w:pPr>
            <w:r w:rsidRPr="0F6A85EF">
              <w:rPr>
                <w:rFonts w:ascii="Helvetica" w:eastAsia="Helvetica" w:hAnsi="Helvetica" w:cs="Helvetica"/>
                <w:color w:val="26221F"/>
                <w:sz w:val="22"/>
                <w:szCs w:val="22"/>
              </w:rPr>
              <w:t xml:space="preserve">Workforce </w:t>
            </w:r>
          </w:p>
        </w:tc>
      </w:tr>
      <w:tr w:rsidR="0F6A85EF" w14:paraId="622FEB3D" w14:textId="77777777" w:rsidTr="6311CB48">
        <w:trPr>
          <w:trHeight w:val="285"/>
        </w:trPr>
        <w:tc>
          <w:tcPr>
            <w:tcW w:w="1890" w:type="dxa"/>
          </w:tcPr>
          <w:p w14:paraId="2723CC6A" w14:textId="766F4F75" w:rsidR="0F6A85EF" w:rsidRDefault="0F6A85EF" w:rsidP="0F6A85EF">
            <w:pPr>
              <w:spacing w:after="0"/>
            </w:pPr>
            <w:r w:rsidRPr="0F6A85EF">
              <w:rPr>
                <w:rFonts w:ascii="Helvetica" w:eastAsia="Helvetica" w:hAnsi="Helvetica" w:cs="Helvetica"/>
                <w:color w:val="26221F"/>
                <w:sz w:val="22"/>
                <w:szCs w:val="22"/>
              </w:rPr>
              <w:t xml:space="preserve">Evaluation &amp; KPI reporting </w:t>
            </w:r>
          </w:p>
        </w:tc>
        <w:tc>
          <w:tcPr>
            <w:tcW w:w="1410" w:type="dxa"/>
          </w:tcPr>
          <w:p w14:paraId="2DC40B9B" w14:textId="207FCB62" w:rsidR="0F6A85EF" w:rsidRDefault="0F6A85EF" w:rsidP="0F6A85EF">
            <w:pPr>
              <w:spacing w:after="0"/>
            </w:pPr>
            <w:r w:rsidRPr="0F6A85EF">
              <w:rPr>
                <w:rFonts w:ascii="Helvetica" w:eastAsia="Helvetica" w:hAnsi="Helvetica" w:cs="Helvetica"/>
                <w:color w:val="26221F"/>
                <w:sz w:val="22"/>
                <w:szCs w:val="22"/>
              </w:rPr>
              <w:t xml:space="preserve">Data &amp; Insight Team </w:t>
            </w:r>
          </w:p>
        </w:tc>
        <w:tc>
          <w:tcPr>
            <w:tcW w:w="1890" w:type="dxa"/>
          </w:tcPr>
          <w:p w14:paraId="29864610" w14:textId="5E1C28EC" w:rsidR="0F6A85EF" w:rsidRDefault="0F6A85EF" w:rsidP="0F6A85EF">
            <w:pPr>
              <w:spacing w:after="0"/>
            </w:pPr>
            <w:r w:rsidRPr="0F6A85EF">
              <w:rPr>
                <w:rFonts w:ascii="Helvetica" w:eastAsia="Helvetica" w:hAnsi="Helvetica" w:cs="Helvetica"/>
                <w:color w:val="26221F"/>
                <w:sz w:val="22"/>
                <w:szCs w:val="22"/>
              </w:rPr>
              <w:t xml:space="preserve">Head of People Services </w:t>
            </w:r>
          </w:p>
        </w:tc>
        <w:tc>
          <w:tcPr>
            <w:tcW w:w="1890" w:type="dxa"/>
          </w:tcPr>
          <w:p w14:paraId="2FDDFBD1" w14:textId="1EA80C7B" w:rsidR="0F6A85EF" w:rsidRDefault="0F6A85EF" w:rsidP="0F6A85EF">
            <w:pPr>
              <w:spacing w:after="0"/>
            </w:pPr>
            <w:r w:rsidRPr="0F6A85EF">
              <w:rPr>
                <w:rFonts w:ascii="Helvetica" w:eastAsia="Helvetica" w:hAnsi="Helvetica" w:cs="Helvetica"/>
                <w:color w:val="26221F"/>
                <w:sz w:val="22"/>
                <w:szCs w:val="22"/>
              </w:rPr>
              <w:t xml:space="preserve">HR, OH, Commands </w:t>
            </w:r>
          </w:p>
        </w:tc>
        <w:tc>
          <w:tcPr>
            <w:tcW w:w="1890" w:type="dxa"/>
          </w:tcPr>
          <w:p w14:paraId="11BE70B3" w14:textId="04DABF82" w:rsidR="0F6A85EF" w:rsidRDefault="0F6A85EF" w:rsidP="0F6A85EF">
            <w:pPr>
              <w:spacing w:after="0"/>
            </w:pPr>
            <w:r w:rsidRPr="0F6A85EF">
              <w:rPr>
                <w:rFonts w:ascii="Helvetica" w:eastAsia="Helvetica" w:hAnsi="Helvetica" w:cs="Helvetica"/>
                <w:color w:val="26221F"/>
                <w:sz w:val="22"/>
                <w:szCs w:val="22"/>
              </w:rPr>
              <w:t>Chief Officer Team</w:t>
            </w:r>
          </w:p>
        </w:tc>
      </w:tr>
    </w:tbl>
    <w:p w14:paraId="42DA07F3" w14:textId="77777777" w:rsidR="00C260D9" w:rsidRDefault="00C260D9" w:rsidP="0EB0CFED">
      <w:pPr>
        <w:pStyle w:val="Heading1"/>
      </w:pPr>
      <w:bookmarkStart w:id="20" w:name="_Toc84621963"/>
    </w:p>
    <w:bookmarkEnd w:id="20"/>
    <w:p w14:paraId="014E60AA" w14:textId="4E42603E" w:rsidR="6311CB48" w:rsidRDefault="6311CB48" w:rsidP="6311CB48">
      <w:pPr>
        <w:spacing w:after="180"/>
        <w:rPr>
          <w:rFonts w:ascii="Aptos" w:eastAsia="Aptos" w:hAnsi="Aptos" w:cs="Aptos"/>
          <w:color w:val="26221F"/>
          <w:sz w:val="22"/>
          <w:szCs w:val="22"/>
        </w:rPr>
      </w:pPr>
    </w:p>
    <w:p w14:paraId="6542ADC8" w14:textId="1B77F8C5" w:rsidR="6311CB48" w:rsidRDefault="6311CB48" w:rsidP="6311CB48"/>
    <w:p w14:paraId="114C5820" w14:textId="69A0BC18" w:rsidR="4566540D" w:rsidRDefault="4566540D"/>
    <w:sectPr w:rsidR="4566540D">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D1992" w14:textId="77777777" w:rsidR="00A949BC" w:rsidRDefault="00A949BC">
      <w:pPr>
        <w:spacing w:after="0" w:line="240" w:lineRule="auto"/>
      </w:pPr>
      <w:r>
        <w:separator/>
      </w:r>
    </w:p>
  </w:endnote>
  <w:endnote w:type="continuationSeparator" w:id="0">
    <w:p w14:paraId="3D3DCAD7" w14:textId="77777777" w:rsidR="00A949BC" w:rsidRDefault="00A94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EB0CFED" w14:paraId="4A09D8A9" w14:textId="77777777" w:rsidTr="0EB0CFED">
      <w:trPr>
        <w:trHeight w:val="300"/>
      </w:trPr>
      <w:tc>
        <w:tcPr>
          <w:tcW w:w="3005" w:type="dxa"/>
        </w:tcPr>
        <w:p w14:paraId="7902FD72" w14:textId="4ADD2177" w:rsidR="0EB0CFED" w:rsidRDefault="0EB0CFED" w:rsidP="0EB0CFED">
          <w:pPr>
            <w:pStyle w:val="Header"/>
            <w:ind w:left="-115"/>
          </w:pPr>
        </w:p>
      </w:tc>
      <w:tc>
        <w:tcPr>
          <w:tcW w:w="3005" w:type="dxa"/>
        </w:tcPr>
        <w:p w14:paraId="77B388A1" w14:textId="75E10025" w:rsidR="0EB0CFED" w:rsidRDefault="0EB0CFED" w:rsidP="0EB0CFED">
          <w:pPr>
            <w:pStyle w:val="Header"/>
            <w:jc w:val="center"/>
          </w:pPr>
        </w:p>
      </w:tc>
      <w:tc>
        <w:tcPr>
          <w:tcW w:w="3005" w:type="dxa"/>
        </w:tcPr>
        <w:p w14:paraId="468B4ED4" w14:textId="7487C212" w:rsidR="0EB0CFED" w:rsidRDefault="0EB0CFED" w:rsidP="0EB0CFED">
          <w:pPr>
            <w:pStyle w:val="Header"/>
            <w:ind w:right="-115"/>
            <w:jc w:val="right"/>
          </w:pPr>
        </w:p>
      </w:tc>
    </w:tr>
  </w:tbl>
  <w:p w14:paraId="6677FD9E" w14:textId="365EA6F0" w:rsidR="0EB0CFED" w:rsidRDefault="0EB0CFED" w:rsidP="0EB0C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44318" w14:textId="77777777" w:rsidR="00A949BC" w:rsidRDefault="00A949BC">
      <w:pPr>
        <w:spacing w:after="0" w:line="240" w:lineRule="auto"/>
      </w:pPr>
      <w:r>
        <w:separator/>
      </w:r>
    </w:p>
  </w:footnote>
  <w:footnote w:type="continuationSeparator" w:id="0">
    <w:p w14:paraId="5B4DDDE9" w14:textId="77777777" w:rsidR="00A949BC" w:rsidRDefault="00A949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EB0CFED" w14:paraId="4689DD02" w14:textId="77777777" w:rsidTr="0EB0CFED">
      <w:trPr>
        <w:trHeight w:val="300"/>
      </w:trPr>
      <w:tc>
        <w:tcPr>
          <w:tcW w:w="3005" w:type="dxa"/>
        </w:tcPr>
        <w:p w14:paraId="1DA8453A" w14:textId="5859C8EF" w:rsidR="0EB0CFED" w:rsidRDefault="0EB0CFED" w:rsidP="0EB0CFED">
          <w:pPr>
            <w:pStyle w:val="Header"/>
            <w:ind w:left="-115"/>
          </w:pPr>
        </w:p>
      </w:tc>
      <w:tc>
        <w:tcPr>
          <w:tcW w:w="3005" w:type="dxa"/>
        </w:tcPr>
        <w:p w14:paraId="65AE868B" w14:textId="39B72B21" w:rsidR="0EB0CFED" w:rsidRDefault="0EB0CFED" w:rsidP="0EB0CFED">
          <w:pPr>
            <w:pStyle w:val="Header"/>
            <w:jc w:val="center"/>
          </w:pPr>
        </w:p>
      </w:tc>
      <w:tc>
        <w:tcPr>
          <w:tcW w:w="3005" w:type="dxa"/>
        </w:tcPr>
        <w:p w14:paraId="29B09CDA" w14:textId="429FA015" w:rsidR="0EB0CFED" w:rsidRDefault="0EB0CFED" w:rsidP="0EB0CFED">
          <w:pPr>
            <w:pStyle w:val="Header"/>
            <w:ind w:right="-115"/>
            <w:jc w:val="right"/>
          </w:pPr>
        </w:p>
      </w:tc>
    </w:tr>
  </w:tbl>
  <w:p w14:paraId="784FBB05" w14:textId="6C80E92D" w:rsidR="0EB0CFED" w:rsidRDefault="0EB0CFED" w:rsidP="0EB0CF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60F6E"/>
    <w:multiLevelType w:val="hybridMultilevel"/>
    <w:tmpl w:val="4DAAEBA8"/>
    <w:lvl w:ilvl="0" w:tplc="34A6492C">
      <w:start w:val="1"/>
      <w:numFmt w:val="bullet"/>
      <w:lvlText w:val=""/>
      <w:lvlJc w:val="left"/>
      <w:pPr>
        <w:ind w:left="720" w:hanging="360"/>
      </w:pPr>
      <w:rPr>
        <w:rFonts w:ascii="Symbol" w:hAnsi="Symbol" w:hint="default"/>
      </w:rPr>
    </w:lvl>
    <w:lvl w:ilvl="1" w:tplc="A5AC4F08">
      <w:start w:val="1"/>
      <w:numFmt w:val="bullet"/>
      <w:lvlText w:val="o"/>
      <w:lvlJc w:val="left"/>
      <w:pPr>
        <w:ind w:left="1440" w:hanging="360"/>
      </w:pPr>
      <w:rPr>
        <w:rFonts w:ascii="Courier New" w:hAnsi="Courier New" w:hint="default"/>
      </w:rPr>
    </w:lvl>
    <w:lvl w:ilvl="2" w:tplc="46245BAE">
      <w:start w:val="1"/>
      <w:numFmt w:val="bullet"/>
      <w:lvlText w:val=""/>
      <w:lvlJc w:val="left"/>
      <w:pPr>
        <w:ind w:left="2160" w:hanging="360"/>
      </w:pPr>
      <w:rPr>
        <w:rFonts w:ascii="Wingdings" w:hAnsi="Wingdings" w:hint="default"/>
      </w:rPr>
    </w:lvl>
    <w:lvl w:ilvl="3" w:tplc="98B02694">
      <w:start w:val="1"/>
      <w:numFmt w:val="bullet"/>
      <w:lvlText w:val=""/>
      <w:lvlJc w:val="left"/>
      <w:pPr>
        <w:ind w:left="2880" w:hanging="360"/>
      </w:pPr>
      <w:rPr>
        <w:rFonts w:ascii="Symbol" w:hAnsi="Symbol" w:hint="default"/>
      </w:rPr>
    </w:lvl>
    <w:lvl w:ilvl="4" w:tplc="5BA682D8">
      <w:start w:val="1"/>
      <w:numFmt w:val="bullet"/>
      <w:lvlText w:val="o"/>
      <w:lvlJc w:val="left"/>
      <w:pPr>
        <w:ind w:left="3600" w:hanging="360"/>
      </w:pPr>
      <w:rPr>
        <w:rFonts w:ascii="Courier New" w:hAnsi="Courier New" w:hint="default"/>
      </w:rPr>
    </w:lvl>
    <w:lvl w:ilvl="5" w:tplc="091A7EA0">
      <w:start w:val="1"/>
      <w:numFmt w:val="bullet"/>
      <w:lvlText w:val=""/>
      <w:lvlJc w:val="left"/>
      <w:pPr>
        <w:ind w:left="4320" w:hanging="360"/>
      </w:pPr>
      <w:rPr>
        <w:rFonts w:ascii="Wingdings" w:hAnsi="Wingdings" w:hint="default"/>
      </w:rPr>
    </w:lvl>
    <w:lvl w:ilvl="6" w:tplc="61F44586">
      <w:start w:val="1"/>
      <w:numFmt w:val="bullet"/>
      <w:lvlText w:val=""/>
      <w:lvlJc w:val="left"/>
      <w:pPr>
        <w:ind w:left="5040" w:hanging="360"/>
      </w:pPr>
      <w:rPr>
        <w:rFonts w:ascii="Symbol" w:hAnsi="Symbol" w:hint="default"/>
      </w:rPr>
    </w:lvl>
    <w:lvl w:ilvl="7" w:tplc="95FA14BE">
      <w:start w:val="1"/>
      <w:numFmt w:val="bullet"/>
      <w:lvlText w:val="o"/>
      <w:lvlJc w:val="left"/>
      <w:pPr>
        <w:ind w:left="5760" w:hanging="360"/>
      </w:pPr>
      <w:rPr>
        <w:rFonts w:ascii="Courier New" w:hAnsi="Courier New" w:hint="default"/>
      </w:rPr>
    </w:lvl>
    <w:lvl w:ilvl="8" w:tplc="02E6834E">
      <w:start w:val="1"/>
      <w:numFmt w:val="bullet"/>
      <w:lvlText w:val=""/>
      <w:lvlJc w:val="left"/>
      <w:pPr>
        <w:ind w:left="6480" w:hanging="360"/>
      </w:pPr>
      <w:rPr>
        <w:rFonts w:ascii="Wingdings" w:hAnsi="Wingdings" w:hint="default"/>
      </w:rPr>
    </w:lvl>
  </w:abstractNum>
  <w:abstractNum w:abstractNumId="1" w15:restartNumberingAfterBreak="0">
    <w:nsid w:val="005F3ABE"/>
    <w:multiLevelType w:val="hybridMultilevel"/>
    <w:tmpl w:val="6BECB48C"/>
    <w:lvl w:ilvl="0" w:tplc="D7BE2180">
      <w:start w:val="1"/>
      <w:numFmt w:val="bullet"/>
      <w:lvlText w:val=""/>
      <w:lvlJc w:val="left"/>
      <w:pPr>
        <w:ind w:left="720" w:hanging="360"/>
      </w:pPr>
      <w:rPr>
        <w:rFonts w:ascii="Symbol" w:hAnsi="Symbol" w:hint="default"/>
      </w:rPr>
    </w:lvl>
    <w:lvl w:ilvl="1" w:tplc="7BA25B9C">
      <w:start w:val="1"/>
      <w:numFmt w:val="bullet"/>
      <w:lvlText w:val="o"/>
      <w:lvlJc w:val="left"/>
      <w:pPr>
        <w:ind w:left="1440" w:hanging="360"/>
      </w:pPr>
      <w:rPr>
        <w:rFonts w:ascii="Courier New" w:hAnsi="Courier New" w:hint="default"/>
      </w:rPr>
    </w:lvl>
    <w:lvl w:ilvl="2" w:tplc="CDFE4684">
      <w:start w:val="1"/>
      <w:numFmt w:val="bullet"/>
      <w:lvlText w:val=""/>
      <w:lvlJc w:val="left"/>
      <w:pPr>
        <w:ind w:left="2160" w:hanging="360"/>
      </w:pPr>
      <w:rPr>
        <w:rFonts w:ascii="Wingdings" w:hAnsi="Wingdings" w:hint="default"/>
      </w:rPr>
    </w:lvl>
    <w:lvl w:ilvl="3" w:tplc="B1022990">
      <w:start w:val="1"/>
      <w:numFmt w:val="bullet"/>
      <w:lvlText w:val=""/>
      <w:lvlJc w:val="left"/>
      <w:pPr>
        <w:ind w:left="2880" w:hanging="360"/>
      </w:pPr>
      <w:rPr>
        <w:rFonts w:ascii="Symbol" w:hAnsi="Symbol" w:hint="default"/>
      </w:rPr>
    </w:lvl>
    <w:lvl w:ilvl="4" w:tplc="D2AA530C">
      <w:start w:val="1"/>
      <w:numFmt w:val="bullet"/>
      <w:lvlText w:val="o"/>
      <w:lvlJc w:val="left"/>
      <w:pPr>
        <w:ind w:left="3600" w:hanging="360"/>
      </w:pPr>
      <w:rPr>
        <w:rFonts w:ascii="Courier New" w:hAnsi="Courier New" w:hint="default"/>
      </w:rPr>
    </w:lvl>
    <w:lvl w:ilvl="5" w:tplc="82E2759C">
      <w:start w:val="1"/>
      <w:numFmt w:val="bullet"/>
      <w:lvlText w:val=""/>
      <w:lvlJc w:val="left"/>
      <w:pPr>
        <w:ind w:left="4320" w:hanging="360"/>
      </w:pPr>
      <w:rPr>
        <w:rFonts w:ascii="Wingdings" w:hAnsi="Wingdings" w:hint="default"/>
      </w:rPr>
    </w:lvl>
    <w:lvl w:ilvl="6" w:tplc="63424098">
      <w:start w:val="1"/>
      <w:numFmt w:val="bullet"/>
      <w:lvlText w:val=""/>
      <w:lvlJc w:val="left"/>
      <w:pPr>
        <w:ind w:left="5040" w:hanging="360"/>
      </w:pPr>
      <w:rPr>
        <w:rFonts w:ascii="Symbol" w:hAnsi="Symbol" w:hint="default"/>
      </w:rPr>
    </w:lvl>
    <w:lvl w:ilvl="7" w:tplc="751AFADC">
      <w:start w:val="1"/>
      <w:numFmt w:val="bullet"/>
      <w:lvlText w:val="o"/>
      <w:lvlJc w:val="left"/>
      <w:pPr>
        <w:ind w:left="5760" w:hanging="360"/>
      </w:pPr>
      <w:rPr>
        <w:rFonts w:ascii="Courier New" w:hAnsi="Courier New" w:hint="default"/>
      </w:rPr>
    </w:lvl>
    <w:lvl w:ilvl="8" w:tplc="6A3E5988">
      <w:start w:val="1"/>
      <w:numFmt w:val="bullet"/>
      <w:lvlText w:val=""/>
      <w:lvlJc w:val="left"/>
      <w:pPr>
        <w:ind w:left="6480" w:hanging="360"/>
      </w:pPr>
      <w:rPr>
        <w:rFonts w:ascii="Wingdings" w:hAnsi="Wingdings" w:hint="default"/>
      </w:rPr>
    </w:lvl>
  </w:abstractNum>
  <w:abstractNum w:abstractNumId="2" w15:restartNumberingAfterBreak="0">
    <w:nsid w:val="05B7CA1B"/>
    <w:multiLevelType w:val="hybridMultilevel"/>
    <w:tmpl w:val="2FA64774"/>
    <w:lvl w:ilvl="0" w:tplc="81C008B0">
      <w:start w:val="1"/>
      <w:numFmt w:val="bullet"/>
      <w:lvlText w:val=""/>
      <w:lvlJc w:val="left"/>
      <w:pPr>
        <w:ind w:left="720" w:hanging="360"/>
      </w:pPr>
      <w:rPr>
        <w:rFonts w:ascii="Symbol" w:hAnsi="Symbol" w:hint="default"/>
      </w:rPr>
    </w:lvl>
    <w:lvl w:ilvl="1" w:tplc="A650D2AC">
      <w:start w:val="1"/>
      <w:numFmt w:val="bullet"/>
      <w:lvlText w:val="o"/>
      <w:lvlJc w:val="left"/>
      <w:pPr>
        <w:ind w:left="1440" w:hanging="360"/>
      </w:pPr>
      <w:rPr>
        <w:rFonts w:ascii="Courier New" w:hAnsi="Courier New" w:hint="default"/>
      </w:rPr>
    </w:lvl>
    <w:lvl w:ilvl="2" w:tplc="951835D4">
      <w:start w:val="1"/>
      <w:numFmt w:val="bullet"/>
      <w:lvlText w:val=""/>
      <w:lvlJc w:val="left"/>
      <w:pPr>
        <w:ind w:left="2160" w:hanging="360"/>
      </w:pPr>
      <w:rPr>
        <w:rFonts w:ascii="Wingdings" w:hAnsi="Wingdings" w:hint="default"/>
      </w:rPr>
    </w:lvl>
    <w:lvl w:ilvl="3" w:tplc="89AC2916">
      <w:start w:val="1"/>
      <w:numFmt w:val="bullet"/>
      <w:lvlText w:val=""/>
      <w:lvlJc w:val="left"/>
      <w:pPr>
        <w:ind w:left="2880" w:hanging="360"/>
      </w:pPr>
      <w:rPr>
        <w:rFonts w:ascii="Symbol" w:hAnsi="Symbol" w:hint="default"/>
      </w:rPr>
    </w:lvl>
    <w:lvl w:ilvl="4" w:tplc="93828B9C">
      <w:start w:val="1"/>
      <w:numFmt w:val="bullet"/>
      <w:lvlText w:val="o"/>
      <w:lvlJc w:val="left"/>
      <w:pPr>
        <w:ind w:left="3600" w:hanging="360"/>
      </w:pPr>
      <w:rPr>
        <w:rFonts w:ascii="Courier New" w:hAnsi="Courier New" w:hint="default"/>
      </w:rPr>
    </w:lvl>
    <w:lvl w:ilvl="5" w:tplc="4E3E3132">
      <w:start w:val="1"/>
      <w:numFmt w:val="bullet"/>
      <w:lvlText w:val=""/>
      <w:lvlJc w:val="left"/>
      <w:pPr>
        <w:ind w:left="4320" w:hanging="360"/>
      </w:pPr>
      <w:rPr>
        <w:rFonts w:ascii="Wingdings" w:hAnsi="Wingdings" w:hint="default"/>
      </w:rPr>
    </w:lvl>
    <w:lvl w:ilvl="6" w:tplc="C108D998">
      <w:start w:val="1"/>
      <w:numFmt w:val="bullet"/>
      <w:lvlText w:val=""/>
      <w:lvlJc w:val="left"/>
      <w:pPr>
        <w:ind w:left="5040" w:hanging="360"/>
      </w:pPr>
      <w:rPr>
        <w:rFonts w:ascii="Symbol" w:hAnsi="Symbol" w:hint="default"/>
      </w:rPr>
    </w:lvl>
    <w:lvl w:ilvl="7" w:tplc="5192A6C4">
      <w:start w:val="1"/>
      <w:numFmt w:val="bullet"/>
      <w:lvlText w:val="o"/>
      <w:lvlJc w:val="left"/>
      <w:pPr>
        <w:ind w:left="5760" w:hanging="360"/>
      </w:pPr>
      <w:rPr>
        <w:rFonts w:ascii="Courier New" w:hAnsi="Courier New" w:hint="default"/>
      </w:rPr>
    </w:lvl>
    <w:lvl w:ilvl="8" w:tplc="3594E9F8">
      <w:start w:val="1"/>
      <w:numFmt w:val="bullet"/>
      <w:lvlText w:val=""/>
      <w:lvlJc w:val="left"/>
      <w:pPr>
        <w:ind w:left="6480" w:hanging="360"/>
      </w:pPr>
      <w:rPr>
        <w:rFonts w:ascii="Wingdings" w:hAnsi="Wingdings" w:hint="default"/>
      </w:rPr>
    </w:lvl>
  </w:abstractNum>
  <w:abstractNum w:abstractNumId="3" w15:restartNumberingAfterBreak="0">
    <w:nsid w:val="07989CEB"/>
    <w:multiLevelType w:val="hybridMultilevel"/>
    <w:tmpl w:val="822A2ABE"/>
    <w:lvl w:ilvl="0" w:tplc="3AD68524">
      <w:start w:val="1"/>
      <w:numFmt w:val="bullet"/>
      <w:lvlText w:val=""/>
      <w:lvlJc w:val="left"/>
      <w:pPr>
        <w:ind w:left="720" w:hanging="360"/>
      </w:pPr>
      <w:rPr>
        <w:rFonts w:ascii="Symbol" w:hAnsi="Symbol" w:hint="default"/>
      </w:rPr>
    </w:lvl>
    <w:lvl w:ilvl="1" w:tplc="425419C4">
      <w:start w:val="1"/>
      <w:numFmt w:val="bullet"/>
      <w:lvlText w:val="o"/>
      <w:lvlJc w:val="left"/>
      <w:pPr>
        <w:ind w:left="1440" w:hanging="360"/>
      </w:pPr>
      <w:rPr>
        <w:rFonts w:ascii="Courier New" w:hAnsi="Courier New" w:hint="default"/>
      </w:rPr>
    </w:lvl>
    <w:lvl w:ilvl="2" w:tplc="B908F554">
      <w:start w:val="1"/>
      <w:numFmt w:val="bullet"/>
      <w:lvlText w:val=""/>
      <w:lvlJc w:val="left"/>
      <w:pPr>
        <w:ind w:left="2160" w:hanging="360"/>
      </w:pPr>
      <w:rPr>
        <w:rFonts w:ascii="Wingdings" w:hAnsi="Wingdings" w:hint="default"/>
      </w:rPr>
    </w:lvl>
    <w:lvl w:ilvl="3" w:tplc="5F2A6554">
      <w:start w:val="1"/>
      <w:numFmt w:val="bullet"/>
      <w:lvlText w:val=""/>
      <w:lvlJc w:val="left"/>
      <w:pPr>
        <w:ind w:left="2880" w:hanging="360"/>
      </w:pPr>
      <w:rPr>
        <w:rFonts w:ascii="Symbol" w:hAnsi="Symbol" w:hint="default"/>
      </w:rPr>
    </w:lvl>
    <w:lvl w:ilvl="4" w:tplc="AEA222AC">
      <w:start w:val="1"/>
      <w:numFmt w:val="bullet"/>
      <w:lvlText w:val="o"/>
      <w:lvlJc w:val="left"/>
      <w:pPr>
        <w:ind w:left="3600" w:hanging="360"/>
      </w:pPr>
      <w:rPr>
        <w:rFonts w:ascii="Courier New" w:hAnsi="Courier New" w:hint="default"/>
      </w:rPr>
    </w:lvl>
    <w:lvl w:ilvl="5" w:tplc="9642F3F0">
      <w:start w:val="1"/>
      <w:numFmt w:val="bullet"/>
      <w:lvlText w:val=""/>
      <w:lvlJc w:val="left"/>
      <w:pPr>
        <w:ind w:left="4320" w:hanging="360"/>
      </w:pPr>
      <w:rPr>
        <w:rFonts w:ascii="Wingdings" w:hAnsi="Wingdings" w:hint="default"/>
      </w:rPr>
    </w:lvl>
    <w:lvl w:ilvl="6" w:tplc="C592F742">
      <w:start w:val="1"/>
      <w:numFmt w:val="bullet"/>
      <w:lvlText w:val=""/>
      <w:lvlJc w:val="left"/>
      <w:pPr>
        <w:ind w:left="5040" w:hanging="360"/>
      </w:pPr>
      <w:rPr>
        <w:rFonts w:ascii="Symbol" w:hAnsi="Symbol" w:hint="default"/>
      </w:rPr>
    </w:lvl>
    <w:lvl w:ilvl="7" w:tplc="57C0BEA4">
      <w:start w:val="1"/>
      <w:numFmt w:val="bullet"/>
      <w:lvlText w:val="o"/>
      <w:lvlJc w:val="left"/>
      <w:pPr>
        <w:ind w:left="5760" w:hanging="360"/>
      </w:pPr>
      <w:rPr>
        <w:rFonts w:ascii="Courier New" w:hAnsi="Courier New" w:hint="default"/>
      </w:rPr>
    </w:lvl>
    <w:lvl w:ilvl="8" w:tplc="36EAFBD6">
      <w:start w:val="1"/>
      <w:numFmt w:val="bullet"/>
      <w:lvlText w:val=""/>
      <w:lvlJc w:val="left"/>
      <w:pPr>
        <w:ind w:left="6480" w:hanging="360"/>
      </w:pPr>
      <w:rPr>
        <w:rFonts w:ascii="Wingdings" w:hAnsi="Wingdings" w:hint="default"/>
      </w:rPr>
    </w:lvl>
  </w:abstractNum>
  <w:abstractNum w:abstractNumId="4" w15:restartNumberingAfterBreak="0">
    <w:nsid w:val="0E1FB3F6"/>
    <w:multiLevelType w:val="hybridMultilevel"/>
    <w:tmpl w:val="60E81EF2"/>
    <w:lvl w:ilvl="0" w:tplc="6C1C0E34">
      <w:start w:val="1"/>
      <w:numFmt w:val="bullet"/>
      <w:lvlText w:val=""/>
      <w:lvlJc w:val="left"/>
      <w:pPr>
        <w:ind w:left="720" w:hanging="360"/>
      </w:pPr>
      <w:rPr>
        <w:rFonts w:ascii="Symbol" w:hAnsi="Symbol" w:hint="default"/>
      </w:rPr>
    </w:lvl>
    <w:lvl w:ilvl="1" w:tplc="5B343134">
      <w:start w:val="1"/>
      <w:numFmt w:val="bullet"/>
      <w:lvlText w:val="o"/>
      <w:lvlJc w:val="left"/>
      <w:pPr>
        <w:ind w:left="1440" w:hanging="360"/>
      </w:pPr>
      <w:rPr>
        <w:rFonts w:ascii="Courier New" w:hAnsi="Courier New" w:hint="default"/>
      </w:rPr>
    </w:lvl>
    <w:lvl w:ilvl="2" w:tplc="F08E2116">
      <w:start w:val="1"/>
      <w:numFmt w:val="bullet"/>
      <w:lvlText w:val=""/>
      <w:lvlJc w:val="left"/>
      <w:pPr>
        <w:ind w:left="2160" w:hanging="360"/>
      </w:pPr>
      <w:rPr>
        <w:rFonts w:ascii="Wingdings" w:hAnsi="Wingdings" w:hint="default"/>
      </w:rPr>
    </w:lvl>
    <w:lvl w:ilvl="3" w:tplc="8F7ACCF0">
      <w:start w:val="1"/>
      <w:numFmt w:val="bullet"/>
      <w:lvlText w:val=""/>
      <w:lvlJc w:val="left"/>
      <w:pPr>
        <w:ind w:left="2880" w:hanging="360"/>
      </w:pPr>
      <w:rPr>
        <w:rFonts w:ascii="Symbol" w:hAnsi="Symbol" w:hint="default"/>
      </w:rPr>
    </w:lvl>
    <w:lvl w:ilvl="4" w:tplc="C73E4602">
      <w:start w:val="1"/>
      <w:numFmt w:val="bullet"/>
      <w:lvlText w:val="o"/>
      <w:lvlJc w:val="left"/>
      <w:pPr>
        <w:ind w:left="3600" w:hanging="360"/>
      </w:pPr>
      <w:rPr>
        <w:rFonts w:ascii="Courier New" w:hAnsi="Courier New" w:hint="default"/>
      </w:rPr>
    </w:lvl>
    <w:lvl w:ilvl="5" w:tplc="1FE0412A">
      <w:start w:val="1"/>
      <w:numFmt w:val="bullet"/>
      <w:lvlText w:val=""/>
      <w:lvlJc w:val="left"/>
      <w:pPr>
        <w:ind w:left="4320" w:hanging="360"/>
      </w:pPr>
      <w:rPr>
        <w:rFonts w:ascii="Wingdings" w:hAnsi="Wingdings" w:hint="default"/>
      </w:rPr>
    </w:lvl>
    <w:lvl w:ilvl="6" w:tplc="400683A8">
      <w:start w:val="1"/>
      <w:numFmt w:val="bullet"/>
      <w:lvlText w:val=""/>
      <w:lvlJc w:val="left"/>
      <w:pPr>
        <w:ind w:left="5040" w:hanging="360"/>
      </w:pPr>
      <w:rPr>
        <w:rFonts w:ascii="Symbol" w:hAnsi="Symbol" w:hint="default"/>
      </w:rPr>
    </w:lvl>
    <w:lvl w:ilvl="7" w:tplc="535EBD34">
      <w:start w:val="1"/>
      <w:numFmt w:val="bullet"/>
      <w:lvlText w:val="o"/>
      <w:lvlJc w:val="left"/>
      <w:pPr>
        <w:ind w:left="5760" w:hanging="360"/>
      </w:pPr>
      <w:rPr>
        <w:rFonts w:ascii="Courier New" w:hAnsi="Courier New" w:hint="default"/>
      </w:rPr>
    </w:lvl>
    <w:lvl w:ilvl="8" w:tplc="00BC89E4">
      <w:start w:val="1"/>
      <w:numFmt w:val="bullet"/>
      <w:lvlText w:val=""/>
      <w:lvlJc w:val="left"/>
      <w:pPr>
        <w:ind w:left="6480" w:hanging="360"/>
      </w:pPr>
      <w:rPr>
        <w:rFonts w:ascii="Wingdings" w:hAnsi="Wingdings" w:hint="default"/>
      </w:rPr>
    </w:lvl>
  </w:abstractNum>
  <w:abstractNum w:abstractNumId="5" w15:restartNumberingAfterBreak="0">
    <w:nsid w:val="1F3F1BD5"/>
    <w:multiLevelType w:val="hybridMultilevel"/>
    <w:tmpl w:val="C924FED8"/>
    <w:lvl w:ilvl="0" w:tplc="3F10D2AE">
      <w:start w:val="1"/>
      <w:numFmt w:val="bullet"/>
      <w:lvlText w:val=""/>
      <w:lvlJc w:val="left"/>
      <w:pPr>
        <w:ind w:left="720" w:hanging="360"/>
      </w:pPr>
      <w:rPr>
        <w:rFonts w:ascii="Symbol" w:hAnsi="Symbol" w:hint="default"/>
      </w:rPr>
    </w:lvl>
    <w:lvl w:ilvl="1" w:tplc="E01AC94E">
      <w:start w:val="1"/>
      <w:numFmt w:val="bullet"/>
      <w:lvlText w:val="o"/>
      <w:lvlJc w:val="left"/>
      <w:pPr>
        <w:ind w:left="1440" w:hanging="360"/>
      </w:pPr>
      <w:rPr>
        <w:rFonts w:ascii="Courier New" w:hAnsi="Courier New" w:hint="default"/>
      </w:rPr>
    </w:lvl>
    <w:lvl w:ilvl="2" w:tplc="32D47F50">
      <w:start w:val="1"/>
      <w:numFmt w:val="bullet"/>
      <w:lvlText w:val=""/>
      <w:lvlJc w:val="left"/>
      <w:pPr>
        <w:ind w:left="2160" w:hanging="360"/>
      </w:pPr>
      <w:rPr>
        <w:rFonts w:ascii="Wingdings" w:hAnsi="Wingdings" w:hint="default"/>
      </w:rPr>
    </w:lvl>
    <w:lvl w:ilvl="3" w:tplc="9E2A5A9A">
      <w:start w:val="1"/>
      <w:numFmt w:val="bullet"/>
      <w:lvlText w:val=""/>
      <w:lvlJc w:val="left"/>
      <w:pPr>
        <w:ind w:left="2880" w:hanging="360"/>
      </w:pPr>
      <w:rPr>
        <w:rFonts w:ascii="Symbol" w:hAnsi="Symbol" w:hint="default"/>
      </w:rPr>
    </w:lvl>
    <w:lvl w:ilvl="4" w:tplc="223818AC">
      <w:start w:val="1"/>
      <w:numFmt w:val="bullet"/>
      <w:lvlText w:val="o"/>
      <w:lvlJc w:val="left"/>
      <w:pPr>
        <w:ind w:left="3600" w:hanging="360"/>
      </w:pPr>
      <w:rPr>
        <w:rFonts w:ascii="Courier New" w:hAnsi="Courier New" w:hint="default"/>
      </w:rPr>
    </w:lvl>
    <w:lvl w:ilvl="5" w:tplc="E1704500">
      <w:start w:val="1"/>
      <w:numFmt w:val="bullet"/>
      <w:lvlText w:val=""/>
      <w:lvlJc w:val="left"/>
      <w:pPr>
        <w:ind w:left="4320" w:hanging="360"/>
      </w:pPr>
      <w:rPr>
        <w:rFonts w:ascii="Wingdings" w:hAnsi="Wingdings" w:hint="default"/>
      </w:rPr>
    </w:lvl>
    <w:lvl w:ilvl="6" w:tplc="60F62D08">
      <w:start w:val="1"/>
      <w:numFmt w:val="bullet"/>
      <w:lvlText w:val=""/>
      <w:lvlJc w:val="left"/>
      <w:pPr>
        <w:ind w:left="5040" w:hanging="360"/>
      </w:pPr>
      <w:rPr>
        <w:rFonts w:ascii="Symbol" w:hAnsi="Symbol" w:hint="default"/>
      </w:rPr>
    </w:lvl>
    <w:lvl w:ilvl="7" w:tplc="FD5663C0">
      <w:start w:val="1"/>
      <w:numFmt w:val="bullet"/>
      <w:lvlText w:val="o"/>
      <w:lvlJc w:val="left"/>
      <w:pPr>
        <w:ind w:left="5760" w:hanging="360"/>
      </w:pPr>
      <w:rPr>
        <w:rFonts w:ascii="Courier New" w:hAnsi="Courier New" w:hint="default"/>
      </w:rPr>
    </w:lvl>
    <w:lvl w:ilvl="8" w:tplc="16622ECC">
      <w:start w:val="1"/>
      <w:numFmt w:val="bullet"/>
      <w:lvlText w:val=""/>
      <w:lvlJc w:val="left"/>
      <w:pPr>
        <w:ind w:left="6480" w:hanging="360"/>
      </w:pPr>
      <w:rPr>
        <w:rFonts w:ascii="Wingdings" w:hAnsi="Wingdings" w:hint="default"/>
      </w:rPr>
    </w:lvl>
  </w:abstractNum>
  <w:abstractNum w:abstractNumId="6" w15:restartNumberingAfterBreak="0">
    <w:nsid w:val="1F8BAF98"/>
    <w:multiLevelType w:val="hybridMultilevel"/>
    <w:tmpl w:val="1780F8E8"/>
    <w:lvl w:ilvl="0" w:tplc="A96C23AC">
      <w:start w:val="1"/>
      <w:numFmt w:val="bullet"/>
      <w:lvlText w:val=""/>
      <w:lvlJc w:val="left"/>
      <w:pPr>
        <w:ind w:left="720" w:hanging="360"/>
      </w:pPr>
      <w:rPr>
        <w:rFonts w:ascii="Symbol" w:hAnsi="Symbol" w:hint="default"/>
      </w:rPr>
    </w:lvl>
    <w:lvl w:ilvl="1" w:tplc="C1DA60E8">
      <w:start w:val="1"/>
      <w:numFmt w:val="bullet"/>
      <w:lvlText w:val="o"/>
      <w:lvlJc w:val="left"/>
      <w:pPr>
        <w:ind w:left="1440" w:hanging="360"/>
      </w:pPr>
      <w:rPr>
        <w:rFonts w:ascii="Courier New" w:hAnsi="Courier New" w:hint="default"/>
      </w:rPr>
    </w:lvl>
    <w:lvl w:ilvl="2" w:tplc="2EEECC1C">
      <w:start w:val="1"/>
      <w:numFmt w:val="bullet"/>
      <w:lvlText w:val=""/>
      <w:lvlJc w:val="left"/>
      <w:pPr>
        <w:ind w:left="2160" w:hanging="360"/>
      </w:pPr>
      <w:rPr>
        <w:rFonts w:ascii="Wingdings" w:hAnsi="Wingdings" w:hint="default"/>
      </w:rPr>
    </w:lvl>
    <w:lvl w:ilvl="3" w:tplc="C28E69FA">
      <w:start w:val="1"/>
      <w:numFmt w:val="bullet"/>
      <w:lvlText w:val=""/>
      <w:lvlJc w:val="left"/>
      <w:pPr>
        <w:ind w:left="2880" w:hanging="360"/>
      </w:pPr>
      <w:rPr>
        <w:rFonts w:ascii="Symbol" w:hAnsi="Symbol" w:hint="default"/>
      </w:rPr>
    </w:lvl>
    <w:lvl w:ilvl="4" w:tplc="344822C2">
      <w:start w:val="1"/>
      <w:numFmt w:val="bullet"/>
      <w:lvlText w:val="o"/>
      <w:lvlJc w:val="left"/>
      <w:pPr>
        <w:ind w:left="3600" w:hanging="360"/>
      </w:pPr>
      <w:rPr>
        <w:rFonts w:ascii="Courier New" w:hAnsi="Courier New" w:hint="default"/>
      </w:rPr>
    </w:lvl>
    <w:lvl w:ilvl="5" w:tplc="CCD48656">
      <w:start w:val="1"/>
      <w:numFmt w:val="bullet"/>
      <w:lvlText w:val=""/>
      <w:lvlJc w:val="left"/>
      <w:pPr>
        <w:ind w:left="4320" w:hanging="360"/>
      </w:pPr>
      <w:rPr>
        <w:rFonts w:ascii="Wingdings" w:hAnsi="Wingdings" w:hint="default"/>
      </w:rPr>
    </w:lvl>
    <w:lvl w:ilvl="6" w:tplc="2B524C7E">
      <w:start w:val="1"/>
      <w:numFmt w:val="bullet"/>
      <w:lvlText w:val=""/>
      <w:lvlJc w:val="left"/>
      <w:pPr>
        <w:ind w:left="5040" w:hanging="360"/>
      </w:pPr>
      <w:rPr>
        <w:rFonts w:ascii="Symbol" w:hAnsi="Symbol" w:hint="default"/>
      </w:rPr>
    </w:lvl>
    <w:lvl w:ilvl="7" w:tplc="0C183D82">
      <w:start w:val="1"/>
      <w:numFmt w:val="bullet"/>
      <w:lvlText w:val="o"/>
      <w:lvlJc w:val="left"/>
      <w:pPr>
        <w:ind w:left="5760" w:hanging="360"/>
      </w:pPr>
      <w:rPr>
        <w:rFonts w:ascii="Courier New" w:hAnsi="Courier New" w:hint="default"/>
      </w:rPr>
    </w:lvl>
    <w:lvl w:ilvl="8" w:tplc="30E2D76E">
      <w:start w:val="1"/>
      <w:numFmt w:val="bullet"/>
      <w:lvlText w:val=""/>
      <w:lvlJc w:val="left"/>
      <w:pPr>
        <w:ind w:left="6480" w:hanging="360"/>
      </w:pPr>
      <w:rPr>
        <w:rFonts w:ascii="Wingdings" w:hAnsi="Wingdings" w:hint="default"/>
      </w:rPr>
    </w:lvl>
  </w:abstractNum>
  <w:abstractNum w:abstractNumId="7" w15:restartNumberingAfterBreak="0">
    <w:nsid w:val="3CA06BE8"/>
    <w:multiLevelType w:val="hybridMultilevel"/>
    <w:tmpl w:val="F10E6542"/>
    <w:lvl w:ilvl="0" w:tplc="247C2CF0">
      <w:start w:val="1"/>
      <w:numFmt w:val="bullet"/>
      <w:lvlText w:val=""/>
      <w:lvlJc w:val="left"/>
      <w:pPr>
        <w:ind w:left="720" w:hanging="360"/>
      </w:pPr>
      <w:rPr>
        <w:rFonts w:ascii="Symbol" w:hAnsi="Symbol" w:hint="default"/>
      </w:rPr>
    </w:lvl>
    <w:lvl w:ilvl="1" w:tplc="7B90D1C2">
      <w:start w:val="1"/>
      <w:numFmt w:val="bullet"/>
      <w:lvlText w:val="o"/>
      <w:lvlJc w:val="left"/>
      <w:pPr>
        <w:ind w:left="1440" w:hanging="360"/>
      </w:pPr>
      <w:rPr>
        <w:rFonts w:ascii="Courier New" w:hAnsi="Courier New" w:hint="default"/>
      </w:rPr>
    </w:lvl>
    <w:lvl w:ilvl="2" w:tplc="A26A647C">
      <w:start w:val="1"/>
      <w:numFmt w:val="bullet"/>
      <w:lvlText w:val=""/>
      <w:lvlJc w:val="left"/>
      <w:pPr>
        <w:ind w:left="2160" w:hanging="360"/>
      </w:pPr>
      <w:rPr>
        <w:rFonts w:ascii="Wingdings" w:hAnsi="Wingdings" w:hint="default"/>
      </w:rPr>
    </w:lvl>
    <w:lvl w:ilvl="3" w:tplc="7C0091FC">
      <w:start w:val="1"/>
      <w:numFmt w:val="bullet"/>
      <w:lvlText w:val=""/>
      <w:lvlJc w:val="left"/>
      <w:pPr>
        <w:ind w:left="2880" w:hanging="360"/>
      </w:pPr>
      <w:rPr>
        <w:rFonts w:ascii="Symbol" w:hAnsi="Symbol" w:hint="default"/>
      </w:rPr>
    </w:lvl>
    <w:lvl w:ilvl="4" w:tplc="FBE8B0FE">
      <w:start w:val="1"/>
      <w:numFmt w:val="bullet"/>
      <w:lvlText w:val="o"/>
      <w:lvlJc w:val="left"/>
      <w:pPr>
        <w:ind w:left="3600" w:hanging="360"/>
      </w:pPr>
      <w:rPr>
        <w:rFonts w:ascii="Courier New" w:hAnsi="Courier New" w:hint="default"/>
      </w:rPr>
    </w:lvl>
    <w:lvl w:ilvl="5" w:tplc="9836BC40">
      <w:start w:val="1"/>
      <w:numFmt w:val="bullet"/>
      <w:lvlText w:val=""/>
      <w:lvlJc w:val="left"/>
      <w:pPr>
        <w:ind w:left="4320" w:hanging="360"/>
      </w:pPr>
      <w:rPr>
        <w:rFonts w:ascii="Wingdings" w:hAnsi="Wingdings" w:hint="default"/>
      </w:rPr>
    </w:lvl>
    <w:lvl w:ilvl="6" w:tplc="52A4BA2C">
      <w:start w:val="1"/>
      <w:numFmt w:val="bullet"/>
      <w:lvlText w:val=""/>
      <w:lvlJc w:val="left"/>
      <w:pPr>
        <w:ind w:left="5040" w:hanging="360"/>
      </w:pPr>
      <w:rPr>
        <w:rFonts w:ascii="Symbol" w:hAnsi="Symbol" w:hint="default"/>
      </w:rPr>
    </w:lvl>
    <w:lvl w:ilvl="7" w:tplc="9B684EA0">
      <w:start w:val="1"/>
      <w:numFmt w:val="bullet"/>
      <w:lvlText w:val="o"/>
      <w:lvlJc w:val="left"/>
      <w:pPr>
        <w:ind w:left="5760" w:hanging="360"/>
      </w:pPr>
      <w:rPr>
        <w:rFonts w:ascii="Courier New" w:hAnsi="Courier New" w:hint="default"/>
      </w:rPr>
    </w:lvl>
    <w:lvl w:ilvl="8" w:tplc="AA0277EA">
      <w:start w:val="1"/>
      <w:numFmt w:val="bullet"/>
      <w:lvlText w:val=""/>
      <w:lvlJc w:val="left"/>
      <w:pPr>
        <w:ind w:left="6480" w:hanging="360"/>
      </w:pPr>
      <w:rPr>
        <w:rFonts w:ascii="Wingdings" w:hAnsi="Wingdings" w:hint="default"/>
      </w:rPr>
    </w:lvl>
  </w:abstractNum>
  <w:abstractNum w:abstractNumId="8" w15:restartNumberingAfterBreak="0">
    <w:nsid w:val="3D446179"/>
    <w:multiLevelType w:val="hybridMultilevel"/>
    <w:tmpl w:val="C6E4A7E4"/>
    <w:lvl w:ilvl="0" w:tplc="7BB41D00">
      <w:start w:val="1"/>
      <w:numFmt w:val="bullet"/>
      <w:lvlText w:val=""/>
      <w:lvlJc w:val="left"/>
      <w:pPr>
        <w:ind w:left="720" w:hanging="360"/>
      </w:pPr>
      <w:rPr>
        <w:rFonts w:ascii="Symbol" w:hAnsi="Symbol" w:hint="default"/>
      </w:rPr>
    </w:lvl>
    <w:lvl w:ilvl="1" w:tplc="C9F8B61C">
      <w:start w:val="1"/>
      <w:numFmt w:val="bullet"/>
      <w:lvlText w:val="o"/>
      <w:lvlJc w:val="left"/>
      <w:pPr>
        <w:ind w:left="1440" w:hanging="360"/>
      </w:pPr>
      <w:rPr>
        <w:rFonts w:ascii="Courier New" w:hAnsi="Courier New" w:hint="default"/>
      </w:rPr>
    </w:lvl>
    <w:lvl w:ilvl="2" w:tplc="F4364880">
      <w:start w:val="1"/>
      <w:numFmt w:val="bullet"/>
      <w:lvlText w:val=""/>
      <w:lvlJc w:val="left"/>
      <w:pPr>
        <w:ind w:left="2160" w:hanging="360"/>
      </w:pPr>
      <w:rPr>
        <w:rFonts w:ascii="Wingdings" w:hAnsi="Wingdings" w:hint="default"/>
      </w:rPr>
    </w:lvl>
    <w:lvl w:ilvl="3" w:tplc="C2A6D6AC">
      <w:start w:val="1"/>
      <w:numFmt w:val="bullet"/>
      <w:lvlText w:val=""/>
      <w:lvlJc w:val="left"/>
      <w:pPr>
        <w:ind w:left="2880" w:hanging="360"/>
      </w:pPr>
      <w:rPr>
        <w:rFonts w:ascii="Symbol" w:hAnsi="Symbol" w:hint="default"/>
      </w:rPr>
    </w:lvl>
    <w:lvl w:ilvl="4" w:tplc="3510207C">
      <w:start w:val="1"/>
      <w:numFmt w:val="bullet"/>
      <w:lvlText w:val="o"/>
      <w:lvlJc w:val="left"/>
      <w:pPr>
        <w:ind w:left="3600" w:hanging="360"/>
      </w:pPr>
      <w:rPr>
        <w:rFonts w:ascii="Courier New" w:hAnsi="Courier New" w:hint="default"/>
      </w:rPr>
    </w:lvl>
    <w:lvl w:ilvl="5" w:tplc="8AF2E9CE">
      <w:start w:val="1"/>
      <w:numFmt w:val="bullet"/>
      <w:lvlText w:val=""/>
      <w:lvlJc w:val="left"/>
      <w:pPr>
        <w:ind w:left="4320" w:hanging="360"/>
      </w:pPr>
      <w:rPr>
        <w:rFonts w:ascii="Wingdings" w:hAnsi="Wingdings" w:hint="default"/>
      </w:rPr>
    </w:lvl>
    <w:lvl w:ilvl="6" w:tplc="01D21F5E">
      <w:start w:val="1"/>
      <w:numFmt w:val="bullet"/>
      <w:lvlText w:val=""/>
      <w:lvlJc w:val="left"/>
      <w:pPr>
        <w:ind w:left="5040" w:hanging="360"/>
      </w:pPr>
      <w:rPr>
        <w:rFonts w:ascii="Symbol" w:hAnsi="Symbol" w:hint="default"/>
      </w:rPr>
    </w:lvl>
    <w:lvl w:ilvl="7" w:tplc="D4C2A708">
      <w:start w:val="1"/>
      <w:numFmt w:val="bullet"/>
      <w:lvlText w:val="o"/>
      <w:lvlJc w:val="left"/>
      <w:pPr>
        <w:ind w:left="5760" w:hanging="360"/>
      </w:pPr>
      <w:rPr>
        <w:rFonts w:ascii="Courier New" w:hAnsi="Courier New" w:hint="default"/>
      </w:rPr>
    </w:lvl>
    <w:lvl w:ilvl="8" w:tplc="8C448792">
      <w:start w:val="1"/>
      <w:numFmt w:val="bullet"/>
      <w:lvlText w:val=""/>
      <w:lvlJc w:val="left"/>
      <w:pPr>
        <w:ind w:left="6480" w:hanging="360"/>
      </w:pPr>
      <w:rPr>
        <w:rFonts w:ascii="Wingdings" w:hAnsi="Wingdings" w:hint="default"/>
      </w:rPr>
    </w:lvl>
  </w:abstractNum>
  <w:abstractNum w:abstractNumId="9" w15:restartNumberingAfterBreak="0">
    <w:nsid w:val="3E8649BA"/>
    <w:multiLevelType w:val="hybridMultilevel"/>
    <w:tmpl w:val="946EB41E"/>
    <w:lvl w:ilvl="0" w:tplc="6290BAE2">
      <w:start w:val="1"/>
      <w:numFmt w:val="bullet"/>
      <w:lvlText w:val=""/>
      <w:lvlJc w:val="left"/>
      <w:pPr>
        <w:ind w:left="720" w:hanging="360"/>
      </w:pPr>
      <w:rPr>
        <w:rFonts w:ascii="Symbol" w:hAnsi="Symbol" w:hint="default"/>
      </w:rPr>
    </w:lvl>
    <w:lvl w:ilvl="1" w:tplc="F856C6DC">
      <w:start w:val="1"/>
      <w:numFmt w:val="bullet"/>
      <w:lvlText w:val="o"/>
      <w:lvlJc w:val="left"/>
      <w:pPr>
        <w:ind w:left="1440" w:hanging="360"/>
      </w:pPr>
      <w:rPr>
        <w:rFonts w:ascii="Courier New" w:hAnsi="Courier New" w:hint="default"/>
      </w:rPr>
    </w:lvl>
    <w:lvl w:ilvl="2" w:tplc="67A23992">
      <w:start w:val="1"/>
      <w:numFmt w:val="bullet"/>
      <w:lvlText w:val=""/>
      <w:lvlJc w:val="left"/>
      <w:pPr>
        <w:ind w:left="2160" w:hanging="360"/>
      </w:pPr>
      <w:rPr>
        <w:rFonts w:ascii="Wingdings" w:hAnsi="Wingdings" w:hint="default"/>
      </w:rPr>
    </w:lvl>
    <w:lvl w:ilvl="3" w:tplc="E68AB8E0">
      <w:start w:val="1"/>
      <w:numFmt w:val="bullet"/>
      <w:lvlText w:val=""/>
      <w:lvlJc w:val="left"/>
      <w:pPr>
        <w:ind w:left="2880" w:hanging="360"/>
      </w:pPr>
      <w:rPr>
        <w:rFonts w:ascii="Symbol" w:hAnsi="Symbol" w:hint="default"/>
      </w:rPr>
    </w:lvl>
    <w:lvl w:ilvl="4" w:tplc="09C41F2C">
      <w:start w:val="1"/>
      <w:numFmt w:val="bullet"/>
      <w:lvlText w:val="o"/>
      <w:lvlJc w:val="left"/>
      <w:pPr>
        <w:ind w:left="3600" w:hanging="360"/>
      </w:pPr>
      <w:rPr>
        <w:rFonts w:ascii="Courier New" w:hAnsi="Courier New" w:hint="default"/>
      </w:rPr>
    </w:lvl>
    <w:lvl w:ilvl="5" w:tplc="55ECC4AA">
      <w:start w:val="1"/>
      <w:numFmt w:val="bullet"/>
      <w:lvlText w:val=""/>
      <w:lvlJc w:val="left"/>
      <w:pPr>
        <w:ind w:left="4320" w:hanging="360"/>
      </w:pPr>
      <w:rPr>
        <w:rFonts w:ascii="Wingdings" w:hAnsi="Wingdings" w:hint="default"/>
      </w:rPr>
    </w:lvl>
    <w:lvl w:ilvl="6" w:tplc="22F2EEC0">
      <w:start w:val="1"/>
      <w:numFmt w:val="bullet"/>
      <w:lvlText w:val=""/>
      <w:lvlJc w:val="left"/>
      <w:pPr>
        <w:ind w:left="5040" w:hanging="360"/>
      </w:pPr>
      <w:rPr>
        <w:rFonts w:ascii="Symbol" w:hAnsi="Symbol" w:hint="default"/>
      </w:rPr>
    </w:lvl>
    <w:lvl w:ilvl="7" w:tplc="C62C2E02">
      <w:start w:val="1"/>
      <w:numFmt w:val="bullet"/>
      <w:lvlText w:val="o"/>
      <w:lvlJc w:val="left"/>
      <w:pPr>
        <w:ind w:left="5760" w:hanging="360"/>
      </w:pPr>
      <w:rPr>
        <w:rFonts w:ascii="Courier New" w:hAnsi="Courier New" w:hint="default"/>
      </w:rPr>
    </w:lvl>
    <w:lvl w:ilvl="8" w:tplc="6962489A">
      <w:start w:val="1"/>
      <w:numFmt w:val="bullet"/>
      <w:lvlText w:val=""/>
      <w:lvlJc w:val="left"/>
      <w:pPr>
        <w:ind w:left="6480" w:hanging="360"/>
      </w:pPr>
      <w:rPr>
        <w:rFonts w:ascii="Wingdings" w:hAnsi="Wingdings" w:hint="default"/>
      </w:rPr>
    </w:lvl>
  </w:abstractNum>
  <w:abstractNum w:abstractNumId="10" w15:restartNumberingAfterBreak="0">
    <w:nsid w:val="43242942"/>
    <w:multiLevelType w:val="hybridMultilevel"/>
    <w:tmpl w:val="AC8E2FBE"/>
    <w:lvl w:ilvl="0" w:tplc="EF7AA26E">
      <w:start w:val="1"/>
      <w:numFmt w:val="bullet"/>
      <w:lvlText w:val=""/>
      <w:lvlJc w:val="left"/>
      <w:pPr>
        <w:ind w:left="720" w:hanging="360"/>
      </w:pPr>
      <w:rPr>
        <w:rFonts w:ascii="Symbol" w:hAnsi="Symbol" w:hint="default"/>
      </w:rPr>
    </w:lvl>
    <w:lvl w:ilvl="1" w:tplc="E356EACC">
      <w:start w:val="1"/>
      <w:numFmt w:val="bullet"/>
      <w:lvlText w:val="o"/>
      <w:lvlJc w:val="left"/>
      <w:pPr>
        <w:ind w:left="1440" w:hanging="360"/>
      </w:pPr>
      <w:rPr>
        <w:rFonts w:ascii="Courier New" w:hAnsi="Courier New" w:hint="default"/>
      </w:rPr>
    </w:lvl>
    <w:lvl w:ilvl="2" w:tplc="15BADA68">
      <w:start w:val="1"/>
      <w:numFmt w:val="bullet"/>
      <w:lvlText w:val=""/>
      <w:lvlJc w:val="left"/>
      <w:pPr>
        <w:ind w:left="2160" w:hanging="360"/>
      </w:pPr>
      <w:rPr>
        <w:rFonts w:ascii="Wingdings" w:hAnsi="Wingdings" w:hint="default"/>
      </w:rPr>
    </w:lvl>
    <w:lvl w:ilvl="3" w:tplc="649072D4">
      <w:start w:val="1"/>
      <w:numFmt w:val="bullet"/>
      <w:lvlText w:val=""/>
      <w:lvlJc w:val="left"/>
      <w:pPr>
        <w:ind w:left="2880" w:hanging="360"/>
      </w:pPr>
      <w:rPr>
        <w:rFonts w:ascii="Symbol" w:hAnsi="Symbol" w:hint="default"/>
      </w:rPr>
    </w:lvl>
    <w:lvl w:ilvl="4" w:tplc="B832F4F0">
      <w:start w:val="1"/>
      <w:numFmt w:val="bullet"/>
      <w:lvlText w:val="o"/>
      <w:lvlJc w:val="left"/>
      <w:pPr>
        <w:ind w:left="3600" w:hanging="360"/>
      </w:pPr>
      <w:rPr>
        <w:rFonts w:ascii="Courier New" w:hAnsi="Courier New" w:hint="default"/>
      </w:rPr>
    </w:lvl>
    <w:lvl w:ilvl="5" w:tplc="4FCA5EF6">
      <w:start w:val="1"/>
      <w:numFmt w:val="bullet"/>
      <w:lvlText w:val=""/>
      <w:lvlJc w:val="left"/>
      <w:pPr>
        <w:ind w:left="4320" w:hanging="360"/>
      </w:pPr>
      <w:rPr>
        <w:rFonts w:ascii="Wingdings" w:hAnsi="Wingdings" w:hint="default"/>
      </w:rPr>
    </w:lvl>
    <w:lvl w:ilvl="6" w:tplc="660C74E2">
      <w:start w:val="1"/>
      <w:numFmt w:val="bullet"/>
      <w:lvlText w:val=""/>
      <w:lvlJc w:val="left"/>
      <w:pPr>
        <w:ind w:left="5040" w:hanging="360"/>
      </w:pPr>
      <w:rPr>
        <w:rFonts w:ascii="Symbol" w:hAnsi="Symbol" w:hint="default"/>
      </w:rPr>
    </w:lvl>
    <w:lvl w:ilvl="7" w:tplc="810AF4F6">
      <w:start w:val="1"/>
      <w:numFmt w:val="bullet"/>
      <w:lvlText w:val="o"/>
      <w:lvlJc w:val="left"/>
      <w:pPr>
        <w:ind w:left="5760" w:hanging="360"/>
      </w:pPr>
      <w:rPr>
        <w:rFonts w:ascii="Courier New" w:hAnsi="Courier New" w:hint="default"/>
      </w:rPr>
    </w:lvl>
    <w:lvl w:ilvl="8" w:tplc="43626514">
      <w:start w:val="1"/>
      <w:numFmt w:val="bullet"/>
      <w:lvlText w:val=""/>
      <w:lvlJc w:val="left"/>
      <w:pPr>
        <w:ind w:left="6480" w:hanging="360"/>
      </w:pPr>
      <w:rPr>
        <w:rFonts w:ascii="Wingdings" w:hAnsi="Wingdings" w:hint="default"/>
      </w:rPr>
    </w:lvl>
  </w:abstractNum>
  <w:abstractNum w:abstractNumId="11" w15:restartNumberingAfterBreak="0">
    <w:nsid w:val="4FD70573"/>
    <w:multiLevelType w:val="hybridMultilevel"/>
    <w:tmpl w:val="6EF296A8"/>
    <w:lvl w:ilvl="0" w:tplc="380C6E64">
      <w:start w:val="1"/>
      <w:numFmt w:val="bullet"/>
      <w:lvlText w:val=""/>
      <w:lvlJc w:val="left"/>
      <w:pPr>
        <w:ind w:left="720" w:hanging="360"/>
      </w:pPr>
      <w:rPr>
        <w:rFonts w:ascii="Symbol" w:hAnsi="Symbol" w:hint="default"/>
      </w:rPr>
    </w:lvl>
    <w:lvl w:ilvl="1" w:tplc="72941EDC">
      <w:start w:val="1"/>
      <w:numFmt w:val="bullet"/>
      <w:lvlText w:val="o"/>
      <w:lvlJc w:val="left"/>
      <w:pPr>
        <w:ind w:left="1440" w:hanging="360"/>
      </w:pPr>
      <w:rPr>
        <w:rFonts w:ascii="Courier New" w:hAnsi="Courier New" w:hint="default"/>
      </w:rPr>
    </w:lvl>
    <w:lvl w:ilvl="2" w:tplc="43883D30">
      <w:start w:val="1"/>
      <w:numFmt w:val="bullet"/>
      <w:lvlText w:val=""/>
      <w:lvlJc w:val="left"/>
      <w:pPr>
        <w:ind w:left="2160" w:hanging="360"/>
      </w:pPr>
      <w:rPr>
        <w:rFonts w:ascii="Wingdings" w:hAnsi="Wingdings" w:hint="default"/>
      </w:rPr>
    </w:lvl>
    <w:lvl w:ilvl="3" w:tplc="E244C5E2">
      <w:start w:val="1"/>
      <w:numFmt w:val="bullet"/>
      <w:lvlText w:val=""/>
      <w:lvlJc w:val="left"/>
      <w:pPr>
        <w:ind w:left="2880" w:hanging="360"/>
      </w:pPr>
      <w:rPr>
        <w:rFonts w:ascii="Symbol" w:hAnsi="Symbol" w:hint="default"/>
      </w:rPr>
    </w:lvl>
    <w:lvl w:ilvl="4" w:tplc="FF18F562">
      <w:start w:val="1"/>
      <w:numFmt w:val="bullet"/>
      <w:lvlText w:val="o"/>
      <w:lvlJc w:val="left"/>
      <w:pPr>
        <w:ind w:left="3600" w:hanging="360"/>
      </w:pPr>
      <w:rPr>
        <w:rFonts w:ascii="Courier New" w:hAnsi="Courier New" w:hint="default"/>
      </w:rPr>
    </w:lvl>
    <w:lvl w:ilvl="5" w:tplc="74B6DC42">
      <w:start w:val="1"/>
      <w:numFmt w:val="bullet"/>
      <w:lvlText w:val=""/>
      <w:lvlJc w:val="left"/>
      <w:pPr>
        <w:ind w:left="4320" w:hanging="360"/>
      </w:pPr>
      <w:rPr>
        <w:rFonts w:ascii="Wingdings" w:hAnsi="Wingdings" w:hint="default"/>
      </w:rPr>
    </w:lvl>
    <w:lvl w:ilvl="6" w:tplc="93AA4904">
      <w:start w:val="1"/>
      <w:numFmt w:val="bullet"/>
      <w:lvlText w:val=""/>
      <w:lvlJc w:val="left"/>
      <w:pPr>
        <w:ind w:left="5040" w:hanging="360"/>
      </w:pPr>
      <w:rPr>
        <w:rFonts w:ascii="Symbol" w:hAnsi="Symbol" w:hint="default"/>
      </w:rPr>
    </w:lvl>
    <w:lvl w:ilvl="7" w:tplc="73029970">
      <w:start w:val="1"/>
      <w:numFmt w:val="bullet"/>
      <w:lvlText w:val="o"/>
      <w:lvlJc w:val="left"/>
      <w:pPr>
        <w:ind w:left="5760" w:hanging="360"/>
      </w:pPr>
      <w:rPr>
        <w:rFonts w:ascii="Courier New" w:hAnsi="Courier New" w:hint="default"/>
      </w:rPr>
    </w:lvl>
    <w:lvl w:ilvl="8" w:tplc="082E4432">
      <w:start w:val="1"/>
      <w:numFmt w:val="bullet"/>
      <w:lvlText w:val=""/>
      <w:lvlJc w:val="left"/>
      <w:pPr>
        <w:ind w:left="6480" w:hanging="360"/>
      </w:pPr>
      <w:rPr>
        <w:rFonts w:ascii="Wingdings" w:hAnsi="Wingdings" w:hint="default"/>
      </w:rPr>
    </w:lvl>
  </w:abstractNum>
  <w:abstractNum w:abstractNumId="12" w15:restartNumberingAfterBreak="0">
    <w:nsid w:val="547D81AC"/>
    <w:multiLevelType w:val="hybridMultilevel"/>
    <w:tmpl w:val="93A6EFC0"/>
    <w:lvl w:ilvl="0" w:tplc="421EE6CC">
      <w:start w:val="1"/>
      <w:numFmt w:val="bullet"/>
      <w:lvlText w:val=""/>
      <w:lvlJc w:val="left"/>
      <w:pPr>
        <w:ind w:left="720" w:hanging="360"/>
      </w:pPr>
      <w:rPr>
        <w:rFonts w:ascii="Symbol" w:hAnsi="Symbol" w:hint="default"/>
      </w:rPr>
    </w:lvl>
    <w:lvl w:ilvl="1" w:tplc="CB0C0880">
      <w:start w:val="1"/>
      <w:numFmt w:val="bullet"/>
      <w:lvlText w:val="o"/>
      <w:lvlJc w:val="left"/>
      <w:pPr>
        <w:ind w:left="1440" w:hanging="360"/>
      </w:pPr>
      <w:rPr>
        <w:rFonts w:ascii="Courier New" w:hAnsi="Courier New" w:hint="default"/>
      </w:rPr>
    </w:lvl>
    <w:lvl w:ilvl="2" w:tplc="69C89F02">
      <w:start w:val="1"/>
      <w:numFmt w:val="bullet"/>
      <w:lvlText w:val=""/>
      <w:lvlJc w:val="left"/>
      <w:pPr>
        <w:ind w:left="2160" w:hanging="360"/>
      </w:pPr>
      <w:rPr>
        <w:rFonts w:ascii="Wingdings" w:hAnsi="Wingdings" w:hint="default"/>
      </w:rPr>
    </w:lvl>
    <w:lvl w:ilvl="3" w:tplc="B54006C0">
      <w:start w:val="1"/>
      <w:numFmt w:val="bullet"/>
      <w:lvlText w:val=""/>
      <w:lvlJc w:val="left"/>
      <w:pPr>
        <w:ind w:left="2880" w:hanging="360"/>
      </w:pPr>
      <w:rPr>
        <w:rFonts w:ascii="Symbol" w:hAnsi="Symbol" w:hint="default"/>
      </w:rPr>
    </w:lvl>
    <w:lvl w:ilvl="4" w:tplc="5A807302">
      <w:start w:val="1"/>
      <w:numFmt w:val="bullet"/>
      <w:lvlText w:val="o"/>
      <w:lvlJc w:val="left"/>
      <w:pPr>
        <w:ind w:left="3600" w:hanging="360"/>
      </w:pPr>
      <w:rPr>
        <w:rFonts w:ascii="Courier New" w:hAnsi="Courier New" w:hint="default"/>
      </w:rPr>
    </w:lvl>
    <w:lvl w:ilvl="5" w:tplc="B42C76F8">
      <w:start w:val="1"/>
      <w:numFmt w:val="bullet"/>
      <w:lvlText w:val=""/>
      <w:lvlJc w:val="left"/>
      <w:pPr>
        <w:ind w:left="4320" w:hanging="360"/>
      </w:pPr>
      <w:rPr>
        <w:rFonts w:ascii="Wingdings" w:hAnsi="Wingdings" w:hint="default"/>
      </w:rPr>
    </w:lvl>
    <w:lvl w:ilvl="6" w:tplc="997CA9AE">
      <w:start w:val="1"/>
      <w:numFmt w:val="bullet"/>
      <w:lvlText w:val=""/>
      <w:lvlJc w:val="left"/>
      <w:pPr>
        <w:ind w:left="5040" w:hanging="360"/>
      </w:pPr>
      <w:rPr>
        <w:rFonts w:ascii="Symbol" w:hAnsi="Symbol" w:hint="default"/>
      </w:rPr>
    </w:lvl>
    <w:lvl w:ilvl="7" w:tplc="EDDCAFC4">
      <w:start w:val="1"/>
      <w:numFmt w:val="bullet"/>
      <w:lvlText w:val="o"/>
      <w:lvlJc w:val="left"/>
      <w:pPr>
        <w:ind w:left="5760" w:hanging="360"/>
      </w:pPr>
      <w:rPr>
        <w:rFonts w:ascii="Courier New" w:hAnsi="Courier New" w:hint="default"/>
      </w:rPr>
    </w:lvl>
    <w:lvl w:ilvl="8" w:tplc="6C403C66">
      <w:start w:val="1"/>
      <w:numFmt w:val="bullet"/>
      <w:lvlText w:val=""/>
      <w:lvlJc w:val="left"/>
      <w:pPr>
        <w:ind w:left="6480" w:hanging="360"/>
      </w:pPr>
      <w:rPr>
        <w:rFonts w:ascii="Wingdings" w:hAnsi="Wingdings" w:hint="default"/>
      </w:rPr>
    </w:lvl>
  </w:abstractNum>
  <w:abstractNum w:abstractNumId="13" w15:restartNumberingAfterBreak="0">
    <w:nsid w:val="57CFF2F0"/>
    <w:multiLevelType w:val="hybridMultilevel"/>
    <w:tmpl w:val="1D50F7DC"/>
    <w:lvl w:ilvl="0" w:tplc="6422F9C4">
      <w:start w:val="1"/>
      <w:numFmt w:val="bullet"/>
      <w:lvlText w:val=""/>
      <w:lvlJc w:val="left"/>
      <w:pPr>
        <w:ind w:left="720" w:hanging="360"/>
      </w:pPr>
      <w:rPr>
        <w:rFonts w:ascii="Symbol" w:hAnsi="Symbol" w:hint="default"/>
      </w:rPr>
    </w:lvl>
    <w:lvl w:ilvl="1" w:tplc="63A8B0C0">
      <w:start w:val="1"/>
      <w:numFmt w:val="bullet"/>
      <w:lvlText w:val="o"/>
      <w:lvlJc w:val="left"/>
      <w:pPr>
        <w:ind w:left="1440" w:hanging="360"/>
      </w:pPr>
      <w:rPr>
        <w:rFonts w:ascii="Courier New" w:hAnsi="Courier New" w:hint="default"/>
      </w:rPr>
    </w:lvl>
    <w:lvl w:ilvl="2" w:tplc="51F2438A">
      <w:start w:val="1"/>
      <w:numFmt w:val="bullet"/>
      <w:lvlText w:val=""/>
      <w:lvlJc w:val="left"/>
      <w:pPr>
        <w:ind w:left="2160" w:hanging="360"/>
      </w:pPr>
      <w:rPr>
        <w:rFonts w:ascii="Wingdings" w:hAnsi="Wingdings" w:hint="default"/>
      </w:rPr>
    </w:lvl>
    <w:lvl w:ilvl="3" w:tplc="7C6A6C42">
      <w:start w:val="1"/>
      <w:numFmt w:val="bullet"/>
      <w:lvlText w:val=""/>
      <w:lvlJc w:val="left"/>
      <w:pPr>
        <w:ind w:left="2880" w:hanging="360"/>
      </w:pPr>
      <w:rPr>
        <w:rFonts w:ascii="Symbol" w:hAnsi="Symbol" w:hint="default"/>
      </w:rPr>
    </w:lvl>
    <w:lvl w:ilvl="4" w:tplc="C1406502">
      <w:start w:val="1"/>
      <w:numFmt w:val="bullet"/>
      <w:lvlText w:val="o"/>
      <w:lvlJc w:val="left"/>
      <w:pPr>
        <w:ind w:left="3600" w:hanging="360"/>
      </w:pPr>
      <w:rPr>
        <w:rFonts w:ascii="Courier New" w:hAnsi="Courier New" w:hint="default"/>
      </w:rPr>
    </w:lvl>
    <w:lvl w:ilvl="5" w:tplc="6F442526">
      <w:start w:val="1"/>
      <w:numFmt w:val="bullet"/>
      <w:lvlText w:val=""/>
      <w:lvlJc w:val="left"/>
      <w:pPr>
        <w:ind w:left="4320" w:hanging="360"/>
      </w:pPr>
      <w:rPr>
        <w:rFonts w:ascii="Wingdings" w:hAnsi="Wingdings" w:hint="default"/>
      </w:rPr>
    </w:lvl>
    <w:lvl w:ilvl="6" w:tplc="8EA85756">
      <w:start w:val="1"/>
      <w:numFmt w:val="bullet"/>
      <w:lvlText w:val=""/>
      <w:lvlJc w:val="left"/>
      <w:pPr>
        <w:ind w:left="5040" w:hanging="360"/>
      </w:pPr>
      <w:rPr>
        <w:rFonts w:ascii="Symbol" w:hAnsi="Symbol" w:hint="default"/>
      </w:rPr>
    </w:lvl>
    <w:lvl w:ilvl="7" w:tplc="15D83EA0">
      <w:start w:val="1"/>
      <w:numFmt w:val="bullet"/>
      <w:lvlText w:val="o"/>
      <w:lvlJc w:val="left"/>
      <w:pPr>
        <w:ind w:left="5760" w:hanging="360"/>
      </w:pPr>
      <w:rPr>
        <w:rFonts w:ascii="Courier New" w:hAnsi="Courier New" w:hint="default"/>
      </w:rPr>
    </w:lvl>
    <w:lvl w:ilvl="8" w:tplc="D20A50F2">
      <w:start w:val="1"/>
      <w:numFmt w:val="bullet"/>
      <w:lvlText w:val=""/>
      <w:lvlJc w:val="left"/>
      <w:pPr>
        <w:ind w:left="6480" w:hanging="360"/>
      </w:pPr>
      <w:rPr>
        <w:rFonts w:ascii="Wingdings" w:hAnsi="Wingdings" w:hint="default"/>
      </w:rPr>
    </w:lvl>
  </w:abstractNum>
  <w:abstractNum w:abstractNumId="14" w15:restartNumberingAfterBreak="0">
    <w:nsid w:val="5917882F"/>
    <w:multiLevelType w:val="hybridMultilevel"/>
    <w:tmpl w:val="B1EE6B64"/>
    <w:lvl w:ilvl="0" w:tplc="6CC4206A">
      <w:start w:val="1"/>
      <w:numFmt w:val="bullet"/>
      <w:lvlText w:val=""/>
      <w:lvlJc w:val="left"/>
      <w:pPr>
        <w:ind w:left="720" w:hanging="360"/>
      </w:pPr>
      <w:rPr>
        <w:rFonts w:ascii="Symbol" w:hAnsi="Symbol" w:hint="default"/>
      </w:rPr>
    </w:lvl>
    <w:lvl w:ilvl="1" w:tplc="F99449D8">
      <w:start w:val="1"/>
      <w:numFmt w:val="bullet"/>
      <w:lvlText w:val="o"/>
      <w:lvlJc w:val="left"/>
      <w:pPr>
        <w:ind w:left="1440" w:hanging="360"/>
      </w:pPr>
      <w:rPr>
        <w:rFonts w:ascii="Courier New" w:hAnsi="Courier New" w:hint="default"/>
      </w:rPr>
    </w:lvl>
    <w:lvl w:ilvl="2" w:tplc="6B9A5AE0">
      <w:start w:val="1"/>
      <w:numFmt w:val="bullet"/>
      <w:lvlText w:val=""/>
      <w:lvlJc w:val="left"/>
      <w:pPr>
        <w:ind w:left="2160" w:hanging="360"/>
      </w:pPr>
      <w:rPr>
        <w:rFonts w:ascii="Wingdings" w:hAnsi="Wingdings" w:hint="default"/>
      </w:rPr>
    </w:lvl>
    <w:lvl w:ilvl="3" w:tplc="A2FC1926">
      <w:start w:val="1"/>
      <w:numFmt w:val="bullet"/>
      <w:lvlText w:val=""/>
      <w:lvlJc w:val="left"/>
      <w:pPr>
        <w:ind w:left="2880" w:hanging="360"/>
      </w:pPr>
      <w:rPr>
        <w:rFonts w:ascii="Symbol" w:hAnsi="Symbol" w:hint="default"/>
      </w:rPr>
    </w:lvl>
    <w:lvl w:ilvl="4" w:tplc="29E2213A">
      <w:start w:val="1"/>
      <w:numFmt w:val="bullet"/>
      <w:lvlText w:val="o"/>
      <w:lvlJc w:val="left"/>
      <w:pPr>
        <w:ind w:left="3600" w:hanging="360"/>
      </w:pPr>
      <w:rPr>
        <w:rFonts w:ascii="Courier New" w:hAnsi="Courier New" w:hint="default"/>
      </w:rPr>
    </w:lvl>
    <w:lvl w:ilvl="5" w:tplc="169CAE06">
      <w:start w:val="1"/>
      <w:numFmt w:val="bullet"/>
      <w:lvlText w:val=""/>
      <w:lvlJc w:val="left"/>
      <w:pPr>
        <w:ind w:left="4320" w:hanging="360"/>
      </w:pPr>
      <w:rPr>
        <w:rFonts w:ascii="Wingdings" w:hAnsi="Wingdings" w:hint="default"/>
      </w:rPr>
    </w:lvl>
    <w:lvl w:ilvl="6" w:tplc="B3A2C788">
      <w:start w:val="1"/>
      <w:numFmt w:val="bullet"/>
      <w:lvlText w:val=""/>
      <w:lvlJc w:val="left"/>
      <w:pPr>
        <w:ind w:left="5040" w:hanging="360"/>
      </w:pPr>
      <w:rPr>
        <w:rFonts w:ascii="Symbol" w:hAnsi="Symbol" w:hint="default"/>
      </w:rPr>
    </w:lvl>
    <w:lvl w:ilvl="7" w:tplc="52E46C28">
      <w:start w:val="1"/>
      <w:numFmt w:val="bullet"/>
      <w:lvlText w:val="o"/>
      <w:lvlJc w:val="left"/>
      <w:pPr>
        <w:ind w:left="5760" w:hanging="360"/>
      </w:pPr>
      <w:rPr>
        <w:rFonts w:ascii="Courier New" w:hAnsi="Courier New" w:hint="default"/>
      </w:rPr>
    </w:lvl>
    <w:lvl w:ilvl="8" w:tplc="936042D2">
      <w:start w:val="1"/>
      <w:numFmt w:val="bullet"/>
      <w:lvlText w:val=""/>
      <w:lvlJc w:val="left"/>
      <w:pPr>
        <w:ind w:left="6480" w:hanging="360"/>
      </w:pPr>
      <w:rPr>
        <w:rFonts w:ascii="Wingdings" w:hAnsi="Wingdings" w:hint="default"/>
      </w:rPr>
    </w:lvl>
  </w:abstractNum>
  <w:abstractNum w:abstractNumId="15" w15:restartNumberingAfterBreak="0">
    <w:nsid w:val="5AB40D48"/>
    <w:multiLevelType w:val="hybridMultilevel"/>
    <w:tmpl w:val="E96C8FD0"/>
    <w:lvl w:ilvl="0" w:tplc="8B50EBFC">
      <w:start w:val="1"/>
      <w:numFmt w:val="bullet"/>
      <w:lvlText w:val=""/>
      <w:lvlJc w:val="left"/>
      <w:pPr>
        <w:ind w:left="720" w:hanging="360"/>
      </w:pPr>
      <w:rPr>
        <w:rFonts w:ascii="Symbol" w:hAnsi="Symbol" w:hint="default"/>
      </w:rPr>
    </w:lvl>
    <w:lvl w:ilvl="1" w:tplc="C9CAD4F8">
      <w:start w:val="1"/>
      <w:numFmt w:val="bullet"/>
      <w:lvlText w:val="o"/>
      <w:lvlJc w:val="left"/>
      <w:pPr>
        <w:ind w:left="1440" w:hanging="360"/>
      </w:pPr>
      <w:rPr>
        <w:rFonts w:ascii="Courier New" w:hAnsi="Courier New" w:hint="default"/>
      </w:rPr>
    </w:lvl>
    <w:lvl w:ilvl="2" w:tplc="B874E774">
      <w:start w:val="1"/>
      <w:numFmt w:val="bullet"/>
      <w:lvlText w:val=""/>
      <w:lvlJc w:val="left"/>
      <w:pPr>
        <w:ind w:left="2160" w:hanging="360"/>
      </w:pPr>
      <w:rPr>
        <w:rFonts w:ascii="Wingdings" w:hAnsi="Wingdings" w:hint="default"/>
      </w:rPr>
    </w:lvl>
    <w:lvl w:ilvl="3" w:tplc="F236B69A">
      <w:start w:val="1"/>
      <w:numFmt w:val="bullet"/>
      <w:lvlText w:val=""/>
      <w:lvlJc w:val="left"/>
      <w:pPr>
        <w:ind w:left="2880" w:hanging="360"/>
      </w:pPr>
      <w:rPr>
        <w:rFonts w:ascii="Symbol" w:hAnsi="Symbol" w:hint="default"/>
      </w:rPr>
    </w:lvl>
    <w:lvl w:ilvl="4" w:tplc="A8FEAF34">
      <w:start w:val="1"/>
      <w:numFmt w:val="bullet"/>
      <w:lvlText w:val="o"/>
      <w:lvlJc w:val="left"/>
      <w:pPr>
        <w:ind w:left="3600" w:hanging="360"/>
      </w:pPr>
      <w:rPr>
        <w:rFonts w:ascii="Courier New" w:hAnsi="Courier New" w:hint="default"/>
      </w:rPr>
    </w:lvl>
    <w:lvl w:ilvl="5" w:tplc="CC6AA658">
      <w:start w:val="1"/>
      <w:numFmt w:val="bullet"/>
      <w:lvlText w:val=""/>
      <w:lvlJc w:val="left"/>
      <w:pPr>
        <w:ind w:left="4320" w:hanging="360"/>
      </w:pPr>
      <w:rPr>
        <w:rFonts w:ascii="Wingdings" w:hAnsi="Wingdings" w:hint="default"/>
      </w:rPr>
    </w:lvl>
    <w:lvl w:ilvl="6" w:tplc="0D8871EC">
      <w:start w:val="1"/>
      <w:numFmt w:val="bullet"/>
      <w:lvlText w:val=""/>
      <w:lvlJc w:val="left"/>
      <w:pPr>
        <w:ind w:left="5040" w:hanging="360"/>
      </w:pPr>
      <w:rPr>
        <w:rFonts w:ascii="Symbol" w:hAnsi="Symbol" w:hint="default"/>
      </w:rPr>
    </w:lvl>
    <w:lvl w:ilvl="7" w:tplc="C6541F4C">
      <w:start w:val="1"/>
      <w:numFmt w:val="bullet"/>
      <w:lvlText w:val="o"/>
      <w:lvlJc w:val="left"/>
      <w:pPr>
        <w:ind w:left="5760" w:hanging="360"/>
      </w:pPr>
      <w:rPr>
        <w:rFonts w:ascii="Courier New" w:hAnsi="Courier New" w:hint="default"/>
      </w:rPr>
    </w:lvl>
    <w:lvl w:ilvl="8" w:tplc="2CFE57DE">
      <w:start w:val="1"/>
      <w:numFmt w:val="bullet"/>
      <w:lvlText w:val=""/>
      <w:lvlJc w:val="left"/>
      <w:pPr>
        <w:ind w:left="6480" w:hanging="360"/>
      </w:pPr>
      <w:rPr>
        <w:rFonts w:ascii="Wingdings" w:hAnsi="Wingdings" w:hint="default"/>
      </w:rPr>
    </w:lvl>
  </w:abstractNum>
  <w:abstractNum w:abstractNumId="16" w15:restartNumberingAfterBreak="0">
    <w:nsid w:val="6B8EEC30"/>
    <w:multiLevelType w:val="hybridMultilevel"/>
    <w:tmpl w:val="407AF2BA"/>
    <w:lvl w:ilvl="0" w:tplc="74F2C90E">
      <w:start w:val="1"/>
      <w:numFmt w:val="bullet"/>
      <w:lvlText w:val=""/>
      <w:lvlJc w:val="left"/>
      <w:pPr>
        <w:ind w:left="720" w:hanging="360"/>
      </w:pPr>
      <w:rPr>
        <w:rFonts w:ascii="Symbol" w:hAnsi="Symbol" w:hint="default"/>
      </w:rPr>
    </w:lvl>
    <w:lvl w:ilvl="1" w:tplc="9F4E02CC">
      <w:start w:val="1"/>
      <w:numFmt w:val="bullet"/>
      <w:lvlText w:val="o"/>
      <w:lvlJc w:val="left"/>
      <w:pPr>
        <w:ind w:left="1440" w:hanging="360"/>
      </w:pPr>
      <w:rPr>
        <w:rFonts w:ascii="Courier New" w:hAnsi="Courier New" w:hint="default"/>
      </w:rPr>
    </w:lvl>
    <w:lvl w:ilvl="2" w:tplc="AB12683E">
      <w:start w:val="1"/>
      <w:numFmt w:val="bullet"/>
      <w:lvlText w:val=""/>
      <w:lvlJc w:val="left"/>
      <w:pPr>
        <w:ind w:left="2160" w:hanging="360"/>
      </w:pPr>
      <w:rPr>
        <w:rFonts w:ascii="Wingdings" w:hAnsi="Wingdings" w:hint="default"/>
      </w:rPr>
    </w:lvl>
    <w:lvl w:ilvl="3" w:tplc="775C816C">
      <w:start w:val="1"/>
      <w:numFmt w:val="bullet"/>
      <w:lvlText w:val=""/>
      <w:lvlJc w:val="left"/>
      <w:pPr>
        <w:ind w:left="2880" w:hanging="360"/>
      </w:pPr>
      <w:rPr>
        <w:rFonts w:ascii="Symbol" w:hAnsi="Symbol" w:hint="default"/>
      </w:rPr>
    </w:lvl>
    <w:lvl w:ilvl="4" w:tplc="849CDE58">
      <w:start w:val="1"/>
      <w:numFmt w:val="bullet"/>
      <w:lvlText w:val="o"/>
      <w:lvlJc w:val="left"/>
      <w:pPr>
        <w:ind w:left="3600" w:hanging="360"/>
      </w:pPr>
      <w:rPr>
        <w:rFonts w:ascii="Courier New" w:hAnsi="Courier New" w:hint="default"/>
      </w:rPr>
    </w:lvl>
    <w:lvl w:ilvl="5" w:tplc="87EE36B8">
      <w:start w:val="1"/>
      <w:numFmt w:val="bullet"/>
      <w:lvlText w:val=""/>
      <w:lvlJc w:val="left"/>
      <w:pPr>
        <w:ind w:left="4320" w:hanging="360"/>
      </w:pPr>
      <w:rPr>
        <w:rFonts w:ascii="Wingdings" w:hAnsi="Wingdings" w:hint="default"/>
      </w:rPr>
    </w:lvl>
    <w:lvl w:ilvl="6" w:tplc="79900216">
      <w:start w:val="1"/>
      <w:numFmt w:val="bullet"/>
      <w:lvlText w:val=""/>
      <w:lvlJc w:val="left"/>
      <w:pPr>
        <w:ind w:left="5040" w:hanging="360"/>
      </w:pPr>
      <w:rPr>
        <w:rFonts w:ascii="Symbol" w:hAnsi="Symbol" w:hint="default"/>
      </w:rPr>
    </w:lvl>
    <w:lvl w:ilvl="7" w:tplc="5DF02C90">
      <w:start w:val="1"/>
      <w:numFmt w:val="bullet"/>
      <w:lvlText w:val="o"/>
      <w:lvlJc w:val="left"/>
      <w:pPr>
        <w:ind w:left="5760" w:hanging="360"/>
      </w:pPr>
      <w:rPr>
        <w:rFonts w:ascii="Courier New" w:hAnsi="Courier New" w:hint="default"/>
      </w:rPr>
    </w:lvl>
    <w:lvl w:ilvl="8" w:tplc="ED2A1102">
      <w:start w:val="1"/>
      <w:numFmt w:val="bullet"/>
      <w:lvlText w:val=""/>
      <w:lvlJc w:val="left"/>
      <w:pPr>
        <w:ind w:left="6480" w:hanging="360"/>
      </w:pPr>
      <w:rPr>
        <w:rFonts w:ascii="Wingdings" w:hAnsi="Wingdings" w:hint="default"/>
      </w:rPr>
    </w:lvl>
  </w:abstractNum>
  <w:abstractNum w:abstractNumId="17" w15:restartNumberingAfterBreak="0">
    <w:nsid w:val="6C428CBF"/>
    <w:multiLevelType w:val="hybridMultilevel"/>
    <w:tmpl w:val="CCC2B310"/>
    <w:lvl w:ilvl="0" w:tplc="1C705376">
      <w:start w:val="1"/>
      <w:numFmt w:val="bullet"/>
      <w:lvlText w:val=""/>
      <w:lvlJc w:val="left"/>
      <w:pPr>
        <w:ind w:left="720" w:hanging="360"/>
      </w:pPr>
      <w:rPr>
        <w:rFonts w:ascii="Symbol" w:hAnsi="Symbol" w:hint="default"/>
      </w:rPr>
    </w:lvl>
    <w:lvl w:ilvl="1" w:tplc="2FB24496">
      <w:start w:val="1"/>
      <w:numFmt w:val="bullet"/>
      <w:lvlText w:val="o"/>
      <w:lvlJc w:val="left"/>
      <w:pPr>
        <w:ind w:left="1440" w:hanging="360"/>
      </w:pPr>
      <w:rPr>
        <w:rFonts w:ascii="Courier New" w:hAnsi="Courier New" w:hint="default"/>
      </w:rPr>
    </w:lvl>
    <w:lvl w:ilvl="2" w:tplc="C3925A46">
      <w:start w:val="1"/>
      <w:numFmt w:val="bullet"/>
      <w:lvlText w:val=""/>
      <w:lvlJc w:val="left"/>
      <w:pPr>
        <w:ind w:left="2160" w:hanging="360"/>
      </w:pPr>
      <w:rPr>
        <w:rFonts w:ascii="Wingdings" w:hAnsi="Wingdings" w:hint="default"/>
      </w:rPr>
    </w:lvl>
    <w:lvl w:ilvl="3" w:tplc="82B49F9A">
      <w:start w:val="1"/>
      <w:numFmt w:val="bullet"/>
      <w:lvlText w:val=""/>
      <w:lvlJc w:val="left"/>
      <w:pPr>
        <w:ind w:left="2880" w:hanging="360"/>
      </w:pPr>
      <w:rPr>
        <w:rFonts w:ascii="Symbol" w:hAnsi="Symbol" w:hint="default"/>
      </w:rPr>
    </w:lvl>
    <w:lvl w:ilvl="4" w:tplc="78C2292C">
      <w:start w:val="1"/>
      <w:numFmt w:val="bullet"/>
      <w:lvlText w:val="o"/>
      <w:lvlJc w:val="left"/>
      <w:pPr>
        <w:ind w:left="3600" w:hanging="360"/>
      </w:pPr>
      <w:rPr>
        <w:rFonts w:ascii="Courier New" w:hAnsi="Courier New" w:hint="default"/>
      </w:rPr>
    </w:lvl>
    <w:lvl w:ilvl="5" w:tplc="CAAA55AC">
      <w:start w:val="1"/>
      <w:numFmt w:val="bullet"/>
      <w:lvlText w:val=""/>
      <w:lvlJc w:val="left"/>
      <w:pPr>
        <w:ind w:left="4320" w:hanging="360"/>
      </w:pPr>
      <w:rPr>
        <w:rFonts w:ascii="Wingdings" w:hAnsi="Wingdings" w:hint="default"/>
      </w:rPr>
    </w:lvl>
    <w:lvl w:ilvl="6" w:tplc="FCEA5ACC">
      <w:start w:val="1"/>
      <w:numFmt w:val="bullet"/>
      <w:lvlText w:val=""/>
      <w:lvlJc w:val="left"/>
      <w:pPr>
        <w:ind w:left="5040" w:hanging="360"/>
      </w:pPr>
      <w:rPr>
        <w:rFonts w:ascii="Symbol" w:hAnsi="Symbol" w:hint="default"/>
      </w:rPr>
    </w:lvl>
    <w:lvl w:ilvl="7" w:tplc="9C4A4674">
      <w:start w:val="1"/>
      <w:numFmt w:val="bullet"/>
      <w:lvlText w:val="o"/>
      <w:lvlJc w:val="left"/>
      <w:pPr>
        <w:ind w:left="5760" w:hanging="360"/>
      </w:pPr>
      <w:rPr>
        <w:rFonts w:ascii="Courier New" w:hAnsi="Courier New" w:hint="default"/>
      </w:rPr>
    </w:lvl>
    <w:lvl w:ilvl="8" w:tplc="45CE5314">
      <w:start w:val="1"/>
      <w:numFmt w:val="bullet"/>
      <w:lvlText w:val=""/>
      <w:lvlJc w:val="left"/>
      <w:pPr>
        <w:ind w:left="6480" w:hanging="360"/>
      </w:pPr>
      <w:rPr>
        <w:rFonts w:ascii="Wingdings" w:hAnsi="Wingdings" w:hint="default"/>
      </w:rPr>
    </w:lvl>
  </w:abstractNum>
  <w:abstractNum w:abstractNumId="18" w15:restartNumberingAfterBreak="0">
    <w:nsid w:val="6E8CD20D"/>
    <w:multiLevelType w:val="hybridMultilevel"/>
    <w:tmpl w:val="F7AE8E9A"/>
    <w:lvl w:ilvl="0" w:tplc="4D74A8F0">
      <w:start w:val="1"/>
      <w:numFmt w:val="bullet"/>
      <w:lvlText w:val=""/>
      <w:lvlJc w:val="left"/>
      <w:pPr>
        <w:ind w:left="720" w:hanging="360"/>
      </w:pPr>
      <w:rPr>
        <w:rFonts w:ascii="Symbol" w:hAnsi="Symbol" w:hint="default"/>
      </w:rPr>
    </w:lvl>
    <w:lvl w:ilvl="1" w:tplc="6E2A9ED6">
      <w:start w:val="1"/>
      <w:numFmt w:val="bullet"/>
      <w:lvlText w:val="o"/>
      <w:lvlJc w:val="left"/>
      <w:pPr>
        <w:ind w:left="1440" w:hanging="360"/>
      </w:pPr>
      <w:rPr>
        <w:rFonts w:ascii="Courier New" w:hAnsi="Courier New" w:hint="default"/>
      </w:rPr>
    </w:lvl>
    <w:lvl w:ilvl="2" w:tplc="E5C0B514">
      <w:start w:val="1"/>
      <w:numFmt w:val="bullet"/>
      <w:lvlText w:val=""/>
      <w:lvlJc w:val="left"/>
      <w:pPr>
        <w:ind w:left="2160" w:hanging="360"/>
      </w:pPr>
      <w:rPr>
        <w:rFonts w:ascii="Wingdings" w:hAnsi="Wingdings" w:hint="default"/>
      </w:rPr>
    </w:lvl>
    <w:lvl w:ilvl="3" w:tplc="5C14DC70">
      <w:start w:val="1"/>
      <w:numFmt w:val="bullet"/>
      <w:lvlText w:val=""/>
      <w:lvlJc w:val="left"/>
      <w:pPr>
        <w:ind w:left="2880" w:hanging="360"/>
      </w:pPr>
      <w:rPr>
        <w:rFonts w:ascii="Symbol" w:hAnsi="Symbol" w:hint="default"/>
      </w:rPr>
    </w:lvl>
    <w:lvl w:ilvl="4" w:tplc="3B6ABB46">
      <w:start w:val="1"/>
      <w:numFmt w:val="bullet"/>
      <w:lvlText w:val="o"/>
      <w:lvlJc w:val="left"/>
      <w:pPr>
        <w:ind w:left="3600" w:hanging="360"/>
      </w:pPr>
      <w:rPr>
        <w:rFonts w:ascii="Courier New" w:hAnsi="Courier New" w:hint="default"/>
      </w:rPr>
    </w:lvl>
    <w:lvl w:ilvl="5" w:tplc="102CE24E">
      <w:start w:val="1"/>
      <w:numFmt w:val="bullet"/>
      <w:lvlText w:val=""/>
      <w:lvlJc w:val="left"/>
      <w:pPr>
        <w:ind w:left="4320" w:hanging="360"/>
      </w:pPr>
      <w:rPr>
        <w:rFonts w:ascii="Wingdings" w:hAnsi="Wingdings" w:hint="default"/>
      </w:rPr>
    </w:lvl>
    <w:lvl w:ilvl="6" w:tplc="8D346494">
      <w:start w:val="1"/>
      <w:numFmt w:val="bullet"/>
      <w:lvlText w:val=""/>
      <w:lvlJc w:val="left"/>
      <w:pPr>
        <w:ind w:left="5040" w:hanging="360"/>
      </w:pPr>
      <w:rPr>
        <w:rFonts w:ascii="Symbol" w:hAnsi="Symbol" w:hint="default"/>
      </w:rPr>
    </w:lvl>
    <w:lvl w:ilvl="7" w:tplc="F4FC2A9C">
      <w:start w:val="1"/>
      <w:numFmt w:val="bullet"/>
      <w:lvlText w:val="o"/>
      <w:lvlJc w:val="left"/>
      <w:pPr>
        <w:ind w:left="5760" w:hanging="360"/>
      </w:pPr>
      <w:rPr>
        <w:rFonts w:ascii="Courier New" w:hAnsi="Courier New" w:hint="default"/>
      </w:rPr>
    </w:lvl>
    <w:lvl w:ilvl="8" w:tplc="073A8056">
      <w:start w:val="1"/>
      <w:numFmt w:val="bullet"/>
      <w:lvlText w:val=""/>
      <w:lvlJc w:val="left"/>
      <w:pPr>
        <w:ind w:left="6480" w:hanging="360"/>
      </w:pPr>
      <w:rPr>
        <w:rFonts w:ascii="Wingdings" w:hAnsi="Wingdings" w:hint="default"/>
      </w:rPr>
    </w:lvl>
  </w:abstractNum>
  <w:abstractNum w:abstractNumId="19" w15:restartNumberingAfterBreak="0">
    <w:nsid w:val="7D9349F5"/>
    <w:multiLevelType w:val="hybridMultilevel"/>
    <w:tmpl w:val="70B6832E"/>
    <w:lvl w:ilvl="0" w:tplc="07B05126">
      <w:start w:val="1"/>
      <w:numFmt w:val="bullet"/>
      <w:lvlText w:val=""/>
      <w:lvlJc w:val="left"/>
      <w:pPr>
        <w:ind w:left="720" w:hanging="360"/>
      </w:pPr>
      <w:rPr>
        <w:rFonts w:ascii="Symbol" w:hAnsi="Symbol" w:hint="default"/>
      </w:rPr>
    </w:lvl>
    <w:lvl w:ilvl="1" w:tplc="A2C60388">
      <w:start w:val="1"/>
      <w:numFmt w:val="bullet"/>
      <w:lvlText w:val="o"/>
      <w:lvlJc w:val="left"/>
      <w:pPr>
        <w:ind w:left="1440" w:hanging="360"/>
      </w:pPr>
      <w:rPr>
        <w:rFonts w:ascii="Courier New" w:hAnsi="Courier New" w:hint="default"/>
      </w:rPr>
    </w:lvl>
    <w:lvl w:ilvl="2" w:tplc="CBF876B8">
      <w:start w:val="1"/>
      <w:numFmt w:val="bullet"/>
      <w:lvlText w:val=""/>
      <w:lvlJc w:val="left"/>
      <w:pPr>
        <w:ind w:left="2160" w:hanging="360"/>
      </w:pPr>
      <w:rPr>
        <w:rFonts w:ascii="Wingdings" w:hAnsi="Wingdings" w:hint="default"/>
      </w:rPr>
    </w:lvl>
    <w:lvl w:ilvl="3" w:tplc="F6C47FCE">
      <w:start w:val="1"/>
      <w:numFmt w:val="bullet"/>
      <w:lvlText w:val=""/>
      <w:lvlJc w:val="left"/>
      <w:pPr>
        <w:ind w:left="2880" w:hanging="360"/>
      </w:pPr>
      <w:rPr>
        <w:rFonts w:ascii="Symbol" w:hAnsi="Symbol" w:hint="default"/>
      </w:rPr>
    </w:lvl>
    <w:lvl w:ilvl="4" w:tplc="A7CA6D40">
      <w:start w:val="1"/>
      <w:numFmt w:val="bullet"/>
      <w:lvlText w:val="o"/>
      <w:lvlJc w:val="left"/>
      <w:pPr>
        <w:ind w:left="3600" w:hanging="360"/>
      </w:pPr>
      <w:rPr>
        <w:rFonts w:ascii="Courier New" w:hAnsi="Courier New" w:hint="default"/>
      </w:rPr>
    </w:lvl>
    <w:lvl w:ilvl="5" w:tplc="AEEAF33C">
      <w:start w:val="1"/>
      <w:numFmt w:val="bullet"/>
      <w:lvlText w:val=""/>
      <w:lvlJc w:val="left"/>
      <w:pPr>
        <w:ind w:left="4320" w:hanging="360"/>
      </w:pPr>
      <w:rPr>
        <w:rFonts w:ascii="Wingdings" w:hAnsi="Wingdings" w:hint="default"/>
      </w:rPr>
    </w:lvl>
    <w:lvl w:ilvl="6" w:tplc="FA52A424">
      <w:start w:val="1"/>
      <w:numFmt w:val="bullet"/>
      <w:lvlText w:val=""/>
      <w:lvlJc w:val="left"/>
      <w:pPr>
        <w:ind w:left="5040" w:hanging="360"/>
      </w:pPr>
      <w:rPr>
        <w:rFonts w:ascii="Symbol" w:hAnsi="Symbol" w:hint="default"/>
      </w:rPr>
    </w:lvl>
    <w:lvl w:ilvl="7" w:tplc="9150369C">
      <w:start w:val="1"/>
      <w:numFmt w:val="bullet"/>
      <w:lvlText w:val="o"/>
      <w:lvlJc w:val="left"/>
      <w:pPr>
        <w:ind w:left="5760" w:hanging="360"/>
      </w:pPr>
      <w:rPr>
        <w:rFonts w:ascii="Courier New" w:hAnsi="Courier New" w:hint="default"/>
      </w:rPr>
    </w:lvl>
    <w:lvl w:ilvl="8" w:tplc="7CF66A52">
      <w:start w:val="1"/>
      <w:numFmt w:val="bullet"/>
      <w:lvlText w:val=""/>
      <w:lvlJc w:val="left"/>
      <w:pPr>
        <w:ind w:left="6480" w:hanging="360"/>
      </w:pPr>
      <w:rPr>
        <w:rFonts w:ascii="Wingdings" w:hAnsi="Wingdings" w:hint="default"/>
      </w:rPr>
    </w:lvl>
  </w:abstractNum>
  <w:abstractNum w:abstractNumId="20" w15:restartNumberingAfterBreak="0">
    <w:nsid w:val="7F19B261"/>
    <w:multiLevelType w:val="hybridMultilevel"/>
    <w:tmpl w:val="9F04E8EC"/>
    <w:lvl w:ilvl="0" w:tplc="53DC87A0">
      <w:start w:val="1"/>
      <w:numFmt w:val="bullet"/>
      <w:lvlText w:val=""/>
      <w:lvlJc w:val="left"/>
      <w:pPr>
        <w:ind w:left="720" w:hanging="360"/>
      </w:pPr>
      <w:rPr>
        <w:rFonts w:ascii="Symbol" w:hAnsi="Symbol" w:hint="default"/>
      </w:rPr>
    </w:lvl>
    <w:lvl w:ilvl="1" w:tplc="756E9566">
      <w:start w:val="1"/>
      <w:numFmt w:val="bullet"/>
      <w:lvlText w:val="o"/>
      <w:lvlJc w:val="left"/>
      <w:pPr>
        <w:ind w:left="1440" w:hanging="360"/>
      </w:pPr>
      <w:rPr>
        <w:rFonts w:ascii="Courier New" w:hAnsi="Courier New" w:hint="default"/>
      </w:rPr>
    </w:lvl>
    <w:lvl w:ilvl="2" w:tplc="CEFE8C14">
      <w:start w:val="1"/>
      <w:numFmt w:val="bullet"/>
      <w:lvlText w:val=""/>
      <w:lvlJc w:val="left"/>
      <w:pPr>
        <w:ind w:left="2160" w:hanging="360"/>
      </w:pPr>
      <w:rPr>
        <w:rFonts w:ascii="Wingdings" w:hAnsi="Wingdings" w:hint="default"/>
      </w:rPr>
    </w:lvl>
    <w:lvl w:ilvl="3" w:tplc="7B781602">
      <w:start w:val="1"/>
      <w:numFmt w:val="bullet"/>
      <w:lvlText w:val=""/>
      <w:lvlJc w:val="left"/>
      <w:pPr>
        <w:ind w:left="2880" w:hanging="360"/>
      </w:pPr>
      <w:rPr>
        <w:rFonts w:ascii="Symbol" w:hAnsi="Symbol" w:hint="default"/>
      </w:rPr>
    </w:lvl>
    <w:lvl w:ilvl="4" w:tplc="D11477F0">
      <w:start w:val="1"/>
      <w:numFmt w:val="bullet"/>
      <w:lvlText w:val="o"/>
      <w:lvlJc w:val="left"/>
      <w:pPr>
        <w:ind w:left="3600" w:hanging="360"/>
      </w:pPr>
      <w:rPr>
        <w:rFonts w:ascii="Courier New" w:hAnsi="Courier New" w:hint="default"/>
      </w:rPr>
    </w:lvl>
    <w:lvl w:ilvl="5" w:tplc="D2D60F9A">
      <w:start w:val="1"/>
      <w:numFmt w:val="bullet"/>
      <w:lvlText w:val=""/>
      <w:lvlJc w:val="left"/>
      <w:pPr>
        <w:ind w:left="4320" w:hanging="360"/>
      </w:pPr>
      <w:rPr>
        <w:rFonts w:ascii="Wingdings" w:hAnsi="Wingdings" w:hint="default"/>
      </w:rPr>
    </w:lvl>
    <w:lvl w:ilvl="6" w:tplc="E61090FA">
      <w:start w:val="1"/>
      <w:numFmt w:val="bullet"/>
      <w:lvlText w:val=""/>
      <w:lvlJc w:val="left"/>
      <w:pPr>
        <w:ind w:left="5040" w:hanging="360"/>
      </w:pPr>
      <w:rPr>
        <w:rFonts w:ascii="Symbol" w:hAnsi="Symbol" w:hint="default"/>
      </w:rPr>
    </w:lvl>
    <w:lvl w:ilvl="7" w:tplc="6BB2EB44">
      <w:start w:val="1"/>
      <w:numFmt w:val="bullet"/>
      <w:lvlText w:val="o"/>
      <w:lvlJc w:val="left"/>
      <w:pPr>
        <w:ind w:left="5760" w:hanging="360"/>
      </w:pPr>
      <w:rPr>
        <w:rFonts w:ascii="Courier New" w:hAnsi="Courier New" w:hint="default"/>
      </w:rPr>
    </w:lvl>
    <w:lvl w:ilvl="8" w:tplc="15B87984">
      <w:start w:val="1"/>
      <w:numFmt w:val="bullet"/>
      <w:lvlText w:val=""/>
      <w:lvlJc w:val="left"/>
      <w:pPr>
        <w:ind w:left="6480" w:hanging="360"/>
      </w:pPr>
      <w:rPr>
        <w:rFonts w:ascii="Wingdings" w:hAnsi="Wingdings" w:hint="default"/>
      </w:rPr>
    </w:lvl>
  </w:abstractNum>
  <w:num w:numId="1" w16cid:durableId="682510883">
    <w:abstractNumId w:val="2"/>
  </w:num>
  <w:num w:numId="2" w16cid:durableId="2055348292">
    <w:abstractNumId w:val="9"/>
  </w:num>
  <w:num w:numId="3" w16cid:durableId="2037265286">
    <w:abstractNumId w:val="18"/>
  </w:num>
  <w:num w:numId="4" w16cid:durableId="541595147">
    <w:abstractNumId w:val="11"/>
  </w:num>
  <w:num w:numId="5" w16cid:durableId="270625541">
    <w:abstractNumId w:val="17"/>
  </w:num>
  <w:num w:numId="6" w16cid:durableId="1376931587">
    <w:abstractNumId w:val="10"/>
  </w:num>
  <w:num w:numId="7" w16cid:durableId="700596737">
    <w:abstractNumId w:val="15"/>
  </w:num>
  <w:num w:numId="8" w16cid:durableId="1070806821">
    <w:abstractNumId w:val="8"/>
  </w:num>
  <w:num w:numId="9" w16cid:durableId="1969428352">
    <w:abstractNumId w:val="7"/>
  </w:num>
  <w:num w:numId="10" w16cid:durableId="261761240">
    <w:abstractNumId w:val="4"/>
  </w:num>
  <w:num w:numId="11" w16cid:durableId="1743481251">
    <w:abstractNumId w:val="12"/>
  </w:num>
  <w:num w:numId="12" w16cid:durableId="1761440084">
    <w:abstractNumId w:val="20"/>
  </w:num>
  <w:num w:numId="13" w16cid:durableId="1109818253">
    <w:abstractNumId w:val="14"/>
  </w:num>
  <w:num w:numId="14" w16cid:durableId="1960138636">
    <w:abstractNumId w:val="13"/>
  </w:num>
  <w:num w:numId="15" w16cid:durableId="786781468">
    <w:abstractNumId w:val="19"/>
  </w:num>
  <w:num w:numId="16" w16cid:durableId="72093190">
    <w:abstractNumId w:val="1"/>
  </w:num>
  <w:num w:numId="17" w16cid:durableId="217521241">
    <w:abstractNumId w:val="3"/>
  </w:num>
  <w:num w:numId="18" w16cid:durableId="1034306988">
    <w:abstractNumId w:val="5"/>
  </w:num>
  <w:num w:numId="19" w16cid:durableId="463160929">
    <w:abstractNumId w:val="16"/>
  </w:num>
  <w:num w:numId="20" w16cid:durableId="38210211">
    <w:abstractNumId w:val="6"/>
  </w:num>
  <w:num w:numId="21" w16cid:durableId="1260067138">
    <w:abstractNumId w:val="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8F2214"/>
    <w:rsid w:val="000627CF"/>
    <w:rsid w:val="00137E78"/>
    <w:rsid w:val="0014AD28"/>
    <w:rsid w:val="002B56D4"/>
    <w:rsid w:val="002F340C"/>
    <w:rsid w:val="003EF9F5"/>
    <w:rsid w:val="00437057"/>
    <w:rsid w:val="004D72AD"/>
    <w:rsid w:val="005A1C18"/>
    <w:rsid w:val="0068235E"/>
    <w:rsid w:val="0071283A"/>
    <w:rsid w:val="007E6D32"/>
    <w:rsid w:val="008A79B6"/>
    <w:rsid w:val="00917A17"/>
    <w:rsid w:val="00A949BC"/>
    <w:rsid w:val="00AB3CFE"/>
    <w:rsid w:val="00B10050"/>
    <w:rsid w:val="00B449D1"/>
    <w:rsid w:val="00BB1361"/>
    <w:rsid w:val="00C260D9"/>
    <w:rsid w:val="00C9578A"/>
    <w:rsid w:val="00CA1747"/>
    <w:rsid w:val="00CA9170"/>
    <w:rsid w:val="00E660CE"/>
    <w:rsid w:val="00EA011C"/>
    <w:rsid w:val="011F4D4C"/>
    <w:rsid w:val="017F4C28"/>
    <w:rsid w:val="01E2624C"/>
    <w:rsid w:val="01F132A7"/>
    <w:rsid w:val="022D897D"/>
    <w:rsid w:val="023F4E9C"/>
    <w:rsid w:val="0243B18F"/>
    <w:rsid w:val="0271E170"/>
    <w:rsid w:val="028879AD"/>
    <w:rsid w:val="02905B69"/>
    <w:rsid w:val="029FEAC7"/>
    <w:rsid w:val="02DB7792"/>
    <w:rsid w:val="02E89704"/>
    <w:rsid w:val="03319F8D"/>
    <w:rsid w:val="036BD014"/>
    <w:rsid w:val="038885EF"/>
    <w:rsid w:val="03B8517D"/>
    <w:rsid w:val="03DF751A"/>
    <w:rsid w:val="041EE7A5"/>
    <w:rsid w:val="043C63F3"/>
    <w:rsid w:val="04493438"/>
    <w:rsid w:val="04899586"/>
    <w:rsid w:val="048CFEAA"/>
    <w:rsid w:val="04E9FAAB"/>
    <w:rsid w:val="04F0CC09"/>
    <w:rsid w:val="04F7F1DF"/>
    <w:rsid w:val="0572B77F"/>
    <w:rsid w:val="058467BC"/>
    <w:rsid w:val="05A3C679"/>
    <w:rsid w:val="05B5FDCB"/>
    <w:rsid w:val="05DA7B35"/>
    <w:rsid w:val="060C5CE8"/>
    <w:rsid w:val="06ACEB43"/>
    <w:rsid w:val="06B8A33B"/>
    <w:rsid w:val="06B9A69C"/>
    <w:rsid w:val="06C081CF"/>
    <w:rsid w:val="06C1FB49"/>
    <w:rsid w:val="06D60D6E"/>
    <w:rsid w:val="06E4E375"/>
    <w:rsid w:val="073CD338"/>
    <w:rsid w:val="0761C0B0"/>
    <w:rsid w:val="07667329"/>
    <w:rsid w:val="076C1CF7"/>
    <w:rsid w:val="07B13CD7"/>
    <w:rsid w:val="0811960B"/>
    <w:rsid w:val="082746F8"/>
    <w:rsid w:val="08294C2B"/>
    <w:rsid w:val="084B2191"/>
    <w:rsid w:val="088DEC2C"/>
    <w:rsid w:val="08B09DF9"/>
    <w:rsid w:val="092F5E90"/>
    <w:rsid w:val="0933C9CD"/>
    <w:rsid w:val="097CC4AE"/>
    <w:rsid w:val="0A7D3130"/>
    <w:rsid w:val="0A82569B"/>
    <w:rsid w:val="0AA54B3A"/>
    <w:rsid w:val="0AC2AFCF"/>
    <w:rsid w:val="0AD48E98"/>
    <w:rsid w:val="0B0FB095"/>
    <w:rsid w:val="0B38CC0C"/>
    <w:rsid w:val="0B471FD6"/>
    <w:rsid w:val="0B9C2136"/>
    <w:rsid w:val="0B9DEBCE"/>
    <w:rsid w:val="0C2FC1C6"/>
    <w:rsid w:val="0C64F0B6"/>
    <w:rsid w:val="0C8CAA11"/>
    <w:rsid w:val="0CB6FF20"/>
    <w:rsid w:val="0CC1CB4D"/>
    <w:rsid w:val="0CC6CDA7"/>
    <w:rsid w:val="0CD25E96"/>
    <w:rsid w:val="0CE274FA"/>
    <w:rsid w:val="0CFDCB59"/>
    <w:rsid w:val="0D103508"/>
    <w:rsid w:val="0D181FA2"/>
    <w:rsid w:val="0D3DDADB"/>
    <w:rsid w:val="0D3FD569"/>
    <w:rsid w:val="0D91D3DF"/>
    <w:rsid w:val="0D961C94"/>
    <w:rsid w:val="0D989820"/>
    <w:rsid w:val="0E0C0982"/>
    <w:rsid w:val="0E589E3B"/>
    <w:rsid w:val="0E71D0EC"/>
    <w:rsid w:val="0E9E9BE0"/>
    <w:rsid w:val="0EB0CFED"/>
    <w:rsid w:val="0EE7385E"/>
    <w:rsid w:val="0F6A85EF"/>
    <w:rsid w:val="10347286"/>
    <w:rsid w:val="10EDE0B2"/>
    <w:rsid w:val="1104A14A"/>
    <w:rsid w:val="110E0B74"/>
    <w:rsid w:val="11176EFA"/>
    <w:rsid w:val="11308716"/>
    <w:rsid w:val="1131ECD5"/>
    <w:rsid w:val="11735148"/>
    <w:rsid w:val="117BCEE5"/>
    <w:rsid w:val="11B75C7A"/>
    <w:rsid w:val="11D1160F"/>
    <w:rsid w:val="11F16185"/>
    <w:rsid w:val="11FE926F"/>
    <w:rsid w:val="1203DA4A"/>
    <w:rsid w:val="121871B7"/>
    <w:rsid w:val="12394D3E"/>
    <w:rsid w:val="12434F6B"/>
    <w:rsid w:val="125F28AF"/>
    <w:rsid w:val="1283B310"/>
    <w:rsid w:val="129268FF"/>
    <w:rsid w:val="12AD53B5"/>
    <w:rsid w:val="12EFF62C"/>
    <w:rsid w:val="12F1F6E6"/>
    <w:rsid w:val="12F64BD7"/>
    <w:rsid w:val="12F87893"/>
    <w:rsid w:val="130B890F"/>
    <w:rsid w:val="1314B80D"/>
    <w:rsid w:val="139C520E"/>
    <w:rsid w:val="139E44E0"/>
    <w:rsid w:val="13C20456"/>
    <w:rsid w:val="13D7C3EB"/>
    <w:rsid w:val="141BB621"/>
    <w:rsid w:val="1444CF13"/>
    <w:rsid w:val="14465E2E"/>
    <w:rsid w:val="14B1A4D5"/>
    <w:rsid w:val="14D19E2F"/>
    <w:rsid w:val="14E1D9EE"/>
    <w:rsid w:val="14F34BC4"/>
    <w:rsid w:val="150A17A0"/>
    <w:rsid w:val="152B1FFE"/>
    <w:rsid w:val="1533F843"/>
    <w:rsid w:val="15775A8E"/>
    <w:rsid w:val="15C88E70"/>
    <w:rsid w:val="15FCA413"/>
    <w:rsid w:val="164D9D0D"/>
    <w:rsid w:val="166CAE5D"/>
    <w:rsid w:val="169BDF91"/>
    <w:rsid w:val="169EBB7A"/>
    <w:rsid w:val="16ADFA3C"/>
    <w:rsid w:val="16D139DB"/>
    <w:rsid w:val="16E71EFC"/>
    <w:rsid w:val="17228B88"/>
    <w:rsid w:val="172F49FF"/>
    <w:rsid w:val="1767F7BF"/>
    <w:rsid w:val="17840A44"/>
    <w:rsid w:val="178CB648"/>
    <w:rsid w:val="17AA3C46"/>
    <w:rsid w:val="17B12817"/>
    <w:rsid w:val="17C50174"/>
    <w:rsid w:val="17D939D2"/>
    <w:rsid w:val="17D98C1B"/>
    <w:rsid w:val="17DB3E6C"/>
    <w:rsid w:val="18047796"/>
    <w:rsid w:val="1836B3CB"/>
    <w:rsid w:val="18913957"/>
    <w:rsid w:val="1891E8C8"/>
    <w:rsid w:val="18AE6B33"/>
    <w:rsid w:val="18B27ED1"/>
    <w:rsid w:val="18BDE5EA"/>
    <w:rsid w:val="18D848C7"/>
    <w:rsid w:val="191447DB"/>
    <w:rsid w:val="1925D551"/>
    <w:rsid w:val="194F0C38"/>
    <w:rsid w:val="19634E33"/>
    <w:rsid w:val="1971AF05"/>
    <w:rsid w:val="199B501D"/>
    <w:rsid w:val="19C43768"/>
    <w:rsid w:val="19E0E02B"/>
    <w:rsid w:val="19E5C848"/>
    <w:rsid w:val="1A125D07"/>
    <w:rsid w:val="1A31E945"/>
    <w:rsid w:val="1AC0AE7D"/>
    <w:rsid w:val="1AFD3180"/>
    <w:rsid w:val="1B4C5D8D"/>
    <w:rsid w:val="1B5DC2A9"/>
    <w:rsid w:val="1B69E20D"/>
    <w:rsid w:val="1B6D8CDD"/>
    <w:rsid w:val="1B93B876"/>
    <w:rsid w:val="1BCC65A1"/>
    <w:rsid w:val="1CB34E4C"/>
    <w:rsid w:val="1CD56DF7"/>
    <w:rsid w:val="1D03C2A3"/>
    <w:rsid w:val="1D24CB84"/>
    <w:rsid w:val="1D26EC81"/>
    <w:rsid w:val="1D292282"/>
    <w:rsid w:val="1D2B9EC4"/>
    <w:rsid w:val="1D493E28"/>
    <w:rsid w:val="1D772499"/>
    <w:rsid w:val="1D863F5A"/>
    <w:rsid w:val="1D89910F"/>
    <w:rsid w:val="1D8C0970"/>
    <w:rsid w:val="1DA913AC"/>
    <w:rsid w:val="1DB5B71A"/>
    <w:rsid w:val="1DBE6FF5"/>
    <w:rsid w:val="1DC54759"/>
    <w:rsid w:val="1E30D4D6"/>
    <w:rsid w:val="1E3CC54D"/>
    <w:rsid w:val="1E3EB543"/>
    <w:rsid w:val="1E401AC3"/>
    <w:rsid w:val="1E6F77EB"/>
    <w:rsid w:val="1E9C5311"/>
    <w:rsid w:val="1EA6526C"/>
    <w:rsid w:val="1EC9A3C6"/>
    <w:rsid w:val="1F1B0A11"/>
    <w:rsid w:val="1F1D59CE"/>
    <w:rsid w:val="1F3B86FB"/>
    <w:rsid w:val="1F777987"/>
    <w:rsid w:val="1F89F41F"/>
    <w:rsid w:val="1FD4F90F"/>
    <w:rsid w:val="1FE9B205"/>
    <w:rsid w:val="2026A145"/>
    <w:rsid w:val="206388F8"/>
    <w:rsid w:val="20670ECA"/>
    <w:rsid w:val="20F78192"/>
    <w:rsid w:val="20FA232D"/>
    <w:rsid w:val="2135B20E"/>
    <w:rsid w:val="21789420"/>
    <w:rsid w:val="21C7BEA1"/>
    <w:rsid w:val="21E3E517"/>
    <w:rsid w:val="2226D934"/>
    <w:rsid w:val="223319D5"/>
    <w:rsid w:val="2235754C"/>
    <w:rsid w:val="2340CA38"/>
    <w:rsid w:val="2357C710"/>
    <w:rsid w:val="236F6E48"/>
    <w:rsid w:val="23881584"/>
    <w:rsid w:val="23964DC0"/>
    <w:rsid w:val="23C130B3"/>
    <w:rsid w:val="23C3CF16"/>
    <w:rsid w:val="23CBB22F"/>
    <w:rsid w:val="23E10A14"/>
    <w:rsid w:val="2417FC98"/>
    <w:rsid w:val="2426AC58"/>
    <w:rsid w:val="2432E4C9"/>
    <w:rsid w:val="243D8229"/>
    <w:rsid w:val="24797F80"/>
    <w:rsid w:val="249A46B4"/>
    <w:rsid w:val="249D9228"/>
    <w:rsid w:val="24A62D27"/>
    <w:rsid w:val="24C0279B"/>
    <w:rsid w:val="24C70122"/>
    <w:rsid w:val="24CA8101"/>
    <w:rsid w:val="24E8A115"/>
    <w:rsid w:val="24EA2C1E"/>
    <w:rsid w:val="24FA50DA"/>
    <w:rsid w:val="251C9E3F"/>
    <w:rsid w:val="253CA0EA"/>
    <w:rsid w:val="256D423C"/>
    <w:rsid w:val="25940712"/>
    <w:rsid w:val="25E24457"/>
    <w:rsid w:val="25EB3A30"/>
    <w:rsid w:val="26388D05"/>
    <w:rsid w:val="267E81BC"/>
    <w:rsid w:val="268F964C"/>
    <w:rsid w:val="26E1801B"/>
    <w:rsid w:val="271AC154"/>
    <w:rsid w:val="2739CD70"/>
    <w:rsid w:val="277B256F"/>
    <w:rsid w:val="27E84E6D"/>
    <w:rsid w:val="28117CC8"/>
    <w:rsid w:val="283406A2"/>
    <w:rsid w:val="28921257"/>
    <w:rsid w:val="28CF077A"/>
    <w:rsid w:val="28D3BA33"/>
    <w:rsid w:val="28F8C8F4"/>
    <w:rsid w:val="29116003"/>
    <w:rsid w:val="292C170E"/>
    <w:rsid w:val="297A466A"/>
    <w:rsid w:val="29A255E4"/>
    <w:rsid w:val="29AD31D0"/>
    <w:rsid w:val="29C58B69"/>
    <w:rsid w:val="2A00C668"/>
    <w:rsid w:val="2A5B0770"/>
    <w:rsid w:val="2A7F456F"/>
    <w:rsid w:val="2AE31B34"/>
    <w:rsid w:val="2AF8FDBC"/>
    <w:rsid w:val="2B0970FD"/>
    <w:rsid w:val="2B10ED07"/>
    <w:rsid w:val="2B2BCEF2"/>
    <w:rsid w:val="2B3FFAA5"/>
    <w:rsid w:val="2B55E4AA"/>
    <w:rsid w:val="2B732EA4"/>
    <w:rsid w:val="2BA4F38E"/>
    <w:rsid w:val="2BE55676"/>
    <w:rsid w:val="2BFE43FE"/>
    <w:rsid w:val="2C592D3B"/>
    <w:rsid w:val="2C60D962"/>
    <w:rsid w:val="2C9A4B76"/>
    <w:rsid w:val="2CA96CC1"/>
    <w:rsid w:val="2CC51CAD"/>
    <w:rsid w:val="2CE0F96C"/>
    <w:rsid w:val="2CF50A6D"/>
    <w:rsid w:val="2D2FE65F"/>
    <w:rsid w:val="2DA912A2"/>
    <w:rsid w:val="2DD2001B"/>
    <w:rsid w:val="2DD7BE8C"/>
    <w:rsid w:val="2E09796B"/>
    <w:rsid w:val="2E211FAB"/>
    <w:rsid w:val="2E83E1E8"/>
    <w:rsid w:val="2EA9E1D6"/>
    <w:rsid w:val="2EBBDF01"/>
    <w:rsid w:val="2EED4F4D"/>
    <w:rsid w:val="2EF66335"/>
    <w:rsid w:val="2F6951CA"/>
    <w:rsid w:val="2F852265"/>
    <w:rsid w:val="2F8ACE0F"/>
    <w:rsid w:val="2FAA38F9"/>
    <w:rsid w:val="2FF15B18"/>
    <w:rsid w:val="2FF29C9C"/>
    <w:rsid w:val="30734F88"/>
    <w:rsid w:val="30FF4A13"/>
    <w:rsid w:val="3110C240"/>
    <w:rsid w:val="311FE49C"/>
    <w:rsid w:val="312F9F45"/>
    <w:rsid w:val="31346AF4"/>
    <w:rsid w:val="31AF985E"/>
    <w:rsid w:val="31EF7F4E"/>
    <w:rsid w:val="31FEF1DC"/>
    <w:rsid w:val="320E3829"/>
    <w:rsid w:val="3240BE8A"/>
    <w:rsid w:val="328DAF8B"/>
    <w:rsid w:val="32ADA8A2"/>
    <w:rsid w:val="334FFA73"/>
    <w:rsid w:val="342F42A8"/>
    <w:rsid w:val="34A70DB1"/>
    <w:rsid w:val="34B56DC9"/>
    <w:rsid w:val="34C1F196"/>
    <w:rsid w:val="34C99632"/>
    <w:rsid w:val="35610520"/>
    <w:rsid w:val="3561B503"/>
    <w:rsid w:val="35705B2A"/>
    <w:rsid w:val="35C43218"/>
    <w:rsid w:val="35C57BFE"/>
    <w:rsid w:val="3608007C"/>
    <w:rsid w:val="3621123B"/>
    <w:rsid w:val="3639CC31"/>
    <w:rsid w:val="366DA41F"/>
    <w:rsid w:val="36BE756F"/>
    <w:rsid w:val="374BE226"/>
    <w:rsid w:val="3753CC9A"/>
    <w:rsid w:val="3768A538"/>
    <w:rsid w:val="3773291C"/>
    <w:rsid w:val="37800171"/>
    <w:rsid w:val="37AA5C39"/>
    <w:rsid w:val="37B5D32C"/>
    <w:rsid w:val="37C81774"/>
    <w:rsid w:val="37D2671B"/>
    <w:rsid w:val="37D50388"/>
    <w:rsid w:val="38320C49"/>
    <w:rsid w:val="387FFAA1"/>
    <w:rsid w:val="38946A15"/>
    <w:rsid w:val="38D52B48"/>
    <w:rsid w:val="39644B95"/>
    <w:rsid w:val="39E05525"/>
    <w:rsid w:val="3A0EE728"/>
    <w:rsid w:val="3A34DD9B"/>
    <w:rsid w:val="3A367166"/>
    <w:rsid w:val="3A7534B9"/>
    <w:rsid w:val="3AC115C6"/>
    <w:rsid w:val="3AC4D75A"/>
    <w:rsid w:val="3AC5D316"/>
    <w:rsid w:val="3B0AD39B"/>
    <w:rsid w:val="3B13477C"/>
    <w:rsid w:val="3B2EA264"/>
    <w:rsid w:val="3B77B2E1"/>
    <w:rsid w:val="3BCA3D6D"/>
    <w:rsid w:val="3C1913A7"/>
    <w:rsid w:val="3C3250CD"/>
    <w:rsid w:val="3C4FEAD9"/>
    <w:rsid w:val="3CBFA1FA"/>
    <w:rsid w:val="3CEBCE42"/>
    <w:rsid w:val="3D47AF10"/>
    <w:rsid w:val="3D584B4C"/>
    <w:rsid w:val="3D665DDF"/>
    <w:rsid w:val="3D7E3230"/>
    <w:rsid w:val="3D92C271"/>
    <w:rsid w:val="3DE6DCCE"/>
    <w:rsid w:val="3DEA07F3"/>
    <w:rsid w:val="3E0054C8"/>
    <w:rsid w:val="3E098064"/>
    <w:rsid w:val="3ED01177"/>
    <w:rsid w:val="3F05597F"/>
    <w:rsid w:val="3F391423"/>
    <w:rsid w:val="3F862362"/>
    <w:rsid w:val="3F8ED417"/>
    <w:rsid w:val="3F91A0BD"/>
    <w:rsid w:val="3FA4EE03"/>
    <w:rsid w:val="3FFA92B2"/>
    <w:rsid w:val="40264A54"/>
    <w:rsid w:val="40453D4D"/>
    <w:rsid w:val="408F2214"/>
    <w:rsid w:val="40D9CE83"/>
    <w:rsid w:val="410B0E86"/>
    <w:rsid w:val="415B677F"/>
    <w:rsid w:val="416B7276"/>
    <w:rsid w:val="416BC90E"/>
    <w:rsid w:val="419CC407"/>
    <w:rsid w:val="41E1BECC"/>
    <w:rsid w:val="41E6E685"/>
    <w:rsid w:val="420C1396"/>
    <w:rsid w:val="4226250C"/>
    <w:rsid w:val="4234774F"/>
    <w:rsid w:val="4283553C"/>
    <w:rsid w:val="428BF16B"/>
    <w:rsid w:val="43021AE3"/>
    <w:rsid w:val="4306A72C"/>
    <w:rsid w:val="430BAEBF"/>
    <w:rsid w:val="43478140"/>
    <w:rsid w:val="436F0B9A"/>
    <w:rsid w:val="438D1953"/>
    <w:rsid w:val="43BA698F"/>
    <w:rsid w:val="43BAA47A"/>
    <w:rsid w:val="4486E509"/>
    <w:rsid w:val="448E98A0"/>
    <w:rsid w:val="4498803F"/>
    <w:rsid w:val="44992BCE"/>
    <w:rsid w:val="44A74ED9"/>
    <w:rsid w:val="44C84CFF"/>
    <w:rsid w:val="44E7B07A"/>
    <w:rsid w:val="44F9026D"/>
    <w:rsid w:val="452D93D4"/>
    <w:rsid w:val="4550EB71"/>
    <w:rsid w:val="4566540D"/>
    <w:rsid w:val="4579CEDB"/>
    <w:rsid w:val="45900C7C"/>
    <w:rsid w:val="45A01EA7"/>
    <w:rsid w:val="45AC4311"/>
    <w:rsid w:val="45AC497F"/>
    <w:rsid w:val="45CC5883"/>
    <w:rsid w:val="45ED493F"/>
    <w:rsid w:val="4620F069"/>
    <w:rsid w:val="463E1BFA"/>
    <w:rsid w:val="46584792"/>
    <w:rsid w:val="46A07CE0"/>
    <w:rsid w:val="46C417DD"/>
    <w:rsid w:val="46EA53D2"/>
    <w:rsid w:val="472E142C"/>
    <w:rsid w:val="472E8C79"/>
    <w:rsid w:val="478C0435"/>
    <w:rsid w:val="479D101C"/>
    <w:rsid w:val="47C9454D"/>
    <w:rsid w:val="47CBA63E"/>
    <w:rsid w:val="47D2AF39"/>
    <w:rsid w:val="4804553F"/>
    <w:rsid w:val="48257C98"/>
    <w:rsid w:val="483E8D3D"/>
    <w:rsid w:val="4843ACFE"/>
    <w:rsid w:val="48588C81"/>
    <w:rsid w:val="4874A565"/>
    <w:rsid w:val="48791896"/>
    <w:rsid w:val="487A685A"/>
    <w:rsid w:val="48A88B82"/>
    <w:rsid w:val="48AD5A9F"/>
    <w:rsid w:val="490A73E3"/>
    <w:rsid w:val="49318D3D"/>
    <w:rsid w:val="4972EF1B"/>
    <w:rsid w:val="497C3A32"/>
    <w:rsid w:val="4983F3CA"/>
    <w:rsid w:val="49B7475C"/>
    <w:rsid w:val="4A3036E7"/>
    <w:rsid w:val="4A319D39"/>
    <w:rsid w:val="4A3AA2C5"/>
    <w:rsid w:val="4A645507"/>
    <w:rsid w:val="4A8E0A88"/>
    <w:rsid w:val="4A9869D4"/>
    <w:rsid w:val="4AA024F4"/>
    <w:rsid w:val="4AB7EAFE"/>
    <w:rsid w:val="4AF7453D"/>
    <w:rsid w:val="4B9046E4"/>
    <w:rsid w:val="4B9275C9"/>
    <w:rsid w:val="4B9AF1A7"/>
    <w:rsid w:val="4BEFBCE0"/>
    <w:rsid w:val="4BF20C6A"/>
    <w:rsid w:val="4BFA5EF5"/>
    <w:rsid w:val="4C1693F3"/>
    <w:rsid w:val="4C26D7EC"/>
    <w:rsid w:val="4C451223"/>
    <w:rsid w:val="4C5EBBA5"/>
    <w:rsid w:val="4C79762C"/>
    <w:rsid w:val="4C9B8716"/>
    <w:rsid w:val="4CBD873F"/>
    <w:rsid w:val="4D218356"/>
    <w:rsid w:val="4DC19620"/>
    <w:rsid w:val="4DDB052B"/>
    <w:rsid w:val="4DEF478C"/>
    <w:rsid w:val="4E1B048C"/>
    <w:rsid w:val="4E4017CF"/>
    <w:rsid w:val="4E65C319"/>
    <w:rsid w:val="4E757851"/>
    <w:rsid w:val="4E9BD1F8"/>
    <w:rsid w:val="4EDF3493"/>
    <w:rsid w:val="4EF735CB"/>
    <w:rsid w:val="4F453A3F"/>
    <w:rsid w:val="4F75DB15"/>
    <w:rsid w:val="5039AF06"/>
    <w:rsid w:val="503D3587"/>
    <w:rsid w:val="5040707A"/>
    <w:rsid w:val="508DF8EF"/>
    <w:rsid w:val="50AA316C"/>
    <w:rsid w:val="50D4674E"/>
    <w:rsid w:val="50D48F07"/>
    <w:rsid w:val="50E0C8A9"/>
    <w:rsid w:val="50E61B5B"/>
    <w:rsid w:val="51040B69"/>
    <w:rsid w:val="514D8CCA"/>
    <w:rsid w:val="51E8BD7B"/>
    <w:rsid w:val="5201BE82"/>
    <w:rsid w:val="52232E4B"/>
    <w:rsid w:val="5237C2CF"/>
    <w:rsid w:val="5259EB70"/>
    <w:rsid w:val="52825E70"/>
    <w:rsid w:val="52ACBC89"/>
    <w:rsid w:val="52B89B00"/>
    <w:rsid w:val="53B43807"/>
    <w:rsid w:val="53B8E9AA"/>
    <w:rsid w:val="53BE9C73"/>
    <w:rsid w:val="53C471F2"/>
    <w:rsid w:val="53CFBF79"/>
    <w:rsid w:val="53E78D76"/>
    <w:rsid w:val="53EDF19D"/>
    <w:rsid w:val="542CA2E8"/>
    <w:rsid w:val="543BB3C8"/>
    <w:rsid w:val="544B971D"/>
    <w:rsid w:val="545149B4"/>
    <w:rsid w:val="54D79EED"/>
    <w:rsid w:val="54EED5BB"/>
    <w:rsid w:val="5543D2E6"/>
    <w:rsid w:val="555FE3F2"/>
    <w:rsid w:val="55637FCB"/>
    <w:rsid w:val="55894714"/>
    <w:rsid w:val="55C2A993"/>
    <w:rsid w:val="55D0AECE"/>
    <w:rsid w:val="55E3EA1F"/>
    <w:rsid w:val="55FE1ED6"/>
    <w:rsid w:val="564B11CD"/>
    <w:rsid w:val="56A88342"/>
    <w:rsid w:val="56AF45BE"/>
    <w:rsid w:val="56C705E2"/>
    <w:rsid w:val="56D8DA9B"/>
    <w:rsid w:val="5717952B"/>
    <w:rsid w:val="572D8B6E"/>
    <w:rsid w:val="573E970B"/>
    <w:rsid w:val="57557D09"/>
    <w:rsid w:val="57724812"/>
    <w:rsid w:val="5776B415"/>
    <w:rsid w:val="57C47909"/>
    <w:rsid w:val="580D4C87"/>
    <w:rsid w:val="58261CAE"/>
    <w:rsid w:val="589AA87E"/>
    <w:rsid w:val="589AD494"/>
    <w:rsid w:val="58D29324"/>
    <w:rsid w:val="58DB9E61"/>
    <w:rsid w:val="58E3EAC0"/>
    <w:rsid w:val="592F5172"/>
    <w:rsid w:val="594195B1"/>
    <w:rsid w:val="594647E1"/>
    <w:rsid w:val="59564BAD"/>
    <w:rsid w:val="59976E87"/>
    <w:rsid w:val="59A4E191"/>
    <w:rsid w:val="59B52D18"/>
    <w:rsid w:val="5A223D2D"/>
    <w:rsid w:val="5A384591"/>
    <w:rsid w:val="5ABA56F7"/>
    <w:rsid w:val="5AE3207C"/>
    <w:rsid w:val="5B6948D6"/>
    <w:rsid w:val="5BA97EE0"/>
    <w:rsid w:val="5BB25DAF"/>
    <w:rsid w:val="5BFF55E1"/>
    <w:rsid w:val="5C46AF40"/>
    <w:rsid w:val="5C495D1A"/>
    <w:rsid w:val="5C8FE133"/>
    <w:rsid w:val="5C982812"/>
    <w:rsid w:val="5CA33CAC"/>
    <w:rsid w:val="5CB5FE29"/>
    <w:rsid w:val="5CD3AD31"/>
    <w:rsid w:val="5D0E4B9E"/>
    <w:rsid w:val="5D1E2794"/>
    <w:rsid w:val="5D4070E8"/>
    <w:rsid w:val="5D58A67A"/>
    <w:rsid w:val="5D63A0EC"/>
    <w:rsid w:val="5D7C84E3"/>
    <w:rsid w:val="5D8267C5"/>
    <w:rsid w:val="5D907250"/>
    <w:rsid w:val="5D93BA44"/>
    <w:rsid w:val="5DD919CC"/>
    <w:rsid w:val="5E0E8B05"/>
    <w:rsid w:val="5E251131"/>
    <w:rsid w:val="5E3F63DF"/>
    <w:rsid w:val="5E51ABA9"/>
    <w:rsid w:val="5E52BF48"/>
    <w:rsid w:val="5EB205C7"/>
    <w:rsid w:val="5EBBF9DD"/>
    <w:rsid w:val="5F07A4B7"/>
    <w:rsid w:val="5F162A9A"/>
    <w:rsid w:val="5F5216AB"/>
    <w:rsid w:val="5F6BE5B0"/>
    <w:rsid w:val="5F6CFD7A"/>
    <w:rsid w:val="5F77DA0F"/>
    <w:rsid w:val="5FA59447"/>
    <w:rsid w:val="5FA6BE25"/>
    <w:rsid w:val="5FFF3B9A"/>
    <w:rsid w:val="600FC2BF"/>
    <w:rsid w:val="6046B8D9"/>
    <w:rsid w:val="60B0324C"/>
    <w:rsid w:val="60B8674C"/>
    <w:rsid w:val="60D94650"/>
    <w:rsid w:val="612E1553"/>
    <w:rsid w:val="61509BFB"/>
    <w:rsid w:val="61672E85"/>
    <w:rsid w:val="61A89B1F"/>
    <w:rsid w:val="61BED3C2"/>
    <w:rsid w:val="61EDDF84"/>
    <w:rsid w:val="61EEAC29"/>
    <w:rsid w:val="62E84EAC"/>
    <w:rsid w:val="6311CB48"/>
    <w:rsid w:val="63740DAD"/>
    <w:rsid w:val="6379456F"/>
    <w:rsid w:val="63AE2295"/>
    <w:rsid w:val="63B5D8B8"/>
    <w:rsid w:val="63D82BA1"/>
    <w:rsid w:val="63E6C817"/>
    <w:rsid w:val="63F5E3B2"/>
    <w:rsid w:val="63F9851A"/>
    <w:rsid w:val="64293DD0"/>
    <w:rsid w:val="643292AA"/>
    <w:rsid w:val="6447E341"/>
    <w:rsid w:val="64879CF7"/>
    <w:rsid w:val="64AE1EE4"/>
    <w:rsid w:val="64B1C95D"/>
    <w:rsid w:val="652457EB"/>
    <w:rsid w:val="652CBFFA"/>
    <w:rsid w:val="6565D94E"/>
    <w:rsid w:val="65BFEB47"/>
    <w:rsid w:val="6605D044"/>
    <w:rsid w:val="66275995"/>
    <w:rsid w:val="668CB02B"/>
    <w:rsid w:val="66CC0CC3"/>
    <w:rsid w:val="66F4D522"/>
    <w:rsid w:val="6717DBCD"/>
    <w:rsid w:val="672BFFB1"/>
    <w:rsid w:val="6734DE23"/>
    <w:rsid w:val="67DF0055"/>
    <w:rsid w:val="67E0BE86"/>
    <w:rsid w:val="67F06C90"/>
    <w:rsid w:val="68190F2C"/>
    <w:rsid w:val="681CA165"/>
    <w:rsid w:val="68264450"/>
    <w:rsid w:val="685B8623"/>
    <w:rsid w:val="68785572"/>
    <w:rsid w:val="688D6A13"/>
    <w:rsid w:val="6890B464"/>
    <w:rsid w:val="68A543C3"/>
    <w:rsid w:val="69033764"/>
    <w:rsid w:val="690E9C95"/>
    <w:rsid w:val="6972C301"/>
    <w:rsid w:val="69F0ED4B"/>
    <w:rsid w:val="69F62740"/>
    <w:rsid w:val="6A694CE9"/>
    <w:rsid w:val="6A76633F"/>
    <w:rsid w:val="6A848602"/>
    <w:rsid w:val="6AB1FB64"/>
    <w:rsid w:val="6AE242F8"/>
    <w:rsid w:val="6B0A2740"/>
    <w:rsid w:val="6B0DD286"/>
    <w:rsid w:val="6B51D517"/>
    <w:rsid w:val="6B6CB8B4"/>
    <w:rsid w:val="6B73A1D5"/>
    <w:rsid w:val="6B825831"/>
    <w:rsid w:val="6BD87AFE"/>
    <w:rsid w:val="6C1214DA"/>
    <w:rsid w:val="6C6E2512"/>
    <w:rsid w:val="6C90588A"/>
    <w:rsid w:val="6CC470FB"/>
    <w:rsid w:val="6CF4C076"/>
    <w:rsid w:val="6D68FAD8"/>
    <w:rsid w:val="6D6E8F70"/>
    <w:rsid w:val="6DD2A718"/>
    <w:rsid w:val="6DD50E8D"/>
    <w:rsid w:val="6E06D46B"/>
    <w:rsid w:val="6E456D91"/>
    <w:rsid w:val="6E4ABC95"/>
    <w:rsid w:val="6E8892BC"/>
    <w:rsid w:val="6E9BD0A2"/>
    <w:rsid w:val="6EC14802"/>
    <w:rsid w:val="6F576AB9"/>
    <w:rsid w:val="6F72C5AE"/>
    <w:rsid w:val="6F8EFD5E"/>
    <w:rsid w:val="6FA04ABC"/>
    <w:rsid w:val="6FA47E60"/>
    <w:rsid w:val="6FA62DE6"/>
    <w:rsid w:val="6FC901AD"/>
    <w:rsid w:val="70582A0A"/>
    <w:rsid w:val="706A7905"/>
    <w:rsid w:val="70DEB857"/>
    <w:rsid w:val="70DEBE38"/>
    <w:rsid w:val="70EB2071"/>
    <w:rsid w:val="7104893F"/>
    <w:rsid w:val="71095020"/>
    <w:rsid w:val="711DD3FC"/>
    <w:rsid w:val="715E3AEE"/>
    <w:rsid w:val="719FF85B"/>
    <w:rsid w:val="71C1636A"/>
    <w:rsid w:val="71F4CDBD"/>
    <w:rsid w:val="71FD3443"/>
    <w:rsid w:val="722886CF"/>
    <w:rsid w:val="724EE5E4"/>
    <w:rsid w:val="72741B3F"/>
    <w:rsid w:val="729E8E6F"/>
    <w:rsid w:val="72CBC07F"/>
    <w:rsid w:val="73091DA3"/>
    <w:rsid w:val="736FFCC4"/>
    <w:rsid w:val="73BC3E56"/>
    <w:rsid w:val="73DA3703"/>
    <w:rsid w:val="740A3112"/>
    <w:rsid w:val="7436CE70"/>
    <w:rsid w:val="747993F2"/>
    <w:rsid w:val="74DFAD50"/>
    <w:rsid w:val="75210AEB"/>
    <w:rsid w:val="758DB9A9"/>
    <w:rsid w:val="759785AD"/>
    <w:rsid w:val="759DF6BA"/>
    <w:rsid w:val="75EEE8C5"/>
    <w:rsid w:val="760E16CF"/>
    <w:rsid w:val="76332D00"/>
    <w:rsid w:val="7677489B"/>
    <w:rsid w:val="76B105E2"/>
    <w:rsid w:val="76B635CC"/>
    <w:rsid w:val="76D5060F"/>
    <w:rsid w:val="76FC9A6F"/>
    <w:rsid w:val="76FD3362"/>
    <w:rsid w:val="771D0960"/>
    <w:rsid w:val="772C4DF2"/>
    <w:rsid w:val="779862D7"/>
    <w:rsid w:val="77B4C650"/>
    <w:rsid w:val="7800E578"/>
    <w:rsid w:val="785EA6E8"/>
    <w:rsid w:val="78CACE4B"/>
    <w:rsid w:val="78F97A94"/>
    <w:rsid w:val="790A9439"/>
    <w:rsid w:val="7962A9E9"/>
    <w:rsid w:val="79828DF7"/>
    <w:rsid w:val="79FAB09C"/>
    <w:rsid w:val="79FE204E"/>
    <w:rsid w:val="7A2032EF"/>
    <w:rsid w:val="7A4D264E"/>
    <w:rsid w:val="7A9D683E"/>
    <w:rsid w:val="7AB4630F"/>
    <w:rsid w:val="7AB89ED9"/>
    <w:rsid w:val="7ACD6258"/>
    <w:rsid w:val="7AE32993"/>
    <w:rsid w:val="7B5597C8"/>
    <w:rsid w:val="7BAA3B8D"/>
    <w:rsid w:val="7BC2CEFC"/>
    <w:rsid w:val="7C032D50"/>
    <w:rsid w:val="7C04779C"/>
    <w:rsid w:val="7C1DFA6D"/>
    <w:rsid w:val="7C203187"/>
    <w:rsid w:val="7C29A30B"/>
    <w:rsid w:val="7C4CA4EA"/>
    <w:rsid w:val="7C5B0469"/>
    <w:rsid w:val="7C8D74D0"/>
    <w:rsid w:val="7CADEF19"/>
    <w:rsid w:val="7CB6D684"/>
    <w:rsid w:val="7D4796D8"/>
    <w:rsid w:val="7D6E2ED4"/>
    <w:rsid w:val="7E504852"/>
    <w:rsid w:val="7E589151"/>
    <w:rsid w:val="7E8C8F39"/>
    <w:rsid w:val="7E8EC984"/>
    <w:rsid w:val="7F07E453"/>
    <w:rsid w:val="7F0A4F7C"/>
    <w:rsid w:val="7F187C64"/>
    <w:rsid w:val="7F450326"/>
    <w:rsid w:val="7F5B640F"/>
    <w:rsid w:val="7F6FAE80"/>
    <w:rsid w:val="7F9706E5"/>
    <w:rsid w:val="7FCE481A"/>
    <w:rsid w:val="7FEB8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69517"/>
  <w15:chartTrackingRefBased/>
  <w15:docId w15:val="{C72C050A-8B98-4264-9F08-03797874A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56654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56654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EB0CFED"/>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566540D"/>
    <w:pPr>
      <w:ind w:left="720"/>
      <w:contextualSpacing/>
    </w:pPr>
  </w:style>
  <w:style w:type="character" w:styleId="Hyperlink">
    <w:name w:val="Hyperlink"/>
    <w:basedOn w:val="DefaultParagraphFont"/>
    <w:uiPriority w:val="99"/>
    <w:unhideWhenUsed/>
    <w:rsid w:val="4566540D"/>
    <w:rPr>
      <w:color w:val="467886"/>
      <w:u w:val="single"/>
    </w:rPr>
  </w:style>
  <w:style w:type="paragraph" w:styleId="TOC1">
    <w:name w:val="toc 1"/>
    <w:basedOn w:val="Normal"/>
    <w:next w:val="Normal"/>
    <w:uiPriority w:val="39"/>
    <w:unhideWhenUsed/>
    <w:rsid w:val="4566540D"/>
    <w:pPr>
      <w:spacing w:after="100"/>
    </w:pPr>
  </w:style>
  <w:style w:type="paragraph" w:styleId="TOC2">
    <w:name w:val="toc 2"/>
    <w:basedOn w:val="Normal"/>
    <w:next w:val="Normal"/>
    <w:uiPriority w:val="39"/>
    <w:unhideWhenUsed/>
    <w:rsid w:val="4566540D"/>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0EB0CFED"/>
    <w:pPr>
      <w:tabs>
        <w:tab w:val="center" w:pos="4680"/>
        <w:tab w:val="right" w:pos="9360"/>
      </w:tabs>
      <w:spacing w:after="0" w:line="240" w:lineRule="auto"/>
    </w:pPr>
  </w:style>
  <w:style w:type="paragraph" w:customStyle="1" w:styleId="MarkdownCode">
    <w:name w:val="Markdown Code"/>
    <w:basedOn w:val="Normal"/>
    <w:next w:val="Normal"/>
    <w:link w:val="MarkdownCodeChar"/>
    <w:uiPriority w:val="1"/>
    <w:qFormat/>
    <w:rsid w:val="0EB0CFED"/>
    <w:rPr>
      <w:rFonts w:ascii="Courier New" w:hAnsi="Courier New"/>
      <w:noProof/>
    </w:rPr>
  </w:style>
  <w:style w:type="character" w:customStyle="1" w:styleId="MarkdownCodeChar">
    <w:name w:val="Markdown Code Char"/>
    <w:basedOn w:val="DefaultParagraphFont"/>
    <w:link w:val="MarkdownCode"/>
    <w:rsid w:val="0EB0CFED"/>
    <w:rPr>
      <w:rFonts w:ascii="Courier New" w:hAnsi="Courier New"/>
      <w:noProof/>
    </w:rPr>
  </w:style>
  <w:style w:type="paragraph" w:styleId="Footer">
    <w:name w:val="footer"/>
    <w:basedOn w:val="Normal"/>
    <w:uiPriority w:val="99"/>
    <w:unhideWhenUsed/>
    <w:rsid w:val="0EB0CFED"/>
    <w:pPr>
      <w:tabs>
        <w:tab w:val="center" w:pos="4680"/>
        <w:tab w:val="right" w:pos="9360"/>
      </w:tabs>
      <w:spacing w:after="0" w:line="240" w:lineRule="auto"/>
    </w:pPr>
  </w:style>
  <w:style w:type="paragraph" w:styleId="TOC3">
    <w:name w:val="toc 3"/>
    <w:basedOn w:val="Normal"/>
    <w:next w:val="Normal"/>
    <w:uiPriority w:val="39"/>
    <w:unhideWhenUsed/>
    <w:rsid w:val="0EB0CF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31</Pages>
  <Words>5993</Words>
  <Characters>34161</Characters>
  <Application>Microsoft Office Word</Application>
  <DocSecurity>0</DocSecurity>
  <Lines>284</Lines>
  <Paragraphs>80</Paragraphs>
  <ScaleCrop>false</ScaleCrop>
  <Company/>
  <LinksUpToDate>false</LinksUpToDate>
  <CharactersWithSpaces>40074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Hoskins (2416452)</dc:creator>
  <cp:keywords/>
  <dc:description/>
  <cp:lastModifiedBy>Hoskins, Katie 0631</cp:lastModifiedBy>
  <cp:revision>2</cp:revision>
  <dcterms:created xsi:type="dcterms:W3CDTF">2026-07-03T10:35:00Z</dcterms:created>
  <dcterms:modified xsi:type="dcterms:W3CDTF">2026-07-03T10:35:00Z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2026-06-25T17:24:17Z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ecb3f164-eb33-4bf2-af1e-66af34125ec3</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