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6E11C" w14:textId="201BA52C" w:rsidR="007820D4" w:rsidRDefault="008E6DC3">
      <w:r>
        <w:rPr>
          <w:b/>
          <w:bCs/>
          <w:noProof/>
        </w:rPr>
        <w:drawing>
          <wp:inline distT="0" distB="0" distL="0" distR="0" wp14:anchorId="5F9C5CC1" wp14:editId="0C9F34CE">
            <wp:extent cx="1810385" cy="719455"/>
            <wp:effectExtent l="0" t="0" r="0" b="0"/>
            <wp:docPr id="268016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p w14:paraId="129D19D1" w14:textId="2E11D002" w:rsidR="008E6DC3" w:rsidRPr="0017514F" w:rsidRDefault="008E6DC3" w:rsidP="008E6DC3">
      <w:pPr>
        <w:rPr>
          <w:rFonts w:ascii="Arial" w:hAnsi="Arial" w:cs="Arial"/>
          <w:b/>
        </w:rPr>
      </w:pPr>
      <w:r w:rsidRPr="0017514F">
        <w:rPr>
          <w:rFonts w:ascii="Arial" w:hAnsi="Arial" w:cs="Arial"/>
          <w:b/>
          <w:bCs/>
        </w:rPr>
        <w:t>Module:</w:t>
      </w:r>
      <w:r w:rsidRPr="0017514F">
        <w:rPr>
          <w:rFonts w:ascii="Arial" w:hAnsi="Arial" w:cs="Arial"/>
        </w:rPr>
        <w:t xml:space="preserve"> </w:t>
      </w:r>
      <w:r w:rsidRPr="0017514F">
        <w:rPr>
          <w:rFonts w:ascii="Arial" w:hAnsi="Arial" w:cs="Arial"/>
          <w:b/>
        </w:rPr>
        <w:t>Management Accounting for Managers</w:t>
      </w:r>
    </w:p>
    <w:p w14:paraId="2FF427AA" w14:textId="379C4093" w:rsidR="008E6DC3" w:rsidRPr="0017514F" w:rsidRDefault="008E6DC3" w:rsidP="008E6DC3">
      <w:pPr>
        <w:rPr>
          <w:rFonts w:ascii="Arial" w:hAnsi="Arial" w:cs="Arial"/>
          <w:b/>
        </w:rPr>
      </w:pPr>
      <w:r w:rsidRPr="0017514F">
        <w:rPr>
          <w:rFonts w:ascii="Arial" w:hAnsi="Arial" w:cs="Arial"/>
          <w:b/>
        </w:rPr>
        <w:t>Module Code: LCBB501</w:t>
      </w:r>
      <w:r w:rsidRPr="0017514F">
        <w:rPr>
          <w:rFonts w:ascii="Arial" w:hAnsi="Arial" w:cs="Arial"/>
          <w:b/>
        </w:rPr>
        <w:t>0</w:t>
      </w:r>
    </w:p>
    <w:p w14:paraId="44A27C33" w14:textId="77777777" w:rsidR="008E6DC3" w:rsidRPr="0017514F" w:rsidRDefault="008E6DC3" w:rsidP="008E6DC3">
      <w:pPr>
        <w:rPr>
          <w:rFonts w:ascii="Arial" w:hAnsi="Arial" w:cs="Arial"/>
          <w:b/>
        </w:rPr>
      </w:pPr>
      <w:r w:rsidRPr="0017514F">
        <w:rPr>
          <w:rFonts w:ascii="Arial" w:hAnsi="Arial" w:cs="Arial"/>
          <w:b/>
        </w:rPr>
        <w:t>Student Name: Andreea-Rebeca Dascalu</w:t>
      </w:r>
    </w:p>
    <w:p w14:paraId="28838965" w14:textId="77777777" w:rsidR="008E6DC3" w:rsidRPr="0017514F" w:rsidRDefault="008E6DC3" w:rsidP="008E6DC3">
      <w:pPr>
        <w:rPr>
          <w:rFonts w:ascii="Arial" w:hAnsi="Arial" w:cs="Arial"/>
          <w:b/>
        </w:rPr>
      </w:pPr>
      <w:r w:rsidRPr="0017514F">
        <w:rPr>
          <w:rFonts w:ascii="Arial" w:hAnsi="Arial" w:cs="Arial"/>
          <w:b/>
        </w:rPr>
        <w:t>Student Number: 2311833</w:t>
      </w:r>
    </w:p>
    <w:p w14:paraId="43DF0CC2" w14:textId="77777777" w:rsidR="00C77204" w:rsidRDefault="00C77204" w:rsidP="008E6DC3">
      <w:pPr>
        <w:pStyle w:val="Heading1"/>
        <w:jc w:val="center"/>
        <w:rPr>
          <w:rFonts w:ascii="Arial" w:hAnsi="Arial" w:cs="Arial"/>
        </w:rPr>
      </w:pPr>
    </w:p>
    <w:p w14:paraId="37ED2B32" w14:textId="44C7E668" w:rsidR="008E6DC3" w:rsidRPr="0017514F" w:rsidRDefault="008E6DC3" w:rsidP="008E6DC3">
      <w:pPr>
        <w:pStyle w:val="Heading1"/>
        <w:jc w:val="center"/>
        <w:rPr>
          <w:rFonts w:ascii="Arial" w:hAnsi="Arial" w:cs="Arial"/>
        </w:rPr>
      </w:pPr>
      <w:r w:rsidRPr="0017514F">
        <w:rPr>
          <w:rFonts w:ascii="Arial" w:hAnsi="Arial" w:cs="Arial"/>
        </w:rPr>
        <w:t>Management Accounting Tools and Techniques Supporting Financial Decision-Making: A Case Study of Apple Inc.</w:t>
      </w:r>
    </w:p>
    <w:p w14:paraId="41787025" w14:textId="77777777" w:rsidR="008E6DC3" w:rsidRPr="0017514F" w:rsidRDefault="008E6DC3" w:rsidP="008E6DC3">
      <w:pPr>
        <w:rPr>
          <w:rFonts w:ascii="Arial" w:hAnsi="Arial" w:cs="Arial"/>
          <w:b/>
          <w:bCs/>
        </w:rPr>
      </w:pPr>
    </w:p>
    <w:p w14:paraId="0256D700" w14:textId="44731A3A" w:rsidR="008E6DC3" w:rsidRPr="0017514F" w:rsidRDefault="008E6DC3" w:rsidP="008E6DC3">
      <w:pPr>
        <w:rPr>
          <w:rFonts w:ascii="Arial" w:hAnsi="Arial" w:cs="Arial"/>
          <w:b/>
          <w:bCs/>
        </w:rPr>
      </w:pPr>
      <w:r w:rsidRPr="0017514F">
        <w:rPr>
          <w:rFonts w:ascii="Arial" w:hAnsi="Arial" w:cs="Arial"/>
          <w:b/>
          <w:bCs/>
        </w:rPr>
        <w:t xml:space="preserve">Table of </w:t>
      </w:r>
      <w:r w:rsidRPr="0017514F">
        <w:rPr>
          <w:rFonts w:ascii="Arial" w:hAnsi="Arial" w:cs="Arial"/>
          <w:b/>
          <w:bCs/>
        </w:rPr>
        <w:t>Content</w:t>
      </w:r>
      <w:r w:rsidRPr="0017514F">
        <w:rPr>
          <w:rFonts w:ascii="Arial" w:hAnsi="Arial" w:cs="Arial"/>
          <w:b/>
          <w:bCs/>
        </w:rPr>
        <w:t xml:space="preserve"> </w:t>
      </w:r>
    </w:p>
    <w:p w14:paraId="5882BD51" w14:textId="4E5AF2C0" w:rsidR="008E6DC3" w:rsidRPr="0017514F" w:rsidRDefault="008E6DC3" w:rsidP="008E6DC3">
      <w:pPr>
        <w:numPr>
          <w:ilvl w:val="0"/>
          <w:numId w:val="2"/>
        </w:numPr>
        <w:rPr>
          <w:rFonts w:ascii="Arial" w:hAnsi="Arial" w:cs="Arial"/>
        </w:rPr>
      </w:pPr>
      <w:r w:rsidRPr="0017514F">
        <w:rPr>
          <w:rFonts w:ascii="Arial" w:hAnsi="Arial" w:cs="Arial"/>
        </w:rPr>
        <w:t xml:space="preserve">Introduction </w:t>
      </w:r>
    </w:p>
    <w:p w14:paraId="2AA5AD9D" w14:textId="711EC473" w:rsidR="008E6DC3" w:rsidRPr="0017514F" w:rsidRDefault="008E6DC3" w:rsidP="008E6DC3">
      <w:pPr>
        <w:numPr>
          <w:ilvl w:val="0"/>
          <w:numId w:val="2"/>
        </w:numPr>
        <w:rPr>
          <w:rFonts w:ascii="Arial" w:hAnsi="Arial" w:cs="Arial"/>
        </w:rPr>
      </w:pPr>
      <w:r w:rsidRPr="0017514F">
        <w:rPr>
          <w:rFonts w:ascii="Arial" w:hAnsi="Arial" w:cs="Arial"/>
        </w:rPr>
        <w:t xml:space="preserve">Cost Analysis and Business Model </w:t>
      </w:r>
    </w:p>
    <w:p w14:paraId="31021AB5" w14:textId="2422A5BE" w:rsidR="008E6DC3" w:rsidRPr="0017514F" w:rsidRDefault="008E6DC3" w:rsidP="008E6DC3">
      <w:pPr>
        <w:numPr>
          <w:ilvl w:val="0"/>
          <w:numId w:val="2"/>
        </w:numPr>
        <w:rPr>
          <w:rFonts w:ascii="Arial" w:hAnsi="Arial" w:cs="Arial"/>
        </w:rPr>
      </w:pPr>
      <w:r w:rsidRPr="0017514F">
        <w:rPr>
          <w:rFonts w:ascii="Arial" w:hAnsi="Arial" w:cs="Arial"/>
        </w:rPr>
        <w:t xml:space="preserve">Budgeting and Financial Planning  </w:t>
      </w:r>
    </w:p>
    <w:p w14:paraId="38C74DD9" w14:textId="2475CE28" w:rsidR="008E6DC3" w:rsidRPr="0017514F" w:rsidRDefault="008E6DC3" w:rsidP="008E6DC3">
      <w:pPr>
        <w:numPr>
          <w:ilvl w:val="0"/>
          <w:numId w:val="2"/>
        </w:numPr>
        <w:rPr>
          <w:rFonts w:ascii="Arial" w:hAnsi="Arial" w:cs="Arial"/>
        </w:rPr>
      </w:pPr>
      <w:r w:rsidRPr="0017514F">
        <w:rPr>
          <w:rFonts w:ascii="Arial" w:hAnsi="Arial" w:cs="Arial"/>
        </w:rPr>
        <w:t xml:space="preserve">Performance Measurement and Decision-Making  </w:t>
      </w:r>
    </w:p>
    <w:p w14:paraId="51024B3B" w14:textId="6C0F13B4" w:rsidR="008E6DC3" w:rsidRPr="0017514F" w:rsidRDefault="008E6DC3" w:rsidP="008E6DC3">
      <w:pPr>
        <w:numPr>
          <w:ilvl w:val="0"/>
          <w:numId w:val="2"/>
        </w:numPr>
        <w:rPr>
          <w:rFonts w:ascii="Arial" w:hAnsi="Arial" w:cs="Arial"/>
        </w:rPr>
      </w:pPr>
      <w:r w:rsidRPr="0017514F">
        <w:rPr>
          <w:rFonts w:ascii="Arial" w:hAnsi="Arial" w:cs="Arial"/>
        </w:rPr>
        <w:t xml:space="preserve">Sustainability and Ethical Considerations  </w:t>
      </w:r>
    </w:p>
    <w:p w14:paraId="600D089F" w14:textId="7C92BED2" w:rsidR="008E6DC3" w:rsidRPr="0017514F" w:rsidRDefault="008E6DC3" w:rsidP="008E6DC3">
      <w:pPr>
        <w:numPr>
          <w:ilvl w:val="0"/>
          <w:numId w:val="2"/>
        </w:numPr>
        <w:rPr>
          <w:rFonts w:ascii="Arial" w:hAnsi="Arial" w:cs="Arial"/>
        </w:rPr>
      </w:pPr>
      <w:r w:rsidRPr="0017514F">
        <w:rPr>
          <w:rFonts w:ascii="Arial" w:hAnsi="Arial" w:cs="Arial"/>
        </w:rPr>
        <w:t xml:space="preserve">Conclusion and Recommendations </w:t>
      </w:r>
    </w:p>
    <w:p w14:paraId="6F10B511" w14:textId="2C46E1C8" w:rsidR="008E6DC3" w:rsidRPr="0017514F" w:rsidRDefault="008E6DC3" w:rsidP="008E6DC3">
      <w:pPr>
        <w:numPr>
          <w:ilvl w:val="0"/>
          <w:numId w:val="2"/>
        </w:numPr>
        <w:rPr>
          <w:rFonts w:ascii="Arial" w:hAnsi="Arial" w:cs="Arial"/>
        </w:rPr>
      </w:pPr>
      <w:r w:rsidRPr="0017514F">
        <w:rPr>
          <w:rFonts w:ascii="Arial" w:hAnsi="Arial" w:cs="Arial"/>
        </w:rPr>
        <w:t>Reference List</w:t>
      </w:r>
    </w:p>
    <w:p w14:paraId="7B639BCA" w14:textId="77777777" w:rsidR="008E6DC3" w:rsidRPr="0017514F" w:rsidRDefault="008E6DC3" w:rsidP="008E6DC3">
      <w:pPr>
        <w:rPr>
          <w:rFonts w:ascii="Arial" w:hAnsi="Arial" w:cs="Arial"/>
        </w:rPr>
      </w:pPr>
    </w:p>
    <w:p w14:paraId="46063FFD" w14:textId="77777777" w:rsidR="009B7F40" w:rsidRPr="0017514F" w:rsidRDefault="009B7F40" w:rsidP="009B7F40">
      <w:pPr>
        <w:rPr>
          <w:rFonts w:ascii="Arial" w:hAnsi="Arial" w:cs="Arial"/>
          <w:b/>
          <w:bCs/>
        </w:rPr>
      </w:pPr>
      <w:r w:rsidRPr="0017514F">
        <w:rPr>
          <w:rFonts w:ascii="Arial" w:hAnsi="Arial" w:cs="Arial"/>
          <w:b/>
          <w:bCs/>
        </w:rPr>
        <w:t>1. Introduction</w:t>
      </w:r>
    </w:p>
    <w:p w14:paraId="78D1AB3E" w14:textId="77777777" w:rsidR="009B7F40" w:rsidRPr="0017514F" w:rsidRDefault="009B7F40" w:rsidP="009B7F40">
      <w:pPr>
        <w:rPr>
          <w:rFonts w:ascii="Arial" w:hAnsi="Arial" w:cs="Arial"/>
        </w:rPr>
      </w:pPr>
      <w:r w:rsidRPr="0017514F">
        <w:rPr>
          <w:rFonts w:ascii="Arial" w:hAnsi="Arial" w:cs="Arial"/>
        </w:rPr>
        <w:t>Apple Inc. is one of the world's leading technology companies, operating in the consumer electronics, software, and digital services industries. Founded in 1976 and headquartered in Cupertino, California, the company designs, manufactures, and markets products including the iPhone, Mac, iPad, Apple Watch and AirPods, alongside digital services such as the App Store, Apple Music, iCloud and Apple TV+ (Apple Inc., 2024). With operations across more than 100 countries and a strong global brand, Apple has maintained a leading position through continuous innovation, premium product differentiation and effective financial management (Apple Inc., 2024).</w:t>
      </w:r>
    </w:p>
    <w:p w14:paraId="1EA35DAA" w14:textId="77777777" w:rsidR="009B7F40" w:rsidRPr="0017514F" w:rsidRDefault="009B7F40" w:rsidP="009B7F40">
      <w:pPr>
        <w:rPr>
          <w:rFonts w:ascii="Arial" w:hAnsi="Arial" w:cs="Arial"/>
        </w:rPr>
      </w:pPr>
      <w:r w:rsidRPr="0017514F">
        <w:rPr>
          <w:rFonts w:ascii="Arial" w:hAnsi="Arial" w:cs="Arial"/>
        </w:rPr>
        <w:t xml:space="preserve">Management accounting plays a vital role in supporting financial decision-making by providing managers with relevant financial and non-financial information for planning, budgeting, cost control and performance evaluation (Drury, 2021). According to Atrill and McLaney (2022), management accounting enables organisations to allocate resources </w:t>
      </w:r>
      <w:r w:rsidRPr="0017514F">
        <w:rPr>
          <w:rFonts w:ascii="Arial" w:hAnsi="Arial" w:cs="Arial"/>
        </w:rPr>
        <w:lastRenderedPageBreak/>
        <w:t>efficiently, improve profitability and support strategic decision-making in increasingly competitive markets. Similarly, Horngren et al. (2021) argue that effective management accounting provides managers with timely information to evaluate performance and optimise the use of organisational resources. Furthermore, Kaplan and Atkinson (2015) emphasise that management accounting supports strategic planning by linking financial information with long-term business objectives. This report evaluates how Apple applies management accounting tools and techniques to support financial decision-making by analysing its cost structure, budgeting practices, key performance indicators (KPIs), and sustainability initiatives, while assessing their contribution to the company's long-term success.</w:t>
      </w:r>
    </w:p>
    <w:p w14:paraId="10650C5A" w14:textId="77777777" w:rsidR="0017514F" w:rsidRDefault="0017514F" w:rsidP="009B7F40">
      <w:pPr>
        <w:rPr>
          <w:rFonts w:ascii="Arial" w:hAnsi="Arial" w:cs="Arial"/>
          <w:b/>
          <w:bCs/>
        </w:rPr>
      </w:pPr>
    </w:p>
    <w:p w14:paraId="221CDC14" w14:textId="0691548B" w:rsidR="009B7F40" w:rsidRPr="0017514F" w:rsidRDefault="009B7F40" w:rsidP="009B7F40">
      <w:pPr>
        <w:rPr>
          <w:rFonts w:ascii="Arial" w:hAnsi="Arial" w:cs="Arial"/>
          <w:b/>
          <w:bCs/>
        </w:rPr>
      </w:pPr>
      <w:r w:rsidRPr="0017514F">
        <w:rPr>
          <w:rFonts w:ascii="Arial" w:hAnsi="Arial" w:cs="Arial"/>
          <w:b/>
          <w:bCs/>
        </w:rPr>
        <w:t>2. Cost Analysis and Business Model</w:t>
      </w:r>
    </w:p>
    <w:p w14:paraId="4833C10F" w14:textId="77777777" w:rsidR="009B7F40" w:rsidRPr="0017514F" w:rsidRDefault="009B7F40" w:rsidP="009B7F40">
      <w:pPr>
        <w:rPr>
          <w:rFonts w:ascii="Arial" w:hAnsi="Arial" w:cs="Arial"/>
        </w:rPr>
      </w:pPr>
      <w:r w:rsidRPr="0017514F">
        <w:rPr>
          <w:rFonts w:ascii="Arial" w:hAnsi="Arial" w:cs="Arial"/>
        </w:rPr>
        <w:t>Apple Inc.'s business model is centred on the design, manufacture and sale of premium consumer electronics, complemented by a rapidly growing portfolio of digital services. The company's primary revenue is generated through product sales, including the iPhone, Mac, iPad, Apple Watch and AirPods. In addition, Apple has expanded its Services segment, which includes the App Store, Apple Music, Apple TV+, iCloud and AppleCare. This diversified revenue model enables Apple to generate both one-time sales from hardware and recurring income from subscription-based services, creating a more stable and predictable revenue stream (Apple Inc., 2024).</w:t>
      </w:r>
    </w:p>
    <w:p w14:paraId="04823578" w14:textId="77777777" w:rsidR="009B7F40" w:rsidRPr="0017514F" w:rsidRDefault="009B7F40" w:rsidP="009B7F40">
      <w:pPr>
        <w:rPr>
          <w:rFonts w:ascii="Arial" w:hAnsi="Arial" w:cs="Arial"/>
        </w:rPr>
      </w:pPr>
      <w:r w:rsidRPr="0017514F">
        <w:rPr>
          <w:rFonts w:ascii="Arial" w:hAnsi="Arial" w:cs="Arial"/>
        </w:rPr>
        <w:t>A key strength of Apple's business model is its integrated ecosystem, where hardware, software and services work seamlessly together. This encourages customer loyalty and repeat purchases, increasing the lifetime value of each customer. Porter (1985) argues that organisations achieve sustainable competitive advantage by creating superior value through their activities, and Apple's integrated ecosystem demonstrates this principle by differentiating its products and services. From a management accounting perspective, understanding the profitability of each product and service category enables managers to allocate resources effectively, forecast future revenues and make informed investment decisions (Atrill and McLaney, 2022).</w:t>
      </w:r>
    </w:p>
    <w:p w14:paraId="1249E7FB" w14:textId="77777777" w:rsidR="009B7F40" w:rsidRPr="0017514F" w:rsidRDefault="009B7F40" w:rsidP="009B7F40">
      <w:pPr>
        <w:rPr>
          <w:rFonts w:ascii="Arial" w:hAnsi="Arial" w:cs="Arial"/>
        </w:rPr>
      </w:pPr>
      <w:r w:rsidRPr="0017514F">
        <w:rPr>
          <w:rFonts w:ascii="Arial" w:hAnsi="Arial" w:cs="Arial"/>
        </w:rPr>
        <w:t>Apple's cost structure consists of both fixed and variable costs. Fixed costs include research and development (R&amp;D), corporate salaries, depreciation of facilities and equipment, administrative expenses and long-term investments in technology infrastructure. These costs remain relatively stable regardless of short-term production volumes and support Apple's long-term innovation strategy. In 2024, Apple invested billions of dollars in research and development to maintain its competitive advantage and support future product development (Apple Inc., 2024). Horngren et al. (2021) explain that understanding fixed costs enables managers to plan long-term investments and evaluate operational efficiency, making cost classification an essential management accounting technique.</w:t>
      </w:r>
    </w:p>
    <w:p w14:paraId="3855422E" w14:textId="77777777" w:rsidR="009B7F40" w:rsidRPr="0017514F" w:rsidRDefault="009B7F40" w:rsidP="009B7F40">
      <w:pPr>
        <w:rPr>
          <w:rFonts w:ascii="Arial" w:hAnsi="Arial" w:cs="Arial"/>
        </w:rPr>
      </w:pPr>
      <w:r w:rsidRPr="0017514F">
        <w:rPr>
          <w:rFonts w:ascii="Arial" w:hAnsi="Arial" w:cs="Arial"/>
        </w:rPr>
        <w:t>Variable costs fluctuate according to production and sales volumes. These include the cost of raw materials, manufacturing, packaging, shipping, sales commissions and warranty expenses. As product demand increases, these costs also rise. Effective management of variable costs allows Apple to maintain strong gross profit margins despite fluctuations in global demand and supply chain conditions (Apple Inc., 2024). According to Drury (2021), analysing variable costs enables organisations to forecast profitability under different levels of production and demand.</w:t>
      </w:r>
    </w:p>
    <w:p w14:paraId="39D8A8D1" w14:textId="77777777" w:rsidR="009B7F40" w:rsidRPr="0017514F" w:rsidRDefault="009B7F40" w:rsidP="009B7F40">
      <w:pPr>
        <w:rPr>
          <w:rFonts w:ascii="Arial" w:hAnsi="Arial" w:cs="Arial"/>
        </w:rPr>
      </w:pPr>
      <w:r w:rsidRPr="0017514F">
        <w:rPr>
          <w:rFonts w:ascii="Arial" w:hAnsi="Arial" w:cs="Arial"/>
        </w:rPr>
        <w:t>Management accounting techniques, including cost classification and cost-volume-profit (CVP) analysis, support Apple's financial decision-making by helping managers understand how costs behave under different production levels. Cost-volume-profit analysis enables management to assess how changes in sales volume, costs and pricing affect profitability, supporting informed planning and pricing decisions (Horngren et al., 2021). By distinguishing between fixed and variable costs, Apple can forecast the financial impact of introducing new products, expanding production capacity or responding to changes in consumer demand. Consequently, effective cost analysis enables the company to balance profitability with continued investment in innovation, supporting its long-term strategic objectives.</w:t>
      </w:r>
    </w:p>
    <w:p w14:paraId="4228D9D5" w14:textId="77777777" w:rsidR="0017514F" w:rsidRDefault="0017514F" w:rsidP="009B7F40">
      <w:pPr>
        <w:rPr>
          <w:rFonts w:ascii="Arial" w:hAnsi="Arial" w:cs="Arial"/>
          <w:b/>
          <w:bCs/>
        </w:rPr>
      </w:pPr>
    </w:p>
    <w:p w14:paraId="0F42E709" w14:textId="0F97807C" w:rsidR="009B7F40" w:rsidRPr="0017514F" w:rsidRDefault="009B7F40" w:rsidP="009B7F40">
      <w:pPr>
        <w:rPr>
          <w:rFonts w:ascii="Arial" w:hAnsi="Arial" w:cs="Arial"/>
          <w:b/>
          <w:bCs/>
        </w:rPr>
      </w:pPr>
      <w:r w:rsidRPr="0017514F">
        <w:rPr>
          <w:rFonts w:ascii="Arial" w:hAnsi="Arial" w:cs="Arial"/>
          <w:b/>
          <w:bCs/>
        </w:rPr>
        <w:t>3. Budgeting and Financial Planning</w:t>
      </w:r>
    </w:p>
    <w:p w14:paraId="14A5FBDF" w14:textId="77777777" w:rsidR="009B7F40" w:rsidRPr="0017514F" w:rsidRDefault="009B7F40" w:rsidP="009B7F40">
      <w:pPr>
        <w:rPr>
          <w:rFonts w:ascii="Arial" w:hAnsi="Arial" w:cs="Arial"/>
        </w:rPr>
      </w:pPr>
      <w:r w:rsidRPr="0017514F">
        <w:rPr>
          <w:rFonts w:ascii="Arial" w:hAnsi="Arial" w:cs="Arial"/>
        </w:rPr>
        <w:t>Budgeting is a fundamental management accounting tool that enables organisations to plan, allocate resources and monitor financial performance. At Apple, budgeting supports strategic decision-making by ensuring that financial resources are invested in areas that contribute to long-term growth, including research and development (R&amp;D), marketing, product innovation and global operations (Drury, 2021). Budgets also provide a benchmark against which actual performance can be measured, allowing management to identify variances and take corrective action where necessary (Atrill and McLaney, 2022). Horngren et al. (2021) note that budgeting also facilitates coordination between departments by aligning financial resources with organisational objectives.</w:t>
      </w:r>
    </w:p>
    <w:p w14:paraId="3EBC44F2" w14:textId="77777777" w:rsidR="009B7F40" w:rsidRPr="0017514F" w:rsidRDefault="009B7F40" w:rsidP="009B7F40">
      <w:pPr>
        <w:rPr>
          <w:rFonts w:ascii="Arial" w:hAnsi="Arial" w:cs="Arial"/>
        </w:rPr>
      </w:pPr>
      <w:r w:rsidRPr="0017514F">
        <w:rPr>
          <w:rFonts w:ascii="Arial" w:hAnsi="Arial" w:cs="Arial"/>
        </w:rPr>
        <w:t>Apple uses budgeting to balance short-term profitability with long-term investment. As a technology company operating in a highly competitive industry, Apple must continuously invest in innovation while maintaining strong financial performance. Management therefore allocates significant budgets to developing new products, improving software, strengthening cybersecurity and expanding its services ecosystem. These planned investments support Apple's strategic objective of maintaining a competitive advantage through innovation (Apple Inc., 2024). Kaplan and Atkinson (2015) argue that strategic budgeting enables organisations to evaluate investment opportunities while maintaining long-term financial stability.</w:t>
      </w:r>
    </w:p>
    <w:p w14:paraId="57ADD4D3" w14:textId="77777777" w:rsidR="009B7F40" w:rsidRPr="0017514F" w:rsidRDefault="009B7F40" w:rsidP="009B7F40">
      <w:pPr>
        <w:rPr>
          <w:rFonts w:ascii="Arial" w:hAnsi="Arial" w:cs="Arial"/>
        </w:rPr>
      </w:pPr>
      <w:r w:rsidRPr="0017514F">
        <w:rPr>
          <w:rFonts w:ascii="Arial" w:hAnsi="Arial" w:cs="Arial"/>
        </w:rPr>
        <w:t>Apple's 2024 Annual Report shows that total operating expenses increased from US$54.8 billion in 2023 to US$57.5 billion in 2024, representing a year-on-year increase of approximately 5%. Research and development (R&amp;D) expenditure rose from US$29.9 billion to US$31.4 billion, while selling, general and administrative (SG&amp;A) expenses increased from US$24.9 billion to US$26.1 billion (Apple Inc., 2024). These increases indicate that management chose to continue investing in innovation and business operations despite ongoing economic uncertainty.</w:t>
      </w:r>
    </w:p>
    <w:p w14:paraId="1F6878D5" w14:textId="77777777" w:rsidR="0017514F" w:rsidRDefault="0017514F" w:rsidP="0025640D">
      <w:pPr>
        <w:rPr>
          <w:rFonts w:ascii="Arial" w:hAnsi="Arial" w:cs="Arial"/>
          <w:b/>
          <w:bCs/>
        </w:rPr>
      </w:pPr>
    </w:p>
    <w:p w14:paraId="193D14B8" w14:textId="3439907A" w:rsidR="00E54669" w:rsidRPr="0017514F" w:rsidRDefault="00E54669" w:rsidP="0025640D">
      <w:pPr>
        <w:rPr>
          <w:rFonts w:ascii="Arial" w:hAnsi="Arial" w:cs="Arial"/>
          <w:b/>
          <w:bCs/>
        </w:rPr>
      </w:pPr>
      <w:r w:rsidRPr="0017514F">
        <w:rPr>
          <w:rFonts w:ascii="Arial" w:hAnsi="Arial" w:cs="Arial"/>
          <w:b/>
          <w:bCs/>
        </w:rPr>
        <w:t>Table 1. Operating Expenses (2023-2024)</w:t>
      </w:r>
    </w:p>
    <w:p w14:paraId="6ADB2B2A" w14:textId="77777777" w:rsidR="00E54669" w:rsidRPr="0017514F" w:rsidRDefault="00E54669" w:rsidP="0025640D">
      <w:pPr>
        <w:rPr>
          <w:rFonts w:ascii="Arial" w:hAnsi="Arial" w:cs="Arial"/>
          <w:b/>
          <w:bCs/>
        </w:rPr>
      </w:pPr>
    </w:p>
    <w:tbl>
      <w:tblPr>
        <w:tblW w:w="7276" w:type="dxa"/>
        <w:tblCellSpacing w:w="15" w:type="dxa"/>
        <w:tblCellMar>
          <w:top w:w="15" w:type="dxa"/>
          <w:left w:w="15" w:type="dxa"/>
          <w:bottom w:w="15" w:type="dxa"/>
          <w:right w:w="15" w:type="dxa"/>
        </w:tblCellMar>
        <w:tblLook w:val="04A0" w:firstRow="1" w:lastRow="0" w:firstColumn="1" w:lastColumn="0" w:noHBand="0" w:noVBand="1"/>
      </w:tblPr>
      <w:tblGrid>
        <w:gridCol w:w="4370"/>
        <w:gridCol w:w="651"/>
        <w:gridCol w:w="651"/>
        <w:gridCol w:w="1604"/>
      </w:tblGrid>
      <w:tr w:rsidR="0025640D" w:rsidRPr="0017514F" w14:paraId="3AA09B59" w14:textId="77777777" w:rsidTr="0025640D">
        <w:trPr>
          <w:trHeight w:val="408"/>
          <w:tblHeader/>
          <w:tblCellSpacing w:w="15" w:type="dxa"/>
        </w:trPr>
        <w:tc>
          <w:tcPr>
            <w:tcW w:w="0" w:type="auto"/>
            <w:vAlign w:val="center"/>
            <w:hideMark/>
          </w:tcPr>
          <w:p w14:paraId="53FF233F" w14:textId="77777777" w:rsidR="0025640D" w:rsidRPr="0017514F" w:rsidRDefault="0025640D" w:rsidP="0025640D">
            <w:pPr>
              <w:rPr>
                <w:rFonts w:ascii="Arial" w:hAnsi="Arial" w:cs="Arial"/>
                <w:b/>
                <w:bCs/>
              </w:rPr>
            </w:pPr>
            <w:r w:rsidRPr="0017514F">
              <w:rPr>
                <w:rFonts w:ascii="Arial" w:hAnsi="Arial" w:cs="Arial"/>
                <w:b/>
                <w:bCs/>
              </w:rPr>
              <w:t>Operating Expenses (US$ billions)</w:t>
            </w:r>
          </w:p>
        </w:tc>
        <w:tc>
          <w:tcPr>
            <w:tcW w:w="0" w:type="auto"/>
            <w:vAlign w:val="center"/>
            <w:hideMark/>
          </w:tcPr>
          <w:p w14:paraId="7DF81C19" w14:textId="77777777" w:rsidR="0025640D" w:rsidRPr="0017514F" w:rsidRDefault="0025640D" w:rsidP="0025640D">
            <w:pPr>
              <w:rPr>
                <w:rFonts w:ascii="Arial" w:hAnsi="Arial" w:cs="Arial"/>
                <w:b/>
                <w:bCs/>
              </w:rPr>
            </w:pPr>
            <w:r w:rsidRPr="0017514F">
              <w:rPr>
                <w:rFonts w:ascii="Arial" w:hAnsi="Arial" w:cs="Arial"/>
                <w:b/>
                <w:bCs/>
              </w:rPr>
              <w:t>2023</w:t>
            </w:r>
          </w:p>
        </w:tc>
        <w:tc>
          <w:tcPr>
            <w:tcW w:w="0" w:type="auto"/>
            <w:vAlign w:val="center"/>
            <w:hideMark/>
          </w:tcPr>
          <w:p w14:paraId="325AE0B8" w14:textId="77777777" w:rsidR="0025640D" w:rsidRPr="0017514F" w:rsidRDefault="0025640D" w:rsidP="0025640D">
            <w:pPr>
              <w:rPr>
                <w:rFonts w:ascii="Arial" w:hAnsi="Arial" w:cs="Arial"/>
                <w:b/>
                <w:bCs/>
              </w:rPr>
            </w:pPr>
            <w:r w:rsidRPr="0017514F">
              <w:rPr>
                <w:rFonts w:ascii="Arial" w:hAnsi="Arial" w:cs="Arial"/>
                <w:b/>
                <w:bCs/>
              </w:rPr>
              <w:t>2024</w:t>
            </w:r>
          </w:p>
        </w:tc>
        <w:tc>
          <w:tcPr>
            <w:tcW w:w="0" w:type="auto"/>
            <w:vAlign w:val="center"/>
            <w:hideMark/>
          </w:tcPr>
          <w:p w14:paraId="636BD393" w14:textId="77777777" w:rsidR="0025640D" w:rsidRPr="0017514F" w:rsidRDefault="0025640D" w:rsidP="0025640D">
            <w:pPr>
              <w:rPr>
                <w:rFonts w:ascii="Arial" w:hAnsi="Arial" w:cs="Arial"/>
                <w:b/>
                <w:bCs/>
              </w:rPr>
            </w:pPr>
            <w:r w:rsidRPr="0017514F">
              <w:rPr>
                <w:rFonts w:ascii="Arial" w:hAnsi="Arial" w:cs="Arial"/>
                <w:b/>
                <w:bCs/>
              </w:rPr>
              <w:t>YoY Change</w:t>
            </w:r>
          </w:p>
        </w:tc>
      </w:tr>
      <w:tr w:rsidR="0025640D" w:rsidRPr="0017514F" w14:paraId="7E08438B" w14:textId="77777777" w:rsidTr="0025640D">
        <w:trPr>
          <w:trHeight w:val="395"/>
          <w:tblCellSpacing w:w="15" w:type="dxa"/>
        </w:trPr>
        <w:tc>
          <w:tcPr>
            <w:tcW w:w="0" w:type="auto"/>
            <w:vAlign w:val="center"/>
            <w:hideMark/>
          </w:tcPr>
          <w:p w14:paraId="3E748338" w14:textId="77777777" w:rsidR="0025640D" w:rsidRPr="0017514F" w:rsidRDefault="0025640D" w:rsidP="0025640D">
            <w:pPr>
              <w:rPr>
                <w:rFonts w:ascii="Arial" w:hAnsi="Arial" w:cs="Arial"/>
              </w:rPr>
            </w:pPr>
            <w:r w:rsidRPr="0017514F">
              <w:rPr>
                <w:rFonts w:ascii="Arial" w:hAnsi="Arial" w:cs="Arial"/>
              </w:rPr>
              <w:t>Research &amp; Development</w:t>
            </w:r>
          </w:p>
        </w:tc>
        <w:tc>
          <w:tcPr>
            <w:tcW w:w="0" w:type="auto"/>
            <w:vAlign w:val="center"/>
            <w:hideMark/>
          </w:tcPr>
          <w:p w14:paraId="16DAC5AD" w14:textId="77777777" w:rsidR="0025640D" w:rsidRPr="0017514F" w:rsidRDefault="0025640D" w:rsidP="0025640D">
            <w:pPr>
              <w:rPr>
                <w:rFonts w:ascii="Arial" w:hAnsi="Arial" w:cs="Arial"/>
              </w:rPr>
            </w:pPr>
            <w:r w:rsidRPr="0017514F">
              <w:rPr>
                <w:rFonts w:ascii="Arial" w:hAnsi="Arial" w:cs="Arial"/>
              </w:rPr>
              <w:t>29.9</w:t>
            </w:r>
          </w:p>
        </w:tc>
        <w:tc>
          <w:tcPr>
            <w:tcW w:w="0" w:type="auto"/>
            <w:vAlign w:val="center"/>
            <w:hideMark/>
          </w:tcPr>
          <w:p w14:paraId="61DE3884" w14:textId="77777777" w:rsidR="0025640D" w:rsidRPr="0017514F" w:rsidRDefault="0025640D" w:rsidP="0025640D">
            <w:pPr>
              <w:rPr>
                <w:rFonts w:ascii="Arial" w:hAnsi="Arial" w:cs="Arial"/>
              </w:rPr>
            </w:pPr>
            <w:r w:rsidRPr="0017514F">
              <w:rPr>
                <w:rFonts w:ascii="Arial" w:hAnsi="Arial" w:cs="Arial"/>
              </w:rPr>
              <w:t>31.4</w:t>
            </w:r>
          </w:p>
        </w:tc>
        <w:tc>
          <w:tcPr>
            <w:tcW w:w="0" w:type="auto"/>
            <w:vAlign w:val="center"/>
            <w:hideMark/>
          </w:tcPr>
          <w:p w14:paraId="252B0269" w14:textId="77777777" w:rsidR="0025640D" w:rsidRPr="0017514F" w:rsidRDefault="0025640D" w:rsidP="0025640D">
            <w:pPr>
              <w:rPr>
                <w:rFonts w:ascii="Arial" w:hAnsi="Arial" w:cs="Arial"/>
              </w:rPr>
            </w:pPr>
            <w:r w:rsidRPr="0017514F">
              <w:rPr>
                <w:rFonts w:ascii="Arial" w:hAnsi="Arial" w:cs="Arial"/>
              </w:rPr>
              <w:t>+5%</w:t>
            </w:r>
          </w:p>
        </w:tc>
      </w:tr>
      <w:tr w:rsidR="0025640D" w:rsidRPr="0017514F" w14:paraId="0CC3AED6" w14:textId="77777777" w:rsidTr="0025640D">
        <w:trPr>
          <w:trHeight w:val="408"/>
          <w:tblCellSpacing w:w="15" w:type="dxa"/>
        </w:trPr>
        <w:tc>
          <w:tcPr>
            <w:tcW w:w="0" w:type="auto"/>
            <w:vAlign w:val="center"/>
            <w:hideMark/>
          </w:tcPr>
          <w:p w14:paraId="1E141DB0" w14:textId="77777777" w:rsidR="0025640D" w:rsidRPr="0017514F" w:rsidRDefault="0025640D" w:rsidP="0025640D">
            <w:pPr>
              <w:rPr>
                <w:rFonts w:ascii="Arial" w:hAnsi="Arial" w:cs="Arial"/>
              </w:rPr>
            </w:pPr>
            <w:r w:rsidRPr="0017514F">
              <w:rPr>
                <w:rFonts w:ascii="Arial" w:hAnsi="Arial" w:cs="Arial"/>
              </w:rPr>
              <w:t>Selling, General &amp; Administrative</w:t>
            </w:r>
          </w:p>
        </w:tc>
        <w:tc>
          <w:tcPr>
            <w:tcW w:w="0" w:type="auto"/>
            <w:vAlign w:val="center"/>
            <w:hideMark/>
          </w:tcPr>
          <w:p w14:paraId="04C3BBE3" w14:textId="77777777" w:rsidR="0025640D" w:rsidRPr="0017514F" w:rsidRDefault="0025640D" w:rsidP="0025640D">
            <w:pPr>
              <w:rPr>
                <w:rFonts w:ascii="Arial" w:hAnsi="Arial" w:cs="Arial"/>
              </w:rPr>
            </w:pPr>
            <w:r w:rsidRPr="0017514F">
              <w:rPr>
                <w:rFonts w:ascii="Arial" w:hAnsi="Arial" w:cs="Arial"/>
              </w:rPr>
              <w:t>24.9</w:t>
            </w:r>
          </w:p>
        </w:tc>
        <w:tc>
          <w:tcPr>
            <w:tcW w:w="0" w:type="auto"/>
            <w:vAlign w:val="center"/>
            <w:hideMark/>
          </w:tcPr>
          <w:p w14:paraId="640BA9DC" w14:textId="77777777" w:rsidR="0025640D" w:rsidRPr="0017514F" w:rsidRDefault="0025640D" w:rsidP="0025640D">
            <w:pPr>
              <w:rPr>
                <w:rFonts w:ascii="Arial" w:hAnsi="Arial" w:cs="Arial"/>
              </w:rPr>
            </w:pPr>
            <w:r w:rsidRPr="0017514F">
              <w:rPr>
                <w:rFonts w:ascii="Arial" w:hAnsi="Arial" w:cs="Arial"/>
              </w:rPr>
              <w:t>26.1</w:t>
            </w:r>
          </w:p>
        </w:tc>
        <w:tc>
          <w:tcPr>
            <w:tcW w:w="0" w:type="auto"/>
            <w:vAlign w:val="center"/>
            <w:hideMark/>
          </w:tcPr>
          <w:p w14:paraId="2E80582E" w14:textId="77777777" w:rsidR="0025640D" w:rsidRPr="0017514F" w:rsidRDefault="0025640D" w:rsidP="0025640D">
            <w:pPr>
              <w:rPr>
                <w:rFonts w:ascii="Arial" w:hAnsi="Arial" w:cs="Arial"/>
              </w:rPr>
            </w:pPr>
            <w:r w:rsidRPr="0017514F">
              <w:rPr>
                <w:rFonts w:ascii="Arial" w:hAnsi="Arial" w:cs="Arial"/>
              </w:rPr>
              <w:t>+5%</w:t>
            </w:r>
          </w:p>
        </w:tc>
      </w:tr>
      <w:tr w:rsidR="0025640D" w:rsidRPr="0017514F" w14:paraId="284F760D" w14:textId="77777777" w:rsidTr="0025640D">
        <w:trPr>
          <w:trHeight w:val="395"/>
          <w:tblCellSpacing w:w="15" w:type="dxa"/>
        </w:trPr>
        <w:tc>
          <w:tcPr>
            <w:tcW w:w="0" w:type="auto"/>
            <w:vAlign w:val="center"/>
            <w:hideMark/>
          </w:tcPr>
          <w:p w14:paraId="4A16FE37" w14:textId="77777777" w:rsidR="0025640D" w:rsidRPr="0017514F" w:rsidRDefault="0025640D" w:rsidP="0025640D">
            <w:pPr>
              <w:rPr>
                <w:rFonts w:ascii="Arial" w:hAnsi="Arial" w:cs="Arial"/>
              </w:rPr>
            </w:pPr>
            <w:r w:rsidRPr="0017514F">
              <w:rPr>
                <w:rFonts w:ascii="Arial" w:hAnsi="Arial" w:cs="Arial"/>
                <w:b/>
                <w:bCs/>
              </w:rPr>
              <w:t>Total Operating Expenses</w:t>
            </w:r>
          </w:p>
        </w:tc>
        <w:tc>
          <w:tcPr>
            <w:tcW w:w="0" w:type="auto"/>
            <w:vAlign w:val="center"/>
            <w:hideMark/>
          </w:tcPr>
          <w:p w14:paraId="6F235FD7" w14:textId="77777777" w:rsidR="0025640D" w:rsidRPr="0017514F" w:rsidRDefault="0025640D" w:rsidP="0025640D">
            <w:pPr>
              <w:rPr>
                <w:rFonts w:ascii="Arial" w:hAnsi="Arial" w:cs="Arial"/>
              </w:rPr>
            </w:pPr>
            <w:r w:rsidRPr="0017514F">
              <w:rPr>
                <w:rFonts w:ascii="Arial" w:hAnsi="Arial" w:cs="Arial"/>
                <w:b/>
                <w:bCs/>
              </w:rPr>
              <w:t>54.8</w:t>
            </w:r>
          </w:p>
        </w:tc>
        <w:tc>
          <w:tcPr>
            <w:tcW w:w="0" w:type="auto"/>
            <w:vAlign w:val="center"/>
            <w:hideMark/>
          </w:tcPr>
          <w:p w14:paraId="3B20AF78" w14:textId="77777777" w:rsidR="0025640D" w:rsidRPr="0017514F" w:rsidRDefault="0025640D" w:rsidP="0025640D">
            <w:pPr>
              <w:rPr>
                <w:rFonts w:ascii="Arial" w:hAnsi="Arial" w:cs="Arial"/>
              </w:rPr>
            </w:pPr>
            <w:r w:rsidRPr="0017514F">
              <w:rPr>
                <w:rFonts w:ascii="Arial" w:hAnsi="Arial" w:cs="Arial"/>
                <w:b/>
                <w:bCs/>
              </w:rPr>
              <w:t>57.5</w:t>
            </w:r>
          </w:p>
        </w:tc>
        <w:tc>
          <w:tcPr>
            <w:tcW w:w="0" w:type="auto"/>
            <w:vAlign w:val="center"/>
            <w:hideMark/>
          </w:tcPr>
          <w:p w14:paraId="6FF86BE0" w14:textId="77777777" w:rsidR="0025640D" w:rsidRPr="0017514F" w:rsidRDefault="0025640D" w:rsidP="0025640D">
            <w:pPr>
              <w:rPr>
                <w:rFonts w:ascii="Arial" w:hAnsi="Arial" w:cs="Arial"/>
              </w:rPr>
            </w:pPr>
            <w:r w:rsidRPr="0017514F">
              <w:rPr>
                <w:rFonts w:ascii="Arial" w:hAnsi="Arial" w:cs="Arial"/>
                <w:b/>
                <w:bCs/>
              </w:rPr>
              <w:t>+5%</w:t>
            </w:r>
          </w:p>
        </w:tc>
      </w:tr>
    </w:tbl>
    <w:p w14:paraId="348CE92F" w14:textId="68B682DF" w:rsidR="0025640D" w:rsidRPr="0017514F" w:rsidRDefault="00E54669" w:rsidP="0025640D">
      <w:pPr>
        <w:rPr>
          <w:rFonts w:ascii="Arial" w:hAnsi="Arial" w:cs="Arial"/>
        </w:rPr>
      </w:pPr>
      <w:r w:rsidRPr="0017514F">
        <w:rPr>
          <w:rFonts w:ascii="Arial" w:hAnsi="Arial" w:cs="Arial"/>
        </w:rPr>
        <w:t xml:space="preserve">                                                                            O</w:t>
      </w:r>
      <w:r w:rsidRPr="0017514F">
        <w:rPr>
          <w:rFonts w:ascii="Arial" w:hAnsi="Arial" w:cs="Arial"/>
        </w:rPr>
        <w:t>wn table using data from Apple Inc. (2024).</w:t>
      </w:r>
    </w:p>
    <w:p w14:paraId="4CB63EBA" w14:textId="77777777" w:rsidR="0017514F" w:rsidRDefault="0017514F" w:rsidP="009B7F40">
      <w:pPr>
        <w:rPr>
          <w:rFonts w:ascii="Arial" w:hAnsi="Arial" w:cs="Arial"/>
        </w:rPr>
      </w:pPr>
    </w:p>
    <w:p w14:paraId="0963CD40" w14:textId="5C63D389" w:rsidR="009B7F40" w:rsidRPr="0017514F" w:rsidRDefault="009B7F40" w:rsidP="009B7F40">
      <w:pPr>
        <w:rPr>
          <w:rFonts w:ascii="Arial" w:hAnsi="Arial" w:cs="Arial"/>
        </w:rPr>
      </w:pPr>
      <w:r w:rsidRPr="0017514F">
        <w:rPr>
          <w:rFonts w:ascii="Arial" w:hAnsi="Arial" w:cs="Arial"/>
        </w:rPr>
        <w:t>Several internal management decisions contributed to this increase in operating expenses. Apple expanded investment in research and development to support the development of new technologies, including artificial intelligence (AI), software improvements and future product innovation. According to the company's annual report, higher R&amp;D costs were primarily driven by increased employee-related expenses, reflecting Apple's continued recruitment and retention of highly skilled technical staff. Additionally, SG&amp;A expenses increased as Apple continued investing in retail operations, marketing and customer support to strengthen its global brand and customer experience (Apple Inc., 2024).</w:t>
      </w:r>
    </w:p>
    <w:p w14:paraId="2146BC38" w14:textId="02AF05F9" w:rsidR="002E7961" w:rsidRPr="0017514F" w:rsidRDefault="009B7F40" w:rsidP="008E6DC3">
      <w:pPr>
        <w:rPr>
          <w:rFonts w:ascii="Arial" w:hAnsi="Arial" w:cs="Arial"/>
        </w:rPr>
      </w:pPr>
      <w:r w:rsidRPr="0017514F">
        <w:rPr>
          <w:rFonts w:ascii="Arial" w:hAnsi="Arial" w:cs="Arial"/>
        </w:rPr>
        <w:t>External macroeconomic factors also influenced Apple's budgeting decisions. Inflationary pressures, rising labour costs and continued supply chain challenges increased the overall cost of operating globally. In response, management used budgeting and financial planning to prioritise strategic investments while maintaining operational efficiency and profitability. Furthermore, variance analysis enables managers to compare actual performance against budgeted expectations, identify the causes of deviations and implement corrective actions where necessary (Drury, 2021). From a management accounting perspective, Apple's budgeting process demonstrates how financial planning supports resource allocation, cost control and long-term strategic decision-making, enabling the company to remain competitive in a rapidly changing technology market.</w:t>
      </w:r>
    </w:p>
    <w:p w14:paraId="777269E8" w14:textId="77777777" w:rsidR="0017514F" w:rsidRDefault="0017514F" w:rsidP="0017514F">
      <w:pPr>
        <w:rPr>
          <w:rFonts w:ascii="Arial" w:hAnsi="Arial" w:cs="Arial"/>
          <w:b/>
          <w:bCs/>
        </w:rPr>
      </w:pPr>
    </w:p>
    <w:p w14:paraId="0106DA3D" w14:textId="29853C98" w:rsidR="0017514F" w:rsidRPr="0017514F" w:rsidRDefault="0017514F" w:rsidP="0017514F">
      <w:pPr>
        <w:rPr>
          <w:rFonts w:ascii="Arial" w:hAnsi="Arial" w:cs="Arial"/>
          <w:b/>
          <w:bCs/>
        </w:rPr>
      </w:pPr>
      <w:r w:rsidRPr="0017514F">
        <w:rPr>
          <w:rFonts w:ascii="Arial" w:hAnsi="Arial" w:cs="Arial"/>
          <w:b/>
          <w:bCs/>
        </w:rPr>
        <w:t>4. Performance Measurement and Decision-Making</w:t>
      </w:r>
    </w:p>
    <w:p w14:paraId="7EEF0C7B" w14:textId="77777777" w:rsidR="0017514F" w:rsidRPr="0017514F" w:rsidRDefault="0017514F" w:rsidP="0017514F">
      <w:pPr>
        <w:rPr>
          <w:rFonts w:ascii="Arial" w:hAnsi="Arial" w:cs="Arial"/>
        </w:rPr>
      </w:pPr>
      <w:r w:rsidRPr="0017514F">
        <w:rPr>
          <w:rFonts w:ascii="Arial" w:hAnsi="Arial" w:cs="Arial"/>
        </w:rPr>
        <w:t>Key Performance Indicators (KPIs) are essential management accounting tools that enable organisations to monitor performance, assess progress towards strategic objectives and support informed decision-making. Financial KPIs evaluate profitability and operational efficiency, while non-financial KPIs measure aspects such as innovation, customer loyalty and market position (Drury, 2021). Kaplan and Norton (1992) argue that organisations should measure both financial and non-financial performance to gain a balanced understanding of business success. Apple uses a combination of both approaches to evaluate organisational performance and guide future strategic decisions.</w:t>
      </w:r>
    </w:p>
    <w:p w14:paraId="33BEBEF9" w14:textId="77777777" w:rsidR="0017514F" w:rsidRPr="0017514F" w:rsidRDefault="0017514F" w:rsidP="0017514F">
      <w:pPr>
        <w:rPr>
          <w:rFonts w:ascii="Arial" w:hAnsi="Arial" w:cs="Arial"/>
        </w:rPr>
      </w:pPr>
      <w:r w:rsidRPr="0017514F">
        <w:rPr>
          <w:rFonts w:ascii="Arial" w:hAnsi="Arial" w:cs="Arial"/>
        </w:rPr>
        <w:t>One of Apple's primary financial KPIs is revenue, which reflects the company's ability to generate sales from its products and services. In the 2024 financial year, Apple reported net sales of US$391.0 billion, demonstrating the company's continued ability to generate substantial income despite challenging global market conditions (Apple Inc., 2024). Management analyses revenue trends to forecast future demand, allocate budgets and determine investment priorities across different product categories. According to Neely et al. (2002), revenue analysis enables organisations to evaluate strategic performance and identify opportunities for future growth.</w:t>
      </w:r>
    </w:p>
    <w:p w14:paraId="37B1383D" w14:textId="77777777" w:rsidR="0017514F" w:rsidRPr="0017514F" w:rsidRDefault="0017514F" w:rsidP="0017514F">
      <w:pPr>
        <w:rPr>
          <w:rFonts w:ascii="Arial" w:hAnsi="Arial" w:cs="Arial"/>
        </w:rPr>
      </w:pPr>
      <w:r w:rsidRPr="0017514F">
        <w:rPr>
          <w:rFonts w:ascii="Arial" w:hAnsi="Arial" w:cs="Arial"/>
        </w:rPr>
        <w:t>A second important KPI is gross margin, which measures the proportion of revenue retained after deducting the cost of sales. Apple's gross margin increased from 44.1% in 2023 to 46.2% in 2024 (Apple Inc., 2024). This improvement indicates that the company maintained effective cost control while continuing to sell premium products at strong profit margins. Monitoring gross margin helps management evaluate pricing strategies, supplier negotiations and production efficiency.</w:t>
      </w:r>
    </w:p>
    <w:p w14:paraId="24C75793" w14:textId="77777777" w:rsidR="0017514F" w:rsidRPr="0017514F" w:rsidRDefault="0017514F" w:rsidP="0017514F">
      <w:pPr>
        <w:rPr>
          <w:rFonts w:ascii="Arial" w:hAnsi="Arial" w:cs="Arial"/>
        </w:rPr>
      </w:pPr>
      <w:r w:rsidRPr="0017514F">
        <w:rPr>
          <w:rFonts w:ascii="Arial" w:hAnsi="Arial" w:cs="Arial"/>
        </w:rPr>
        <w:t>Net income is another key financial KPI because it measures the company's overall profitability after all expenses have been deducted. Apple reported a net income of approximately US$93.7 billion in 2024 (Apple Inc., 2024). Strong profitability provides management with the financial flexibility to invest in research and development, return value to shareholders through dividends and share repurchases, and finance future strategic initiatives. Merchant and Van der Stede (2017) suggest that profitability measures are fundamental indicators of management effectiveness and organisational success.</w:t>
      </w:r>
    </w:p>
    <w:p w14:paraId="0E776CF6" w14:textId="77777777" w:rsidR="0017514F" w:rsidRPr="0017514F" w:rsidRDefault="0017514F" w:rsidP="0017514F">
      <w:pPr>
        <w:rPr>
          <w:rFonts w:ascii="Arial" w:hAnsi="Arial" w:cs="Arial"/>
        </w:rPr>
      </w:pPr>
      <w:r w:rsidRPr="0017514F">
        <w:rPr>
          <w:rFonts w:ascii="Arial" w:hAnsi="Arial" w:cs="Arial"/>
        </w:rPr>
        <w:t>Apple also closely monitors research and development (R&amp;D) expenditure, which reached approximately US$31.4 billion in 2024 (Apple Inc., 2024). Although R&amp;D represents a significant operating cost, management views this investment as essential for sustaining innovation and maintaining a competitive advantage. Continuous investment in product development supports the launch of new technologies and strengthens Apple's long-term market position. Horngren et al. (2021) emphasise that strategic investment in innovation contributes to long-term value creation despite increasing short-term costs.</w:t>
      </w:r>
    </w:p>
    <w:p w14:paraId="169BC295" w14:textId="77777777" w:rsidR="0017514F" w:rsidRPr="0017514F" w:rsidRDefault="0017514F" w:rsidP="0017514F">
      <w:pPr>
        <w:rPr>
          <w:rFonts w:ascii="Arial" w:hAnsi="Arial" w:cs="Arial"/>
        </w:rPr>
      </w:pPr>
      <w:r w:rsidRPr="0017514F">
        <w:rPr>
          <w:rFonts w:ascii="Arial" w:hAnsi="Arial" w:cs="Arial"/>
        </w:rPr>
        <w:t>Alongside financial measures, Apple monitors non-financial KPIs such as its active device installed base, which has exceeded 2.2 billion active devices worldwide (Apple Inc., 2024). This indicator reflects customer loyalty and the strength of Apple's ecosystem. A growing installed base increases demand for digital services, supports recurring subscription revenue and encourages repeat purchases, allowing management to make informed decisions regarding service expansion and ecosystem development. Kaplan and Norton (1992) argue that non-financial measures often provide early indicators of future financial performance.</w:t>
      </w:r>
    </w:p>
    <w:p w14:paraId="184521EB" w14:textId="33943F58" w:rsidR="00E54669" w:rsidRPr="0017514F" w:rsidRDefault="0017514F" w:rsidP="0025640D">
      <w:pPr>
        <w:rPr>
          <w:rFonts w:ascii="Arial" w:hAnsi="Arial" w:cs="Arial"/>
        </w:rPr>
      </w:pPr>
      <w:r w:rsidRPr="0017514F">
        <w:rPr>
          <w:rFonts w:ascii="Arial" w:hAnsi="Arial" w:cs="Arial"/>
        </w:rPr>
        <w:t>The analysis of these financial and non-financial KPIs has influenced several strategic decisions. Apple has continued investing heavily in artificial intelligence, custom silicon and digital services while maintaining premium pricing across its product range. At the same time, the company has expanded subscription-based services to diversify revenue and reduce dependence on iPhone sales. These decisions demonstrate how management accounting information supports planning, resource allocation and long-term strategic decision-making, ensuring that Apple remains competitive in the global technology industry.</w:t>
      </w:r>
    </w:p>
    <w:p w14:paraId="42825296" w14:textId="77777777" w:rsidR="0017514F" w:rsidRPr="0017514F" w:rsidRDefault="0017514F" w:rsidP="0025640D">
      <w:pPr>
        <w:rPr>
          <w:rFonts w:ascii="Arial" w:hAnsi="Arial" w:cs="Arial"/>
        </w:rPr>
      </w:pPr>
    </w:p>
    <w:p w14:paraId="17478BEE" w14:textId="04D5C722" w:rsidR="00E54669" w:rsidRPr="0017514F" w:rsidRDefault="00E54669" w:rsidP="0025640D">
      <w:pPr>
        <w:rPr>
          <w:rFonts w:ascii="Arial" w:hAnsi="Arial" w:cs="Arial"/>
          <w:b/>
          <w:bCs/>
        </w:rPr>
      </w:pPr>
      <w:r w:rsidRPr="0017514F">
        <w:rPr>
          <w:rFonts w:ascii="Arial" w:hAnsi="Arial" w:cs="Arial"/>
          <w:b/>
          <w:bCs/>
        </w:rPr>
        <w:t>Table 2. Key Performance Indicators (2024)</w:t>
      </w:r>
    </w:p>
    <w:tbl>
      <w:tblPr>
        <w:tblpPr w:leftFromText="180" w:rightFromText="180" w:vertAnchor="text" w:horzAnchor="margin" w:tblpY="25"/>
        <w:tblW w:w="8752" w:type="dxa"/>
        <w:tblCellSpacing w:w="15" w:type="dxa"/>
        <w:tblCellMar>
          <w:top w:w="15" w:type="dxa"/>
          <w:left w:w="15" w:type="dxa"/>
          <w:bottom w:w="15" w:type="dxa"/>
          <w:right w:w="15" w:type="dxa"/>
        </w:tblCellMar>
        <w:tblLook w:val="04A0" w:firstRow="1" w:lastRow="0" w:firstColumn="1" w:lastColumn="0" w:noHBand="0" w:noVBand="1"/>
      </w:tblPr>
      <w:tblGrid>
        <w:gridCol w:w="2244"/>
        <w:gridCol w:w="1435"/>
        <w:gridCol w:w="1192"/>
        <w:gridCol w:w="3881"/>
      </w:tblGrid>
      <w:tr w:rsidR="0017514F" w:rsidRPr="0017514F" w14:paraId="06203293" w14:textId="77777777" w:rsidTr="0017514F">
        <w:trPr>
          <w:trHeight w:val="237"/>
          <w:tblHeader/>
          <w:tblCellSpacing w:w="15" w:type="dxa"/>
        </w:trPr>
        <w:tc>
          <w:tcPr>
            <w:tcW w:w="0" w:type="auto"/>
            <w:vAlign w:val="center"/>
            <w:hideMark/>
          </w:tcPr>
          <w:p w14:paraId="4C6C81A7" w14:textId="77777777" w:rsidR="0017514F" w:rsidRPr="0017514F" w:rsidRDefault="0017514F" w:rsidP="0017514F">
            <w:pPr>
              <w:rPr>
                <w:rFonts w:ascii="Arial" w:hAnsi="Arial" w:cs="Arial"/>
                <w:b/>
                <w:bCs/>
              </w:rPr>
            </w:pPr>
            <w:r w:rsidRPr="0017514F">
              <w:rPr>
                <w:rFonts w:ascii="Arial" w:hAnsi="Arial" w:cs="Arial"/>
                <w:b/>
                <w:bCs/>
              </w:rPr>
              <w:t>KPI</w:t>
            </w:r>
          </w:p>
        </w:tc>
        <w:tc>
          <w:tcPr>
            <w:tcW w:w="0" w:type="auto"/>
            <w:vAlign w:val="center"/>
            <w:hideMark/>
          </w:tcPr>
          <w:p w14:paraId="79B6CA9E" w14:textId="77777777" w:rsidR="0017514F" w:rsidRPr="0017514F" w:rsidRDefault="0017514F" w:rsidP="0017514F">
            <w:pPr>
              <w:rPr>
                <w:rFonts w:ascii="Arial" w:hAnsi="Arial" w:cs="Arial"/>
                <w:b/>
                <w:bCs/>
              </w:rPr>
            </w:pPr>
            <w:r w:rsidRPr="0017514F">
              <w:rPr>
                <w:rFonts w:ascii="Arial" w:hAnsi="Arial" w:cs="Arial"/>
                <w:b/>
                <w:bCs/>
              </w:rPr>
              <w:t>2024 Value</w:t>
            </w:r>
          </w:p>
        </w:tc>
        <w:tc>
          <w:tcPr>
            <w:tcW w:w="0" w:type="auto"/>
            <w:vAlign w:val="center"/>
            <w:hideMark/>
          </w:tcPr>
          <w:p w14:paraId="7487FF43" w14:textId="77777777" w:rsidR="0017514F" w:rsidRPr="0017514F" w:rsidRDefault="0017514F" w:rsidP="0017514F">
            <w:pPr>
              <w:rPr>
                <w:rFonts w:ascii="Arial" w:hAnsi="Arial" w:cs="Arial"/>
                <w:b/>
                <w:bCs/>
              </w:rPr>
            </w:pPr>
            <w:r w:rsidRPr="0017514F">
              <w:rPr>
                <w:rFonts w:ascii="Arial" w:hAnsi="Arial" w:cs="Arial"/>
                <w:b/>
                <w:bCs/>
              </w:rPr>
              <w:t>Type</w:t>
            </w:r>
          </w:p>
        </w:tc>
        <w:tc>
          <w:tcPr>
            <w:tcW w:w="0" w:type="auto"/>
            <w:vAlign w:val="center"/>
            <w:hideMark/>
          </w:tcPr>
          <w:p w14:paraId="2058B4E3" w14:textId="77777777" w:rsidR="0017514F" w:rsidRPr="0017514F" w:rsidRDefault="0017514F" w:rsidP="0017514F">
            <w:pPr>
              <w:rPr>
                <w:rFonts w:ascii="Arial" w:hAnsi="Arial" w:cs="Arial"/>
                <w:b/>
                <w:bCs/>
              </w:rPr>
            </w:pPr>
            <w:r w:rsidRPr="0017514F">
              <w:rPr>
                <w:rFonts w:ascii="Arial" w:hAnsi="Arial" w:cs="Arial"/>
                <w:b/>
                <w:bCs/>
              </w:rPr>
              <w:t>Management Use</w:t>
            </w:r>
          </w:p>
        </w:tc>
      </w:tr>
      <w:tr w:rsidR="0017514F" w:rsidRPr="0017514F" w14:paraId="35117C9B" w14:textId="77777777" w:rsidTr="0017514F">
        <w:trPr>
          <w:trHeight w:val="402"/>
          <w:tblCellSpacing w:w="15" w:type="dxa"/>
        </w:trPr>
        <w:tc>
          <w:tcPr>
            <w:tcW w:w="0" w:type="auto"/>
            <w:vAlign w:val="center"/>
            <w:hideMark/>
          </w:tcPr>
          <w:p w14:paraId="1C40D72B" w14:textId="77777777" w:rsidR="0017514F" w:rsidRPr="0017514F" w:rsidRDefault="0017514F" w:rsidP="0017514F">
            <w:pPr>
              <w:rPr>
                <w:rFonts w:ascii="Arial" w:hAnsi="Arial" w:cs="Arial"/>
              </w:rPr>
            </w:pPr>
            <w:r w:rsidRPr="0017514F">
              <w:rPr>
                <w:rFonts w:ascii="Arial" w:hAnsi="Arial" w:cs="Arial"/>
              </w:rPr>
              <w:t>Revenue</w:t>
            </w:r>
          </w:p>
        </w:tc>
        <w:tc>
          <w:tcPr>
            <w:tcW w:w="0" w:type="auto"/>
            <w:vAlign w:val="center"/>
            <w:hideMark/>
          </w:tcPr>
          <w:p w14:paraId="7E8B5513" w14:textId="77777777" w:rsidR="0017514F" w:rsidRPr="0017514F" w:rsidRDefault="0017514F" w:rsidP="0017514F">
            <w:pPr>
              <w:rPr>
                <w:rFonts w:ascii="Arial" w:hAnsi="Arial" w:cs="Arial"/>
              </w:rPr>
            </w:pPr>
            <w:r w:rsidRPr="0017514F">
              <w:rPr>
                <w:rFonts w:ascii="Arial" w:hAnsi="Arial" w:cs="Arial"/>
              </w:rPr>
              <w:t>US$391.0bn</w:t>
            </w:r>
          </w:p>
        </w:tc>
        <w:tc>
          <w:tcPr>
            <w:tcW w:w="0" w:type="auto"/>
            <w:vAlign w:val="center"/>
            <w:hideMark/>
          </w:tcPr>
          <w:p w14:paraId="424BAC8B" w14:textId="77777777" w:rsidR="0017514F" w:rsidRPr="0017514F" w:rsidRDefault="0017514F" w:rsidP="0017514F">
            <w:pPr>
              <w:rPr>
                <w:rFonts w:ascii="Arial" w:hAnsi="Arial" w:cs="Arial"/>
              </w:rPr>
            </w:pPr>
            <w:r w:rsidRPr="0017514F">
              <w:rPr>
                <w:rFonts w:ascii="Arial" w:hAnsi="Arial" w:cs="Arial"/>
              </w:rPr>
              <w:t>Financial</w:t>
            </w:r>
          </w:p>
        </w:tc>
        <w:tc>
          <w:tcPr>
            <w:tcW w:w="0" w:type="auto"/>
            <w:vAlign w:val="center"/>
            <w:hideMark/>
          </w:tcPr>
          <w:p w14:paraId="6C272709" w14:textId="77777777" w:rsidR="0017514F" w:rsidRPr="0017514F" w:rsidRDefault="0017514F" w:rsidP="0017514F">
            <w:pPr>
              <w:rPr>
                <w:rFonts w:ascii="Arial" w:hAnsi="Arial" w:cs="Arial"/>
              </w:rPr>
            </w:pPr>
            <w:r w:rsidRPr="0017514F">
              <w:rPr>
                <w:rFonts w:ascii="Arial" w:hAnsi="Arial" w:cs="Arial"/>
              </w:rPr>
              <w:t>Measures sales performance and supports forecasting</w:t>
            </w:r>
          </w:p>
        </w:tc>
      </w:tr>
      <w:tr w:rsidR="0017514F" w:rsidRPr="0017514F" w14:paraId="56F78684" w14:textId="77777777" w:rsidTr="0017514F">
        <w:trPr>
          <w:trHeight w:val="246"/>
          <w:tblCellSpacing w:w="15" w:type="dxa"/>
        </w:trPr>
        <w:tc>
          <w:tcPr>
            <w:tcW w:w="0" w:type="auto"/>
            <w:vAlign w:val="center"/>
            <w:hideMark/>
          </w:tcPr>
          <w:p w14:paraId="7AE6155B" w14:textId="77777777" w:rsidR="0017514F" w:rsidRPr="0017514F" w:rsidRDefault="0017514F" w:rsidP="0017514F">
            <w:pPr>
              <w:rPr>
                <w:rFonts w:ascii="Arial" w:hAnsi="Arial" w:cs="Arial"/>
              </w:rPr>
            </w:pPr>
            <w:r w:rsidRPr="0017514F">
              <w:rPr>
                <w:rFonts w:ascii="Arial" w:hAnsi="Arial" w:cs="Arial"/>
              </w:rPr>
              <w:t>Gross Margin</w:t>
            </w:r>
          </w:p>
        </w:tc>
        <w:tc>
          <w:tcPr>
            <w:tcW w:w="0" w:type="auto"/>
            <w:vAlign w:val="center"/>
            <w:hideMark/>
          </w:tcPr>
          <w:p w14:paraId="67CE3619" w14:textId="77777777" w:rsidR="0017514F" w:rsidRPr="0017514F" w:rsidRDefault="0017514F" w:rsidP="0017514F">
            <w:pPr>
              <w:rPr>
                <w:rFonts w:ascii="Arial" w:hAnsi="Arial" w:cs="Arial"/>
              </w:rPr>
            </w:pPr>
            <w:r w:rsidRPr="0017514F">
              <w:rPr>
                <w:rFonts w:ascii="Arial" w:hAnsi="Arial" w:cs="Arial"/>
              </w:rPr>
              <w:t>46.2%</w:t>
            </w:r>
          </w:p>
        </w:tc>
        <w:tc>
          <w:tcPr>
            <w:tcW w:w="0" w:type="auto"/>
            <w:vAlign w:val="center"/>
            <w:hideMark/>
          </w:tcPr>
          <w:p w14:paraId="6CFE489A" w14:textId="77777777" w:rsidR="0017514F" w:rsidRPr="0017514F" w:rsidRDefault="0017514F" w:rsidP="0017514F">
            <w:pPr>
              <w:rPr>
                <w:rFonts w:ascii="Arial" w:hAnsi="Arial" w:cs="Arial"/>
              </w:rPr>
            </w:pPr>
            <w:r w:rsidRPr="0017514F">
              <w:rPr>
                <w:rFonts w:ascii="Arial" w:hAnsi="Arial" w:cs="Arial"/>
              </w:rPr>
              <w:t>Financial</w:t>
            </w:r>
          </w:p>
        </w:tc>
        <w:tc>
          <w:tcPr>
            <w:tcW w:w="0" w:type="auto"/>
            <w:vAlign w:val="center"/>
            <w:hideMark/>
          </w:tcPr>
          <w:p w14:paraId="72342EE2" w14:textId="77777777" w:rsidR="0017514F" w:rsidRPr="0017514F" w:rsidRDefault="0017514F" w:rsidP="0017514F">
            <w:pPr>
              <w:rPr>
                <w:rFonts w:ascii="Arial" w:hAnsi="Arial" w:cs="Arial"/>
              </w:rPr>
            </w:pPr>
            <w:r w:rsidRPr="0017514F">
              <w:rPr>
                <w:rFonts w:ascii="Arial" w:hAnsi="Arial" w:cs="Arial"/>
              </w:rPr>
              <w:t>Evaluates pricing and cost efficiency</w:t>
            </w:r>
          </w:p>
        </w:tc>
      </w:tr>
      <w:tr w:rsidR="0017514F" w:rsidRPr="0017514F" w14:paraId="262B1D95" w14:textId="77777777" w:rsidTr="0017514F">
        <w:trPr>
          <w:trHeight w:val="393"/>
          <w:tblCellSpacing w:w="15" w:type="dxa"/>
        </w:trPr>
        <w:tc>
          <w:tcPr>
            <w:tcW w:w="0" w:type="auto"/>
            <w:vAlign w:val="center"/>
            <w:hideMark/>
          </w:tcPr>
          <w:p w14:paraId="70F05DE0" w14:textId="77777777" w:rsidR="0017514F" w:rsidRPr="0017514F" w:rsidRDefault="0017514F" w:rsidP="0017514F">
            <w:pPr>
              <w:rPr>
                <w:rFonts w:ascii="Arial" w:hAnsi="Arial" w:cs="Arial"/>
              </w:rPr>
            </w:pPr>
            <w:r w:rsidRPr="0017514F">
              <w:rPr>
                <w:rFonts w:ascii="Arial" w:hAnsi="Arial" w:cs="Arial"/>
              </w:rPr>
              <w:t>Net Income</w:t>
            </w:r>
          </w:p>
        </w:tc>
        <w:tc>
          <w:tcPr>
            <w:tcW w:w="0" w:type="auto"/>
            <w:vAlign w:val="center"/>
            <w:hideMark/>
          </w:tcPr>
          <w:p w14:paraId="504E581B" w14:textId="77777777" w:rsidR="0017514F" w:rsidRPr="0017514F" w:rsidRDefault="0017514F" w:rsidP="0017514F">
            <w:pPr>
              <w:rPr>
                <w:rFonts w:ascii="Arial" w:hAnsi="Arial" w:cs="Arial"/>
              </w:rPr>
            </w:pPr>
            <w:r w:rsidRPr="0017514F">
              <w:rPr>
                <w:rFonts w:ascii="Arial" w:hAnsi="Arial" w:cs="Arial"/>
              </w:rPr>
              <w:t>US$93.7bn</w:t>
            </w:r>
          </w:p>
        </w:tc>
        <w:tc>
          <w:tcPr>
            <w:tcW w:w="0" w:type="auto"/>
            <w:vAlign w:val="center"/>
            <w:hideMark/>
          </w:tcPr>
          <w:p w14:paraId="6896D5DA" w14:textId="77777777" w:rsidR="0017514F" w:rsidRPr="0017514F" w:rsidRDefault="0017514F" w:rsidP="0017514F">
            <w:pPr>
              <w:rPr>
                <w:rFonts w:ascii="Arial" w:hAnsi="Arial" w:cs="Arial"/>
              </w:rPr>
            </w:pPr>
            <w:r w:rsidRPr="0017514F">
              <w:rPr>
                <w:rFonts w:ascii="Arial" w:hAnsi="Arial" w:cs="Arial"/>
              </w:rPr>
              <w:t>Financial</w:t>
            </w:r>
          </w:p>
        </w:tc>
        <w:tc>
          <w:tcPr>
            <w:tcW w:w="0" w:type="auto"/>
            <w:vAlign w:val="center"/>
            <w:hideMark/>
          </w:tcPr>
          <w:p w14:paraId="7D97086C" w14:textId="77777777" w:rsidR="0017514F" w:rsidRPr="0017514F" w:rsidRDefault="0017514F" w:rsidP="0017514F">
            <w:pPr>
              <w:rPr>
                <w:rFonts w:ascii="Arial" w:hAnsi="Arial" w:cs="Arial"/>
              </w:rPr>
            </w:pPr>
            <w:r w:rsidRPr="0017514F">
              <w:rPr>
                <w:rFonts w:ascii="Arial" w:hAnsi="Arial" w:cs="Arial"/>
              </w:rPr>
              <w:t>Assesses overall profitability and investment capacity</w:t>
            </w:r>
          </w:p>
        </w:tc>
      </w:tr>
      <w:tr w:rsidR="0017514F" w:rsidRPr="0017514F" w14:paraId="6DF92D63" w14:textId="77777777" w:rsidTr="0017514F">
        <w:trPr>
          <w:trHeight w:val="402"/>
          <w:tblCellSpacing w:w="15" w:type="dxa"/>
        </w:trPr>
        <w:tc>
          <w:tcPr>
            <w:tcW w:w="0" w:type="auto"/>
            <w:vAlign w:val="center"/>
            <w:hideMark/>
          </w:tcPr>
          <w:p w14:paraId="5F1AAAD4" w14:textId="77777777" w:rsidR="0017514F" w:rsidRPr="0017514F" w:rsidRDefault="0017514F" w:rsidP="0017514F">
            <w:pPr>
              <w:rPr>
                <w:rFonts w:ascii="Arial" w:hAnsi="Arial" w:cs="Arial"/>
              </w:rPr>
            </w:pPr>
            <w:r w:rsidRPr="0017514F">
              <w:rPr>
                <w:rFonts w:ascii="Arial" w:hAnsi="Arial" w:cs="Arial"/>
              </w:rPr>
              <w:t>R&amp;D Expenditure</w:t>
            </w:r>
          </w:p>
        </w:tc>
        <w:tc>
          <w:tcPr>
            <w:tcW w:w="0" w:type="auto"/>
            <w:vAlign w:val="center"/>
            <w:hideMark/>
          </w:tcPr>
          <w:p w14:paraId="1D186EB8" w14:textId="77777777" w:rsidR="0017514F" w:rsidRPr="0017514F" w:rsidRDefault="0017514F" w:rsidP="0017514F">
            <w:pPr>
              <w:rPr>
                <w:rFonts w:ascii="Arial" w:hAnsi="Arial" w:cs="Arial"/>
              </w:rPr>
            </w:pPr>
            <w:r w:rsidRPr="0017514F">
              <w:rPr>
                <w:rFonts w:ascii="Arial" w:hAnsi="Arial" w:cs="Arial"/>
              </w:rPr>
              <w:t>US$31.4bn</w:t>
            </w:r>
          </w:p>
        </w:tc>
        <w:tc>
          <w:tcPr>
            <w:tcW w:w="0" w:type="auto"/>
            <w:vAlign w:val="center"/>
            <w:hideMark/>
          </w:tcPr>
          <w:p w14:paraId="4D5C4B4E" w14:textId="77777777" w:rsidR="0017514F" w:rsidRPr="0017514F" w:rsidRDefault="0017514F" w:rsidP="0017514F">
            <w:pPr>
              <w:rPr>
                <w:rFonts w:ascii="Arial" w:hAnsi="Arial" w:cs="Arial"/>
              </w:rPr>
            </w:pPr>
            <w:r w:rsidRPr="0017514F">
              <w:rPr>
                <w:rFonts w:ascii="Arial" w:hAnsi="Arial" w:cs="Arial"/>
              </w:rPr>
              <w:t>Financial</w:t>
            </w:r>
          </w:p>
        </w:tc>
        <w:tc>
          <w:tcPr>
            <w:tcW w:w="0" w:type="auto"/>
            <w:vAlign w:val="center"/>
            <w:hideMark/>
          </w:tcPr>
          <w:p w14:paraId="68C1CD98" w14:textId="77777777" w:rsidR="0017514F" w:rsidRPr="0017514F" w:rsidRDefault="0017514F" w:rsidP="0017514F">
            <w:pPr>
              <w:rPr>
                <w:rFonts w:ascii="Arial" w:hAnsi="Arial" w:cs="Arial"/>
              </w:rPr>
            </w:pPr>
            <w:r w:rsidRPr="0017514F">
              <w:rPr>
                <w:rFonts w:ascii="Arial" w:hAnsi="Arial" w:cs="Arial"/>
              </w:rPr>
              <w:t>Supports innovation and product development</w:t>
            </w:r>
          </w:p>
        </w:tc>
      </w:tr>
      <w:tr w:rsidR="0017514F" w:rsidRPr="0017514F" w14:paraId="1863467F" w14:textId="77777777" w:rsidTr="0017514F">
        <w:trPr>
          <w:trHeight w:val="402"/>
          <w:tblCellSpacing w:w="15" w:type="dxa"/>
        </w:trPr>
        <w:tc>
          <w:tcPr>
            <w:tcW w:w="0" w:type="auto"/>
            <w:vAlign w:val="center"/>
            <w:hideMark/>
          </w:tcPr>
          <w:p w14:paraId="0B4F21C2" w14:textId="77777777" w:rsidR="0017514F" w:rsidRPr="0017514F" w:rsidRDefault="0017514F" w:rsidP="0017514F">
            <w:pPr>
              <w:rPr>
                <w:rFonts w:ascii="Arial" w:hAnsi="Arial" w:cs="Arial"/>
              </w:rPr>
            </w:pPr>
            <w:r w:rsidRPr="0017514F">
              <w:rPr>
                <w:rFonts w:ascii="Arial" w:hAnsi="Arial" w:cs="Arial"/>
              </w:rPr>
              <w:t>Active Device Installed Base</w:t>
            </w:r>
          </w:p>
        </w:tc>
        <w:tc>
          <w:tcPr>
            <w:tcW w:w="0" w:type="auto"/>
            <w:vAlign w:val="center"/>
            <w:hideMark/>
          </w:tcPr>
          <w:p w14:paraId="75CECD70" w14:textId="77777777" w:rsidR="0017514F" w:rsidRPr="0017514F" w:rsidRDefault="0017514F" w:rsidP="0017514F">
            <w:pPr>
              <w:rPr>
                <w:rFonts w:ascii="Arial" w:hAnsi="Arial" w:cs="Arial"/>
              </w:rPr>
            </w:pPr>
            <w:r w:rsidRPr="0017514F">
              <w:rPr>
                <w:rFonts w:ascii="Arial" w:hAnsi="Arial" w:cs="Arial"/>
              </w:rPr>
              <w:t>Over 2.2 billion</w:t>
            </w:r>
          </w:p>
        </w:tc>
        <w:tc>
          <w:tcPr>
            <w:tcW w:w="0" w:type="auto"/>
            <w:vAlign w:val="center"/>
            <w:hideMark/>
          </w:tcPr>
          <w:p w14:paraId="19AC4A36" w14:textId="77777777" w:rsidR="0017514F" w:rsidRPr="0017514F" w:rsidRDefault="0017514F" w:rsidP="0017514F">
            <w:pPr>
              <w:rPr>
                <w:rFonts w:ascii="Arial" w:hAnsi="Arial" w:cs="Arial"/>
              </w:rPr>
            </w:pPr>
            <w:r w:rsidRPr="0017514F">
              <w:rPr>
                <w:rFonts w:ascii="Arial" w:hAnsi="Arial" w:cs="Arial"/>
              </w:rPr>
              <w:t>Non-financial</w:t>
            </w:r>
          </w:p>
        </w:tc>
        <w:tc>
          <w:tcPr>
            <w:tcW w:w="0" w:type="auto"/>
            <w:vAlign w:val="center"/>
            <w:hideMark/>
          </w:tcPr>
          <w:p w14:paraId="01A7AB4C" w14:textId="77777777" w:rsidR="0017514F" w:rsidRPr="0017514F" w:rsidRDefault="0017514F" w:rsidP="0017514F">
            <w:pPr>
              <w:rPr>
                <w:rFonts w:ascii="Arial" w:hAnsi="Arial" w:cs="Arial"/>
              </w:rPr>
            </w:pPr>
            <w:r w:rsidRPr="0017514F">
              <w:rPr>
                <w:rFonts w:ascii="Arial" w:hAnsi="Arial" w:cs="Arial"/>
              </w:rPr>
              <w:t>Measures customer loyalty and ecosystem growth</w:t>
            </w:r>
          </w:p>
        </w:tc>
      </w:tr>
    </w:tbl>
    <w:p w14:paraId="0B48D9BC" w14:textId="77777777" w:rsidR="00E54669" w:rsidRPr="0017514F" w:rsidRDefault="00E54669" w:rsidP="0025640D">
      <w:pPr>
        <w:rPr>
          <w:rFonts w:ascii="Arial" w:hAnsi="Arial" w:cs="Arial"/>
          <w:b/>
          <w:bCs/>
        </w:rPr>
      </w:pPr>
    </w:p>
    <w:p w14:paraId="48CD36CA" w14:textId="0745FA1D" w:rsidR="0025640D" w:rsidRPr="0017514F" w:rsidRDefault="00E54669" w:rsidP="008E6DC3">
      <w:pPr>
        <w:rPr>
          <w:rFonts w:ascii="Arial" w:hAnsi="Arial" w:cs="Arial"/>
        </w:rPr>
      </w:pPr>
      <w:r w:rsidRPr="0017514F">
        <w:rPr>
          <w:rFonts w:ascii="Arial" w:hAnsi="Arial" w:cs="Arial"/>
        </w:rPr>
        <w:t xml:space="preserve">                                                                        </w:t>
      </w:r>
      <w:r w:rsidR="0017514F">
        <w:rPr>
          <w:rFonts w:ascii="Arial" w:hAnsi="Arial" w:cs="Arial"/>
        </w:rPr>
        <w:t xml:space="preserve"> </w:t>
      </w:r>
      <w:r w:rsidRPr="0017514F">
        <w:rPr>
          <w:rFonts w:ascii="Arial" w:hAnsi="Arial" w:cs="Arial"/>
        </w:rPr>
        <w:t xml:space="preserve">   O</w:t>
      </w:r>
      <w:r w:rsidRPr="0017514F">
        <w:rPr>
          <w:rFonts w:ascii="Arial" w:hAnsi="Arial" w:cs="Arial"/>
        </w:rPr>
        <w:t>wn table using data from Apple Inc. (2024).</w:t>
      </w:r>
    </w:p>
    <w:p w14:paraId="7560B5FF" w14:textId="77777777" w:rsidR="00C77204" w:rsidRDefault="00C77204" w:rsidP="0017514F">
      <w:pPr>
        <w:rPr>
          <w:rFonts w:ascii="Arial" w:hAnsi="Arial" w:cs="Arial"/>
          <w:b/>
          <w:bCs/>
        </w:rPr>
      </w:pPr>
    </w:p>
    <w:p w14:paraId="3040E618" w14:textId="77777777" w:rsidR="00C77204" w:rsidRDefault="00C77204" w:rsidP="0017514F">
      <w:pPr>
        <w:rPr>
          <w:rFonts w:ascii="Arial" w:hAnsi="Arial" w:cs="Arial"/>
          <w:b/>
          <w:bCs/>
        </w:rPr>
      </w:pPr>
    </w:p>
    <w:p w14:paraId="19589FA1" w14:textId="77777777" w:rsidR="00C77204" w:rsidRDefault="00C77204" w:rsidP="0017514F">
      <w:pPr>
        <w:rPr>
          <w:rFonts w:ascii="Arial" w:hAnsi="Arial" w:cs="Arial"/>
          <w:b/>
          <w:bCs/>
        </w:rPr>
      </w:pPr>
    </w:p>
    <w:p w14:paraId="7F5E4CE7" w14:textId="5EF9344F" w:rsidR="0017514F" w:rsidRPr="0017514F" w:rsidRDefault="0017514F" w:rsidP="0017514F">
      <w:pPr>
        <w:rPr>
          <w:rFonts w:ascii="Arial" w:hAnsi="Arial" w:cs="Arial"/>
          <w:b/>
          <w:bCs/>
        </w:rPr>
      </w:pPr>
      <w:r w:rsidRPr="0017514F">
        <w:rPr>
          <w:rFonts w:ascii="Arial" w:hAnsi="Arial" w:cs="Arial"/>
          <w:b/>
          <w:bCs/>
        </w:rPr>
        <w:t>5. Sustainability and Ethical Considerations</w:t>
      </w:r>
    </w:p>
    <w:p w14:paraId="5FB92E48" w14:textId="331DA43C" w:rsidR="0017514F" w:rsidRPr="0017514F" w:rsidRDefault="0017514F" w:rsidP="0017514F">
      <w:pPr>
        <w:rPr>
          <w:rFonts w:ascii="Arial" w:hAnsi="Arial" w:cs="Arial"/>
        </w:rPr>
      </w:pPr>
      <w:r w:rsidRPr="0017514F">
        <w:rPr>
          <w:rFonts w:ascii="Arial" w:hAnsi="Arial" w:cs="Arial"/>
        </w:rPr>
        <w:t>Sustainability has become an increasingly important aspect of financial decision-making, particularly for multinational organisations such as Apple. Rather than focusing solely on short-term profitability, companies are expected to consider the long-term environmental, social and economic impacts of their business activities. Elkington (1997) argues that sustainable organisations should balance economic success with environmental protection and social responsibility through the Triple Bottom Line approach. Apple integrates sustainability into its financial planning by investing in renewable energy, reducing carbon emissions, improving product recyclability and increasing the use of recycled materials throughout its supply chain (Apple Inc., 2024). These initiatives require significant upfront investment; however, they can reduce operating costs over time, strengthen the company's reputation and support long-term value creation (Apple, 2024</w:t>
      </w:r>
      <w:r w:rsidRPr="0017514F">
        <w:rPr>
          <w:rFonts w:ascii="Arial" w:hAnsi="Arial" w:cs="Arial"/>
        </w:rPr>
        <w:t>b</w:t>
      </w:r>
      <w:r w:rsidRPr="0017514F">
        <w:rPr>
          <w:rFonts w:ascii="Arial" w:hAnsi="Arial" w:cs="Arial"/>
        </w:rPr>
        <w:t>).</w:t>
      </w:r>
    </w:p>
    <w:p w14:paraId="5E315D71" w14:textId="77777777" w:rsidR="0017514F" w:rsidRPr="0017514F" w:rsidRDefault="0017514F" w:rsidP="0017514F">
      <w:pPr>
        <w:rPr>
          <w:rFonts w:ascii="Arial" w:hAnsi="Arial" w:cs="Arial"/>
        </w:rPr>
      </w:pPr>
      <w:r w:rsidRPr="0017514F">
        <w:rPr>
          <w:rFonts w:ascii="Arial" w:hAnsi="Arial" w:cs="Arial"/>
        </w:rPr>
        <w:t>One example of Apple's sustainability strategy is its commitment to achieving carbon neutrality across its entire business, manufacturing supply chain and product life cycle by 2030 (Apple Inc., 2024). To support this objective, the company continues to invest in clean energy projects, environmentally responsible manufacturing processes and innovative product design. From a management accounting perspective, these investments are evaluated not only on their financial cost but also on their long-term benefits, including reduced environmental risk, improved operational efficiency and enhanced customer confidence. Freeman (1984) suggests that organisations should consider the interests of all stakeholders when making strategic decisions, rather than focusing solely on shareholder returns.</w:t>
      </w:r>
    </w:p>
    <w:p w14:paraId="26DA975D" w14:textId="77777777" w:rsidR="0017514F" w:rsidRPr="0017514F" w:rsidRDefault="0017514F" w:rsidP="0017514F">
      <w:pPr>
        <w:rPr>
          <w:rFonts w:ascii="Arial" w:hAnsi="Arial" w:cs="Arial"/>
        </w:rPr>
      </w:pPr>
      <w:r w:rsidRPr="0017514F">
        <w:rPr>
          <w:rFonts w:ascii="Arial" w:hAnsi="Arial" w:cs="Arial"/>
        </w:rPr>
        <w:t>Ethical considerations also influence Apple's approach to cost management. While the company seeks to control costs and maintain high profit margins, it must ensure that these objectives do not compromise employee welfare, supplier standards or product quality. Apple has introduced a Supplier Code of Conduct that establishes expectations regarding labour rights, health and safety, environmental responsibility and ethical business practices throughout its global supply chain (Apple Inc., 2024). Carroll (1991) argues that organisations have economic, legal, ethical and philanthropic responsibilities, all of which should influence management decisions. Monitoring supplier performance helps reduce operational and reputational risks while supporting responsible financial decision-making.</w:t>
      </w:r>
    </w:p>
    <w:p w14:paraId="2AED8010" w14:textId="77777777" w:rsidR="0017514F" w:rsidRPr="0017514F" w:rsidRDefault="0017514F" w:rsidP="0017514F">
      <w:pPr>
        <w:rPr>
          <w:rFonts w:ascii="Arial" w:hAnsi="Arial" w:cs="Arial"/>
        </w:rPr>
      </w:pPr>
      <w:r w:rsidRPr="0017514F">
        <w:rPr>
          <w:rFonts w:ascii="Arial" w:hAnsi="Arial" w:cs="Arial"/>
        </w:rPr>
        <w:t>Apple's premium pricing strategy also raises ethical considerations. Although premium prices reflect product quality, innovation and brand value, they may limit affordability for some consumers. However, management must balance profitability with customer expectations, market competition and the value delivered through Apple's integrated ecosystem. From a management accounting perspective, pricing decisions are informed by cost analysis, market demand and long-term profitability rather than production costs alone (Atrill and McLaney, 2022). Furthermore, Burritt and Schaltegger (2014) argue that sustainability accounting enables organisations to integrate environmental and financial information, supporting more responsible strategic decision-making.</w:t>
      </w:r>
    </w:p>
    <w:p w14:paraId="2728AA19" w14:textId="695E595C" w:rsidR="0025640D" w:rsidRPr="0017514F" w:rsidRDefault="0017514F" w:rsidP="008E6DC3">
      <w:pPr>
        <w:rPr>
          <w:rFonts w:ascii="Arial" w:hAnsi="Arial" w:cs="Arial"/>
        </w:rPr>
      </w:pPr>
      <w:r w:rsidRPr="0017514F">
        <w:rPr>
          <w:rFonts w:ascii="Arial" w:hAnsi="Arial" w:cs="Arial"/>
        </w:rPr>
        <w:t>Overall, Apple's approach demonstrates that sustainability and ethical considerations are closely linked to management accounting. Financial decisions are increasingly evaluated alongside environmental and social objectives, enabling the company to pursue sustainable growth while maintaining profitability and protecting its global reputation.</w:t>
      </w:r>
    </w:p>
    <w:p w14:paraId="2AD3E13F" w14:textId="77777777" w:rsidR="0017514F" w:rsidRDefault="0017514F" w:rsidP="00E54669">
      <w:pPr>
        <w:rPr>
          <w:rFonts w:ascii="Arial" w:hAnsi="Arial" w:cs="Arial"/>
          <w:b/>
          <w:bCs/>
        </w:rPr>
      </w:pPr>
    </w:p>
    <w:p w14:paraId="67B6470B" w14:textId="77777777" w:rsidR="00C77204" w:rsidRDefault="00C77204" w:rsidP="00E54669">
      <w:pPr>
        <w:rPr>
          <w:rFonts w:ascii="Arial" w:hAnsi="Arial" w:cs="Arial"/>
          <w:b/>
          <w:bCs/>
        </w:rPr>
      </w:pPr>
    </w:p>
    <w:p w14:paraId="30CFB4A6" w14:textId="77F0B0A9" w:rsidR="00E54669" w:rsidRPr="0017514F" w:rsidRDefault="00E54669" w:rsidP="00E54669">
      <w:pPr>
        <w:rPr>
          <w:rFonts w:ascii="Arial" w:hAnsi="Arial" w:cs="Arial"/>
          <w:b/>
          <w:bCs/>
        </w:rPr>
      </w:pPr>
      <w:r w:rsidRPr="0017514F">
        <w:rPr>
          <w:rFonts w:ascii="Arial" w:hAnsi="Arial" w:cs="Arial"/>
          <w:b/>
          <w:bCs/>
        </w:rPr>
        <w:t>6. Conclusion and Recommendations</w:t>
      </w:r>
    </w:p>
    <w:p w14:paraId="2B52221E" w14:textId="15969EEE" w:rsidR="00E54669" w:rsidRPr="0017514F" w:rsidRDefault="00E54669" w:rsidP="00E54669">
      <w:pPr>
        <w:rPr>
          <w:rFonts w:ascii="Arial" w:hAnsi="Arial" w:cs="Arial"/>
        </w:rPr>
      </w:pPr>
      <w:r w:rsidRPr="0017514F">
        <w:rPr>
          <w:rFonts w:ascii="Arial" w:hAnsi="Arial" w:cs="Arial"/>
        </w:rPr>
        <w:t xml:space="preserve">This report has evaluated how Apple Inc. uses management accounting tools and techniques to support financial decision-making. The analysis demonstrated that management accounting plays a significant role in helping Apple plan its operations, manage costs, allocate resources and measure organisational performance. Through the use of budgeting, cost analysis and key performance indicators (KPIs), Apple is able to make informed strategic decisions that support innovation, operational efficiency and long-term profitability. The report also highlighted that </w:t>
      </w:r>
      <w:r w:rsidRPr="0017514F">
        <w:rPr>
          <w:rFonts w:ascii="Arial" w:hAnsi="Arial" w:cs="Arial"/>
        </w:rPr>
        <w:t xml:space="preserve">sustainability </w:t>
      </w:r>
      <w:r w:rsidRPr="0017514F">
        <w:rPr>
          <w:rFonts w:ascii="Arial" w:hAnsi="Arial" w:cs="Arial"/>
        </w:rPr>
        <w:t>and ethical considerations have become increasingly important in Apple's financial planning, demonstrating that successful business performance depends on balancing financial objectives with environmental and social responsibilities.</w:t>
      </w:r>
    </w:p>
    <w:p w14:paraId="08F39C43" w14:textId="77777777" w:rsidR="00E54669" w:rsidRPr="0017514F" w:rsidRDefault="00E54669" w:rsidP="00E54669">
      <w:pPr>
        <w:rPr>
          <w:rFonts w:ascii="Arial" w:hAnsi="Arial" w:cs="Arial"/>
        </w:rPr>
      </w:pPr>
      <w:r w:rsidRPr="0017514F">
        <w:rPr>
          <w:rFonts w:ascii="Arial" w:hAnsi="Arial" w:cs="Arial"/>
        </w:rPr>
        <w:t>Based on the findings of this report, the following recommendations are proposed:</w:t>
      </w:r>
    </w:p>
    <w:p w14:paraId="04BE7522" w14:textId="77777777" w:rsidR="00E54669" w:rsidRPr="0017514F" w:rsidRDefault="00E54669" w:rsidP="00E54669">
      <w:pPr>
        <w:numPr>
          <w:ilvl w:val="0"/>
          <w:numId w:val="3"/>
        </w:numPr>
        <w:rPr>
          <w:rFonts w:ascii="Arial" w:hAnsi="Arial" w:cs="Arial"/>
        </w:rPr>
      </w:pPr>
      <w:r w:rsidRPr="0017514F">
        <w:rPr>
          <w:rFonts w:ascii="Arial" w:hAnsi="Arial" w:cs="Arial"/>
        </w:rPr>
        <w:t>Apple should continue increasing investment in research and development to maintain its competitive advantage and support future product innovation.</w:t>
      </w:r>
    </w:p>
    <w:p w14:paraId="19A05512" w14:textId="77777777" w:rsidR="00E54669" w:rsidRPr="0017514F" w:rsidRDefault="00E54669" w:rsidP="00E54669">
      <w:pPr>
        <w:numPr>
          <w:ilvl w:val="0"/>
          <w:numId w:val="3"/>
        </w:numPr>
        <w:rPr>
          <w:rFonts w:ascii="Arial" w:hAnsi="Arial" w:cs="Arial"/>
        </w:rPr>
      </w:pPr>
      <w:r w:rsidRPr="0017514F">
        <w:rPr>
          <w:rFonts w:ascii="Arial" w:hAnsi="Arial" w:cs="Arial"/>
        </w:rPr>
        <w:t>Management should further strengthen the use of non-financial KPIs, such as customer satisfaction and environmental performance, alongside financial measures to support more balanced decision-making.</w:t>
      </w:r>
    </w:p>
    <w:p w14:paraId="36EC6476" w14:textId="77777777" w:rsidR="00E54669" w:rsidRPr="0017514F" w:rsidRDefault="00E54669" w:rsidP="00E54669">
      <w:pPr>
        <w:numPr>
          <w:ilvl w:val="0"/>
          <w:numId w:val="3"/>
        </w:numPr>
        <w:rPr>
          <w:rFonts w:ascii="Arial" w:hAnsi="Arial" w:cs="Arial"/>
        </w:rPr>
      </w:pPr>
      <w:r w:rsidRPr="0017514F">
        <w:rPr>
          <w:rFonts w:ascii="Arial" w:hAnsi="Arial" w:cs="Arial"/>
        </w:rPr>
        <w:t>Apple should continue expanding sustainable supply chain initiatives and operational efficiencies to reduce long-term costs while supporting its commitment to achieving carbon neutrality by 2030.</w:t>
      </w:r>
    </w:p>
    <w:p w14:paraId="3102C52A" w14:textId="77777777" w:rsidR="00E54669" w:rsidRPr="0017514F" w:rsidRDefault="00E54669" w:rsidP="00E54669">
      <w:pPr>
        <w:rPr>
          <w:rFonts w:ascii="Arial" w:hAnsi="Arial" w:cs="Arial"/>
        </w:rPr>
      </w:pPr>
    </w:p>
    <w:p w14:paraId="10A87BD9" w14:textId="77777777" w:rsidR="00C77204" w:rsidRDefault="00C77204" w:rsidP="0017514F">
      <w:pPr>
        <w:rPr>
          <w:rFonts w:ascii="Arial" w:hAnsi="Arial" w:cs="Arial"/>
          <w:b/>
          <w:bCs/>
        </w:rPr>
      </w:pPr>
    </w:p>
    <w:p w14:paraId="6D2710C8" w14:textId="77777777" w:rsidR="00C77204" w:rsidRDefault="00C77204" w:rsidP="0017514F">
      <w:pPr>
        <w:rPr>
          <w:rFonts w:ascii="Arial" w:hAnsi="Arial" w:cs="Arial"/>
          <w:b/>
          <w:bCs/>
        </w:rPr>
      </w:pPr>
    </w:p>
    <w:p w14:paraId="5429BC46" w14:textId="77777777" w:rsidR="00C77204" w:rsidRDefault="00C77204" w:rsidP="0017514F">
      <w:pPr>
        <w:rPr>
          <w:rFonts w:ascii="Arial" w:hAnsi="Arial" w:cs="Arial"/>
          <w:b/>
          <w:bCs/>
        </w:rPr>
      </w:pPr>
    </w:p>
    <w:p w14:paraId="11ECC12A" w14:textId="77777777" w:rsidR="00C77204" w:rsidRDefault="00C77204" w:rsidP="0017514F">
      <w:pPr>
        <w:rPr>
          <w:rFonts w:ascii="Arial" w:hAnsi="Arial" w:cs="Arial"/>
          <w:b/>
          <w:bCs/>
        </w:rPr>
      </w:pPr>
    </w:p>
    <w:p w14:paraId="201DE1B8" w14:textId="77777777" w:rsidR="00C77204" w:rsidRDefault="00C77204" w:rsidP="0017514F">
      <w:pPr>
        <w:rPr>
          <w:rFonts w:ascii="Arial" w:hAnsi="Arial" w:cs="Arial"/>
          <w:b/>
          <w:bCs/>
        </w:rPr>
      </w:pPr>
    </w:p>
    <w:p w14:paraId="1C62E7EA" w14:textId="77777777" w:rsidR="00C77204" w:rsidRDefault="00C77204" w:rsidP="0017514F">
      <w:pPr>
        <w:rPr>
          <w:rFonts w:ascii="Arial" w:hAnsi="Arial" w:cs="Arial"/>
          <w:b/>
          <w:bCs/>
        </w:rPr>
      </w:pPr>
    </w:p>
    <w:p w14:paraId="3D7B6EEA" w14:textId="77777777" w:rsidR="00C77204" w:rsidRDefault="00C77204" w:rsidP="0017514F">
      <w:pPr>
        <w:rPr>
          <w:rFonts w:ascii="Arial" w:hAnsi="Arial" w:cs="Arial"/>
          <w:b/>
          <w:bCs/>
        </w:rPr>
      </w:pPr>
    </w:p>
    <w:p w14:paraId="0D2C3C24" w14:textId="77777777" w:rsidR="00C77204" w:rsidRDefault="00C77204" w:rsidP="0017514F">
      <w:pPr>
        <w:rPr>
          <w:rFonts w:ascii="Arial" w:hAnsi="Arial" w:cs="Arial"/>
          <w:b/>
          <w:bCs/>
        </w:rPr>
      </w:pPr>
    </w:p>
    <w:p w14:paraId="65B8FCD5" w14:textId="77777777" w:rsidR="00C77204" w:rsidRDefault="00C77204" w:rsidP="0017514F">
      <w:pPr>
        <w:rPr>
          <w:rFonts w:ascii="Arial" w:hAnsi="Arial" w:cs="Arial"/>
          <w:b/>
          <w:bCs/>
        </w:rPr>
      </w:pPr>
    </w:p>
    <w:p w14:paraId="15E04C00" w14:textId="77777777" w:rsidR="00C77204" w:rsidRDefault="00C77204" w:rsidP="0017514F">
      <w:pPr>
        <w:rPr>
          <w:rFonts w:ascii="Arial" w:hAnsi="Arial" w:cs="Arial"/>
          <w:b/>
          <w:bCs/>
        </w:rPr>
      </w:pPr>
    </w:p>
    <w:p w14:paraId="49C255C9" w14:textId="77777777" w:rsidR="00C77204" w:rsidRDefault="00C77204" w:rsidP="0017514F">
      <w:pPr>
        <w:rPr>
          <w:rFonts w:ascii="Arial" w:hAnsi="Arial" w:cs="Arial"/>
          <w:b/>
          <w:bCs/>
        </w:rPr>
      </w:pPr>
    </w:p>
    <w:p w14:paraId="299ECB32" w14:textId="77777777" w:rsidR="00C77204" w:rsidRDefault="00C77204" w:rsidP="0017514F">
      <w:pPr>
        <w:rPr>
          <w:rFonts w:ascii="Arial" w:hAnsi="Arial" w:cs="Arial"/>
          <w:b/>
          <w:bCs/>
        </w:rPr>
      </w:pPr>
    </w:p>
    <w:p w14:paraId="54555B50" w14:textId="77777777" w:rsidR="00C77204" w:rsidRDefault="00C77204" w:rsidP="0017514F">
      <w:pPr>
        <w:rPr>
          <w:rFonts w:ascii="Arial" w:hAnsi="Arial" w:cs="Arial"/>
          <w:b/>
          <w:bCs/>
        </w:rPr>
      </w:pPr>
    </w:p>
    <w:p w14:paraId="426369A5" w14:textId="77777777" w:rsidR="00C77204" w:rsidRDefault="00C77204" w:rsidP="0017514F">
      <w:pPr>
        <w:rPr>
          <w:rFonts w:ascii="Arial" w:hAnsi="Arial" w:cs="Arial"/>
          <w:b/>
          <w:bCs/>
        </w:rPr>
      </w:pPr>
    </w:p>
    <w:p w14:paraId="646142EB" w14:textId="77777777" w:rsidR="00C77204" w:rsidRDefault="00C77204" w:rsidP="0017514F">
      <w:pPr>
        <w:rPr>
          <w:rFonts w:ascii="Arial" w:hAnsi="Arial" w:cs="Arial"/>
          <w:b/>
          <w:bCs/>
        </w:rPr>
      </w:pPr>
    </w:p>
    <w:p w14:paraId="7A83E426" w14:textId="77777777" w:rsidR="00C77204" w:rsidRDefault="00C77204" w:rsidP="0017514F">
      <w:pPr>
        <w:rPr>
          <w:rFonts w:ascii="Arial" w:hAnsi="Arial" w:cs="Arial"/>
          <w:b/>
          <w:bCs/>
        </w:rPr>
      </w:pPr>
    </w:p>
    <w:p w14:paraId="329BE217" w14:textId="02510D9D" w:rsidR="0017514F" w:rsidRPr="0017514F" w:rsidRDefault="0017514F" w:rsidP="0017514F">
      <w:pPr>
        <w:rPr>
          <w:rFonts w:ascii="Arial" w:hAnsi="Arial" w:cs="Arial"/>
          <w:b/>
          <w:bCs/>
        </w:rPr>
      </w:pPr>
      <w:r w:rsidRPr="0017514F">
        <w:rPr>
          <w:rFonts w:ascii="Arial" w:hAnsi="Arial" w:cs="Arial"/>
          <w:b/>
          <w:bCs/>
        </w:rPr>
        <w:t>References</w:t>
      </w:r>
    </w:p>
    <w:p w14:paraId="213D4827" w14:textId="2E822EB4" w:rsidR="0017514F" w:rsidRPr="0017514F" w:rsidRDefault="0017514F" w:rsidP="0017514F">
      <w:pPr>
        <w:rPr>
          <w:rFonts w:ascii="Arial" w:hAnsi="Arial" w:cs="Arial"/>
        </w:rPr>
      </w:pPr>
      <w:r w:rsidRPr="0017514F">
        <w:rPr>
          <w:rFonts w:ascii="Arial" w:hAnsi="Arial" w:cs="Arial"/>
        </w:rPr>
        <w:t xml:space="preserve">Apple Inc. (2024a) </w:t>
      </w:r>
      <w:r w:rsidRPr="0017514F">
        <w:rPr>
          <w:rFonts w:ascii="Arial" w:hAnsi="Arial" w:cs="Arial"/>
          <w:i/>
          <w:iCs/>
        </w:rPr>
        <w:t>Annual Report 2024 (Form 10-K).</w:t>
      </w:r>
      <w:r w:rsidRPr="0017514F">
        <w:rPr>
          <w:rFonts w:ascii="Arial" w:hAnsi="Arial" w:cs="Arial"/>
        </w:rPr>
        <w:t xml:space="preserve"> Cupertino, CA: Apple Inc. Available at: </w:t>
      </w:r>
      <w:hyperlink r:id="rId6" w:tgtFrame="_new" w:history="1">
        <w:r w:rsidRPr="0017514F">
          <w:rPr>
            <w:rStyle w:val="Hyperlink"/>
            <w:rFonts w:ascii="Arial" w:hAnsi="Arial" w:cs="Arial"/>
          </w:rPr>
          <w:t>https://investor.apple.com/investor-relations/default.aspx</w:t>
        </w:r>
      </w:hyperlink>
      <w:r w:rsidRPr="0017514F">
        <w:rPr>
          <w:rFonts w:ascii="Arial" w:hAnsi="Arial" w:cs="Arial"/>
        </w:rPr>
        <w:t xml:space="preserve"> (Accessed: 28 June 2026).</w:t>
      </w:r>
    </w:p>
    <w:p w14:paraId="4705B1B2" w14:textId="77777777" w:rsidR="0017514F" w:rsidRPr="0017514F" w:rsidRDefault="0017514F" w:rsidP="0017514F">
      <w:pPr>
        <w:rPr>
          <w:rFonts w:ascii="Arial" w:hAnsi="Arial" w:cs="Arial"/>
        </w:rPr>
      </w:pPr>
      <w:r w:rsidRPr="0017514F">
        <w:rPr>
          <w:rFonts w:ascii="Arial" w:hAnsi="Arial" w:cs="Arial"/>
        </w:rPr>
        <w:t xml:space="preserve">Apple Inc. (2024b) </w:t>
      </w:r>
      <w:r w:rsidRPr="0017514F">
        <w:rPr>
          <w:rFonts w:ascii="Arial" w:hAnsi="Arial" w:cs="Arial"/>
          <w:i/>
          <w:iCs/>
        </w:rPr>
        <w:t>Environmental Progress Report 2024.</w:t>
      </w:r>
      <w:r w:rsidRPr="0017514F">
        <w:rPr>
          <w:rFonts w:ascii="Arial" w:hAnsi="Arial" w:cs="Arial"/>
        </w:rPr>
        <w:t xml:space="preserve"> Cupertino, CA: Apple Inc. Available at: </w:t>
      </w:r>
      <w:hyperlink r:id="rId7" w:tgtFrame="_new" w:history="1">
        <w:r w:rsidRPr="0017514F">
          <w:rPr>
            <w:rStyle w:val="Hyperlink"/>
            <w:rFonts w:ascii="Arial" w:hAnsi="Arial" w:cs="Arial"/>
          </w:rPr>
          <w:t>https://www.apple.com/environment/</w:t>
        </w:r>
      </w:hyperlink>
      <w:r w:rsidRPr="0017514F">
        <w:rPr>
          <w:rFonts w:ascii="Arial" w:hAnsi="Arial" w:cs="Arial"/>
        </w:rPr>
        <w:t xml:space="preserve"> (Accessed: 28 June 2026).</w:t>
      </w:r>
    </w:p>
    <w:p w14:paraId="407ED5FA" w14:textId="77777777" w:rsidR="0017514F" w:rsidRPr="0017514F" w:rsidRDefault="0017514F" w:rsidP="0017514F">
      <w:pPr>
        <w:rPr>
          <w:rFonts w:ascii="Arial" w:hAnsi="Arial" w:cs="Arial"/>
        </w:rPr>
      </w:pPr>
      <w:r w:rsidRPr="0017514F">
        <w:rPr>
          <w:rFonts w:ascii="Arial" w:hAnsi="Arial" w:cs="Arial"/>
        </w:rPr>
        <w:t xml:space="preserve">Atrill, P. and McLaney, E. (2022) </w:t>
      </w:r>
      <w:r w:rsidRPr="0017514F">
        <w:rPr>
          <w:rFonts w:ascii="Arial" w:hAnsi="Arial" w:cs="Arial"/>
          <w:i/>
          <w:iCs/>
        </w:rPr>
        <w:t>Management Accounting for Decision Makers.</w:t>
      </w:r>
      <w:r w:rsidRPr="0017514F">
        <w:rPr>
          <w:rFonts w:ascii="Arial" w:hAnsi="Arial" w:cs="Arial"/>
        </w:rPr>
        <w:t xml:space="preserve"> 10th </w:t>
      </w:r>
      <w:proofErr w:type="spellStart"/>
      <w:r w:rsidRPr="0017514F">
        <w:rPr>
          <w:rFonts w:ascii="Arial" w:hAnsi="Arial" w:cs="Arial"/>
        </w:rPr>
        <w:t>edn</w:t>
      </w:r>
      <w:proofErr w:type="spellEnd"/>
      <w:r w:rsidRPr="0017514F">
        <w:rPr>
          <w:rFonts w:ascii="Arial" w:hAnsi="Arial" w:cs="Arial"/>
        </w:rPr>
        <w:t>. Harlow: Pearson.</w:t>
      </w:r>
    </w:p>
    <w:p w14:paraId="5CE3A944" w14:textId="77777777" w:rsidR="0017514F" w:rsidRPr="0017514F" w:rsidRDefault="0017514F" w:rsidP="0017514F">
      <w:pPr>
        <w:rPr>
          <w:rFonts w:ascii="Arial" w:hAnsi="Arial" w:cs="Arial"/>
        </w:rPr>
      </w:pPr>
      <w:r w:rsidRPr="0017514F">
        <w:rPr>
          <w:rFonts w:ascii="Arial" w:hAnsi="Arial" w:cs="Arial"/>
        </w:rPr>
        <w:t xml:space="preserve">Burritt, R.L. and Schaltegger, S. (2014) 'Sustainability accounting and reporting: Fad or trend?', </w:t>
      </w:r>
      <w:r w:rsidRPr="0017514F">
        <w:rPr>
          <w:rFonts w:ascii="Arial" w:hAnsi="Arial" w:cs="Arial"/>
          <w:i/>
          <w:iCs/>
        </w:rPr>
        <w:t>Accounting, Auditing &amp; Accountability Journal</w:t>
      </w:r>
      <w:r w:rsidRPr="0017514F">
        <w:rPr>
          <w:rFonts w:ascii="Arial" w:hAnsi="Arial" w:cs="Arial"/>
        </w:rPr>
        <w:t>, 27(2), pp. 327–343.</w:t>
      </w:r>
    </w:p>
    <w:p w14:paraId="24E1808E" w14:textId="77777777" w:rsidR="0017514F" w:rsidRPr="0017514F" w:rsidRDefault="0017514F" w:rsidP="0017514F">
      <w:pPr>
        <w:rPr>
          <w:rFonts w:ascii="Arial" w:hAnsi="Arial" w:cs="Arial"/>
        </w:rPr>
      </w:pPr>
      <w:r w:rsidRPr="0017514F">
        <w:rPr>
          <w:rFonts w:ascii="Arial" w:hAnsi="Arial" w:cs="Arial"/>
        </w:rPr>
        <w:t xml:space="preserve">Carroll, A.B. (1991) 'The pyramid of corporate social responsibility: Toward the moral management of organisational stakeholders', </w:t>
      </w:r>
      <w:r w:rsidRPr="0017514F">
        <w:rPr>
          <w:rFonts w:ascii="Arial" w:hAnsi="Arial" w:cs="Arial"/>
          <w:i/>
          <w:iCs/>
        </w:rPr>
        <w:t>Business Horizons</w:t>
      </w:r>
      <w:r w:rsidRPr="0017514F">
        <w:rPr>
          <w:rFonts w:ascii="Arial" w:hAnsi="Arial" w:cs="Arial"/>
        </w:rPr>
        <w:t>, 34(4), pp. 39–48.</w:t>
      </w:r>
    </w:p>
    <w:p w14:paraId="7A0D7BCF" w14:textId="77777777" w:rsidR="0017514F" w:rsidRPr="0017514F" w:rsidRDefault="0017514F" w:rsidP="0017514F">
      <w:pPr>
        <w:rPr>
          <w:rFonts w:ascii="Arial" w:hAnsi="Arial" w:cs="Arial"/>
        </w:rPr>
      </w:pPr>
      <w:r w:rsidRPr="0017514F">
        <w:rPr>
          <w:rFonts w:ascii="Arial" w:hAnsi="Arial" w:cs="Arial"/>
        </w:rPr>
        <w:t xml:space="preserve">Drury, C. (2021) </w:t>
      </w:r>
      <w:r w:rsidRPr="0017514F">
        <w:rPr>
          <w:rFonts w:ascii="Arial" w:hAnsi="Arial" w:cs="Arial"/>
          <w:i/>
          <w:iCs/>
        </w:rPr>
        <w:t>Management and Cost Accounting.</w:t>
      </w:r>
      <w:r w:rsidRPr="0017514F">
        <w:rPr>
          <w:rFonts w:ascii="Arial" w:hAnsi="Arial" w:cs="Arial"/>
        </w:rPr>
        <w:t xml:space="preserve"> 11th </w:t>
      </w:r>
      <w:proofErr w:type="spellStart"/>
      <w:r w:rsidRPr="0017514F">
        <w:rPr>
          <w:rFonts w:ascii="Arial" w:hAnsi="Arial" w:cs="Arial"/>
        </w:rPr>
        <w:t>edn</w:t>
      </w:r>
      <w:proofErr w:type="spellEnd"/>
      <w:r w:rsidRPr="0017514F">
        <w:rPr>
          <w:rFonts w:ascii="Arial" w:hAnsi="Arial" w:cs="Arial"/>
        </w:rPr>
        <w:t>. Andover: Cengage Learning.</w:t>
      </w:r>
    </w:p>
    <w:p w14:paraId="7253A530" w14:textId="77777777" w:rsidR="0017514F" w:rsidRPr="0017514F" w:rsidRDefault="0017514F" w:rsidP="0017514F">
      <w:pPr>
        <w:rPr>
          <w:rFonts w:ascii="Arial" w:hAnsi="Arial" w:cs="Arial"/>
        </w:rPr>
      </w:pPr>
      <w:r w:rsidRPr="0017514F">
        <w:rPr>
          <w:rFonts w:ascii="Arial" w:hAnsi="Arial" w:cs="Arial"/>
        </w:rPr>
        <w:t xml:space="preserve">Elkington, J. (1997) </w:t>
      </w:r>
      <w:r w:rsidRPr="0017514F">
        <w:rPr>
          <w:rFonts w:ascii="Arial" w:hAnsi="Arial" w:cs="Arial"/>
          <w:i/>
          <w:iCs/>
        </w:rPr>
        <w:t>Cannibals with Forks: The Triple Bottom Line of 21st Century Business.</w:t>
      </w:r>
      <w:r w:rsidRPr="0017514F">
        <w:rPr>
          <w:rFonts w:ascii="Arial" w:hAnsi="Arial" w:cs="Arial"/>
        </w:rPr>
        <w:t xml:space="preserve"> Oxford: Capstone Publishing.</w:t>
      </w:r>
    </w:p>
    <w:p w14:paraId="0DF51F59" w14:textId="77777777" w:rsidR="0017514F" w:rsidRPr="0017514F" w:rsidRDefault="0017514F" w:rsidP="0017514F">
      <w:pPr>
        <w:rPr>
          <w:rFonts w:ascii="Arial" w:hAnsi="Arial" w:cs="Arial"/>
        </w:rPr>
      </w:pPr>
      <w:r w:rsidRPr="0017514F">
        <w:rPr>
          <w:rFonts w:ascii="Arial" w:hAnsi="Arial" w:cs="Arial"/>
        </w:rPr>
        <w:t xml:space="preserve">Freeman, R.E. (1984) </w:t>
      </w:r>
      <w:r w:rsidRPr="0017514F">
        <w:rPr>
          <w:rFonts w:ascii="Arial" w:hAnsi="Arial" w:cs="Arial"/>
          <w:i/>
          <w:iCs/>
        </w:rPr>
        <w:t>Strategic Management: A Stakeholder Approach.</w:t>
      </w:r>
      <w:r w:rsidRPr="0017514F">
        <w:rPr>
          <w:rFonts w:ascii="Arial" w:hAnsi="Arial" w:cs="Arial"/>
        </w:rPr>
        <w:t xml:space="preserve"> Boston: Pitman.</w:t>
      </w:r>
    </w:p>
    <w:p w14:paraId="5E248052" w14:textId="77777777" w:rsidR="0017514F" w:rsidRPr="0017514F" w:rsidRDefault="0017514F" w:rsidP="0017514F">
      <w:pPr>
        <w:rPr>
          <w:rFonts w:ascii="Arial" w:hAnsi="Arial" w:cs="Arial"/>
        </w:rPr>
      </w:pPr>
      <w:r w:rsidRPr="0017514F">
        <w:rPr>
          <w:rFonts w:ascii="Arial" w:hAnsi="Arial" w:cs="Arial"/>
        </w:rPr>
        <w:t xml:space="preserve">Horngren, C.T., Datar, S.M. and Rajan, M.V. (2021) </w:t>
      </w:r>
      <w:r w:rsidRPr="0017514F">
        <w:rPr>
          <w:rFonts w:ascii="Arial" w:hAnsi="Arial" w:cs="Arial"/>
          <w:i/>
          <w:iCs/>
        </w:rPr>
        <w:t>Cost Accounting: A Managerial Emphasis.</w:t>
      </w:r>
      <w:r w:rsidRPr="0017514F">
        <w:rPr>
          <w:rFonts w:ascii="Arial" w:hAnsi="Arial" w:cs="Arial"/>
        </w:rPr>
        <w:t xml:space="preserve"> 17th </w:t>
      </w:r>
      <w:proofErr w:type="spellStart"/>
      <w:r w:rsidRPr="0017514F">
        <w:rPr>
          <w:rFonts w:ascii="Arial" w:hAnsi="Arial" w:cs="Arial"/>
        </w:rPr>
        <w:t>edn</w:t>
      </w:r>
      <w:proofErr w:type="spellEnd"/>
      <w:r w:rsidRPr="0017514F">
        <w:rPr>
          <w:rFonts w:ascii="Arial" w:hAnsi="Arial" w:cs="Arial"/>
        </w:rPr>
        <w:t>. Harlow: Pearson.</w:t>
      </w:r>
    </w:p>
    <w:p w14:paraId="395BA9C6" w14:textId="77777777" w:rsidR="0017514F" w:rsidRPr="0017514F" w:rsidRDefault="0017514F" w:rsidP="0017514F">
      <w:pPr>
        <w:rPr>
          <w:rFonts w:ascii="Arial" w:hAnsi="Arial" w:cs="Arial"/>
        </w:rPr>
      </w:pPr>
      <w:r w:rsidRPr="0017514F">
        <w:rPr>
          <w:rFonts w:ascii="Arial" w:hAnsi="Arial" w:cs="Arial"/>
        </w:rPr>
        <w:t xml:space="preserve">Kaplan, R.S. and Atkinson, A.A. (2015) </w:t>
      </w:r>
      <w:r w:rsidRPr="0017514F">
        <w:rPr>
          <w:rFonts w:ascii="Arial" w:hAnsi="Arial" w:cs="Arial"/>
          <w:i/>
          <w:iCs/>
        </w:rPr>
        <w:t>Advanced Management Accounting.</w:t>
      </w:r>
      <w:r w:rsidRPr="0017514F">
        <w:rPr>
          <w:rFonts w:ascii="Arial" w:hAnsi="Arial" w:cs="Arial"/>
        </w:rPr>
        <w:t xml:space="preserve"> 3rd </w:t>
      </w:r>
      <w:proofErr w:type="spellStart"/>
      <w:r w:rsidRPr="0017514F">
        <w:rPr>
          <w:rFonts w:ascii="Arial" w:hAnsi="Arial" w:cs="Arial"/>
        </w:rPr>
        <w:t>edn</w:t>
      </w:r>
      <w:proofErr w:type="spellEnd"/>
      <w:r w:rsidRPr="0017514F">
        <w:rPr>
          <w:rFonts w:ascii="Arial" w:hAnsi="Arial" w:cs="Arial"/>
        </w:rPr>
        <w:t>. Harlow: Pearson.</w:t>
      </w:r>
    </w:p>
    <w:p w14:paraId="0C8CDE8F" w14:textId="77777777" w:rsidR="0017514F" w:rsidRPr="0017514F" w:rsidRDefault="0017514F" w:rsidP="0017514F">
      <w:pPr>
        <w:rPr>
          <w:rFonts w:ascii="Arial" w:hAnsi="Arial" w:cs="Arial"/>
        </w:rPr>
      </w:pPr>
      <w:r w:rsidRPr="0017514F">
        <w:rPr>
          <w:rFonts w:ascii="Arial" w:hAnsi="Arial" w:cs="Arial"/>
        </w:rPr>
        <w:t xml:space="preserve">Kaplan, R.S. and Norton, D.P. (1992) 'The Balanced Scorecard—Measures that drive performance', </w:t>
      </w:r>
      <w:r w:rsidRPr="0017514F">
        <w:rPr>
          <w:rFonts w:ascii="Arial" w:hAnsi="Arial" w:cs="Arial"/>
          <w:i/>
          <w:iCs/>
        </w:rPr>
        <w:t>Harvard Business Review</w:t>
      </w:r>
      <w:r w:rsidRPr="0017514F">
        <w:rPr>
          <w:rFonts w:ascii="Arial" w:hAnsi="Arial" w:cs="Arial"/>
        </w:rPr>
        <w:t>, 70(1), pp. 71–79.</w:t>
      </w:r>
    </w:p>
    <w:p w14:paraId="1342CE52" w14:textId="77777777" w:rsidR="0017514F" w:rsidRPr="0017514F" w:rsidRDefault="0017514F" w:rsidP="0017514F">
      <w:pPr>
        <w:rPr>
          <w:rFonts w:ascii="Arial" w:hAnsi="Arial" w:cs="Arial"/>
        </w:rPr>
      </w:pPr>
      <w:r w:rsidRPr="0017514F">
        <w:rPr>
          <w:rFonts w:ascii="Arial" w:hAnsi="Arial" w:cs="Arial"/>
        </w:rPr>
        <w:t xml:space="preserve">Merchant, K.A. and Van der Stede, W.A. (2017) </w:t>
      </w:r>
      <w:r w:rsidRPr="0017514F">
        <w:rPr>
          <w:rFonts w:ascii="Arial" w:hAnsi="Arial" w:cs="Arial"/>
          <w:i/>
          <w:iCs/>
        </w:rPr>
        <w:t>Management Control Systems: Performance Measurement, Evaluation and Incentives.</w:t>
      </w:r>
      <w:r w:rsidRPr="0017514F">
        <w:rPr>
          <w:rFonts w:ascii="Arial" w:hAnsi="Arial" w:cs="Arial"/>
        </w:rPr>
        <w:t xml:space="preserve"> 4th </w:t>
      </w:r>
      <w:proofErr w:type="spellStart"/>
      <w:r w:rsidRPr="0017514F">
        <w:rPr>
          <w:rFonts w:ascii="Arial" w:hAnsi="Arial" w:cs="Arial"/>
        </w:rPr>
        <w:t>edn</w:t>
      </w:r>
      <w:proofErr w:type="spellEnd"/>
      <w:r w:rsidRPr="0017514F">
        <w:rPr>
          <w:rFonts w:ascii="Arial" w:hAnsi="Arial" w:cs="Arial"/>
        </w:rPr>
        <w:t>. Harlow: Pearson.</w:t>
      </w:r>
    </w:p>
    <w:p w14:paraId="04F1E660" w14:textId="77777777" w:rsidR="0017514F" w:rsidRPr="0017514F" w:rsidRDefault="0017514F" w:rsidP="0017514F">
      <w:pPr>
        <w:rPr>
          <w:rFonts w:ascii="Arial" w:hAnsi="Arial" w:cs="Arial"/>
        </w:rPr>
      </w:pPr>
      <w:r w:rsidRPr="0017514F">
        <w:rPr>
          <w:rFonts w:ascii="Arial" w:hAnsi="Arial" w:cs="Arial"/>
        </w:rPr>
        <w:t xml:space="preserve">Neely, A., Adams, C. and Kennerley, M. (2002) </w:t>
      </w:r>
      <w:r w:rsidRPr="0017514F">
        <w:rPr>
          <w:rFonts w:ascii="Arial" w:hAnsi="Arial" w:cs="Arial"/>
          <w:i/>
          <w:iCs/>
        </w:rPr>
        <w:t>The Performance Prism: The Scorecard for Measuring and Managing Business Success.</w:t>
      </w:r>
      <w:r w:rsidRPr="0017514F">
        <w:rPr>
          <w:rFonts w:ascii="Arial" w:hAnsi="Arial" w:cs="Arial"/>
        </w:rPr>
        <w:t xml:space="preserve"> Harlow: Financial Times Prentice Hall.</w:t>
      </w:r>
    </w:p>
    <w:p w14:paraId="4F1FA865" w14:textId="77777777" w:rsidR="0017514F" w:rsidRPr="0017514F" w:rsidRDefault="0017514F" w:rsidP="0017514F">
      <w:pPr>
        <w:rPr>
          <w:rFonts w:ascii="Arial" w:hAnsi="Arial" w:cs="Arial"/>
        </w:rPr>
      </w:pPr>
      <w:r w:rsidRPr="0017514F">
        <w:rPr>
          <w:rFonts w:ascii="Arial" w:hAnsi="Arial" w:cs="Arial"/>
        </w:rPr>
        <w:t xml:space="preserve">Porter, M.E. (1985) </w:t>
      </w:r>
      <w:r w:rsidRPr="0017514F">
        <w:rPr>
          <w:rFonts w:ascii="Arial" w:hAnsi="Arial" w:cs="Arial"/>
          <w:i/>
          <w:iCs/>
        </w:rPr>
        <w:t>Competitive Advantage: Creating and Sustaining Superior Performance.</w:t>
      </w:r>
      <w:r w:rsidRPr="0017514F">
        <w:rPr>
          <w:rFonts w:ascii="Arial" w:hAnsi="Arial" w:cs="Arial"/>
        </w:rPr>
        <w:t xml:space="preserve"> New York: Free Press.</w:t>
      </w:r>
    </w:p>
    <w:p w14:paraId="52CF3525" w14:textId="77777777" w:rsidR="00E54669" w:rsidRPr="0017514F" w:rsidRDefault="00E54669" w:rsidP="008E6DC3">
      <w:pPr>
        <w:rPr>
          <w:rFonts w:ascii="Arial" w:hAnsi="Arial" w:cs="Arial"/>
        </w:rPr>
      </w:pPr>
    </w:p>
    <w:sectPr w:rsidR="00E54669" w:rsidRPr="001751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775B4"/>
    <w:multiLevelType w:val="multilevel"/>
    <w:tmpl w:val="A6D01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BF4F60"/>
    <w:multiLevelType w:val="multilevel"/>
    <w:tmpl w:val="AFCA7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E4F6036"/>
    <w:multiLevelType w:val="multilevel"/>
    <w:tmpl w:val="609A5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8256443">
    <w:abstractNumId w:val="1"/>
  </w:num>
  <w:num w:numId="2" w16cid:durableId="879784182">
    <w:abstractNumId w:val="0"/>
  </w:num>
  <w:num w:numId="3" w16cid:durableId="5967139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DC3"/>
    <w:rsid w:val="000200B1"/>
    <w:rsid w:val="0017514F"/>
    <w:rsid w:val="0025640D"/>
    <w:rsid w:val="002E7961"/>
    <w:rsid w:val="00706C5A"/>
    <w:rsid w:val="007820D4"/>
    <w:rsid w:val="007D6A86"/>
    <w:rsid w:val="008E6DC3"/>
    <w:rsid w:val="009B7F40"/>
    <w:rsid w:val="00C77204"/>
    <w:rsid w:val="00E54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015AC"/>
  <w15:chartTrackingRefBased/>
  <w15:docId w15:val="{4EED105A-FD72-4A96-9F02-D47DE9DB4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D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6D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6D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6D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6D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6D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6D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6D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6D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D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6D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6D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6D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6D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6D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6D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6D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6DC3"/>
    <w:rPr>
      <w:rFonts w:eastAsiaTheme="majorEastAsia" w:cstheme="majorBidi"/>
      <w:color w:val="272727" w:themeColor="text1" w:themeTint="D8"/>
    </w:rPr>
  </w:style>
  <w:style w:type="paragraph" w:styleId="Title">
    <w:name w:val="Title"/>
    <w:basedOn w:val="Normal"/>
    <w:next w:val="Normal"/>
    <w:link w:val="TitleChar"/>
    <w:uiPriority w:val="10"/>
    <w:qFormat/>
    <w:rsid w:val="008E6D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6D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6D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6D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6DC3"/>
    <w:pPr>
      <w:spacing w:before="160"/>
      <w:jc w:val="center"/>
    </w:pPr>
    <w:rPr>
      <w:i/>
      <w:iCs/>
      <w:color w:val="404040" w:themeColor="text1" w:themeTint="BF"/>
    </w:rPr>
  </w:style>
  <w:style w:type="character" w:customStyle="1" w:styleId="QuoteChar">
    <w:name w:val="Quote Char"/>
    <w:basedOn w:val="DefaultParagraphFont"/>
    <w:link w:val="Quote"/>
    <w:uiPriority w:val="29"/>
    <w:rsid w:val="008E6DC3"/>
    <w:rPr>
      <w:i/>
      <w:iCs/>
      <w:color w:val="404040" w:themeColor="text1" w:themeTint="BF"/>
    </w:rPr>
  </w:style>
  <w:style w:type="paragraph" w:styleId="ListParagraph">
    <w:name w:val="List Paragraph"/>
    <w:basedOn w:val="Normal"/>
    <w:uiPriority w:val="34"/>
    <w:qFormat/>
    <w:rsid w:val="008E6DC3"/>
    <w:pPr>
      <w:ind w:left="720"/>
      <w:contextualSpacing/>
    </w:pPr>
  </w:style>
  <w:style w:type="character" w:styleId="IntenseEmphasis">
    <w:name w:val="Intense Emphasis"/>
    <w:basedOn w:val="DefaultParagraphFont"/>
    <w:uiPriority w:val="21"/>
    <w:qFormat/>
    <w:rsid w:val="008E6DC3"/>
    <w:rPr>
      <w:i/>
      <w:iCs/>
      <w:color w:val="0F4761" w:themeColor="accent1" w:themeShade="BF"/>
    </w:rPr>
  </w:style>
  <w:style w:type="paragraph" w:styleId="IntenseQuote">
    <w:name w:val="Intense Quote"/>
    <w:basedOn w:val="Normal"/>
    <w:next w:val="Normal"/>
    <w:link w:val="IntenseQuoteChar"/>
    <w:uiPriority w:val="30"/>
    <w:qFormat/>
    <w:rsid w:val="008E6D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6DC3"/>
    <w:rPr>
      <w:i/>
      <w:iCs/>
      <w:color w:val="0F4761" w:themeColor="accent1" w:themeShade="BF"/>
    </w:rPr>
  </w:style>
  <w:style w:type="character" w:styleId="IntenseReference">
    <w:name w:val="Intense Reference"/>
    <w:basedOn w:val="DefaultParagraphFont"/>
    <w:uiPriority w:val="32"/>
    <w:qFormat/>
    <w:rsid w:val="008E6DC3"/>
    <w:rPr>
      <w:b/>
      <w:bCs/>
      <w:smallCaps/>
      <w:color w:val="0F4761" w:themeColor="accent1" w:themeShade="BF"/>
      <w:spacing w:val="5"/>
    </w:rPr>
  </w:style>
  <w:style w:type="character" w:styleId="Hyperlink">
    <w:name w:val="Hyperlink"/>
    <w:basedOn w:val="DefaultParagraphFont"/>
    <w:uiPriority w:val="99"/>
    <w:unhideWhenUsed/>
    <w:rsid w:val="0017514F"/>
    <w:rPr>
      <w:color w:val="467886" w:themeColor="hyperlink"/>
      <w:u w:val="single"/>
    </w:rPr>
  </w:style>
  <w:style w:type="character" w:styleId="UnresolvedMention">
    <w:name w:val="Unresolved Mention"/>
    <w:basedOn w:val="DefaultParagraphFont"/>
    <w:uiPriority w:val="99"/>
    <w:semiHidden/>
    <w:unhideWhenUsed/>
    <w:rsid w:val="001751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pple.com/environ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nvestor.apple.com/investor-relations/default.aspx"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8</Pages>
  <Words>3267</Words>
  <Characters>18622</Characters>
  <Application>Microsoft Office Word</Application>
  <DocSecurity>0</DocSecurity>
  <Lines>155</Lines>
  <Paragraphs>43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Management Accounting Tools and Techniques Supporting Financial Decision-Making:</vt:lpstr>
    </vt:vector>
  </TitlesOfParts>
  <Company/>
  <LinksUpToDate>false</LinksUpToDate>
  <CharactersWithSpaces>21846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Rebeca Dascalu (2311833)</dc:creator>
  <cp:keywords/>
  <dc:description/>
  <cp:lastModifiedBy>Andreea Rebeca Dascalu (2311833)</cp:lastModifiedBy>
  <cp:revision>1</cp:revision>
  <dcterms:created xsi:type="dcterms:W3CDTF">2026-06-28T20:36:00Z</dcterms:created>
  <dcterms:modified xsi:type="dcterms:W3CDTF">2026-06-28T21:51:00Z</dcterms:modified>
</cp:coreProperties>
</file>