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71AD9" w14:textId="05DF14BD" w:rsidR="007A3265" w:rsidRDefault="007A3265" w:rsidP="5E736396">
      <w:pPr>
        <w:jc w:val="center"/>
        <w:rPr>
          <w:rFonts w:ascii="Times New Roman" w:eastAsia="Times New Roman" w:hAnsi="Times New Roman" w:cs="Times New Roman"/>
          <w:b/>
          <w:bCs/>
          <w:sz w:val="28"/>
          <w:szCs w:val="28"/>
        </w:rPr>
      </w:pPr>
    </w:p>
    <w:p w14:paraId="6BF0486F" w14:textId="12DC9454" w:rsidR="007A3265" w:rsidRDefault="003C5BDF" w:rsidP="003C5BDF">
      <w:pPr>
        <w:jc w:val="center"/>
        <w:rPr>
          <w:rFonts w:ascii="Times New Roman" w:eastAsia="Times New Roman" w:hAnsi="Times New Roman" w:cs="Times New Roman"/>
          <w:b/>
          <w:bCs/>
          <w:sz w:val="28"/>
          <w:szCs w:val="28"/>
        </w:rPr>
      </w:pPr>
      <w:r>
        <w:rPr>
          <w:noProof/>
        </w:rPr>
        <w:drawing>
          <wp:inline distT="0" distB="0" distL="0" distR="0" wp14:anchorId="33331051" wp14:editId="7C018EBE">
            <wp:extent cx="2385060" cy="121158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85060" cy="1211580"/>
                    </a:xfrm>
                    <a:prstGeom prst="rect">
                      <a:avLst/>
                    </a:prstGeom>
                    <a:noFill/>
                    <a:ln>
                      <a:noFill/>
                    </a:ln>
                  </pic:spPr>
                </pic:pic>
              </a:graphicData>
            </a:graphic>
          </wp:inline>
        </w:drawing>
      </w:r>
    </w:p>
    <w:p w14:paraId="42356DCC" w14:textId="77777777" w:rsidR="00F04DB1" w:rsidRPr="00F06128" w:rsidRDefault="00F04DB1" w:rsidP="00F04DB1">
      <w:pPr>
        <w:rPr>
          <w:rFonts w:ascii="Bahnschrift Light" w:hAnsi="Bahnschrift Light"/>
          <w:b/>
          <w:bCs/>
          <w:color w:val="000000" w:themeColor="text1"/>
          <w:sz w:val="32"/>
          <w:szCs w:val="28"/>
        </w:rPr>
      </w:pPr>
      <w:r>
        <w:rPr>
          <w:b/>
          <w:bCs/>
          <w:color w:val="000000" w:themeColor="text1"/>
          <w:sz w:val="32"/>
          <w:szCs w:val="28"/>
        </w:rPr>
        <w:t xml:space="preserve">                </w:t>
      </w:r>
      <w:r w:rsidRPr="00F06128">
        <w:rPr>
          <w:rFonts w:ascii="Bahnschrift Light" w:hAnsi="Bahnschrift Light"/>
          <w:b/>
          <w:bCs/>
          <w:color w:val="000000" w:themeColor="text1"/>
          <w:sz w:val="32"/>
          <w:szCs w:val="28"/>
        </w:rPr>
        <w:t>Programme : Master of Business Administration</w:t>
      </w:r>
    </w:p>
    <w:p w14:paraId="16C20ADF" w14:textId="77777777"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Module : Human Capital Management</w:t>
      </w:r>
    </w:p>
    <w:p w14:paraId="2D27C5BC" w14:textId="77777777"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w:t>
      </w:r>
      <w:r>
        <w:rPr>
          <w:rFonts w:ascii="Bahnschrift Light" w:hAnsi="Bahnschrift Light"/>
          <w:b/>
          <w:bCs/>
          <w:color w:val="000000" w:themeColor="text1"/>
          <w:sz w:val="32"/>
          <w:szCs w:val="28"/>
        </w:rPr>
        <w:t xml:space="preserve">       </w:t>
      </w:r>
      <w:r w:rsidRPr="00F06128">
        <w:rPr>
          <w:rFonts w:ascii="Bahnschrift Light" w:hAnsi="Bahnschrift Light"/>
          <w:b/>
          <w:bCs/>
          <w:color w:val="000000" w:themeColor="text1"/>
          <w:sz w:val="32"/>
          <w:szCs w:val="28"/>
        </w:rPr>
        <w:t xml:space="preserve"> Module Code : LCMB7023</w:t>
      </w:r>
    </w:p>
    <w:p w14:paraId="69D98407" w14:textId="77777777"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Assignment Title : Assessment Component 1 : Individual Report</w:t>
      </w:r>
    </w:p>
    <w:p w14:paraId="58AAEC5D" w14:textId="77777777"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Lecturer</w:t>
      </w:r>
      <w:r>
        <w:rPr>
          <w:rFonts w:ascii="Bahnschrift Light" w:hAnsi="Bahnschrift Light"/>
          <w:b/>
          <w:bCs/>
          <w:color w:val="000000" w:themeColor="text1"/>
          <w:sz w:val="32"/>
          <w:szCs w:val="28"/>
        </w:rPr>
        <w:t xml:space="preserve"> :</w:t>
      </w:r>
      <w:r w:rsidRPr="00F06128">
        <w:rPr>
          <w:rFonts w:ascii="Bahnschrift Light" w:hAnsi="Bahnschrift Light"/>
          <w:b/>
          <w:bCs/>
          <w:color w:val="000000" w:themeColor="text1"/>
          <w:sz w:val="32"/>
          <w:szCs w:val="28"/>
        </w:rPr>
        <w:t xml:space="preserve"> Ejike </w:t>
      </w:r>
      <w:proofErr w:type="spellStart"/>
      <w:r w:rsidRPr="00F06128">
        <w:rPr>
          <w:rFonts w:ascii="Bahnschrift Light" w:hAnsi="Bahnschrift Light"/>
          <w:b/>
          <w:bCs/>
          <w:color w:val="000000" w:themeColor="text1"/>
          <w:sz w:val="32"/>
          <w:szCs w:val="28"/>
        </w:rPr>
        <w:t>Udeogu</w:t>
      </w:r>
      <w:proofErr w:type="spellEnd"/>
      <w:r w:rsidRPr="00F06128">
        <w:rPr>
          <w:rFonts w:ascii="Bahnschrift Light" w:hAnsi="Bahnschrift Light"/>
          <w:b/>
          <w:bCs/>
          <w:color w:val="000000" w:themeColor="text1"/>
          <w:sz w:val="32"/>
          <w:szCs w:val="28"/>
        </w:rPr>
        <w:t xml:space="preserve">  </w:t>
      </w:r>
    </w:p>
    <w:p w14:paraId="303A943D" w14:textId="08314E19"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w:t>
      </w:r>
      <w:r>
        <w:rPr>
          <w:rFonts w:ascii="Bahnschrift Light" w:hAnsi="Bahnschrift Light"/>
          <w:b/>
          <w:bCs/>
          <w:color w:val="000000" w:themeColor="text1"/>
          <w:sz w:val="32"/>
          <w:szCs w:val="28"/>
        </w:rPr>
        <w:t xml:space="preserve">  </w:t>
      </w:r>
      <w:r w:rsidRPr="00F06128">
        <w:rPr>
          <w:rFonts w:ascii="Bahnschrift Light" w:hAnsi="Bahnschrift Light"/>
          <w:b/>
          <w:bCs/>
          <w:color w:val="000000" w:themeColor="text1"/>
          <w:sz w:val="32"/>
          <w:szCs w:val="28"/>
        </w:rPr>
        <w:t xml:space="preserve">Student Name : </w:t>
      </w:r>
      <w:r w:rsidR="001C6A47" w:rsidRPr="001C6A47">
        <w:rPr>
          <w:rFonts w:ascii="Bahnschrift Light" w:hAnsi="Bahnschrift Light"/>
          <w:b/>
          <w:bCs/>
          <w:color w:val="000000" w:themeColor="text1"/>
          <w:sz w:val="32"/>
          <w:szCs w:val="28"/>
        </w:rPr>
        <w:t>Bhargav jagdishbhai khunt</w:t>
      </w:r>
    </w:p>
    <w:p w14:paraId="5255A394" w14:textId="34B85447"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Student Id </w:t>
      </w:r>
      <w:r>
        <w:rPr>
          <w:rFonts w:ascii="Bahnschrift Light" w:hAnsi="Bahnschrift Light"/>
          <w:b/>
          <w:bCs/>
          <w:color w:val="000000" w:themeColor="text1"/>
          <w:sz w:val="32"/>
          <w:szCs w:val="28"/>
        </w:rPr>
        <w:t xml:space="preserve">Number </w:t>
      </w:r>
      <w:r w:rsidRPr="00F06128">
        <w:rPr>
          <w:rFonts w:ascii="Bahnschrift Light" w:hAnsi="Bahnschrift Light"/>
          <w:b/>
          <w:bCs/>
          <w:color w:val="000000" w:themeColor="text1"/>
          <w:sz w:val="32"/>
          <w:szCs w:val="28"/>
        </w:rPr>
        <w:t xml:space="preserve">: </w:t>
      </w:r>
      <w:r w:rsidR="00FF222C" w:rsidRPr="00FF222C">
        <w:rPr>
          <w:rFonts w:ascii="Bahnschrift Light" w:hAnsi="Bahnschrift Light"/>
          <w:b/>
          <w:bCs/>
          <w:color w:val="000000" w:themeColor="text1"/>
          <w:sz w:val="32"/>
          <w:szCs w:val="28"/>
        </w:rPr>
        <w:t>2435433</w:t>
      </w:r>
    </w:p>
    <w:p w14:paraId="3A71402E" w14:textId="61AF91EF"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Word Count :</w:t>
      </w:r>
      <w:r>
        <w:rPr>
          <w:rFonts w:ascii="Bahnschrift Light" w:hAnsi="Bahnschrift Light"/>
          <w:b/>
          <w:bCs/>
          <w:color w:val="000000" w:themeColor="text1"/>
          <w:sz w:val="32"/>
          <w:szCs w:val="28"/>
        </w:rPr>
        <w:t xml:space="preserve"> 2690</w:t>
      </w:r>
    </w:p>
    <w:p w14:paraId="25B7EF44" w14:textId="77777777" w:rsidR="00F04DB1" w:rsidRPr="00F06128" w:rsidRDefault="00F04DB1" w:rsidP="00F04DB1">
      <w:pPr>
        <w:rPr>
          <w:rFonts w:ascii="Bahnschrift Light" w:hAnsi="Bahnschrift Light"/>
          <w:b/>
          <w:bCs/>
          <w:color w:val="000000" w:themeColor="text1"/>
          <w:sz w:val="32"/>
          <w:szCs w:val="28"/>
        </w:rPr>
      </w:pPr>
      <w:r w:rsidRPr="00F06128">
        <w:rPr>
          <w:rFonts w:ascii="Bahnschrift Light" w:hAnsi="Bahnschrift Light"/>
          <w:b/>
          <w:bCs/>
          <w:color w:val="000000" w:themeColor="text1"/>
          <w:sz w:val="32"/>
          <w:szCs w:val="28"/>
        </w:rPr>
        <w:t xml:space="preserve">                               Submission Date : 17/10/2025      </w:t>
      </w:r>
    </w:p>
    <w:p w14:paraId="6A521EA2" w14:textId="1B467195" w:rsidR="007A3265" w:rsidRDefault="007A3265" w:rsidP="5E736396">
      <w:pPr>
        <w:jc w:val="center"/>
        <w:rPr>
          <w:rFonts w:ascii="Times New Roman" w:eastAsia="Times New Roman" w:hAnsi="Times New Roman" w:cs="Times New Roman"/>
          <w:b/>
          <w:bCs/>
          <w:sz w:val="28"/>
          <w:szCs w:val="28"/>
        </w:rPr>
      </w:pPr>
    </w:p>
    <w:p w14:paraId="7928E4C7" w14:textId="6BCD70F2" w:rsidR="007A3265" w:rsidRDefault="007A3265" w:rsidP="5E736396">
      <w:pPr>
        <w:jc w:val="center"/>
        <w:rPr>
          <w:rFonts w:ascii="Times New Roman" w:eastAsia="Times New Roman" w:hAnsi="Times New Roman" w:cs="Times New Roman"/>
          <w:b/>
          <w:bCs/>
          <w:sz w:val="28"/>
          <w:szCs w:val="28"/>
        </w:rPr>
      </w:pPr>
    </w:p>
    <w:p w14:paraId="0B948C35" w14:textId="77777777" w:rsidR="00F04DB1" w:rsidRDefault="00F04DB1" w:rsidP="00F04DB1">
      <w:pPr>
        <w:jc w:val="center"/>
        <w:rPr>
          <w:rFonts w:ascii="Times New Roman" w:eastAsia="Times New Roman" w:hAnsi="Times New Roman" w:cs="Times New Roman"/>
          <w:b/>
          <w:bCs/>
          <w:sz w:val="28"/>
          <w:szCs w:val="28"/>
        </w:rPr>
      </w:pPr>
      <w:r w:rsidRPr="5E736396">
        <w:rPr>
          <w:rFonts w:ascii="Times New Roman" w:eastAsia="Times New Roman" w:hAnsi="Times New Roman" w:cs="Times New Roman"/>
          <w:b/>
          <w:bCs/>
          <w:sz w:val="28"/>
          <w:szCs w:val="28"/>
        </w:rPr>
        <w:t>Assignment Title</w:t>
      </w:r>
    </w:p>
    <w:p w14:paraId="5CD39196" w14:textId="77777777" w:rsidR="00F04DB1" w:rsidRDefault="00F04DB1" w:rsidP="00F04DB1">
      <w:pPr>
        <w:jc w:val="center"/>
        <w:rPr>
          <w:rFonts w:ascii="Times New Roman" w:eastAsia="Times New Roman" w:hAnsi="Times New Roman" w:cs="Times New Roman"/>
          <w:b/>
          <w:bCs/>
          <w:i/>
          <w:iCs/>
          <w:sz w:val="28"/>
          <w:szCs w:val="28"/>
        </w:rPr>
      </w:pPr>
      <w:r w:rsidRPr="5E736396">
        <w:rPr>
          <w:rFonts w:ascii="Times New Roman" w:eastAsia="Times New Roman" w:hAnsi="Times New Roman" w:cs="Times New Roman"/>
          <w:b/>
          <w:bCs/>
          <w:i/>
          <w:iCs/>
          <w:sz w:val="28"/>
          <w:szCs w:val="28"/>
        </w:rPr>
        <w:t>“The Influence of National and International Labour Markets on HRM and IHRM Strategies”</w:t>
      </w:r>
    </w:p>
    <w:p w14:paraId="703DA73E" w14:textId="66676BBA" w:rsidR="007A3265" w:rsidRDefault="007A3265" w:rsidP="5E736396">
      <w:pPr>
        <w:jc w:val="center"/>
        <w:rPr>
          <w:rFonts w:ascii="Times New Roman" w:eastAsia="Times New Roman" w:hAnsi="Times New Roman" w:cs="Times New Roman"/>
          <w:b/>
          <w:bCs/>
          <w:sz w:val="28"/>
          <w:szCs w:val="28"/>
        </w:rPr>
      </w:pPr>
    </w:p>
    <w:p w14:paraId="1F914480" w14:textId="26707E00" w:rsidR="007A3265" w:rsidRDefault="007A3265" w:rsidP="5E736396">
      <w:pPr>
        <w:jc w:val="center"/>
        <w:rPr>
          <w:rFonts w:ascii="Times New Roman" w:eastAsia="Times New Roman" w:hAnsi="Times New Roman" w:cs="Times New Roman"/>
          <w:b/>
          <w:bCs/>
          <w:sz w:val="28"/>
          <w:szCs w:val="28"/>
        </w:rPr>
      </w:pPr>
    </w:p>
    <w:p w14:paraId="28E4D153" w14:textId="024BE502" w:rsidR="007A3265" w:rsidRDefault="007A3265" w:rsidP="5E736396">
      <w:pPr>
        <w:jc w:val="center"/>
        <w:rPr>
          <w:rFonts w:ascii="Times New Roman" w:eastAsia="Times New Roman" w:hAnsi="Times New Roman" w:cs="Times New Roman"/>
          <w:b/>
          <w:bCs/>
          <w:sz w:val="28"/>
          <w:szCs w:val="28"/>
        </w:rPr>
      </w:pPr>
    </w:p>
    <w:p w14:paraId="2157842C" w14:textId="69245F53" w:rsidR="007A3265" w:rsidRDefault="007A3265" w:rsidP="5E736396">
      <w:pPr>
        <w:jc w:val="center"/>
        <w:rPr>
          <w:rFonts w:ascii="Times New Roman" w:eastAsia="Times New Roman" w:hAnsi="Times New Roman" w:cs="Times New Roman"/>
          <w:b/>
          <w:bCs/>
          <w:sz w:val="28"/>
          <w:szCs w:val="28"/>
        </w:rPr>
      </w:pPr>
    </w:p>
    <w:p w14:paraId="758F0D72" w14:textId="77777777" w:rsidR="00F04DB1" w:rsidRDefault="00F04DB1" w:rsidP="00F04DB1">
      <w:pPr>
        <w:rPr>
          <w:rFonts w:ascii="Times New Roman" w:eastAsia="Times New Roman" w:hAnsi="Times New Roman" w:cs="Times New Roman"/>
          <w:b/>
          <w:bCs/>
        </w:rPr>
      </w:pPr>
      <w:r>
        <w:lastRenderedPageBreak/>
        <w:t xml:space="preserve">                                                                               </w:t>
      </w:r>
      <w:r w:rsidRPr="5E736396">
        <w:rPr>
          <w:rFonts w:ascii="Times New Roman" w:eastAsia="Times New Roman" w:hAnsi="Times New Roman" w:cs="Times New Roman"/>
          <w:b/>
          <w:bCs/>
        </w:rPr>
        <w:t>Table of Content</w:t>
      </w:r>
    </w:p>
    <w:p w14:paraId="4316D790" w14:textId="0C03D583" w:rsidR="00F04DB1" w:rsidRDefault="00F04DB1" w:rsidP="00F04DB1">
      <w:pPr>
        <w:pStyle w:val="TOC2"/>
        <w:tabs>
          <w:tab w:val="right" w:leader="dot" w:pos="9360"/>
        </w:tabs>
        <w:ind w:left="0"/>
        <w:jc w:val="center"/>
      </w:pPr>
    </w:p>
    <w:p w14:paraId="049B39F7" w14:textId="77777777" w:rsidR="00F04DB1" w:rsidRDefault="00F04DB1" w:rsidP="00F04DB1">
      <w:pPr>
        <w:pStyle w:val="TOC2"/>
        <w:tabs>
          <w:tab w:val="right" w:leader="dot" w:pos="9360"/>
        </w:tabs>
        <w:ind w:left="0"/>
      </w:pPr>
    </w:p>
    <w:p w14:paraId="27D9A6A4" w14:textId="5E5882B5" w:rsidR="00F04DB1" w:rsidRDefault="00F04DB1" w:rsidP="00F04DB1">
      <w:pPr>
        <w:pStyle w:val="TOC2"/>
        <w:tabs>
          <w:tab w:val="right" w:leader="dot" w:pos="9360"/>
        </w:tabs>
        <w:ind w:left="0"/>
        <w:rPr>
          <w:rStyle w:val="Hyperlink"/>
        </w:rPr>
      </w:pPr>
      <w:r>
        <w:fldChar w:fldCharType="begin"/>
      </w:r>
      <w:r>
        <w:instrText>TOC \o \z \u \h</w:instrText>
      </w:r>
      <w:r>
        <w:fldChar w:fldCharType="separate"/>
      </w:r>
      <w:hyperlink w:anchor="_Toc1632793498">
        <w:r w:rsidRPr="5E736396">
          <w:rPr>
            <w:rStyle w:val="Hyperlink"/>
          </w:rPr>
          <w:t>1. Introduction</w:t>
        </w:r>
        <w:r>
          <w:tab/>
        </w:r>
        <w:r>
          <w:fldChar w:fldCharType="begin"/>
        </w:r>
        <w:r>
          <w:instrText>PAGEREF _Toc1632793498 \h</w:instrText>
        </w:r>
        <w:r>
          <w:fldChar w:fldCharType="separate"/>
        </w:r>
        <w:r w:rsidRPr="5E736396">
          <w:rPr>
            <w:rStyle w:val="Hyperlink"/>
          </w:rPr>
          <w:t>1</w:t>
        </w:r>
        <w:r>
          <w:fldChar w:fldCharType="end"/>
        </w:r>
      </w:hyperlink>
    </w:p>
    <w:p w14:paraId="63DAAED4" w14:textId="77777777" w:rsidR="00F04DB1" w:rsidRDefault="00F04DB1" w:rsidP="00F04DB1">
      <w:pPr>
        <w:pStyle w:val="TOC2"/>
        <w:tabs>
          <w:tab w:val="right" w:leader="dot" w:pos="9360"/>
        </w:tabs>
        <w:rPr>
          <w:rStyle w:val="Hyperlink"/>
        </w:rPr>
      </w:pPr>
      <w:hyperlink w:anchor="_Toc134497161">
        <w:r w:rsidRPr="5E736396">
          <w:rPr>
            <w:rStyle w:val="Hyperlink"/>
          </w:rPr>
          <w:t>2. Technological Advancements and Their Implications for HRM and IHRM</w:t>
        </w:r>
        <w:r>
          <w:tab/>
        </w:r>
        <w:r>
          <w:fldChar w:fldCharType="begin"/>
        </w:r>
        <w:r>
          <w:instrText>PAGEREF _Toc134497161 \h</w:instrText>
        </w:r>
        <w:r>
          <w:fldChar w:fldCharType="separate"/>
        </w:r>
        <w:r w:rsidRPr="5E736396">
          <w:rPr>
            <w:rStyle w:val="Hyperlink"/>
          </w:rPr>
          <w:t>2</w:t>
        </w:r>
        <w:r>
          <w:fldChar w:fldCharType="end"/>
        </w:r>
      </w:hyperlink>
    </w:p>
    <w:p w14:paraId="5771DF45" w14:textId="77777777" w:rsidR="00F04DB1" w:rsidRDefault="00F04DB1" w:rsidP="00F04DB1">
      <w:pPr>
        <w:pStyle w:val="TOC3"/>
        <w:tabs>
          <w:tab w:val="right" w:leader="dot" w:pos="9360"/>
        </w:tabs>
        <w:rPr>
          <w:rStyle w:val="Hyperlink"/>
        </w:rPr>
      </w:pPr>
      <w:hyperlink w:anchor="_Toc1801621909">
        <w:r w:rsidRPr="5E736396">
          <w:rPr>
            <w:rStyle w:val="Hyperlink"/>
          </w:rPr>
          <w:t>2.1 Impact of Technological Change on Labour Markets</w:t>
        </w:r>
        <w:r>
          <w:tab/>
        </w:r>
        <w:r>
          <w:fldChar w:fldCharType="begin"/>
        </w:r>
        <w:r>
          <w:instrText>PAGEREF _Toc1801621909 \h</w:instrText>
        </w:r>
        <w:r>
          <w:fldChar w:fldCharType="separate"/>
        </w:r>
        <w:r w:rsidRPr="5E736396">
          <w:rPr>
            <w:rStyle w:val="Hyperlink"/>
          </w:rPr>
          <w:t>2</w:t>
        </w:r>
        <w:r>
          <w:fldChar w:fldCharType="end"/>
        </w:r>
      </w:hyperlink>
    </w:p>
    <w:p w14:paraId="468F3541" w14:textId="77777777" w:rsidR="00F04DB1" w:rsidRDefault="00F04DB1" w:rsidP="00F04DB1">
      <w:pPr>
        <w:pStyle w:val="TOC3"/>
        <w:tabs>
          <w:tab w:val="right" w:leader="dot" w:pos="9360"/>
        </w:tabs>
        <w:rPr>
          <w:rStyle w:val="Hyperlink"/>
        </w:rPr>
      </w:pPr>
      <w:hyperlink w:anchor="_Toc2052234254">
        <w:r w:rsidRPr="5E736396">
          <w:rPr>
            <w:rStyle w:val="Hyperlink"/>
          </w:rPr>
          <w:t>2.2 Implications for HRM and IHRM Strategies</w:t>
        </w:r>
        <w:r>
          <w:tab/>
        </w:r>
        <w:r>
          <w:fldChar w:fldCharType="begin"/>
        </w:r>
        <w:r>
          <w:instrText>PAGEREF _Toc2052234254 \h</w:instrText>
        </w:r>
        <w:r>
          <w:fldChar w:fldCharType="separate"/>
        </w:r>
        <w:r w:rsidRPr="5E736396">
          <w:rPr>
            <w:rStyle w:val="Hyperlink"/>
          </w:rPr>
          <w:t>4</w:t>
        </w:r>
        <w:r>
          <w:fldChar w:fldCharType="end"/>
        </w:r>
      </w:hyperlink>
    </w:p>
    <w:p w14:paraId="7EFADA9F" w14:textId="77777777" w:rsidR="00F04DB1" w:rsidRDefault="00F04DB1" w:rsidP="00F04DB1">
      <w:pPr>
        <w:pStyle w:val="TOC3"/>
        <w:tabs>
          <w:tab w:val="right" w:leader="dot" w:pos="9360"/>
        </w:tabs>
        <w:rPr>
          <w:rStyle w:val="Hyperlink"/>
        </w:rPr>
      </w:pPr>
      <w:hyperlink w:anchor="_Toc1187060421">
        <w:r w:rsidRPr="5E736396">
          <w:rPr>
            <w:rStyle w:val="Hyperlink"/>
          </w:rPr>
          <w:t>2.3 Strategic and Theoretical Insights</w:t>
        </w:r>
        <w:r>
          <w:tab/>
        </w:r>
        <w:r>
          <w:fldChar w:fldCharType="begin"/>
        </w:r>
        <w:r>
          <w:instrText>PAGEREF _Toc1187060421 \h</w:instrText>
        </w:r>
        <w:r>
          <w:fldChar w:fldCharType="separate"/>
        </w:r>
        <w:r w:rsidRPr="5E736396">
          <w:rPr>
            <w:rStyle w:val="Hyperlink"/>
          </w:rPr>
          <w:t>5</w:t>
        </w:r>
        <w:r>
          <w:fldChar w:fldCharType="end"/>
        </w:r>
      </w:hyperlink>
    </w:p>
    <w:p w14:paraId="78A2080F" w14:textId="77777777" w:rsidR="00F04DB1" w:rsidRDefault="00F04DB1" w:rsidP="00F04DB1">
      <w:pPr>
        <w:pStyle w:val="TOC3"/>
        <w:tabs>
          <w:tab w:val="right" w:leader="dot" w:pos="9360"/>
        </w:tabs>
        <w:rPr>
          <w:rStyle w:val="Hyperlink"/>
        </w:rPr>
      </w:pPr>
      <w:hyperlink w:anchor="_Toc1693522005">
        <w:r w:rsidRPr="5E736396">
          <w:rPr>
            <w:rStyle w:val="Hyperlink"/>
          </w:rPr>
          <w:t>2.4 Critical Evaluation and Summary</w:t>
        </w:r>
        <w:r>
          <w:tab/>
        </w:r>
        <w:r>
          <w:fldChar w:fldCharType="begin"/>
        </w:r>
        <w:r>
          <w:instrText>PAGEREF _Toc1693522005 \h</w:instrText>
        </w:r>
        <w:r>
          <w:fldChar w:fldCharType="separate"/>
        </w:r>
        <w:r w:rsidRPr="5E736396">
          <w:rPr>
            <w:rStyle w:val="Hyperlink"/>
          </w:rPr>
          <w:t>6</w:t>
        </w:r>
        <w:r>
          <w:fldChar w:fldCharType="end"/>
        </w:r>
      </w:hyperlink>
    </w:p>
    <w:p w14:paraId="7B1C22DA" w14:textId="77777777" w:rsidR="00F04DB1" w:rsidRDefault="00F04DB1" w:rsidP="00F04DB1">
      <w:pPr>
        <w:pStyle w:val="TOC2"/>
        <w:tabs>
          <w:tab w:val="right" w:leader="dot" w:pos="9360"/>
        </w:tabs>
        <w:rPr>
          <w:rStyle w:val="Hyperlink"/>
        </w:rPr>
      </w:pPr>
      <w:hyperlink w:anchor="_Toc1416382629">
        <w:r w:rsidRPr="5E736396">
          <w:rPr>
            <w:rStyle w:val="Hyperlink"/>
          </w:rPr>
          <w:t>3. Demographic and Geopolitical Factors Influencing Employment Markets</w:t>
        </w:r>
        <w:r>
          <w:tab/>
        </w:r>
        <w:r>
          <w:fldChar w:fldCharType="begin"/>
        </w:r>
        <w:r>
          <w:instrText>PAGEREF _Toc1416382629 \h</w:instrText>
        </w:r>
        <w:r>
          <w:fldChar w:fldCharType="separate"/>
        </w:r>
        <w:r w:rsidRPr="5E736396">
          <w:rPr>
            <w:rStyle w:val="Hyperlink"/>
          </w:rPr>
          <w:t>6</w:t>
        </w:r>
        <w:r>
          <w:fldChar w:fldCharType="end"/>
        </w:r>
      </w:hyperlink>
    </w:p>
    <w:p w14:paraId="01720BB2" w14:textId="77777777" w:rsidR="00F04DB1" w:rsidRDefault="00F04DB1" w:rsidP="00F04DB1">
      <w:pPr>
        <w:pStyle w:val="TOC3"/>
        <w:tabs>
          <w:tab w:val="right" w:leader="dot" w:pos="9360"/>
        </w:tabs>
        <w:rPr>
          <w:rStyle w:val="Hyperlink"/>
        </w:rPr>
      </w:pPr>
      <w:hyperlink w:anchor="_Toc361157835">
        <w:r w:rsidRPr="5E736396">
          <w:rPr>
            <w:rStyle w:val="Hyperlink"/>
          </w:rPr>
          <w:t>3.1 Demographic Shifts and Workforce Dynamics</w:t>
        </w:r>
        <w:r>
          <w:tab/>
        </w:r>
        <w:r>
          <w:fldChar w:fldCharType="begin"/>
        </w:r>
        <w:r>
          <w:instrText>PAGEREF _Toc361157835 \h</w:instrText>
        </w:r>
        <w:r>
          <w:fldChar w:fldCharType="separate"/>
        </w:r>
        <w:r w:rsidRPr="5E736396">
          <w:rPr>
            <w:rStyle w:val="Hyperlink"/>
          </w:rPr>
          <w:t>7</w:t>
        </w:r>
        <w:r>
          <w:fldChar w:fldCharType="end"/>
        </w:r>
      </w:hyperlink>
    </w:p>
    <w:p w14:paraId="0F3760F1" w14:textId="77777777" w:rsidR="00F04DB1" w:rsidRDefault="00F04DB1" w:rsidP="00F04DB1">
      <w:pPr>
        <w:pStyle w:val="TOC3"/>
        <w:tabs>
          <w:tab w:val="right" w:leader="dot" w:pos="9360"/>
        </w:tabs>
        <w:rPr>
          <w:rStyle w:val="Hyperlink"/>
        </w:rPr>
      </w:pPr>
      <w:hyperlink w:anchor="_Toc1235773725">
        <w:r w:rsidRPr="5E736396">
          <w:rPr>
            <w:rStyle w:val="Hyperlink"/>
          </w:rPr>
          <w:t>3.2 Geopolitical Forces and Labour Mobility</w:t>
        </w:r>
        <w:r>
          <w:tab/>
        </w:r>
        <w:r>
          <w:fldChar w:fldCharType="begin"/>
        </w:r>
        <w:r>
          <w:instrText>PAGEREF _Toc1235773725 \h</w:instrText>
        </w:r>
        <w:r>
          <w:fldChar w:fldCharType="separate"/>
        </w:r>
        <w:r w:rsidRPr="5E736396">
          <w:rPr>
            <w:rStyle w:val="Hyperlink"/>
          </w:rPr>
          <w:t>7</w:t>
        </w:r>
        <w:r>
          <w:fldChar w:fldCharType="end"/>
        </w:r>
      </w:hyperlink>
    </w:p>
    <w:p w14:paraId="5A8EB6A5" w14:textId="77777777" w:rsidR="00F04DB1" w:rsidRDefault="00F04DB1" w:rsidP="00F04DB1">
      <w:pPr>
        <w:pStyle w:val="TOC3"/>
        <w:tabs>
          <w:tab w:val="right" w:leader="dot" w:pos="9360"/>
        </w:tabs>
        <w:rPr>
          <w:rStyle w:val="Hyperlink"/>
        </w:rPr>
      </w:pPr>
      <w:hyperlink w:anchor="_Toc1399794686">
        <w:r w:rsidRPr="5E736396">
          <w:rPr>
            <w:rStyle w:val="Hyperlink"/>
          </w:rPr>
          <w:t>3.3 HR Challenges and IHRM Responses</w:t>
        </w:r>
        <w:r>
          <w:tab/>
        </w:r>
        <w:r>
          <w:fldChar w:fldCharType="begin"/>
        </w:r>
        <w:r>
          <w:instrText>PAGEREF _Toc1399794686 \h</w:instrText>
        </w:r>
        <w:r>
          <w:fldChar w:fldCharType="separate"/>
        </w:r>
        <w:r w:rsidRPr="5E736396">
          <w:rPr>
            <w:rStyle w:val="Hyperlink"/>
          </w:rPr>
          <w:t>8</w:t>
        </w:r>
        <w:r>
          <w:fldChar w:fldCharType="end"/>
        </w:r>
      </w:hyperlink>
    </w:p>
    <w:p w14:paraId="3001CD05" w14:textId="77777777" w:rsidR="00F04DB1" w:rsidRDefault="00F04DB1" w:rsidP="00F04DB1">
      <w:pPr>
        <w:pStyle w:val="TOC2"/>
        <w:tabs>
          <w:tab w:val="right" w:leader="dot" w:pos="9360"/>
        </w:tabs>
        <w:rPr>
          <w:rStyle w:val="Hyperlink"/>
        </w:rPr>
      </w:pPr>
      <w:hyperlink w:anchor="_Toc718053358">
        <w:r w:rsidRPr="5E736396">
          <w:rPr>
            <w:rStyle w:val="Hyperlink"/>
          </w:rPr>
          <w:t>4. Addressing Skills Gaps and Talent Shortages through Strategic HRM</w:t>
        </w:r>
        <w:r>
          <w:tab/>
        </w:r>
        <w:r>
          <w:fldChar w:fldCharType="begin"/>
        </w:r>
        <w:r>
          <w:instrText>PAGEREF _Toc718053358 \h</w:instrText>
        </w:r>
        <w:r>
          <w:fldChar w:fldCharType="separate"/>
        </w:r>
        <w:r w:rsidRPr="5E736396">
          <w:rPr>
            <w:rStyle w:val="Hyperlink"/>
          </w:rPr>
          <w:t>8</w:t>
        </w:r>
        <w:r>
          <w:fldChar w:fldCharType="end"/>
        </w:r>
      </w:hyperlink>
    </w:p>
    <w:p w14:paraId="5022F85B" w14:textId="77777777" w:rsidR="00F04DB1" w:rsidRDefault="00F04DB1" w:rsidP="00F04DB1">
      <w:pPr>
        <w:pStyle w:val="TOC3"/>
        <w:tabs>
          <w:tab w:val="right" w:leader="dot" w:pos="9360"/>
        </w:tabs>
        <w:rPr>
          <w:rStyle w:val="Hyperlink"/>
        </w:rPr>
      </w:pPr>
      <w:hyperlink w:anchor="_Toc808924343">
        <w:r w:rsidRPr="5E736396">
          <w:rPr>
            <w:rStyle w:val="Hyperlink"/>
          </w:rPr>
          <w:t>4.1 Understanding the Skills Gap</w:t>
        </w:r>
        <w:r>
          <w:tab/>
        </w:r>
        <w:r>
          <w:fldChar w:fldCharType="begin"/>
        </w:r>
        <w:r>
          <w:instrText>PAGEREF _Toc808924343 \h</w:instrText>
        </w:r>
        <w:r>
          <w:fldChar w:fldCharType="separate"/>
        </w:r>
        <w:r w:rsidRPr="5E736396">
          <w:rPr>
            <w:rStyle w:val="Hyperlink"/>
          </w:rPr>
          <w:t>8</w:t>
        </w:r>
        <w:r>
          <w:fldChar w:fldCharType="end"/>
        </w:r>
      </w:hyperlink>
    </w:p>
    <w:p w14:paraId="689E9618" w14:textId="77777777" w:rsidR="00F04DB1" w:rsidRDefault="00F04DB1" w:rsidP="00F04DB1">
      <w:pPr>
        <w:pStyle w:val="TOC3"/>
        <w:tabs>
          <w:tab w:val="right" w:leader="dot" w:pos="9360"/>
        </w:tabs>
        <w:rPr>
          <w:rStyle w:val="Hyperlink"/>
        </w:rPr>
      </w:pPr>
      <w:hyperlink w:anchor="_Toc1282385322">
        <w:r w:rsidRPr="5E736396">
          <w:rPr>
            <w:rStyle w:val="Hyperlink"/>
          </w:rPr>
          <w:t>4.2 Strategic HRM Tools and Solutions</w:t>
        </w:r>
        <w:r>
          <w:tab/>
        </w:r>
        <w:r>
          <w:fldChar w:fldCharType="begin"/>
        </w:r>
        <w:r>
          <w:instrText>PAGEREF _Toc1282385322 \h</w:instrText>
        </w:r>
        <w:r>
          <w:fldChar w:fldCharType="separate"/>
        </w:r>
        <w:r w:rsidRPr="5E736396">
          <w:rPr>
            <w:rStyle w:val="Hyperlink"/>
          </w:rPr>
          <w:t>8</w:t>
        </w:r>
        <w:r>
          <w:fldChar w:fldCharType="end"/>
        </w:r>
      </w:hyperlink>
    </w:p>
    <w:p w14:paraId="26F10B29" w14:textId="77777777" w:rsidR="00F04DB1" w:rsidRDefault="00F04DB1" w:rsidP="00F04DB1">
      <w:pPr>
        <w:pStyle w:val="TOC3"/>
        <w:tabs>
          <w:tab w:val="right" w:leader="dot" w:pos="9360"/>
        </w:tabs>
        <w:rPr>
          <w:rStyle w:val="Hyperlink"/>
        </w:rPr>
      </w:pPr>
      <w:hyperlink w:anchor="_Toc1507215859">
        <w:r w:rsidRPr="5E736396">
          <w:rPr>
            <w:rStyle w:val="Hyperlink"/>
          </w:rPr>
          <w:t>4.3 Applying Theories and Models</w:t>
        </w:r>
        <w:r>
          <w:tab/>
        </w:r>
        <w:r>
          <w:fldChar w:fldCharType="begin"/>
        </w:r>
        <w:r>
          <w:instrText>PAGEREF _Toc1507215859 \h</w:instrText>
        </w:r>
        <w:r>
          <w:fldChar w:fldCharType="separate"/>
        </w:r>
        <w:r w:rsidRPr="5E736396">
          <w:rPr>
            <w:rStyle w:val="Hyperlink"/>
          </w:rPr>
          <w:t>9</w:t>
        </w:r>
        <w:r>
          <w:fldChar w:fldCharType="end"/>
        </w:r>
      </w:hyperlink>
    </w:p>
    <w:p w14:paraId="0845E1B7" w14:textId="77777777" w:rsidR="00F04DB1" w:rsidRDefault="00F04DB1" w:rsidP="00F04DB1">
      <w:pPr>
        <w:pStyle w:val="TOC3"/>
        <w:tabs>
          <w:tab w:val="right" w:leader="dot" w:pos="9360"/>
        </w:tabs>
        <w:rPr>
          <w:rStyle w:val="Hyperlink"/>
        </w:rPr>
      </w:pPr>
      <w:hyperlink w:anchor="_Toc694727843">
        <w:r w:rsidRPr="5E736396">
          <w:rPr>
            <w:rStyle w:val="Hyperlink"/>
          </w:rPr>
          <w:t>4.4 Summary</w:t>
        </w:r>
        <w:r>
          <w:tab/>
        </w:r>
        <w:r>
          <w:fldChar w:fldCharType="begin"/>
        </w:r>
        <w:r>
          <w:instrText>PAGEREF _Toc694727843 \h</w:instrText>
        </w:r>
        <w:r>
          <w:fldChar w:fldCharType="separate"/>
        </w:r>
        <w:r w:rsidRPr="5E736396">
          <w:rPr>
            <w:rStyle w:val="Hyperlink"/>
          </w:rPr>
          <w:t>10</w:t>
        </w:r>
        <w:r>
          <w:fldChar w:fldCharType="end"/>
        </w:r>
      </w:hyperlink>
    </w:p>
    <w:p w14:paraId="7BF0D755" w14:textId="77777777" w:rsidR="00F04DB1" w:rsidRDefault="00F04DB1" w:rsidP="00F04DB1">
      <w:pPr>
        <w:pStyle w:val="TOC2"/>
        <w:tabs>
          <w:tab w:val="right" w:leader="dot" w:pos="9360"/>
        </w:tabs>
        <w:rPr>
          <w:rStyle w:val="Hyperlink"/>
        </w:rPr>
      </w:pPr>
      <w:hyperlink w:anchor="_Toc1810089928">
        <w:r w:rsidRPr="5E736396">
          <w:rPr>
            <w:rStyle w:val="Hyperlink"/>
          </w:rPr>
          <w:t>5. Reflective Report on Personal Capabilities</w:t>
        </w:r>
        <w:r>
          <w:tab/>
        </w:r>
        <w:r>
          <w:fldChar w:fldCharType="begin"/>
        </w:r>
        <w:r>
          <w:instrText>PAGEREF _Toc1810089928 \h</w:instrText>
        </w:r>
        <w:r>
          <w:fldChar w:fldCharType="separate"/>
        </w:r>
        <w:r w:rsidRPr="5E736396">
          <w:rPr>
            <w:rStyle w:val="Hyperlink"/>
          </w:rPr>
          <w:t>10</w:t>
        </w:r>
        <w:r>
          <w:fldChar w:fldCharType="end"/>
        </w:r>
      </w:hyperlink>
    </w:p>
    <w:p w14:paraId="6181DE60" w14:textId="77777777" w:rsidR="00F04DB1" w:rsidRDefault="00F04DB1" w:rsidP="00F04DB1">
      <w:pPr>
        <w:pStyle w:val="TOC3"/>
        <w:tabs>
          <w:tab w:val="right" w:leader="dot" w:pos="9360"/>
        </w:tabs>
        <w:rPr>
          <w:rStyle w:val="Hyperlink"/>
        </w:rPr>
      </w:pPr>
      <w:hyperlink w:anchor="_Toc421229103">
        <w:r w:rsidRPr="5E736396">
          <w:rPr>
            <w:rStyle w:val="Hyperlink"/>
          </w:rPr>
          <w:t>5.1 Framework and Purpose</w:t>
        </w:r>
        <w:r>
          <w:tab/>
        </w:r>
        <w:r>
          <w:fldChar w:fldCharType="begin"/>
        </w:r>
        <w:r>
          <w:instrText>PAGEREF _Toc421229103 \h</w:instrText>
        </w:r>
        <w:r>
          <w:fldChar w:fldCharType="separate"/>
        </w:r>
        <w:r w:rsidRPr="5E736396">
          <w:rPr>
            <w:rStyle w:val="Hyperlink"/>
          </w:rPr>
          <w:t>10</w:t>
        </w:r>
        <w:r>
          <w:fldChar w:fldCharType="end"/>
        </w:r>
      </w:hyperlink>
    </w:p>
    <w:p w14:paraId="4E3CE483" w14:textId="77777777" w:rsidR="00F04DB1" w:rsidRDefault="00F04DB1" w:rsidP="00F04DB1">
      <w:pPr>
        <w:pStyle w:val="TOC3"/>
        <w:tabs>
          <w:tab w:val="right" w:leader="dot" w:pos="9360"/>
        </w:tabs>
        <w:rPr>
          <w:rStyle w:val="Hyperlink"/>
        </w:rPr>
      </w:pPr>
      <w:hyperlink w:anchor="_Toc371997844">
        <w:r w:rsidRPr="5E736396">
          <w:rPr>
            <w:rStyle w:val="Hyperlink"/>
          </w:rPr>
          <w:t>5.2 Technology Competence</w:t>
        </w:r>
        <w:r>
          <w:tab/>
        </w:r>
        <w:r>
          <w:fldChar w:fldCharType="begin"/>
        </w:r>
        <w:r>
          <w:instrText>PAGEREF _Toc371997844 \h</w:instrText>
        </w:r>
        <w:r>
          <w:fldChar w:fldCharType="separate"/>
        </w:r>
        <w:r w:rsidRPr="5E736396">
          <w:rPr>
            <w:rStyle w:val="Hyperlink"/>
          </w:rPr>
          <w:t>11</w:t>
        </w:r>
        <w:r>
          <w:fldChar w:fldCharType="end"/>
        </w:r>
      </w:hyperlink>
    </w:p>
    <w:p w14:paraId="1117550D" w14:textId="77777777" w:rsidR="00F04DB1" w:rsidRDefault="00F04DB1" w:rsidP="00F04DB1">
      <w:pPr>
        <w:pStyle w:val="TOC3"/>
        <w:tabs>
          <w:tab w:val="right" w:leader="dot" w:pos="9360"/>
        </w:tabs>
        <w:rPr>
          <w:rStyle w:val="Hyperlink"/>
        </w:rPr>
      </w:pPr>
      <w:hyperlink w:anchor="_Toc2033141483">
        <w:r w:rsidRPr="5E736396">
          <w:rPr>
            <w:rStyle w:val="Hyperlink"/>
          </w:rPr>
          <w:t>5.3 Communication Skills</w:t>
        </w:r>
        <w:r>
          <w:tab/>
        </w:r>
        <w:r>
          <w:fldChar w:fldCharType="begin"/>
        </w:r>
        <w:r>
          <w:instrText>PAGEREF _Toc2033141483 \h</w:instrText>
        </w:r>
        <w:r>
          <w:fldChar w:fldCharType="separate"/>
        </w:r>
        <w:r w:rsidRPr="5E736396">
          <w:rPr>
            <w:rStyle w:val="Hyperlink"/>
          </w:rPr>
          <w:t>11</w:t>
        </w:r>
        <w:r>
          <w:fldChar w:fldCharType="end"/>
        </w:r>
      </w:hyperlink>
    </w:p>
    <w:p w14:paraId="472696EF" w14:textId="77777777" w:rsidR="00F04DB1" w:rsidRDefault="00F04DB1" w:rsidP="00F04DB1">
      <w:pPr>
        <w:pStyle w:val="TOC3"/>
        <w:tabs>
          <w:tab w:val="right" w:leader="dot" w:pos="9360"/>
        </w:tabs>
        <w:rPr>
          <w:rStyle w:val="Hyperlink"/>
        </w:rPr>
      </w:pPr>
      <w:hyperlink w:anchor="_Toc2113780072">
        <w:r w:rsidRPr="5E736396">
          <w:rPr>
            <w:rStyle w:val="Hyperlink"/>
          </w:rPr>
          <w:t>5.4 Teamwork and Leadership</w:t>
        </w:r>
        <w:r>
          <w:tab/>
        </w:r>
        <w:r>
          <w:fldChar w:fldCharType="begin"/>
        </w:r>
        <w:r>
          <w:instrText>PAGEREF _Toc2113780072 \h</w:instrText>
        </w:r>
        <w:r>
          <w:fldChar w:fldCharType="separate"/>
        </w:r>
        <w:r w:rsidRPr="5E736396">
          <w:rPr>
            <w:rStyle w:val="Hyperlink"/>
          </w:rPr>
          <w:t>11</w:t>
        </w:r>
        <w:r>
          <w:fldChar w:fldCharType="end"/>
        </w:r>
      </w:hyperlink>
    </w:p>
    <w:p w14:paraId="2E79260B" w14:textId="77777777" w:rsidR="00F04DB1" w:rsidRDefault="00F04DB1" w:rsidP="00F04DB1">
      <w:pPr>
        <w:pStyle w:val="TOC3"/>
        <w:tabs>
          <w:tab w:val="right" w:leader="dot" w:pos="9360"/>
        </w:tabs>
        <w:rPr>
          <w:rStyle w:val="Hyperlink"/>
        </w:rPr>
      </w:pPr>
      <w:hyperlink w:anchor="_Toc638236680">
        <w:r w:rsidRPr="5E736396">
          <w:rPr>
            <w:rStyle w:val="Hyperlink"/>
          </w:rPr>
          <w:t>5.5 Self-Directed Learning</w:t>
        </w:r>
        <w:r>
          <w:tab/>
        </w:r>
        <w:r>
          <w:fldChar w:fldCharType="begin"/>
        </w:r>
        <w:r>
          <w:instrText>PAGEREF _Toc638236680 \h</w:instrText>
        </w:r>
        <w:r>
          <w:fldChar w:fldCharType="separate"/>
        </w:r>
        <w:r w:rsidRPr="5E736396">
          <w:rPr>
            <w:rStyle w:val="Hyperlink"/>
          </w:rPr>
          <w:t>11</w:t>
        </w:r>
        <w:r>
          <w:fldChar w:fldCharType="end"/>
        </w:r>
      </w:hyperlink>
    </w:p>
    <w:p w14:paraId="78B537F4" w14:textId="77777777" w:rsidR="00F04DB1" w:rsidRDefault="00F04DB1" w:rsidP="00F04DB1">
      <w:pPr>
        <w:pStyle w:val="TOC3"/>
        <w:tabs>
          <w:tab w:val="right" w:leader="dot" w:pos="9360"/>
        </w:tabs>
        <w:rPr>
          <w:rStyle w:val="Hyperlink"/>
        </w:rPr>
      </w:pPr>
      <w:hyperlink w:anchor="_Toc1385212189">
        <w:r w:rsidRPr="5E736396">
          <w:rPr>
            <w:rStyle w:val="Hyperlink"/>
          </w:rPr>
          <w:t>5.6 Personal Development Plan</w:t>
        </w:r>
        <w:r>
          <w:tab/>
        </w:r>
        <w:r>
          <w:fldChar w:fldCharType="begin"/>
        </w:r>
        <w:r>
          <w:instrText>PAGEREF _Toc1385212189 \h</w:instrText>
        </w:r>
        <w:r>
          <w:fldChar w:fldCharType="separate"/>
        </w:r>
        <w:r w:rsidRPr="5E736396">
          <w:rPr>
            <w:rStyle w:val="Hyperlink"/>
          </w:rPr>
          <w:t>11</w:t>
        </w:r>
        <w:r>
          <w:fldChar w:fldCharType="end"/>
        </w:r>
      </w:hyperlink>
    </w:p>
    <w:p w14:paraId="5B30822D" w14:textId="77777777" w:rsidR="00F04DB1" w:rsidRDefault="00F04DB1" w:rsidP="00F04DB1">
      <w:pPr>
        <w:pStyle w:val="TOC3"/>
        <w:tabs>
          <w:tab w:val="right" w:leader="dot" w:pos="9360"/>
        </w:tabs>
        <w:rPr>
          <w:rStyle w:val="Hyperlink"/>
        </w:rPr>
      </w:pPr>
      <w:hyperlink w:anchor="_Toc1514413170">
        <w:r w:rsidRPr="5E736396">
          <w:rPr>
            <w:rStyle w:val="Hyperlink"/>
          </w:rPr>
          <w:t>5.7 Summary</w:t>
        </w:r>
        <w:r>
          <w:tab/>
        </w:r>
        <w:r>
          <w:fldChar w:fldCharType="begin"/>
        </w:r>
        <w:r>
          <w:instrText>PAGEREF _Toc1514413170 \h</w:instrText>
        </w:r>
        <w:r>
          <w:fldChar w:fldCharType="separate"/>
        </w:r>
        <w:r w:rsidRPr="5E736396">
          <w:rPr>
            <w:rStyle w:val="Hyperlink"/>
          </w:rPr>
          <w:t>12</w:t>
        </w:r>
        <w:r>
          <w:fldChar w:fldCharType="end"/>
        </w:r>
      </w:hyperlink>
    </w:p>
    <w:p w14:paraId="6EFEDFF9" w14:textId="77777777" w:rsidR="00F04DB1" w:rsidRDefault="00F04DB1" w:rsidP="00F04DB1">
      <w:pPr>
        <w:pStyle w:val="TOC2"/>
        <w:tabs>
          <w:tab w:val="right" w:leader="dot" w:pos="9360"/>
        </w:tabs>
        <w:rPr>
          <w:rStyle w:val="Hyperlink"/>
        </w:rPr>
      </w:pPr>
      <w:hyperlink w:anchor="_Toc1156738916">
        <w:r w:rsidRPr="5E736396">
          <w:rPr>
            <w:rStyle w:val="Hyperlink"/>
          </w:rPr>
          <w:t>6. Conclusion</w:t>
        </w:r>
        <w:r>
          <w:tab/>
        </w:r>
        <w:r>
          <w:fldChar w:fldCharType="begin"/>
        </w:r>
        <w:r>
          <w:instrText>PAGEREF _Toc1156738916 \h</w:instrText>
        </w:r>
        <w:r>
          <w:fldChar w:fldCharType="separate"/>
        </w:r>
        <w:r w:rsidRPr="5E736396">
          <w:rPr>
            <w:rStyle w:val="Hyperlink"/>
          </w:rPr>
          <w:t>12</w:t>
        </w:r>
        <w:r>
          <w:fldChar w:fldCharType="end"/>
        </w:r>
      </w:hyperlink>
    </w:p>
    <w:p w14:paraId="42E33550" w14:textId="77777777" w:rsidR="00F04DB1" w:rsidRDefault="00F04DB1" w:rsidP="00F04DB1">
      <w:pPr>
        <w:pStyle w:val="TOC2"/>
        <w:tabs>
          <w:tab w:val="right" w:leader="dot" w:pos="9360"/>
        </w:tabs>
        <w:rPr>
          <w:rStyle w:val="Hyperlink"/>
        </w:rPr>
      </w:pPr>
      <w:hyperlink w:anchor="_Toc1278110999">
        <w:r w:rsidRPr="5E736396">
          <w:rPr>
            <w:rStyle w:val="Hyperlink"/>
          </w:rPr>
          <w:t>References</w:t>
        </w:r>
        <w:r>
          <w:tab/>
        </w:r>
        <w:r>
          <w:fldChar w:fldCharType="begin"/>
        </w:r>
        <w:r>
          <w:instrText>PAGEREF _Toc1278110999 \h</w:instrText>
        </w:r>
        <w:r>
          <w:fldChar w:fldCharType="separate"/>
        </w:r>
        <w:r w:rsidRPr="5E736396">
          <w:rPr>
            <w:rStyle w:val="Hyperlink"/>
          </w:rPr>
          <w:t>12</w:t>
        </w:r>
        <w:r>
          <w:fldChar w:fldCharType="end"/>
        </w:r>
      </w:hyperlink>
      <w:r>
        <w:fldChar w:fldCharType="end"/>
      </w:r>
    </w:p>
    <w:p w14:paraId="441F8594" w14:textId="78CA3E46" w:rsidR="007A3265" w:rsidRDefault="007A3265" w:rsidP="5E736396">
      <w:pPr>
        <w:jc w:val="center"/>
        <w:rPr>
          <w:rFonts w:ascii="Times New Roman" w:eastAsia="Times New Roman" w:hAnsi="Times New Roman" w:cs="Times New Roman"/>
          <w:b/>
          <w:bCs/>
          <w:sz w:val="28"/>
          <w:szCs w:val="28"/>
        </w:rPr>
      </w:pPr>
    </w:p>
    <w:p w14:paraId="21E04DDE" w14:textId="7200538C" w:rsidR="007A3265" w:rsidRPr="00F04DB1" w:rsidRDefault="43EDC016" w:rsidP="00F04DB1">
      <w:pPr>
        <w:pStyle w:val="TOC2"/>
        <w:tabs>
          <w:tab w:val="right" w:leader="dot" w:pos="9360"/>
        </w:tabs>
        <w:ind w:left="0"/>
        <w:rPr>
          <w:color w:val="467886"/>
          <w:u w:val="single"/>
        </w:rPr>
      </w:pPr>
      <w:bookmarkStart w:id="0" w:name="_Toc1632793498"/>
      <w:r w:rsidRPr="5E736396">
        <w:rPr>
          <w:rFonts w:ascii="Times New Roman" w:eastAsia="Times New Roman" w:hAnsi="Times New Roman" w:cs="Times New Roman"/>
          <w:b/>
          <w:bCs/>
        </w:rPr>
        <w:lastRenderedPageBreak/>
        <w:t>1. Introduction</w:t>
      </w:r>
      <w:bookmarkEnd w:id="0"/>
    </w:p>
    <w:p w14:paraId="5970886F" w14:textId="52CF43FF" w:rsidR="007A3265" w:rsidRDefault="62D63CA1" w:rsidP="5E736396">
      <w:pPr>
        <w:spacing w:before="240" w:after="240" w:line="360" w:lineRule="auto"/>
        <w:jc w:val="both"/>
        <w:rPr>
          <w:rFonts w:ascii="Times New Roman" w:eastAsia="Times New Roman" w:hAnsi="Times New Roman" w:cs="Times New Roman"/>
        </w:rPr>
      </w:pPr>
      <w:r w:rsidRPr="5E736396">
        <w:rPr>
          <w:rFonts w:ascii="Times New Roman" w:eastAsia="Times New Roman" w:hAnsi="Times New Roman" w:cs="Times New Roman"/>
        </w:rPr>
        <w:t xml:space="preserve">In this fast-changing business environment, Human Capital Management (HCM) has evolved into a strategic operation to enable organisations to attract, develop and retain that talent so vital in ensuring their continued competitiveness. Human Resource Management (HRM) and International Human Resource Management (IHRM) have evolved beyond their administrative support roles, into strategic fields of study which have a direct impact on the global organisational performance. Constantly shifting labour market because of technological changes, demographic transformation, geopolitical instability, demand for HR specialists to implement flexible, evidence-based &amp; futuristic strategies. </w:t>
      </w:r>
    </w:p>
    <w:p w14:paraId="112BC46B" w14:textId="6321B72D" w:rsidR="007A3265" w:rsidRDefault="62D63CA1" w:rsidP="5E736396">
      <w:pPr>
        <w:spacing w:before="240" w:after="240" w:line="360" w:lineRule="auto"/>
        <w:jc w:val="both"/>
        <w:rPr>
          <w:rFonts w:ascii="Times New Roman" w:eastAsia="Times New Roman" w:hAnsi="Times New Roman" w:cs="Times New Roman"/>
        </w:rPr>
      </w:pPr>
      <w:r w:rsidRPr="5E736396">
        <w:rPr>
          <w:rFonts w:ascii="Times New Roman" w:eastAsia="Times New Roman" w:hAnsi="Times New Roman" w:cs="Times New Roman"/>
        </w:rPr>
        <w:t xml:space="preserve">Automation, digitalisation and more sophisticated data systems are technologies that not only create new jobs, but also change standard job roles, transforming the way organisations recruit, learn and manage employees. Simultaneously, demographic changes such as working populations aged in the Global North and across more youth in the Global South have changed the make-up and demands of the workforce. What is more, the geopolitical pressures of the post-pandemic economy and increased demands on global labour movements (Brexit, local conflicts </w:t>
      </w:r>
      <w:proofErr w:type="spellStart"/>
      <w:r w:rsidRPr="5E736396">
        <w:rPr>
          <w:rFonts w:ascii="Times New Roman" w:eastAsia="Times New Roman" w:hAnsi="Times New Roman" w:cs="Times New Roman"/>
        </w:rPr>
        <w:t>etc</w:t>
      </w:r>
      <w:proofErr w:type="spellEnd"/>
      <w:r w:rsidRPr="5E736396">
        <w:rPr>
          <w:rFonts w:ascii="Times New Roman" w:eastAsia="Times New Roman" w:hAnsi="Times New Roman" w:cs="Times New Roman"/>
        </w:rPr>
        <w:t xml:space="preserve">) further stratify the challenges related to the workforce set and strategy. </w:t>
      </w:r>
    </w:p>
    <w:p w14:paraId="1A06E64A" w14:textId="4E2945AC" w:rsidR="007A3265" w:rsidRDefault="62D63CA1" w:rsidP="5E736396">
      <w:pPr>
        <w:spacing w:before="240" w:after="240" w:line="360" w:lineRule="auto"/>
        <w:jc w:val="both"/>
      </w:pPr>
      <w:r w:rsidRPr="5E736396">
        <w:rPr>
          <w:rFonts w:ascii="Times New Roman" w:eastAsia="Times New Roman" w:hAnsi="Times New Roman" w:cs="Times New Roman"/>
        </w:rPr>
        <w:t>This report is a critical analysis of such developments in four parts. First, it examines the impact technological change is having on labour markets and the effect on HRM and IHRM strategies. Second, it considers the impact of demographic and geopolitical elements. Third is to evaluate the ability of organisations to surmount skills shortage and talent gaps through strategic human resource programmes. Lastly, it offers a contemplative evaluation of employability international skills. The general aim is to demonstrate, within a globalised setting, how organisational flexibility and individual ability can work together to achieve long term workforce sustainability.</w:t>
      </w:r>
    </w:p>
    <w:p w14:paraId="5CA6A33C" w14:textId="0D9DE58B" w:rsidR="007A3265" w:rsidRDefault="007A3265" w:rsidP="5E736396">
      <w:pPr>
        <w:spacing w:line="360" w:lineRule="auto"/>
        <w:jc w:val="both"/>
        <w:rPr>
          <w:rFonts w:ascii="Times New Roman" w:eastAsia="Times New Roman" w:hAnsi="Times New Roman" w:cs="Times New Roman"/>
        </w:rPr>
      </w:pPr>
    </w:p>
    <w:p w14:paraId="66F17F48" w14:textId="7E5C3590" w:rsidR="007A3265" w:rsidRDefault="594A49C2" w:rsidP="5E736396">
      <w:pPr>
        <w:pStyle w:val="Heading2"/>
        <w:spacing w:before="299" w:after="299" w:line="360" w:lineRule="auto"/>
        <w:jc w:val="both"/>
        <w:rPr>
          <w:rFonts w:ascii="Times New Roman" w:eastAsia="Times New Roman" w:hAnsi="Times New Roman" w:cs="Times New Roman"/>
          <w:b/>
          <w:bCs/>
          <w:i/>
          <w:iCs/>
          <w:color w:val="auto"/>
          <w:sz w:val="24"/>
          <w:szCs w:val="24"/>
        </w:rPr>
      </w:pPr>
      <w:bookmarkStart w:id="1" w:name="_Toc134497161"/>
      <w:r w:rsidRPr="5E736396">
        <w:rPr>
          <w:rFonts w:ascii="Times New Roman" w:eastAsia="Times New Roman" w:hAnsi="Times New Roman" w:cs="Times New Roman"/>
          <w:b/>
          <w:bCs/>
          <w:color w:val="auto"/>
          <w:sz w:val="24"/>
          <w:szCs w:val="24"/>
        </w:rPr>
        <w:lastRenderedPageBreak/>
        <w:t>2. Technological Advancements and Their Implications for HRM and IHRM</w:t>
      </w:r>
      <w:bookmarkEnd w:id="1"/>
      <w:r w:rsidRPr="5E736396">
        <w:rPr>
          <w:rFonts w:ascii="Times New Roman" w:eastAsia="Times New Roman" w:hAnsi="Times New Roman" w:cs="Times New Roman"/>
          <w:b/>
          <w:bCs/>
          <w:color w:val="auto"/>
          <w:sz w:val="24"/>
          <w:szCs w:val="24"/>
        </w:rPr>
        <w:t xml:space="preserve"> </w:t>
      </w:r>
    </w:p>
    <w:p w14:paraId="7EEB85ED" w14:textId="2C1FEE0B" w:rsidR="007A3265" w:rsidRDefault="594A49C2" w:rsidP="5E736396">
      <w:pPr>
        <w:pStyle w:val="Heading3"/>
        <w:spacing w:before="281" w:after="281" w:line="360" w:lineRule="auto"/>
        <w:jc w:val="both"/>
        <w:rPr>
          <w:rFonts w:ascii="Times New Roman" w:eastAsia="Times New Roman" w:hAnsi="Times New Roman" w:cs="Times New Roman"/>
          <w:b/>
          <w:bCs/>
          <w:color w:val="auto"/>
          <w:sz w:val="24"/>
          <w:szCs w:val="24"/>
        </w:rPr>
      </w:pPr>
      <w:bookmarkStart w:id="2" w:name="_Toc1801621909"/>
      <w:r w:rsidRPr="5E736396">
        <w:rPr>
          <w:rFonts w:ascii="Times New Roman" w:eastAsia="Times New Roman" w:hAnsi="Times New Roman" w:cs="Times New Roman"/>
          <w:b/>
          <w:bCs/>
          <w:color w:val="auto"/>
          <w:sz w:val="24"/>
          <w:szCs w:val="24"/>
        </w:rPr>
        <w:t>2.1 Impact of Technological Change on Labour Markets</w:t>
      </w:r>
      <w:bookmarkEnd w:id="2"/>
    </w:p>
    <w:p w14:paraId="030D7A39" w14:textId="3A7AED32" w:rsidR="007A3265" w:rsidRDefault="5B705FA5" w:rsidP="5E736396">
      <w:pPr>
        <w:spacing w:before="240" w:after="240" w:line="360" w:lineRule="auto"/>
        <w:jc w:val="both"/>
        <w:rPr>
          <w:rFonts w:ascii="Times New Roman" w:eastAsia="Times New Roman" w:hAnsi="Times New Roman" w:cs="Times New Roman"/>
        </w:rPr>
      </w:pPr>
      <w:r w:rsidRPr="5E736396">
        <w:rPr>
          <w:rFonts w:ascii="Times New Roman" w:eastAsia="Times New Roman" w:hAnsi="Times New Roman" w:cs="Times New Roman"/>
        </w:rPr>
        <w:t xml:space="preserve">Technological innovation is one of the strongest shaping forces altering labor markets on a global scale. Automation, artificial intelligence (AI) and machine learning have now radically changed the nature of work processes and employment patterns. The World Economic Forum (2023) predicts that existing worker skills will be disrupted in 44% of the next five years and that new jobs rooted in thinking analytically and creatively and coupled with digital literacy will be more common in the labor market. This shift has led to two improvements occurring at the same time: displacing jobs, especially low and non-skill jobs, in routine sectors; and jobs created in techno-forces. As such people in HR solutions have the double duty of reallocating the employees who have been laid off at the same time as filling new, niche jobs.  </w:t>
      </w:r>
    </w:p>
    <w:p w14:paraId="0B63E8CE" w14:textId="204254B0" w:rsidR="007A3265" w:rsidRDefault="5B705FA5" w:rsidP="5E736396">
      <w:pPr>
        <w:spacing w:before="240" w:after="240" w:line="360" w:lineRule="auto"/>
        <w:jc w:val="both"/>
        <w:rPr>
          <w:rFonts w:ascii="Times New Roman" w:eastAsia="Times New Roman" w:hAnsi="Times New Roman" w:cs="Times New Roman"/>
        </w:rPr>
      </w:pPr>
      <w:r w:rsidRPr="5E736396">
        <w:rPr>
          <w:rFonts w:ascii="Times New Roman" w:eastAsia="Times New Roman" w:hAnsi="Times New Roman" w:cs="Times New Roman"/>
        </w:rPr>
        <w:t xml:space="preserve">Digital employment platforms such as LinkedIn, Upwork and Fiverr have disrupted the distribution system of the employment industry by facilitating on-demand and mobile work opportunities. Gig economy has brought increased labor mobility at the cost of job security, benefits, and time-honored job protection (ILO, 2024). With growth in contingent and freelance labor, HRM will need to develop inclusive paradigms of managing these emerging types of employment relationships with the challenge of dealing with compensation, performance appraisal, legal considerations and required compliance across various jurisdictions.  </w:t>
      </w:r>
    </w:p>
    <w:p w14:paraId="2C1425A9" w14:textId="3B891457" w:rsidR="007A3265" w:rsidRDefault="5B705FA5" w:rsidP="5E736396">
      <w:pPr>
        <w:spacing w:before="240" w:after="240" w:line="360" w:lineRule="auto"/>
        <w:jc w:val="both"/>
        <w:rPr>
          <w:rFonts w:ascii="Times New Roman" w:eastAsia="Times New Roman" w:hAnsi="Times New Roman" w:cs="Times New Roman"/>
          <w:b/>
          <w:bCs/>
        </w:rPr>
      </w:pPr>
      <w:r w:rsidRPr="5E736396">
        <w:rPr>
          <w:rFonts w:ascii="Times New Roman" w:eastAsia="Times New Roman" w:hAnsi="Times New Roman" w:cs="Times New Roman"/>
        </w:rPr>
        <w:t xml:space="preserve">Automation makes things more efficient but also threatens to drive greater social disparities between high and low skilled laborers. A study by the OECD (2024) suggests that polarization around technology is contributing to growing income inequalities within modern economies and developing economies. Consequently, HRM policies should not embrace innovation for the sake of it but rather support practices of digital inclusion through the extension of reskilling to vulnerable groups to enable a more even distribution of technological advantages.  </w:t>
      </w:r>
    </w:p>
    <w:p w14:paraId="1852131A" w14:textId="3CDDDE07" w:rsidR="007A3265" w:rsidRDefault="0941865C" w:rsidP="5E736396">
      <w:pPr>
        <w:spacing w:before="240" w:after="240"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Figure</w:t>
      </w:r>
      <w:r w:rsidR="27C2E982" w:rsidRPr="5E736396">
        <w:rPr>
          <w:rFonts w:ascii="Times New Roman" w:eastAsia="Times New Roman" w:hAnsi="Times New Roman" w:cs="Times New Roman"/>
          <w:b/>
          <w:bCs/>
        </w:rPr>
        <w:t xml:space="preserve"> </w:t>
      </w:r>
      <w:r w:rsidR="594A49C2" w:rsidRPr="5E736396">
        <w:rPr>
          <w:rFonts w:ascii="Times New Roman" w:eastAsia="Times New Roman" w:hAnsi="Times New Roman" w:cs="Times New Roman"/>
          <w:b/>
          <w:bCs/>
        </w:rPr>
        <w:t>1: Effects of Technology on Labour Markets and HRM Functions</w:t>
      </w:r>
    </w:p>
    <w:p w14:paraId="1F26420A" w14:textId="6A7ECEC5" w:rsidR="007A3265" w:rsidRDefault="4856B5C6" w:rsidP="5E736396">
      <w:pPr>
        <w:spacing w:before="240" w:after="240" w:line="360" w:lineRule="auto"/>
        <w:jc w:val="both"/>
        <w:rPr>
          <w:rFonts w:ascii="Times New Roman" w:eastAsia="Times New Roman" w:hAnsi="Times New Roman" w:cs="Times New Roman"/>
        </w:rPr>
      </w:pPr>
      <w:r>
        <w:rPr>
          <w:noProof/>
        </w:rPr>
        <w:lastRenderedPageBreak/>
        <w:drawing>
          <wp:inline distT="0" distB="0" distL="0" distR="0" wp14:anchorId="34877962" wp14:editId="1325B8AF">
            <wp:extent cx="5943600" cy="2867025"/>
            <wp:effectExtent l="0" t="0" r="0" b="0"/>
            <wp:docPr id="817495290" name="drawing"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49529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867025"/>
                    </a:xfrm>
                    <a:prstGeom prst="rect">
                      <a:avLst/>
                    </a:prstGeom>
                  </pic:spPr>
                </pic:pic>
              </a:graphicData>
            </a:graphic>
          </wp:inline>
        </w:drawing>
      </w:r>
    </w:p>
    <w:p w14:paraId="632DAADA" w14:textId="40C2F6E3" w:rsidR="007A3265" w:rsidRDefault="000E2092" w:rsidP="5E736396">
      <w:pPr>
        <w:spacing w:before="240" w:after="240"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Table 1: Effects of Technology on Labour Markets and HRM Functions</w:t>
      </w:r>
    </w:p>
    <w:tbl>
      <w:tblPr>
        <w:tblStyle w:val="TableGridLight"/>
        <w:tblW w:w="0" w:type="auto"/>
        <w:tblLayout w:type="fixed"/>
        <w:tblLook w:val="06A0" w:firstRow="1" w:lastRow="0" w:firstColumn="1" w:lastColumn="0" w:noHBand="1" w:noVBand="1"/>
      </w:tblPr>
      <w:tblGrid>
        <w:gridCol w:w="3075"/>
        <w:gridCol w:w="3213"/>
        <w:gridCol w:w="3202"/>
      </w:tblGrid>
      <w:tr w:rsidR="5E736396" w14:paraId="4F1348E2" w14:textId="77777777" w:rsidTr="5E736396">
        <w:trPr>
          <w:trHeight w:val="600"/>
        </w:trPr>
        <w:tc>
          <w:tcPr>
            <w:tcW w:w="3075" w:type="dxa"/>
            <w:shd w:val="clear" w:color="auto" w:fill="DAE8F8"/>
          </w:tcPr>
          <w:p w14:paraId="310EF0C1" w14:textId="0EC14B24" w:rsidR="5E736396" w:rsidRDefault="5E736396" w:rsidP="5E736396">
            <w:pPr>
              <w:spacing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Technological Trend</w:t>
            </w:r>
          </w:p>
        </w:tc>
        <w:tc>
          <w:tcPr>
            <w:tcW w:w="3213" w:type="dxa"/>
            <w:shd w:val="clear" w:color="auto" w:fill="DAE8F8"/>
          </w:tcPr>
          <w:p w14:paraId="3FBB3458" w14:textId="1480D610" w:rsidR="5E736396" w:rsidRDefault="5E736396" w:rsidP="5E736396">
            <w:pPr>
              <w:spacing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Labour Market Effect</w:t>
            </w:r>
          </w:p>
        </w:tc>
        <w:tc>
          <w:tcPr>
            <w:tcW w:w="3202" w:type="dxa"/>
            <w:shd w:val="clear" w:color="auto" w:fill="DAE8F8"/>
          </w:tcPr>
          <w:p w14:paraId="75DBAB2E" w14:textId="7E206FED" w:rsidR="5E736396" w:rsidRDefault="5E736396" w:rsidP="5E736396">
            <w:pPr>
              <w:spacing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HRM/IHRM Response</w:t>
            </w:r>
          </w:p>
        </w:tc>
      </w:tr>
      <w:tr w:rsidR="5E736396" w14:paraId="71868B36" w14:textId="77777777" w:rsidTr="5E736396">
        <w:trPr>
          <w:trHeight w:val="300"/>
        </w:trPr>
        <w:tc>
          <w:tcPr>
            <w:tcW w:w="3075" w:type="dxa"/>
          </w:tcPr>
          <w:p w14:paraId="135A28FA" w14:textId="662E59E5"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Automation &amp; AI</w:t>
            </w:r>
          </w:p>
        </w:tc>
        <w:tc>
          <w:tcPr>
            <w:tcW w:w="3213" w:type="dxa"/>
          </w:tcPr>
          <w:p w14:paraId="37E6C036" w14:textId="424A4168"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Job displacement in routine work</w:t>
            </w:r>
          </w:p>
        </w:tc>
        <w:tc>
          <w:tcPr>
            <w:tcW w:w="3202" w:type="dxa"/>
          </w:tcPr>
          <w:p w14:paraId="40045EAF" w14:textId="7CF99CE7"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Reskilling and redeployment programs</w:t>
            </w:r>
          </w:p>
        </w:tc>
      </w:tr>
      <w:tr w:rsidR="5E736396" w14:paraId="597855D0" w14:textId="77777777" w:rsidTr="5E736396">
        <w:trPr>
          <w:trHeight w:val="300"/>
        </w:trPr>
        <w:tc>
          <w:tcPr>
            <w:tcW w:w="3075" w:type="dxa"/>
          </w:tcPr>
          <w:p w14:paraId="7A682709" w14:textId="14B67732"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Digital collaboration tools</w:t>
            </w:r>
          </w:p>
        </w:tc>
        <w:tc>
          <w:tcPr>
            <w:tcW w:w="3213" w:type="dxa"/>
          </w:tcPr>
          <w:p w14:paraId="391AA883" w14:textId="463DF541"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Rise of hybrid and remote work</w:t>
            </w:r>
          </w:p>
        </w:tc>
        <w:tc>
          <w:tcPr>
            <w:tcW w:w="3202" w:type="dxa"/>
          </w:tcPr>
          <w:p w14:paraId="21B77BDE" w14:textId="28CD0AC1"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Global virtual team management</w:t>
            </w:r>
          </w:p>
        </w:tc>
      </w:tr>
      <w:tr w:rsidR="5E736396" w14:paraId="33AE8737" w14:textId="77777777" w:rsidTr="5E736396">
        <w:trPr>
          <w:trHeight w:val="300"/>
        </w:trPr>
        <w:tc>
          <w:tcPr>
            <w:tcW w:w="3075" w:type="dxa"/>
          </w:tcPr>
          <w:p w14:paraId="2B8006B1" w14:textId="71D194BA"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Data analytics</w:t>
            </w:r>
          </w:p>
        </w:tc>
        <w:tc>
          <w:tcPr>
            <w:tcW w:w="3213" w:type="dxa"/>
          </w:tcPr>
          <w:p w14:paraId="4ABC1ED8" w14:textId="64D2B09C"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Evidence-based HR decision-making</w:t>
            </w:r>
          </w:p>
        </w:tc>
        <w:tc>
          <w:tcPr>
            <w:tcW w:w="3202" w:type="dxa"/>
          </w:tcPr>
          <w:p w14:paraId="582DA5C9" w14:textId="49CE7940"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HR analytics integration</w:t>
            </w:r>
          </w:p>
        </w:tc>
      </w:tr>
      <w:tr w:rsidR="5E736396" w14:paraId="7F36342B" w14:textId="77777777" w:rsidTr="5E736396">
        <w:trPr>
          <w:trHeight w:val="300"/>
        </w:trPr>
        <w:tc>
          <w:tcPr>
            <w:tcW w:w="3075" w:type="dxa"/>
          </w:tcPr>
          <w:p w14:paraId="4032570C" w14:textId="36BB28AD"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Digital platforms</w:t>
            </w:r>
          </w:p>
        </w:tc>
        <w:tc>
          <w:tcPr>
            <w:tcW w:w="3213" w:type="dxa"/>
          </w:tcPr>
          <w:p w14:paraId="69D834F9" w14:textId="0F64067C"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Expansion of gig economy</w:t>
            </w:r>
          </w:p>
        </w:tc>
        <w:tc>
          <w:tcPr>
            <w:tcW w:w="3202" w:type="dxa"/>
          </w:tcPr>
          <w:p w14:paraId="47C48708" w14:textId="3FAADFB9"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Contractor management frameworks</w:t>
            </w:r>
          </w:p>
        </w:tc>
      </w:tr>
    </w:tbl>
    <w:p w14:paraId="75B2DCBB" w14:textId="48C552FA" w:rsidR="007A3265" w:rsidRDefault="254C552A"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i/>
          <w:iCs/>
        </w:rPr>
        <w:t>(Source: WEF, 2023; CIPD, 2024)</w:t>
      </w:r>
      <w:r w:rsidRPr="5E736396">
        <w:rPr>
          <w:rFonts w:ascii="Times New Roman" w:eastAsia="Times New Roman" w:hAnsi="Times New Roman" w:cs="Times New Roman"/>
        </w:rPr>
        <w:t xml:space="preserve"> </w:t>
      </w:r>
    </w:p>
    <w:p w14:paraId="6B2AD40B" w14:textId="04CD1289" w:rsidR="007A3265" w:rsidRDefault="36505964" w:rsidP="5E736396">
      <w:pPr>
        <w:spacing w:after="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Further, the global Human Resources (HR) tech market size has expanded to more than USD 12 billion in 2023, with an annualization rate of 30% (Deloitte, 2024).</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However, as per the reports submitted by CIPD (2024), just 54% of HR professionals are confident about using analytics tools.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The presence of an internal competency gap at the HR level alone can itself be an important guiding light of the need for ongoing digital upskilling of HR professionals.</w:t>
      </w:r>
    </w:p>
    <w:p w14:paraId="4653B94B" w14:textId="7D26105C" w:rsidR="007A3265" w:rsidRDefault="594A49C2" w:rsidP="5E736396">
      <w:pPr>
        <w:pStyle w:val="Heading3"/>
        <w:spacing w:before="0" w:after="0" w:line="360" w:lineRule="auto"/>
        <w:jc w:val="both"/>
        <w:rPr>
          <w:rFonts w:ascii="Times New Roman" w:eastAsia="Times New Roman" w:hAnsi="Times New Roman" w:cs="Times New Roman"/>
          <w:b/>
          <w:bCs/>
          <w:color w:val="auto"/>
          <w:sz w:val="24"/>
          <w:szCs w:val="24"/>
        </w:rPr>
      </w:pPr>
      <w:bookmarkStart w:id="3" w:name="_Toc2052234254"/>
      <w:r w:rsidRPr="5E736396">
        <w:rPr>
          <w:rFonts w:ascii="Times New Roman" w:eastAsia="Times New Roman" w:hAnsi="Times New Roman" w:cs="Times New Roman"/>
          <w:b/>
          <w:bCs/>
          <w:color w:val="auto"/>
          <w:sz w:val="24"/>
          <w:szCs w:val="24"/>
        </w:rPr>
        <w:lastRenderedPageBreak/>
        <w:t>2.2 Implications for HRM and IHRM Strategies</w:t>
      </w:r>
      <w:bookmarkEnd w:id="3"/>
    </w:p>
    <w:p w14:paraId="74289047" w14:textId="35B3C2A6" w:rsidR="007A3265" w:rsidRDefault="338922AD" w:rsidP="5E736396">
      <w:pPr>
        <w:spacing w:before="240" w:after="240" w:line="360" w:lineRule="auto"/>
        <w:jc w:val="both"/>
        <w:rPr>
          <w:rFonts w:ascii="Times New Roman" w:eastAsia="Times New Roman" w:hAnsi="Times New Roman" w:cs="Times New Roman"/>
        </w:rPr>
      </w:pPr>
      <w:r w:rsidRPr="5E736396">
        <w:rPr>
          <w:rFonts w:ascii="Times New Roman" w:eastAsia="Times New Roman" w:hAnsi="Times New Roman" w:cs="Times New Roman"/>
          <w:color w:val="111111"/>
        </w:rPr>
        <w:t>HRM is shifting its focus in many ways; technology change is one example of a shifting emphasis on HRM as a business partner, as the creative force for sustainability.</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Instead, HR analytics systems can now be leveraged to accurately determine patterns of employee engagement, employee turnover, and employee productivity using AI, to thereby make data-driven decisions (Armstrong &amp; Taylor, 2023).</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For instance, which staff members are at risk can be predicted and preemptive interventions can be taken to retain them.</w:t>
      </w:r>
      <w:r w:rsidRPr="5E736396">
        <w:rPr>
          <w:rFonts w:ascii="Times New Roman" w:eastAsia="Times New Roman" w:hAnsi="Times New Roman" w:cs="Times New Roman"/>
        </w:rPr>
        <w:t xml:space="preserve"> </w:t>
      </w:r>
    </w:p>
    <w:p w14:paraId="5FADDC44" w14:textId="07FAE1B0" w:rsidR="007A3265" w:rsidRDefault="338922AD" w:rsidP="5E736396">
      <w:pPr>
        <w:spacing w:before="240" w:after="240" w:line="360" w:lineRule="auto"/>
        <w:jc w:val="both"/>
        <w:rPr>
          <w:rFonts w:ascii="Times New Roman" w:eastAsia="Times New Roman" w:hAnsi="Times New Roman" w:cs="Times New Roman"/>
        </w:rPr>
      </w:pPr>
      <w:r w:rsidRPr="5E736396">
        <w:rPr>
          <w:rFonts w:ascii="Times New Roman" w:eastAsia="Times New Roman" w:hAnsi="Times New Roman" w:cs="Times New Roman"/>
          <w:color w:val="111111"/>
        </w:rPr>
        <w:t>In the IHRM, HR activities in the countries can be managed centrally, using Human Resources Information Systems (HRIS), such as Workday and SAP SuccessFactors.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Tools provide improved consistency in enforcing policy, support data-driven performance management, and facilitate the cross-border management of expatriates.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However, with the emergence of digitalization, comes concerns about data privacy, algorithmic bias, and digital surveillance, all which risk eroding the trust that is at their core.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The challenge for HR professionals is to find the golden balance, which would be not only technically possible but also socially reasonable, given the international instruments adopted by institutions (as the General Data Protection Regulation (GDPR)), while maintaining the proven transparency and fairness of the algorithm used to make the decision.</w:t>
      </w:r>
      <w:r w:rsidRPr="5E736396">
        <w:rPr>
          <w:rFonts w:ascii="Times New Roman" w:eastAsia="Times New Roman" w:hAnsi="Times New Roman" w:cs="Times New Roman"/>
        </w:rPr>
        <w:t xml:space="preserve"> </w:t>
      </w:r>
    </w:p>
    <w:p w14:paraId="61857CEA" w14:textId="0FF2649B" w:rsidR="007A3265" w:rsidRDefault="338922AD"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However, amid all these good things, the unintended consequence of dependence on technology is making human relations impersonal.</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In response, HR leaders are adopting human-centered digital strategies that include both automation and empathy-that are communicating the world that technology doesn't replace human skills, only augments it.</w:t>
      </w:r>
    </w:p>
    <w:p w14:paraId="6F5B6F85" w14:textId="4E031107" w:rsidR="007A3265" w:rsidRDefault="594A49C2"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4" w:name="_Toc1187060421"/>
      <w:r w:rsidRPr="5E736396">
        <w:rPr>
          <w:rFonts w:ascii="Times New Roman" w:eastAsia="Times New Roman" w:hAnsi="Times New Roman" w:cs="Times New Roman"/>
          <w:b/>
          <w:bCs/>
          <w:color w:val="auto"/>
          <w:sz w:val="24"/>
          <w:szCs w:val="24"/>
        </w:rPr>
        <w:t>2.3 Strategic and Theoretical Insights</w:t>
      </w:r>
      <w:bookmarkEnd w:id="4"/>
    </w:p>
    <w:p w14:paraId="5BA73774" w14:textId="5C89D180" w:rsidR="007A3265" w:rsidRDefault="41B77745"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color w:val="111111"/>
        </w:rPr>
        <w:t>In the context of strategic human resource management, the resource-based view (RBV) assumes that all technological infrastructure and digital capabilities of an organization are distinctive but valuable resources that can be defined as the source of a sustainable competitive advantage (Barney, 1991).</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So, not only are human resources departments responsible for improving digital literacy skills among their talented workforce, but not just within the IT departments.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Learning is being culturalized and much digitalization is part of HRM strategy.</w:t>
      </w:r>
      <w:r w:rsidRPr="5E736396">
        <w:rPr>
          <w:rFonts w:ascii="Times New Roman" w:eastAsia="Times New Roman" w:hAnsi="Times New Roman" w:cs="Times New Roman"/>
        </w:rPr>
        <w:t xml:space="preserve"> </w:t>
      </w:r>
    </w:p>
    <w:p w14:paraId="2A6EF171" w14:textId="74E681C2" w:rsidR="007A3265" w:rsidRDefault="41B77745"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color w:val="111111"/>
        </w:rPr>
        <w:lastRenderedPageBreak/>
        <w:t>For further proof, there is another theory known as Social-Technical Systems Theory (Trist, Bamford, 1951) which maintains that organizational effectiveness results from the simultaneous optimization of the technology and the social system.</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This essentially means that if HR technologies are implemented without empowering the employees or adding the cultural factor, it will alienate the workers.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In fact, to achieve HR digitalization, it is necessary to re-engineer processes, redesign jobs and re-define managerial responsibility.</w:t>
      </w:r>
      <w:r w:rsidRPr="5E736396">
        <w:rPr>
          <w:rFonts w:ascii="Times New Roman" w:eastAsia="Times New Roman" w:hAnsi="Times New Roman" w:cs="Times New Roman"/>
        </w:rPr>
        <w:t xml:space="preserve"> </w:t>
      </w:r>
    </w:p>
    <w:p w14:paraId="42DBA539" w14:textId="3FC4F048" w:rsidR="007A3265" w:rsidRDefault="41B77745" w:rsidP="5E736396">
      <w:pPr>
        <w:spacing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In the field of IHRM, convergence-divergence theory states that globally oriented corporations share the technology of HR practice (convergence), but tailor it to their cultural, legal, and business practices (divergence).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 xml:space="preserve">For example, Unilever has the same digital </w:t>
      </w:r>
      <w:proofErr w:type="spellStart"/>
      <w:r w:rsidRPr="5E736396">
        <w:rPr>
          <w:rFonts w:ascii="Times New Roman" w:eastAsia="Times New Roman" w:hAnsi="Times New Roman" w:cs="Times New Roman"/>
          <w:color w:val="111111"/>
        </w:rPr>
        <w:t>Hr</w:t>
      </w:r>
      <w:proofErr w:type="spellEnd"/>
      <w:r w:rsidRPr="5E736396">
        <w:rPr>
          <w:rFonts w:ascii="Times New Roman" w:eastAsia="Times New Roman" w:hAnsi="Times New Roman" w:cs="Times New Roman"/>
          <w:color w:val="111111"/>
        </w:rPr>
        <w:t xml:space="preserve"> platform across the world, but the content of the learning design and complaint modules is adapted to local legislation.</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Similarly, IBM's Skills Build program leverages AI to personalize learning for over two million learners around the world and tailor trainings to address national skills gaps and demand (IBM, 2024).</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This is part of the traditional multinationals' strategy of transferring technologies that allow them to reconcile international HR experiences with responsiveness to local situations.</w:t>
      </w:r>
    </w:p>
    <w:p w14:paraId="7F007F25" w14:textId="25F2DB6B" w:rsidR="007A3265" w:rsidRDefault="594A49C2" w:rsidP="5E736396">
      <w:pPr>
        <w:pStyle w:val="Heading3"/>
        <w:spacing w:line="360" w:lineRule="auto"/>
        <w:jc w:val="both"/>
        <w:rPr>
          <w:rFonts w:ascii="Times New Roman" w:eastAsia="Times New Roman" w:hAnsi="Times New Roman" w:cs="Times New Roman"/>
          <w:b/>
          <w:bCs/>
          <w:color w:val="auto"/>
          <w:sz w:val="24"/>
          <w:szCs w:val="24"/>
        </w:rPr>
      </w:pPr>
      <w:bookmarkStart w:id="5" w:name="_Toc1693522005"/>
      <w:r w:rsidRPr="5E736396">
        <w:rPr>
          <w:rFonts w:ascii="Times New Roman" w:eastAsia="Times New Roman" w:hAnsi="Times New Roman" w:cs="Times New Roman"/>
          <w:b/>
          <w:bCs/>
          <w:color w:val="auto"/>
          <w:sz w:val="24"/>
          <w:szCs w:val="24"/>
        </w:rPr>
        <w:t>2.4 Critical Evaluation and Summary</w:t>
      </w:r>
      <w:bookmarkEnd w:id="5"/>
    </w:p>
    <w:p w14:paraId="52F28EE1" w14:textId="5E26E34B" w:rsidR="007A3265" w:rsidRDefault="7A22CE04"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Convenience from technological innovation leaves us vulnerable.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Algorithmic addiction can lead to a less ethical form of blind facilitation and reduced accountability by managers.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Automated decision-making has been found to reduce levels of trust and interest because employees will consider that it isn't transparent (Brynjolfsson and McAfee, 2022).</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That means that HRM in the digital age works only if you have both the human touch - and the automation - in one place.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Technology HRM/IHRM: An opportunity as well as a challenge.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It's no secret that automation, analytics, digital collaboration tools help organizations remain competitive and retain employees but what sets the morally driven models apart is the nature of the information that's being produced.</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HR professionals will play a strategic role in building well-prepared, resilient and inclusive global workforces through innovative use of technology, while promoting inclusion, reskilling and transparency.</w:t>
      </w:r>
    </w:p>
    <w:p w14:paraId="77FEF457" w14:textId="33A4C460" w:rsidR="007A3265" w:rsidRDefault="43EDC016" w:rsidP="5E736396">
      <w:pPr>
        <w:pStyle w:val="Heading2"/>
        <w:spacing w:before="240" w:after="240" w:line="360" w:lineRule="auto"/>
        <w:jc w:val="both"/>
        <w:rPr>
          <w:rFonts w:ascii="Times New Roman" w:eastAsia="Times New Roman" w:hAnsi="Times New Roman" w:cs="Times New Roman"/>
          <w:b/>
          <w:bCs/>
          <w:color w:val="auto"/>
          <w:sz w:val="24"/>
          <w:szCs w:val="24"/>
        </w:rPr>
      </w:pPr>
      <w:bookmarkStart w:id="6" w:name="_Toc1416382629"/>
      <w:r w:rsidRPr="5E736396">
        <w:rPr>
          <w:rFonts w:ascii="Times New Roman" w:eastAsia="Times New Roman" w:hAnsi="Times New Roman" w:cs="Times New Roman"/>
          <w:b/>
          <w:bCs/>
          <w:color w:val="auto"/>
          <w:sz w:val="24"/>
          <w:szCs w:val="24"/>
        </w:rPr>
        <w:lastRenderedPageBreak/>
        <w:t>3. Demographic and Geopolitical Factors Influencing Employment Markets</w:t>
      </w:r>
      <w:bookmarkEnd w:id="6"/>
      <w:r w:rsidRPr="5E736396">
        <w:rPr>
          <w:rFonts w:ascii="Times New Roman" w:eastAsia="Times New Roman" w:hAnsi="Times New Roman" w:cs="Times New Roman"/>
          <w:b/>
          <w:bCs/>
          <w:color w:val="auto"/>
          <w:sz w:val="24"/>
          <w:szCs w:val="24"/>
        </w:rPr>
        <w:t xml:space="preserve"> </w:t>
      </w:r>
    </w:p>
    <w:p w14:paraId="3623421D" w14:textId="086C24C2" w:rsidR="007A3265" w:rsidRDefault="43EDC016" w:rsidP="5E736396">
      <w:pPr>
        <w:pStyle w:val="Heading3"/>
        <w:spacing w:before="281" w:after="281" w:line="360" w:lineRule="auto"/>
        <w:jc w:val="both"/>
        <w:rPr>
          <w:rFonts w:ascii="Times New Roman" w:eastAsia="Times New Roman" w:hAnsi="Times New Roman" w:cs="Times New Roman"/>
          <w:b/>
          <w:bCs/>
          <w:color w:val="auto"/>
          <w:sz w:val="24"/>
          <w:szCs w:val="24"/>
        </w:rPr>
      </w:pPr>
      <w:bookmarkStart w:id="7" w:name="_Toc361157835"/>
      <w:r w:rsidRPr="5E736396">
        <w:rPr>
          <w:rFonts w:ascii="Times New Roman" w:eastAsia="Times New Roman" w:hAnsi="Times New Roman" w:cs="Times New Roman"/>
          <w:b/>
          <w:bCs/>
          <w:color w:val="auto"/>
          <w:sz w:val="24"/>
          <w:szCs w:val="24"/>
        </w:rPr>
        <w:t>3.1 Demographic Shifts and Workforce Dynamics</w:t>
      </w:r>
      <w:bookmarkEnd w:id="7"/>
    </w:p>
    <w:p w14:paraId="29D8DFDA" w14:textId="0DD76A8D" w:rsidR="007A3265" w:rsidRDefault="2AB0D101"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Demographic change is an important factor in shaping the global supply and demand for labor.</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Increasing ageing and declining workforces, growing dependency and rise of high dependency pressures are all converging in European and Japanese space, making migration a necessity for the years ahead (OECD, 2024).</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On the other hand, a youth bulge is unfolding in Africa and South Asia, presenting both opportunity and challenge in terms of the generation of sufficient jobs.</w:t>
      </w:r>
    </w:p>
    <w:p w14:paraId="7B5BB7BB" w14:textId="1618FC46" w:rsidR="007A3265" w:rsidRDefault="2AB0D101"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Another key factor that is driving HRM policies is workforce diversity in terms of gender, ethnicity, age and ability.</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Organizations are also beginning to realize diversity provides greater creativity and problem solving (Shore et al., 2018).</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However, if workplace generational differences (Baby Boomer vs. Gen z) are to be addressed, then adaptive HR policies can support differing values and digital capabilities.</w:t>
      </w:r>
    </w:p>
    <w:p w14:paraId="5937800C" w14:textId="7546FD68"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8" w:name="_Toc1235773725"/>
      <w:r w:rsidRPr="5E736396">
        <w:rPr>
          <w:rFonts w:ascii="Times New Roman" w:eastAsia="Times New Roman" w:hAnsi="Times New Roman" w:cs="Times New Roman"/>
          <w:b/>
          <w:bCs/>
          <w:color w:val="auto"/>
          <w:sz w:val="24"/>
          <w:szCs w:val="24"/>
        </w:rPr>
        <w:t>3.2 Geopolitical Forces and Labour Mobility</w:t>
      </w:r>
      <w:bookmarkEnd w:id="8"/>
    </w:p>
    <w:p w14:paraId="323DA1FE" w14:textId="6286E886" w:rsidR="007A3265" w:rsidRDefault="07557389"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Geopolitical events have a direct influence on the flow of international labour.</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Brexit has created a UK labor shortage in the hospitality and agriculture industries, forcing employers to reconsider compensation and automation policy as well as domestic training policy.</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Similarly, wars such as that in Ukraine have led to the displacement of millions of people, impacting trends in European access to labor and HR issues at MNCs.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Talent mobility and workforce stability are also impacted with the supply chain disruption and economic sanctions across the globe.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The International Labour Organization (2024) forecasts that global unemployment will not reach the pre-pandemic level, given geopolitical and economic uncertainties in several regions.</w:t>
      </w:r>
    </w:p>
    <w:p w14:paraId="5E8CF9E9" w14:textId="33D86A4D" w:rsidR="007A3265" w:rsidRDefault="43EDC016" w:rsidP="5E736396">
      <w:pPr>
        <w:spacing w:before="240" w:after="240"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 xml:space="preserve">Table </w:t>
      </w:r>
      <w:r w:rsidR="08D6E9F8" w:rsidRPr="5E736396">
        <w:rPr>
          <w:rFonts w:ascii="Times New Roman" w:eastAsia="Times New Roman" w:hAnsi="Times New Roman" w:cs="Times New Roman"/>
          <w:b/>
          <w:bCs/>
        </w:rPr>
        <w:t>2</w:t>
      </w:r>
      <w:r w:rsidRPr="5E736396">
        <w:rPr>
          <w:rFonts w:ascii="Times New Roman" w:eastAsia="Times New Roman" w:hAnsi="Times New Roman" w:cs="Times New Roman"/>
          <w:b/>
          <w:bCs/>
        </w:rPr>
        <w:t>: PESTLE Summary of External Labour Market Factors</w:t>
      </w:r>
    </w:p>
    <w:tbl>
      <w:tblPr>
        <w:tblStyle w:val="TableGridLight"/>
        <w:tblW w:w="0" w:type="auto"/>
        <w:tblLayout w:type="fixed"/>
        <w:tblLook w:val="06A0" w:firstRow="1" w:lastRow="0" w:firstColumn="1" w:lastColumn="0" w:noHBand="1" w:noVBand="1"/>
      </w:tblPr>
      <w:tblGrid>
        <w:gridCol w:w="2130"/>
        <w:gridCol w:w="3301"/>
        <w:gridCol w:w="4050"/>
      </w:tblGrid>
      <w:tr w:rsidR="5E736396" w14:paraId="24F64D2E" w14:textId="77777777" w:rsidTr="5E736396">
        <w:trPr>
          <w:trHeight w:val="300"/>
        </w:trPr>
        <w:tc>
          <w:tcPr>
            <w:tcW w:w="2130" w:type="dxa"/>
            <w:shd w:val="clear" w:color="auto" w:fill="DAE8F8"/>
          </w:tcPr>
          <w:p w14:paraId="4320EC78" w14:textId="44BB5700" w:rsidR="5E736396" w:rsidRDefault="5E736396" w:rsidP="5E736396">
            <w:pPr>
              <w:spacing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Factor</w:t>
            </w:r>
          </w:p>
        </w:tc>
        <w:tc>
          <w:tcPr>
            <w:tcW w:w="3301" w:type="dxa"/>
            <w:shd w:val="clear" w:color="auto" w:fill="DAE8F8"/>
          </w:tcPr>
          <w:p w14:paraId="4FB18578" w14:textId="1609C45D" w:rsidR="5E736396" w:rsidRDefault="5E736396" w:rsidP="5E736396">
            <w:pPr>
              <w:spacing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Example</w:t>
            </w:r>
          </w:p>
        </w:tc>
        <w:tc>
          <w:tcPr>
            <w:tcW w:w="4050" w:type="dxa"/>
            <w:shd w:val="clear" w:color="auto" w:fill="DAE8F8"/>
          </w:tcPr>
          <w:p w14:paraId="5ECE51E2" w14:textId="3B077E8E" w:rsidR="5E736396" w:rsidRDefault="5E736396" w:rsidP="5E736396">
            <w:pPr>
              <w:spacing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HRM/IHRM Implication</w:t>
            </w:r>
          </w:p>
        </w:tc>
      </w:tr>
      <w:tr w:rsidR="5E736396" w14:paraId="78D64C9C" w14:textId="77777777" w:rsidTr="5E736396">
        <w:trPr>
          <w:trHeight w:val="300"/>
        </w:trPr>
        <w:tc>
          <w:tcPr>
            <w:tcW w:w="2130" w:type="dxa"/>
          </w:tcPr>
          <w:p w14:paraId="01A40648" w14:textId="510717A8"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Political</w:t>
            </w:r>
          </w:p>
        </w:tc>
        <w:tc>
          <w:tcPr>
            <w:tcW w:w="3301" w:type="dxa"/>
          </w:tcPr>
          <w:p w14:paraId="5846DDB6" w14:textId="2ADD880D"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Brexit, sanctions</w:t>
            </w:r>
          </w:p>
        </w:tc>
        <w:tc>
          <w:tcPr>
            <w:tcW w:w="4050" w:type="dxa"/>
          </w:tcPr>
          <w:p w14:paraId="4D9969E8" w14:textId="3A0E81E8"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Restriction on labour migration</w:t>
            </w:r>
          </w:p>
        </w:tc>
      </w:tr>
      <w:tr w:rsidR="5E736396" w14:paraId="6CBF8661" w14:textId="77777777" w:rsidTr="5E736396">
        <w:trPr>
          <w:trHeight w:val="300"/>
        </w:trPr>
        <w:tc>
          <w:tcPr>
            <w:tcW w:w="2130" w:type="dxa"/>
          </w:tcPr>
          <w:p w14:paraId="150D8901" w14:textId="18B0040E"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Economic</w:t>
            </w:r>
          </w:p>
        </w:tc>
        <w:tc>
          <w:tcPr>
            <w:tcW w:w="3301" w:type="dxa"/>
          </w:tcPr>
          <w:p w14:paraId="1697F288" w14:textId="6A0FE299"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Inflation, cost of living</w:t>
            </w:r>
          </w:p>
        </w:tc>
        <w:tc>
          <w:tcPr>
            <w:tcW w:w="4050" w:type="dxa"/>
          </w:tcPr>
          <w:p w14:paraId="44C25521" w14:textId="0B8F9CC8"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Pressure on wage policies</w:t>
            </w:r>
          </w:p>
        </w:tc>
      </w:tr>
      <w:tr w:rsidR="5E736396" w14:paraId="2D5D5273" w14:textId="77777777" w:rsidTr="5E736396">
        <w:trPr>
          <w:trHeight w:val="300"/>
        </w:trPr>
        <w:tc>
          <w:tcPr>
            <w:tcW w:w="2130" w:type="dxa"/>
          </w:tcPr>
          <w:p w14:paraId="62C04AB2" w14:textId="44E21BAC"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Social</w:t>
            </w:r>
          </w:p>
        </w:tc>
        <w:tc>
          <w:tcPr>
            <w:tcW w:w="3301" w:type="dxa"/>
          </w:tcPr>
          <w:p w14:paraId="00398CC5" w14:textId="21E6B901"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Ageing population, diversity</w:t>
            </w:r>
          </w:p>
        </w:tc>
        <w:tc>
          <w:tcPr>
            <w:tcW w:w="4050" w:type="dxa"/>
          </w:tcPr>
          <w:p w14:paraId="714B3988" w14:textId="3A298F0B"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Need for inclusive HR policies</w:t>
            </w:r>
          </w:p>
        </w:tc>
      </w:tr>
      <w:tr w:rsidR="5E736396" w14:paraId="02671F88" w14:textId="77777777" w:rsidTr="5E736396">
        <w:trPr>
          <w:trHeight w:val="300"/>
        </w:trPr>
        <w:tc>
          <w:tcPr>
            <w:tcW w:w="2130" w:type="dxa"/>
          </w:tcPr>
          <w:p w14:paraId="42CC734D" w14:textId="6AC84BA8"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lastRenderedPageBreak/>
              <w:t>Technological</w:t>
            </w:r>
          </w:p>
        </w:tc>
        <w:tc>
          <w:tcPr>
            <w:tcW w:w="3301" w:type="dxa"/>
          </w:tcPr>
          <w:p w14:paraId="20C19785" w14:textId="52999BF5"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AI, automation</w:t>
            </w:r>
          </w:p>
        </w:tc>
        <w:tc>
          <w:tcPr>
            <w:tcW w:w="4050" w:type="dxa"/>
          </w:tcPr>
          <w:p w14:paraId="0422A68F" w14:textId="2107C081"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Workforce reskilling</w:t>
            </w:r>
          </w:p>
        </w:tc>
      </w:tr>
      <w:tr w:rsidR="5E736396" w14:paraId="1ED9BA64" w14:textId="77777777" w:rsidTr="5E736396">
        <w:trPr>
          <w:trHeight w:val="300"/>
        </w:trPr>
        <w:tc>
          <w:tcPr>
            <w:tcW w:w="2130" w:type="dxa"/>
          </w:tcPr>
          <w:p w14:paraId="22F30A9B" w14:textId="53CB3AC9"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Legal</w:t>
            </w:r>
          </w:p>
        </w:tc>
        <w:tc>
          <w:tcPr>
            <w:tcW w:w="3301" w:type="dxa"/>
          </w:tcPr>
          <w:p w14:paraId="43EAEBCD" w14:textId="0280897C"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GDPR, visa regulations</w:t>
            </w:r>
          </w:p>
        </w:tc>
        <w:tc>
          <w:tcPr>
            <w:tcW w:w="4050" w:type="dxa"/>
          </w:tcPr>
          <w:p w14:paraId="6B975DA4" w14:textId="6696DF72"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Compliance challenges</w:t>
            </w:r>
          </w:p>
        </w:tc>
      </w:tr>
      <w:tr w:rsidR="5E736396" w14:paraId="53D1789F" w14:textId="77777777" w:rsidTr="5E736396">
        <w:trPr>
          <w:trHeight w:val="300"/>
        </w:trPr>
        <w:tc>
          <w:tcPr>
            <w:tcW w:w="2130" w:type="dxa"/>
          </w:tcPr>
          <w:p w14:paraId="7A1EEBE2" w14:textId="55D5A05D"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Environmental</w:t>
            </w:r>
          </w:p>
        </w:tc>
        <w:tc>
          <w:tcPr>
            <w:tcW w:w="3301" w:type="dxa"/>
          </w:tcPr>
          <w:p w14:paraId="7F4CBC69" w14:textId="6BCD7A8D"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Green jobs, sustainability</w:t>
            </w:r>
          </w:p>
        </w:tc>
        <w:tc>
          <w:tcPr>
            <w:tcW w:w="4050" w:type="dxa"/>
          </w:tcPr>
          <w:p w14:paraId="7ECB4707" w14:textId="0D2EFF7F" w:rsidR="5E736396" w:rsidRDefault="5E736396" w:rsidP="5E736396">
            <w:pPr>
              <w:spacing w:line="360" w:lineRule="auto"/>
              <w:jc w:val="both"/>
              <w:rPr>
                <w:rFonts w:ascii="Times New Roman" w:eastAsia="Times New Roman" w:hAnsi="Times New Roman" w:cs="Times New Roman"/>
              </w:rPr>
            </w:pPr>
            <w:r w:rsidRPr="5E736396">
              <w:rPr>
                <w:rFonts w:ascii="Times New Roman" w:eastAsia="Times New Roman" w:hAnsi="Times New Roman" w:cs="Times New Roman"/>
              </w:rPr>
              <w:t>New skills demand in renewable sectors</w:t>
            </w:r>
          </w:p>
        </w:tc>
      </w:tr>
    </w:tbl>
    <w:p w14:paraId="30D4B050" w14:textId="43135554" w:rsidR="007A3265" w:rsidRDefault="43EDC016" w:rsidP="5E736396">
      <w:pPr>
        <w:spacing w:before="240" w:after="240" w:line="360" w:lineRule="auto"/>
        <w:jc w:val="both"/>
        <w:rPr>
          <w:rFonts w:ascii="Times New Roman" w:eastAsia="Times New Roman" w:hAnsi="Times New Roman" w:cs="Times New Roman"/>
          <w:i/>
          <w:iCs/>
        </w:rPr>
      </w:pPr>
      <w:r w:rsidRPr="5E736396">
        <w:rPr>
          <w:rFonts w:ascii="Times New Roman" w:eastAsia="Times New Roman" w:hAnsi="Times New Roman" w:cs="Times New Roman"/>
          <w:i/>
          <w:iCs/>
        </w:rPr>
        <w:t>(Source: CIPD, 2024)</w:t>
      </w:r>
    </w:p>
    <w:p w14:paraId="779CE143" w14:textId="5F6F4666" w:rsidR="007A3265" w:rsidRDefault="43EDC016" w:rsidP="5E736396">
      <w:pPr>
        <w:pStyle w:val="Heading3"/>
        <w:spacing w:before="281" w:after="281" w:line="360" w:lineRule="auto"/>
        <w:jc w:val="both"/>
        <w:rPr>
          <w:rFonts w:ascii="Times New Roman" w:eastAsia="Times New Roman" w:hAnsi="Times New Roman" w:cs="Times New Roman"/>
          <w:b/>
          <w:bCs/>
          <w:color w:val="auto"/>
          <w:sz w:val="24"/>
          <w:szCs w:val="24"/>
        </w:rPr>
      </w:pPr>
      <w:bookmarkStart w:id="9" w:name="_Toc1399794686"/>
      <w:r w:rsidRPr="5E736396">
        <w:rPr>
          <w:rFonts w:ascii="Times New Roman" w:eastAsia="Times New Roman" w:hAnsi="Times New Roman" w:cs="Times New Roman"/>
          <w:b/>
          <w:bCs/>
          <w:color w:val="auto"/>
          <w:sz w:val="24"/>
          <w:szCs w:val="24"/>
        </w:rPr>
        <w:t>3.3 HR Challenges and IHRM Responses</w:t>
      </w:r>
      <w:bookmarkEnd w:id="9"/>
    </w:p>
    <w:p w14:paraId="4ED68D23" w14:textId="13F42C33" w:rsidR="007A3265" w:rsidRDefault="715D321E"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For HR professionals, the changes are leading to workforce planning, compliance and cross-cultural management challenges.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HRM will need to consider the deployment of talent across the world, expatriate services and telecommuting.</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Brewster et al., (2022) the main challenge with globalization and local adaptation is balancing the two strategies to successfully address cross-border HR functions. Companies like global firm Siemens and Accenture have developed global mobility frameworks with flexible assignment models that can be quickly adapted to geopolitical changes.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HR also needs diversity, equity and inclusion (DEI) programs in place to build resilience and innovation in global teams.</w:t>
      </w:r>
    </w:p>
    <w:p w14:paraId="514E6EFB" w14:textId="6F5B7413" w:rsidR="007A3265" w:rsidRDefault="43EDC016" w:rsidP="5E736396">
      <w:pPr>
        <w:pStyle w:val="Heading2"/>
        <w:spacing w:before="240" w:after="240" w:line="360" w:lineRule="auto"/>
        <w:jc w:val="both"/>
        <w:rPr>
          <w:rFonts w:ascii="Times New Roman" w:eastAsia="Times New Roman" w:hAnsi="Times New Roman" w:cs="Times New Roman"/>
          <w:b/>
          <w:bCs/>
          <w:color w:val="auto"/>
          <w:sz w:val="24"/>
          <w:szCs w:val="24"/>
        </w:rPr>
      </w:pPr>
      <w:bookmarkStart w:id="10" w:name="_Toc718053358"/>
      <w:r w:rsidRPr="5E736396">
        <w:rPr>
          <w:rFonts w:ascii="Times New Roman" w:eastAsia="Times New Roman" w:hAnsi="Times New Roman" w:cs="Times New Roman"/>
          <w:b/>
          <w:bCs/>
          <w:color w:val="auto"/>
          <w:sz w:val="24"/>
          <w:szCs w:val="24"/>
        </w:rPr>
        <w:t>4. Addressing Skills Gaps and Talent Shortages through Strategic HRM</w:t>
      </w:r>
      <w:bookmarkEnd w:id="10"/>
      <w:r w:rsidRPr="5E736396">
        <w:rPr>
          <w:rFonts w:ascii="Times New Roman" w:eastAsia="Times New Roman" w:hAnsi="Times New Roman" w:cs="Times New Roman"/>
          <w:b/>
          <w:bCs/>
          <w:color w:val="auto"/>
          <w:sz w:val="24"/>
          <w:szCs w:val="24"/>
        </w:rPr>
        <w:t xml:space="preserve"> </w:t>
      </w:r>
    </w:p>
    <w:p w14:paraId="4058BDAF" w14:textId="07F9ED8D" w:rsidR="007A3265" w:rsidRDefault="43EDC016" w:rsidP="5E736396">
      <w:pPr>
        <w:pStyle w:val="Heading3"/>
        <w:spacing w:before="281" w:after="281" w:line="360" w:lineRule="auto"/>
        <w:jc w:val="both"/>
        <w:rPr>
          <w:rFonts w:ascii="Times New Roman" w:eastAsia="Times New Roman" w:hAnsi="Times New Roman" w:cs="Times New Roman"/>
          <w:b/>
          <w:bCs/>
          <w:color w:val="auto"/>
          <w:sz w:val="24"/>
          <w:szCs w:val="24"/>
        </w:rPr>
      </w:pPr>
      <w:bookmarkStart w:id="11" w:name="_Toc808924343"/>
      <w:r w:rsidRPr="5E736396">
        <w:rPr>
          <w:rFonts w:ascii="Times New Roman" w:eastAsia="Times New Roman" w:hAnsi="Times New Roman" w:cs="Times New Roman"/>
          <w:b/>
          <w:bCs/>
          <w:color w:val="auto"/>
          <w:sz w:val="24"/>
          <w:szCs w:val="24"/>
        </w:rPr>
        <w:t>4.1 Understanding the Skills Gap</w:t>
      </w:r>
      <w:bookmarkEnd w:id="11"/>
    </w:p>
    <w:p w14:paraId="52435746" w14:textId="0A4A1794" w:rsidR="007A3265" w:rsidRDefault="0FC70662"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The technological and industrial evolution has been very fast; it has overtaken the traditional education system, creating a huge disproportion of competences.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According to a 2023 report by the World Economic Forum, half of all workers will have to reskill by 2027.</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Skills shortages for nurses and allied health professionals and the skills shortage in the technology industry including cybersecurity and data analytics.</w:t>
      </w:r>
    </w:p>
    <w:p w14:paraId="0B954A5A" w14:textId="785B5865"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12" w:name="_Toc1282385322"/>
      <w:r w:rsidRPr="5E736396">
        <w:rPr>
          <w:rFonts w:ascii="Times New Roman" w:eastAsia="Times New Roman" w:hAnsi="Times New Roman" w:cs="Times New Roman"/>
          <w:b/>
          <w:bCs/>
          <w:color w:val="auto"/>
          <w:sz w:val="24"/>
          <w:szCs w:val="24"/>
        </w:rPr>
        <w:t>4.2 Strategic HRM Tools and Solutions</w:t>
      </w:r>
      <w:bookmarkEnd w:id="12"/>
    </w:p>
    <w:p w14:paraId="65446EB9" w14:textId="1069DB0B" w:rsidR="007A3265" w:rsidRDefault="690128E3"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These gaps can be bridged by an integrated HR strategy; one connecting workforce planning with organizational strategy.</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Part Four: Intervention in Practice:</w:t>
      </w:r>
    </w:p>
    <w:p w14:paraId="3E9B4781" w14:textId="228CF87A" w:rsidR="007A3265" w:rsidRDefault="690128E3" w:rsidP="5E736396">
      <w:pPr>
        <w:pStyle w:val="ListParagraph"/>
        <w:numPr>
          <w:ilvl w:val="0"/>
          <w:numId w:val="1"/>
        </w:num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b/>
          <w:bCs/>
          <w:color w:val="111111"/>
        </w:rPr>
        <w:t xml:space="preserve">Upskilling and Reskilling: </w:t>
      </w:r>
      <w:r w:rsidRPr="5E736396">
        <w:rPr>
          <w:rFonts w:ascii="Times New Roman" w:eastAsia="Times New Roman" w:hAnsi="Times New Roman" w:cs="Times New Roman"/>
          <w:color w:val="111111"/>
        </w:rPr>
        <w:t>Partnering with e-learning platforms (Coursera, LinkedIn Learning) for lifelong learning.</w:t>
      </w:r>
    </w:p>
    <w:p w14:paraId="5FC4A5D7" w14:textId="77823E06" w:rsidR="007A3265" w:rsidRDefault="690128E3" w:rsidP="5E736396">
      <w:pPr>
        <w:pStyle w:val="ListParagraph"/>
        <w:numPr>
          <w:ilvl w:val="0"/>
          <w:numId w:val="1"/>
        </w:num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b/>
          <w:bCs/>
          <w:color w:val="111111"/>
        </w:rPr>
        <w:lastRenderedPageBreak/>
        <w:t>Employer Branding:</w:t>
      </w:r>
      <w:r w:rsidRPr="5E736396">
        <w:rPr>
          <w:rFonts w:ascii="Times New Roman" w:eastAsia="Times New Roman" w:hAnsi="Times New Roman" w:cs="Times New Roman"/>
          <w:color w:val="111111"/>
        </w:rPr>
        <w:t xml:space="preserve"> Meaning and Belonging to Attract Rarity.</w:t>
      </w:r>
    </w:p>
    <w:p w14:paraId="060A56EF" w14:textId="17D40DBE" w:rsidR="007A3265" w:rsidRDefault="690128E3" w:rsidP="5E736396">
      <w:pPr>
        <w:pStyle w:val="ListParagraph"/>
        <w:numPr>
          <w:ilvl w:val="0"/>
          <w:numId w:val="1"/>
        </w:num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b/>
          <w:bCs/>
          <w:color w:val="111111"/>
        </w:rPr>
        <w:t>Talent Pipelines:</w:t>
      </w:r>
      <w:r w:rsidRPr="5E736396">
        <w:rPr>
          <w:rFonts w:ascii="Times New Roman" w:eastAsia="Times New Roman" w:hAnsi="Times New Roman" w:cs="Times New Roman"/>
          <w:color w:val="111111"/>
        </w:rPr>
        <w:t xml:space="preserve"> Building Universities and Apprenticeships Relationships for the Long-Term.</w:t>
      </w:r>
    </w:p>
    <w:p w14:paraId="5775A57D" w14:textId="4F030050" w:rsidR="007A3265" w:rsidRDefault="690128E3" w:rsidP="5E736396">
      <w:pPr>
        <w:pStyle w:val="ListParagraph"/>
        <w:numPr>
          <w:ilvl w:val="0"/>
          <w:numId w:val="1"/>
        </w:num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b/>
          <w:bCs/>
          <w:color w:val="111111"/>
        </w:rPr>
        <w:t xml:space="preserve">Flexible Working: </w:t>
      </w:r>
      <w:r w:rsidRPr="5E736396">
        <w:rPr>
          <w:rFonts w:ascii="Times New Roman" w:eastAsia="Times New Roman" w:hAnsi="Times New Roman" w:cs="Times New Roman"/>
          <w:color w:val="111111"/>
        </w:rPr>
        <w:t>How to hire flexibly, expanding positions to increase the talent pool.</w:t>
      </w:r>
    </w:p>
    <w:p w14:paraId="3019859E" w14:textId="3DA491C5"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13" w:name="_Toc1507215859"/>
      <w:r w:rsidRPr="5E736396">
        <w:rPr>
          <w:rFonts w:ascii="Times New Roman" w:eastAsia="Times New Roman" w:hAnsi="Times New Roman" w:cs="Times New Roman"/>
          <w:b/>
          <w:bCs/>
          <w:color w:val="auto"/>
          <w:sz w:val="24"/>
          <w:szCs w:val="24"/>
        </w:rPr>
        <w:t>4.3 Applying Theories and Models</w:t>
      </w:r>
      <w:bookmarkEnd w:id="13"/>
    </w:p>
    <w:p w14:paraId="0497F0E2" w14:textId="16C27FEA" w:rsidR="007A3265" w:rsidRDefault="2693CDF9"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Becker (1993) human capital theory reasserts the importance of investment in human capital from the standpoint of economics and puts training into the investment cost bucket.</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Against this background, based on Ulrich's (2012) model, HR would be considered strategic if its role is perceived to be a key factor in transforming human capital to meet business goals and interests.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For instance, the NHS has an international recruitment and mentorship program that lowers the supply of temporary workers, and Amazon has a Career Choice Program that subsidizes tuition for employees who are trying to advance within the organization.</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One finding is that both regions have a similar systemic HRM reaction to labour market crises.</w:t>
      </w:r>
    </w:p>
    <w:p w14:paraId="4E0D34AC" w14:textId="1C96E221" w:rsidR="007A3265" w:rsidRDefault="43EDC016" w:rsidP="5E736396">
      <w:pPr>
        <w:spacing w:before="240" w:after="240" w:line="360" w:lineRule="auto"/>
        <w:jc w:val="both"/>
        <w:rPr>
          <w:rFonts w:ascii="Times New Roman" w:eastAsia="Times New Roman" w:hAnsi="Times New Roman" w:cs="Times New Roman"/>
          <w:b/>
          <w:bCs/>
        </w:rPr>
      </w:pPr>
      <w:r w:rsidRPr="5E736396">
        <w:rPr>
          <w:rFonts w:ascii="Times New Roman" w:eastAsia="Times New Roman" w:hAnsi="Times New Roman" w:cs="Times New Roman"/>
          <w:b/>
          <w:bCs/>
        </w:rPr>
        <w:t>Figure 2: Conceptual Framework</w:t>
      </w:r>
      <w:r w:rsidR="492464ED" w:rsidRPr="5E736396">
        <w:rPr>
          <w:rFonts w:ascii="Times New Roman" w:eastAsia="Times New Roman" w:hAnsi="Times New Roman" w:cs="Times New Roman"/>
          <w:b/>
          <w:bCs/>
        </w:rPr>
        <w:t>,</w:t>
      </w:r>
      <w:r w:rsidRPr="5E736396">
        <w:rPr>
          <w:rFonts w:ascii="Times New Roman" w:eastAsia="Times New Roman" w:hAnsi="Times New Roman" w:cs="Times New Roman"/>
          <w:b/>
          <w:bCs/>
        </w:rPr>
        <w:t xml:space="preserve"> Strategic HRM Responses to Skills Gaps</w:t>
      </w:r>
    </w:p>
    <w:p w14:paraId="4AA462A4" w14:textId="095DC0EE" w:rsidR="007A3265" w:rsidRDefault="7CDF3F0A" w:rsidP="5E736396">
      <w:pPr>
        <w:spacing w:before="240" w:after="240"/>
      </w:pPr>
      <w:r>
        <w:rPr>
          <w:noProof/>
        </w:rPr>
        <w:lastRenderedPageBreak/>
        <w:drawing>
          <wp:inline distT="0" distB="0" distL="0" distR="0" wp14:anchorId="7976BD53" wp14:editId="62CDFB11">
            <wp:extent cx="5943600" cy="4581525"/>
            <wp:effectExtent l="0" t="0" r="0" b="0"/>
            <wp:docPr id="1296838352" name="drawing"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83835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581525"/>
                    </a:xfrm>
                    <a:prstGeom prst="rect">
                      <a:avLst/>
                    </a:prstGeom>
                  </pic:spPr>
                </pic:pic>
              </a:graphicData>
            </a:graphic>
          </wp:inline>
        </w:drawing>
      </w:r>
    </w:p>
    <w:p w14:paraId="15EC86E5" w14:textId="7CD65875" w:rsidR="007A3265" w:rsidRDefault="43EDC016" w:rsidP="5E736396">
      <w:pPr>
        <w:pStyle w:val="Heading3"/>
        <w:spacing w:before="281" w:after="281" w:line="360" w:lineRule="auto"/>
        <w:jc w:val="both"/>
        <w:rPr>
          <w:rFonts w:ascii="Times New Roman" w:eastAsia="Times New Roman" w:hAnsi="Times New Roman" w:cs="Times New Roman"/>
          <w:b/>
          <w:bCs/>
          <w:color w:val="auto"/>
          <w:sz w:val="24"/>
          <w:szCs w:val="24"/>
        </w:rPr>
      </w:pPr>
      <w:bookmarkStart w:id="14" w:name="_Toc694727843"/>
      <w:r w:rsidRPr="5E736396">
        <w:rPr>
          <w:rFonts w:ascii="Times New Roman" w:eastAsia="Times New Roman" w:hAnsi="Times New Roman" w:cs="Times New Roman"/>
          <w:b/>
          <w:bCs/>
          <w:color w:val="auto"/>
          <w:sz w:val="24"/>
          <w:szCs w:val="24"/>
        </w:rPr>
        <w:t>4.4 Summary</w:t>
      </w:r>
      <w:bookmarkEnd w:id="14"/>
    </w:p>
    <w:p w14:paraId="1FA8A4C3" w14:textId="3E265CEC" w:rsidR="007A3265" w:rsidRDefault="64C35C92"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By adding the strategic management practices of HRM based on data and human capital investments, companies will be able to maintain a competitive advantage.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The highest performing, forward-thinking employers are those that are able to proactively anticipate skill shortages and take preemptive action.</w:t>
      </w:r>
    </w:p>
    <w:p w14:paraId="2763FE01" w14:textId="32D3B992" w:rsidR="007A3265" w:rsidRDefault="43EDC016" w:rsidP="5E736396">
      <w:pPr>
        <w:pStyle w:val="Heading2"/>
        <w:spacing w:before="240" w:after="240" w:line="360" w:lineRule="auto"/>
        <w:jc w:val="both"/>
        <w:rPr>
          <w:rFonts w:ascii="Times New Roman" w:eastAsia="Times New Roman" w:hAnsi="Times New Roman" w:cs="Times New Roman"/>
          <w:b/>
          <w:bCs/>
          <w:color w:val="auto"/>
          <w:sz w:val="24"/>
          <w:szCs w:val="24"/>
        </w:rPr>
      </w:pPr>
      <w:bookmarkStart w:id="15" w:name="_Toc1810089928"/>
      <w:r w:rsidRPr="5E736396">
        <w:rPr>
          <w:rFonts w:ascii="Times New Roman" w:eastAsia="Times New Roman" w:hAnsi="Times New Roman" w:cs="Times New Roman"/>
          <w:b/>
          <w:bCs/>
          <w:color w:val="auto"/>
          <w:sz w:val="24"/>
          <w:szCs w:val="24"/>
        </w:rPr>
        <w:t>5. Reflective Report on Personal Capabilities</w:t>
      </w:r>
      <w:bookmarkEnd w:id="15"/>
      <w:r w:rsidRPr="5E736396">
        <w:rPr>
          <w:rFonts w:ascii="Times New Roman" w:eastAsia="Times New Roman" w:hAnsi="Times New Roman" w:cs="Times New Roman"/>
          <w:b/>
          <w:bCs/>
          <w:color w:val="auto"/>
          <w:sz w:val="24"/>
          <w:szCs w:val="24"/>
        </w:rPr>
        <w:t xml:space="preserve"> </w:t>
      </w:r>
    </w:p>
    <w:p w14:paraId="0A4706D8" w14:textId="3802DD6E" w:rsidR="007A3265" w:rsidRDefault="43EDC016" w:rsidP="5E736396">
      <w:pPr>
        <w:pStyle w:val="Heading3"/>
        <w:spacing w:before="281" w:after="281" w:line="360" w:lineRule="auto"/>
        <w:jc w:val="both"/>
        <w:rPr>
          <w:rFonts w:ascii="Times New Roman" w:eastAsia="Times New Roman" w:hAnsi="Times New Roman" w:cs="Times New Roman"/>
          <w:b/>
          <w:bCs/>
          <w:color w:val="auto"/>
          <w:sz w:val="24"/>
          <w:szCs w:val="24"/>
        </w:rPr>
      </w:pPr>
      <w:bookmarkStart w:id="16" w:name="_Toc421229103"/>
      <w:r w:rsidRPr="5E736396">
        <w:rPr>
          <w:rFonts w:ascii="Times New Roman" w:eastAsia="Times New Roman" w:hAnsi="Times New Roman" w:cs="Times New Roman"/>
          <w:b/>
          <w:bCs/>
          <w:color w:val="auto"/>
          <w:sz w:val="24"/>
          <w:szCs w:val="24"/>
        </w:rPr>
        <w:t>5.1 Framework and Purpose</w:t>
      </w:r>
      <w:bookmarkEnd w:id="16"/>
    </w:p>
    <w:p w14:paraId="45F0640E" w14:textId="6F3FB431" w:rsidR="007A3265" w:rsidRDefault="44F91DAD"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This part uses Gibbs Reflective Cycle (1988) and identifies the competencies that I draw from in technology, communication, teamwork, leadership, and self-directed learning.</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 xml:space="preserve">Metacognition or </w:t>
      </w:r>
      <w:r w:rsidRPr="5E736396">
        <w:rPr>
          <w:rFonts w:ascii="Times New Roman" w:eastAsia="Times New Roman" w:hAnsi="Times New Roman" w:cs="Times New Roman"/>
          <w:color w:val="111111"/>
        </w:rPr>
        <w:lastRenderedPageBreak/>
        <w:t>the ability to learn how to learn and evolve is essential in today's globalized labor market and is only possible with reflection.</w:t>
      </w:r>
    </w:p>
    <w:p w14:paraId="68F8646B" w14:textId="18F7DF1E"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17" w:name="_Toc371997844"/>
      <w:r w:rsidRPr="5E736396">
        <w:rPr>
          <w:rFonts w:ascii="Times New Roman" w:eastAsia="Times New Roman" w:hAnsi="Times New Roman" w:cs="Times New Roman"/>
          <w:b/>
          <w:bCs/>
          <w:color w:val="auto"/>
          <w:sz w:val="24"/>
          <w:szCs w:val="24"/>
        </w:rPr>
        <w:t>5.2 Technology Competence</w:t>
      </w:r>
      <w:bookmarkEnd w:id="17"/>
    </w:p>
    <w:p w14:paraId="1808D141" w14:textId="062E71C1" w:rsidR="007A3265" w:rsidRDefault="549DA404"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Intermediate level skills in digital tools such as Microsoft Office, HRIS and Collaborative technologies.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 am adaptable and inquisitive, but need a deeper analytical skillset involving Power BI and SPSS.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To close this gap, over the next six months, I'm going to be completing online qualifications in data analysis and attending digital HR workshops.</w:t>
      </w:r>
    </w:p>
    <w:p w14:paraId="683CF351" w14:textId="0071B3B4"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18" w:name="_Toc2033141483"/>
      <w:r w:rsidRPr="5E736396">
        <w:rPr>
          <w:rFonts w:ascii="Times New Roman" w:eastAsia="Times New Roman" w:hAnsi="Times New Roman" w:cs="Times New Roman"/>
          <w:b/>
          <w:bCs/>
          <w:color w:val="auto"/>
          <w:sz w:val="24"/>
          <w:szCs w:val="24"/>
        </w:rPr>
        <w:t>5.3 Communication Skills</w:t>
      </w:r>
      <w:bookmarkEnd w:id="18"/>
    </w:p>
    <w:p w14:paraId="4C20CF80" w14:textId="3606A38F" w:rsidR="007A3265" w:rsidRDefault="3DC891C6"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Communication is important when managing remote and multicultural teams.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I'm always vocal and assertive and responsive and spouty and such, but sometimes I am simply not able to assert an opinion under pressure.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 will do this by learning to be assertive and intercultural (CIPD, 2024).</w:t>
      </w:r>
    </w:p>
    <w:p w14:paraId="6952F90F" w14:textId="671DC2EB"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19" w:name="_Toc2113780072"/>
      <w:r w:rsidRPr="5E736396">
        <w:rPr>
          <w:rFonts w:ascii="Times New Roman" w:eastAsia="Times New Roman" w:hAnsi="Times New Roman" w:cs="Times New Roman"/>
          <w:b/>
          <w:bCs/>
          <w:color w:val="auto"/>
          <w:sz w:val="24"/>
          <w:szCs w:val="24"/>
        </w:rPr>
        <w:t>5.4 Teamwork and Leadership</w:t>
      </w:r>
      <w:bookmarkEnd w:id="19"/>
    </w:p>
    <w:p w14:paraId="62DB2A6E" w14:textId="2655532A" w:rsidR="007A3265" w:rsidRDefault="4DBEF8F6"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I have a transformational leadership style, which I think has the benefit of allowing group projects to foster teamwork and creativity.</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Through volunteering and leadership simulations, I will attempt to work on my conflict management skills and my delegation skills.</w:t>
      </w:r>
    </w:p>
    <w:p w14:paraId="1C0785E7" w14:textId="299FF7F4"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20" w:name="_Toc638236680"/>
      <w:r w:rsidRPr="5E736396">
        <w:rPr>
          <w:rFonts w:ascii="Times New Roman" w:eastAsia="Times New Roman" w:hAnsi="Times New Roman" w:cs="Times New Roman"/>
          <w:b/>
          <w:bCs/>
          <w:color w:val="auto"/>
          <w:sz w:val="24"/>
          <w:szCs w:val="24"/>
        </w:rPr>
        <w:t>5.5 Self-Directed Learning</w:t>
      </w:r>
      <w:bookmarkEnd w:id="20"/>
    </w:p>
    <w:p w14:paraId="508C2032" w14:textId="5C60A51E" w:rsidR="007A3265" w:rsidRDefault="7DBE3EC4"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Continuous improvement applies to self-directed learning as well.</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I'm an active setter of academic and professional goals and thoughtful evaluator of current results in the form of journal entries.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In order to ensure the continuity of my learning I'll be using SMART goals (Specific, Measurable, Achievable, Relevant, Time-bound).</w:t>
      </w:r>
    </w:p>
    <w:p w14:paraId="39591C06" w14:textId="408DF892" w:rsidR="007A3265" w:rsidRDefault="43EDC016" w:rsidP="5E736396">
      <w:pPr>
        <w:pStyle w:val="Heading3"/>
        <w:spacing w:before="240" w:after="240" w:line="360" w:lineRule="auto"/>
        <w:jc w:val="both"/>
        <w:rPr>
          <w:rFonts w:ascii="Times New Roman" w:eastAsia="Times New Roman" w:hAnsi="Times New Roman" w:cs="Times New Roman"/>
          <w:b/>
          <w:bCs/>
          <w:color w:val="auto"/>
          <w:sz w:val="24"/>
          <w:szCs w:val="24"/>
        </w:rPr>
      </w:pPr>
      <w:bookmarkStart w:id="21" w:name="_Toc1385212189"/>
      <w:r w:rsidRPr="5E736396">
        <w:rPr>
          <w:rFonts w:ascii="Times New Roman" w:eastAsia="Times New Roman" w:hAnsi="Times New Roman" w:cs="Times New Roman"/>
          <w:b/>
          <w:bCs/>
          <w:color w:val="auto"/>
          <w:sz w:val="24"/>
          <w:szCs w:val="24"/>
        </w:rPr>
        <w:t>5.6 Personal Development Plan</w:t>
      </w:r>
      <w:bookmarkEnd w:id="21"/>
    </w:p>
    <w:tbl>
      <w:tblPr>
        <w:tblStyle w:val="TableGridLight"/>
        <w:tblW w:w="0" w:type="auto"/>
        <w:tblLayout w:type="fixed"/>
        <w:tblLook w:val="06A0" w:firstRow="1" w:lastRow="0" w:firstColumn="1" w:lastColumn="0" w:noHBand="1" w:noVBand="1"/>
      </w:tblPr>
      <w:tblGrid>
        <w:gridCol w:w="1547"/>
        <w:gridCol w:w="2010"/>
        <w:gridCol w:w="1365"/>
        <w:gridCol w:w="2955"/>
        <w:gridCol w:w="1610"/>
      </w:tblGrid>
      <w:tr w:rsidR="5E736396" w14:paraId="4341EC9C" w14:textId="77777777" w:rsidTr="5E736396">
        <w:trPr>
          <w:trHeight w:val="300"/>
        </w:trPr>
        <w:tc>
          <w:tcPr>
            <w:tcW w:w="1547" w:type="dxa"/>
            <w:shd w:val="clear" w:color="auto" w:fill="DAE8F8"/>
          </w:tcPr>
          <w:p w14:paraId="73B0D3D4" w14:textId="7FB15A24" w:rsidR="5E736396" w:rsidRDefault="5E736396" w:rsidP="5E736396">
            <w:pPr>
              <w:jc w:val="center"/>
              <w:rPr>
                <w:rFonts w:ascii="Times New Roman" w:eastAsia="Times New Roman" w:hAnsi="Times New Roman" w:cs="Times New Roman"/>
                <w:b/>
                <w:bCs/>
              </w:rPr>
            </w:pPr>
            <w:r w:rsidRPr="5E736396">
              <w:rPr>
                <w:rFonts w:ascii="Times New Roman" w:eastAsia="Times New Roman" w:hAnsi="Times New Roman" w:cs="Times New Roman"/>
                <w:b/>
                <w:bCs/>
              </w:rPr>
              <w:t>Skill Area</w:t>
            </w:r>
          </w:p>
        </w:tc>
        <w:tc>
          <w:tcPr>
            <w:tcW w:w="2010" w:type="dxa"/>
            <w:shd w:val="clear" w:color="auto" w:fill="DAE8F8"/>
          </w:tcPr>
          <w:p w14:paraId="6FD7EADB" w14:textId="28145AFB" w:rsidR="5E736396" w:rsidRDefault="5E736396" w:rsidP="5E736396">
            <w:pPr>
              <w:jc w:val="center"/>
              <w:rPr>
                <w:rFonts w:ascii="Times New Roman" w:eastAsia="Times New Roman" w:hAnsi="Times New Roman" w:cs="Times New Roman"/>
                <w:b/>
                <w:bCs/>
              </w:rPr>
            </w:pPr>
            <w:r w:rsidRPr="5E736396">
              <w:rPr>
                <w:rFonts w:ascii="Times New Roman" w:eastAsia="Times New Roman" w:hAnsi="Times New Roman" w:cs="Times New Roman"/>
                <w:b/>
                <w:bCs/>
              </w:rPr>
              <w:t>Current Level</w:t>
            </w:r>
          </w:p>
        </w:tc>
        <w:tc>
          <w:tcPr>
            <w:tcW w:w="1365" w:type="dxa"/>
            <w:shd w:val="clear" w:color="auto" w:fill="DAE8F8"/>
          </w:tcPr>
          <w:p w14:paraId="49FF9390" w14:textId="51767FBE" w:rsidR="5E736396" w:rsidRDefault="5E736396" w:rsidP="5E736396">
            <w:pPr>
              <w:jc w:val="center"/>
              <w:rPr>
                <w:rFonts w:ascii="Times New Roman" w:eastAsia="Times New Roman" w:hAnsi="Times New Roman" w:cs="Times New Roman"/>
                <w:b/>
                <w:bCs/>
              </w:rPr>
            </w:pPr>
            <w:r w:rsidRPr="5E736396">
              <w:rPr>
                <w:rFonts w:ascii="Times New Roman" w:eastAsia="Times New Roman" w:hAnsi="Times New Roman" w:cs="Times New Roman"/>
                <w:b/>
                <w:bCs/>
              </w:rPr>
              <w:t>Target</w:t>
            </w:r>
          </w:p>
        </w:tc>
        <w:tc>
          <w:tcPr>
            <w:tcW w:w="2955" w:type="dxa"/>
            <w:shd w:val="clear" w:color="auto" w:fill="DAE8F8"/>
          </w:tcPr>
          <w:p w14:paraId="007724DF" w14:textId="04309D6B" w:rsidR="5E736396" w:rsidRDefault="5E736396" w:rsidP="5E736396">
            <w:pPr>
              <w:jc w:val="center"/>
              <w:rPr>
                <w:rFonts w:ascii="Times New Roman" w:eastAsia="Times New Roman" w:hAnsi="Times New Roman" w:cs="Times New Roman"/>
                <w:b/>
                <w:bCs/>
              </w:rPr>
            </w:pPr>
            <w:r w:rsidRPr="5E736396">
              <w:rPr>
                <w:rFonts w:ascii="Times New Roman" w:eastAsia="Times New Roman" w:hAnsi="Times New Roman" w:cs="Times New Roman"/>
                <w:b/>
                <w:bCs/>
              </w:rPr>
              <w:t>Action Plan</w:t>
            </w:r>
          </w:p>
        </w:tc>
        <w:tc>
          <w:tcPr>
            <w:tcW w:w="1610" w:type="dxa"/>
            <w:shd w:val="clear" w:color="auto" w:fill="DAE8F8"/>
          </w:tcPr>
          <w:p w14:paraId="3855C80D" w14:textId="6899AABC" w:rsidR="5E736396" w:rsidRDefault="5E736396" w:rsidP="5E736396">
            <w:pPr>
              <w:jc w:val="center"/>
              <w:rPr>
                <w:rFonts w:ascii="Times New Roman" w:eastAsia="Times New Roman" w:hAnsi="Times New Roman" w:cs="Times New Roman"/>
                <w:b/>
                <w:bCs/>
              </w:rPr>
            </w:pPr>
            <w:r w:rsidRPr="5E736396">
              <w:rPr>
                <w:rFonts w:ascii="Times New Roman" w:eastAsia="Times New Roman" w:hAnsi="Times New Roman" w:cs="Times New Roman"/>
                <w:b/>
                <w:bCs/>
              </w:rPr>
              <w:t>Timeline</w:t>
            </w:r>
          </w:p>
        </w:tc>
      </w:tr>
      <w:tr w:rsidR="5E736396" w14:paraId="6B80410D" w14:textId="77777777" w:rsidTr="5E736396">
        <w:trPr>
          <w:trHeight w:val="300"/>
        </w:trPr>
        <w:tc>
          <w:tcPr>
            <w:tcW w:w="1547" w:type="dxa"/>
          </w:tcPr>
          <w:p w14:paraId="2DBFFB6E" w14:textId="49E944C1"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Digital Skills</w:t>
            </w:r>
          </w:p>
        </w:tc>
        <w:tc>
          <w:tcPr>
            <w:tcW w:w="2010" w:type="dxa"/>
          </w:tcPr>
          <w:p w14:paraId="19DA6D44" w14:textId="6CB94534"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Intermediate</w:t>
            </w:r>
          </w:p>
        </w:tc>
        <w:tc>
          <w:tcPr>
            <w:tcW w:w="1365" w:type="dxa"/>
          </w:tcPr>
          <w:p w14:paraId="676549FD" w14:textId="33AC5809"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Advanced</w:t>
            </w:r>
          </w:p>
        </w:tc>
        <w:tc>
          <w:tcPr>
            <w:tcW w:w="2955" w:type="dxa"/>
          </w:tcPr>
          <w:p w14:paraId="4F598FC5" w14:textId="12BBD889"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Complete HR Analytics Certificate</w:t>
            </w:r>
          </w:p>
        </w:tc>
        <w:tc>
          <w:tcPr>
            <w:tcW w:w="1610" w:type="dxa"/>
          </w:tcPr>
          <w:p w14:paraId="4F33CA0B" w14:textId="7FC52EE4"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6 months</w:t>
            </w:r>
          </w:p>
        </w:tc>
      </w:tr>
      <w:tr w:rsidR="5E736396" w14:paraId="042B635A" w14:textId="77777777" w:rsidTr="5E736396">
        <w:trPr>
          <w:trHeight w:val="300"/>
        </w:trPr>
        <w:tc>
          <w:tcPr>
            <w:tcW w:w="1547" w:type="dxa"/>
          </w:tcPr>
          <w:p w14:paraId="0CF0BC9F" w14:textId="06B4D574"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Communication</w:t>
            </w:r>
          </w:p>
        </w:tc>
        <w:tc>
          <w:tcPr>
            <w:tcW w:w="2010" w:type="dxa"/>
          </w:tcPr>
          <w:p w14:paraId="38015324" w14:textId="7139BB93"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Good</w:t>
            </w:r>
          </w:p>
        </w:tc>
        <w:tc>
          <w:tcPr>
            <w:tcW w:w="1365" w:type="dxa"/>
          </w:tcPr>
          <w:p w14:paraId="24129B41" w14:textId="75CCF938"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Excellent</w:t>
            </w:r>
          </w:p>
        </w:tc>
        <w:tc>
          <w:tcPr>
            <w:tcW w:w="2955" w:type="dxa"/>
          </w:tcPr>
          <w:p w14:paraId="49319C36" w14:textId="7AE11588" w:rsidR="5E736396" w:rsidRDefault="5E736396" w:rsidP="5E736396">
            <w:pPr>
              <w:rPr>
                <w:rFonts w:ascii="Times New Roman" w:eastAsia="Times New Roman" w:hAnsi="Times New Roman" w:cs="Times New Roman"/>
              </w:rPr>
            </w:pPr>
            <w:proofErr w:type="spellStart"/>
            <w:r w:rsidRPr="5E736396">
              <w:rPr>
                <w:rFonts w:ascii="Times New Roman" w:eastAsia="Times New Roman" w:hAnsi="Times New Roman" w:cs="Times New Roman"/>
              </w:rPr>
              <w:t>Enrol</w:t>
            </w:r>
            <w:proofErr w:type="spellEnd"/>
            <w:r w:rsidRPr="5E736396">
              <w:rPr>
                <w:rFonts w:ascii="Times New Roman" w:eastAsia="Times New Roman" w:hAnsi="Times New Roman" w:cs="Times New Roman"/>
              </w:rPr>
              <w:t xml:space="preserve"> in intercultural communication course</w:t>
            </w:r>
          </w:p>
        </w:tc>
        <w:tc>
          <w:tcPr>
            <w:tcW w:w="1610" w:type="dxa"/>
          </w:tcPr>
          <w:p w14:paraId="16B3DC6E" w14:textId="1C8AC894"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4 months</w:t>
            </w:r>
          </w:p>
        </w:tc>
      </w:tr>
      <w:tr w:rsidR="5E736396" w14:paraId="6B604F09" w14:textId="77777777" w:rsidTr="5E736396">
        <w:trPr>
          <w:trHeight w:val="300"/>
        </w:trPr>
        <w:tc>
          <w:tcPr>
            <w:tcW w:w="1547" w:type="dxa"/>
          </w:tcPr>
          <w:p w14:paraId="23986282" w14:textId="08EBEEFD"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lastRenderedPageBreak/>
              <w:t>Leadership</w:t>
            </w:r>
          </w:p>
        </w:tc>
        <w:tc>
          <w:tcPr>
            <w:tcW w:w="2010" w:type="dxa"/>
          </w:tcPr>
          <w:p w14:paraId="750B79E5" w14:textId="0D87D3AC"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Moderate</w:t>
            </w:r>
          </w:p>
        </w:tc>
        <w:tc>
          <w:tcPr>
            <w:tcW w:w="1365" w:type="dxa"/>
          </w:tcPr>
          <w:p w14:paraId="6083B045" w14:textId="4A69ADBF"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Strong</w:t>
            </w:r>
          </w:p>
        </w:tc>
        <w:tc>
          <w:tcPr>
            <w:tcW w:w="2955" w:type="dxa"/>
          </w:tcPr>
          <w:p w14:paraId="3F5AF6E7" w14:textId="63111132"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Attend leadership development workshops</w:t>
            </w:r>
          </w:p>
        </w:tc>
        <w:tc>
          <w:tcPr>
            <w:tcW w:w="1610" w:type="dxa"/>
          </w:tcPr>
          <w:p w14:paraId="0B62ACD6" w14:textId="15B4D9C3"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6 months</w:t>
            </w:r>
          </w:p>
        </w:tc>
      </w:tr>
      <w:tr w:rsidR="5E736396" w14:paraId="173EE9F1" w14:textId="77777777" w:rsidTr="5E736396">
        <w:trPr>
          <w:trHeight w:val="300"/>
        </w:trPr>
        <w:tc>
          <w:tcPr>
            <w:tcW w:w="1547" w:type="dxa"/>
          </w:tcPr>
          <w:p w14:paraId="4AB3D5E9" w14:textId="5DA197BB"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Teamwork</w:t>
            </w:r>
          </w:p>
        </w:tc>
        <w:tc>
          <w:tcPr>
            <w:tcW w:w="2010" w:type="dxa"/>
          </w:tcPr>
          <w:p w14:paraId="3EAD7E3A" w14:textId="0FD7D252"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Strong</w:t>
            </w:r>
          </w:p>
        </w:tc>
        <w:tc>
          <w:tcPr>
            <w:tcW w:w="1365" w:type="dxa"/>
          </w:tcPr>
          <w:p w14:paraId="093299CE" w14:textId="4F776941"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Excellent</w:t>
            </w:r>
          </w:p>
        </w:tc>
        <w:tc>
          <w:tcPr>
            <w:tcW w:w="2955" w:type="dxa"/>
          </w:tcPr>
          <w:p w14:paraId="492A98DC" w14:textId="7D6B1948"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Volunteer in cross-functional projects</w:t>
            </w:r>
          </w:p>
        </w:tc>
        <w:tc>
          <w:tcPr>
            <w:tcW w:w="1610" w:type="dxa"/>
          </w:tcPr>
          <w:p w14:paraId="48BF54BA" w14:textId="203919D9"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Ongoing</w:t>
            </w:r>
          </w:p>
        </w:tc>
      </w:tr>
      <w:tr w:rsidR="5E736396" w14:paraId="3E439984" w14:textId="77777777" w:rsidTr="5E736396">
        <w:trPr>
          <w:trHeight w:val="300"/>
        </w:trPr>
        <w:tc>
          <w:tcPr>
            <w:tcW w:w="1547" w:type="dxa"/>
          </w:tcPr>
          <w:p w14:paraId="04AD591C" w14:textId="73224AB1"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Learning</w:t>
            </w:r>
          </w:p>
        </w:tc>
        <w:tc>
          <w:tcPr>
            <w:tcW w:w="2010" w:type="dxa"/>
          </w:tcPr>
          <w:p w14:paraId="79A58495" w14:textId="2DDECA38"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Good</w:t>
            </w:r>
          </w:p>
        </w:tc>
        <w:tc>
          <w:tcPr>
            <w:tcW w:w="1365" w:type="dxa"/>
          </w:tcPr>
          <w:p w14:paraId="346C0687" w14:textId="0869E10C"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Excellent</w:t>
            </w:r>
          </w:p>
        </w:tc>
        <w:tc>
          <w:tcPr>
            <w:tcW w:w="2955" w:type="dxa"/>
          </w:tcPr>
          <w:p w14:paraId="6D744EC7" w14:textId="7299BBF5"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Implement SMART-based reflection plan</w:t>
            </w:r>
          </w:p>
        </w:tc>
        <w:tc>
          <w:tcPr>
            <w:tcW w:w="1610" w:type="dxa"/>
          </w:tcPr>
          <w:p w14:paraId="225FFEF1" w14:textId="7AEC434E" w:rsidR="5E736396" w:rsidRDefault="5E736396" w:rsidP="5E736396">
            <w:pPr>
              <w:rPr>
                <w:rFonts w:ascii="Times New Roman" w:eastAsia="Times New Roman" w:hAnsi="Times New Roman" w:cs="Times New Roman"/>
              </w:rPr>
            </w:pPr>
            <w:r w:rsidRPr="5E736396">
              <w:rPr>
                <w:rFonts w:ascii="Times New Roman" w:eastAsia="Times New Roman" w:hAnsi="Times New Roman" w:cs="Times New Roman"/>
              </w:rPr>
              <w:t>Continuous</w:t>
            </w:r>
          </w:p>
        </w:tc>
      </w:tr>
    </w:tbl>
    <w:p w14:paraId="7CB45E41" w14:textId="324DA495" w:rsidR="007A3265" w:rsidRDefault="43EDC016" w:rsidP="5E736396">
      <w:pPr>
        <w:pStyle w:val="Heading3"/>
        <w:spacing w:before="281" w:after="281" w:line="360" w:lineRule="auto"/>
        <w:jc w:val="both"/>
        <w:rPr>
          <w:rFonts w:ascii="Times New Roman" w:eastAsia="Times New Roman" w:hAnsi="Times New Roman" w:cs="Times New Roman"/>
          <w:b/>
          <w:bCs/>
          <w:color w:val="auto"/>
          <w:sz w:val="24"/>
          <w:szCs w:val="24"/>
        </w:rPr>
      </w:pPr>
      <w:bookmarkStart w:id="22" w:name="_Toc1514413170"/>
      <w:r w:rsidRPr="5E736396">
        <w:rPr>
          <w:rFonts w:ascii="Times New Roman" w:eastAsia="Times New Roman" w:hAnsi="Times New Roman" w:cs="Times New Roman"/>
          <w:b/>
          <w:bCs/>
          <w:color w:val="auto"/>
          <w:sz w:val="24"/>
          <w:szCs w:val="24"/>
        </w:rPr>
        <w:t>5.7 Summary</w:t>
      </w:r>
      <w:bookmarkEnd w:id="22"/>
    </w:p>
    <w:p w14:paraId="57605BDF" w14:textId="6960A2D2" w:rsidR="007A3265" w:rsidRDefault="6A2B2FED"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This confirms, I am already well established as a cross-border professional though there is still a need for digital literacy and impact.</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A permanent education and the need to be aware of the world will guarantee a professional evolution.</w:t>
      </w:r>
    </w:p>
    <w:p w14:paraId="7C0B9EC3" w14:textId="773BD853" w:rsidR="007A3265" w:rsidRDefault="43EDC016" w:rsidP="5E736396">
      <w:pPr>
        <w:pStyle w:val="Heading2"/>
        <w:spacing w:before="240" w:after="240" w:line="360" w:lineRule="auto"/>
        <w:jc w:val="both"/>
        <w:rPr>
          <w:rFonts w:ascii="Times New Roman" w:eastAsia="Times New Roman" w:hAnsi="Times New Roman" w:cs="Times New Roman"/>
          <w:b/>
          <w:bCs/>
          <w:color w:val="auto"/>
          <w:sz w:val="24"/>
          <w:szCs w:val="24"/>
        </w:rPr>
      </w:pPr>
      <w:bookmarkStart w:id="23" w:name="_Toc1156738916"/>
      <w:r w:rsidRPr="5E736396">
        <w:rPr>
          <w:rFonts w:ascii="Times New Roman" w:eastAsia="Times New Roman" w:hAnsi="Times New Roman" w:cs="Times New Roman"/>
          <w:b/>
          <w:bCs/>
          <w:color w:val="auto"/>
          <w:sz w:val="24"/>
          <w:szCs w:val="24"/>
        </w:rPr>
        <w:t>6. Conclusion</w:t>
      </w:r>
      <w:bookmarkEnd w:id="23"/>
      <w:r w:rsidRPr="5E736396">
        <w:rPr>
          <w:rFonts w:ascii="Times New Roman" w:eastAsia="Times New Roman" w:hAnsi="Times New Roman" w:cs="Times New Roman"/>
          <w:b/>
          <w:bCs/>
          <w:color w:val="auto"/>
          <w:sz w:val="24"/>
          <w:szCs w:val="24"/>
        </w:rPr>
        <w:t xml:space="preserve"> </w:t>
      </w:r>
    </w:p>
    <w:p w14:paraId="4E776BD0" w14:textId="16E0C6C1" w:rsidR="007A3265" w:rsidRDefault="1F872702" w:rsidP="5E736396">
      <w:pPr>
        <w:spacing w:before="240" w:after="240" w:line="360" w:lineRule="auto"/>
        <w:jc w:val="both"/>
        <w:rPr>
          <w:rFonts w:ascii="Times New Roman" w:eastAsia="Times New Roman" w:hAnsi="Times New Roman" w:cs="Times New Roman"/>
          <w:color w:val="111111"/>
        </w:rPr>
      </w:pPr>
      <w:r w:rsidRPr="5E736396">
        <w:rPr>
          <w:rFonts w:ascii="Times New Roman" w:eastAsia="Times New Roman" w:hAnsi="Times New Roman" w:cs="Times New Roman"/>
          <w:color w:val="111111"/>
        </w:rPr>
        <w:t>Technological change, demographic change, and the reshaping of national boundaries are creating fundamental structural changes in national and global labour markets.</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We have seen how these forces are pushing for a re-brand of an organization, such as Human Resource Management (HRM) and International Human Resource Management (IHRM), into something that is more agile, inclusive and data-driven.</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Cultivating a workforce that can learn continuously, plan strategically, and develop talent can also help organizations build resilience and maintain competitiveness in an increasingly volatile environment.</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Also, HR professionals should look towards ethically grounded, global solutions to find a balance between automation and human potential.</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In the private domain, competencies that allow individuals to flourish in the highly interconnected and dynamic world of work appear to be adaptability, reflective learning, and digital fluency.</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And even if it did, why should we care?</w:t>
      </w:r>
      <w:r w:rsidRPr="5E736396">
        <w:rPr>
          <w:rFonts w:ascii="Times New Roman" w:eastAsia="Times New Roman" w:hAnsi="Times New Roman" w:cs="Times New Roman"/>
        </w:rPr>
        <w:t xml:space="preserve"> </w:t>
      </w:r>
      <w:r w:rsidRPr="5E736396">
        <w:rPr>
          <w:rFonts w:ascii="Times New Roman" w:eastAsia="Times New Roman" w:hAnsi="Times New Roman" w:cs="Times New Roman"/>
          <w:color w:val="111111"/>
        </w:rPr>
        <w:t>It is the integration of technological revolution, population awareness and knowledge, and the approach of human resource management that will determine the success of organizations and the viability of human resources in the twenty-first century.</w:t>
      </w:r>
    </w:p>
    <w:p w14:paraId="663C47FA" w14:textId="566FDE84" w:rsidR="007A3265" w:rsidRDefault="0B28BA53" w:rsidP="5E736396">
      <w:pPr>
        <w:pStyle w:val="Heading2"/>
        <w:spacing w:before="240" w:after="240" w:line="360" w:lineRule="auto"/>
        <w:jc w:val="both"/>
        <w:rPr>
          <w:rFonts w:ascii="Times New Roman" w:eastAsia="Times New Roman" w:hAnsi="Times New Roman" w:cs="Times New Roman"/>
          <w:b/>
          <w:bCs/>
          <w:color w:val="auto"/>
          <w:sz w:val="24"/>
          <w:szCs w:val="24"/>
        </w:rPr>
      </w:pPr>
      <w:bookmarkStart w:id="24" w:name="_Toc1278110999"/>
      <w:r w:rsidRPr="5E736396">
        <w:rPr>
          <w:rFonts w:ascii="Times New Roman" w:eastAsia="Times New Roman" w:hAnsi="Times New Roman" w:cs="Times New Roman"/>
          <w:b/>
          <w:bCs/>
          <w:color w:val="auto"/>
          <w:sz w:val="24"/>
          <w:szCs w:val="24"/>
        </w:rPr>
        <w:t>References</w:t>
      </w:r>
      <w:bookmarkEnd w:id="24"/>
    </w:p>
    <w:p w14:paraId="72704118" w14:textId="3D44187D"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Armstrong, M. and Taylor, S. (2023) Armstrong’s handbook of human resource management practice. 17th edn. London: Kogan Page.</w:t>
      </w:r>
    </w:p>
    <w:p w14:paraId="6D592A68" w14:textId="159FF4BF"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Barney, J. B. (1991) ‘Firm resources and sustained competitive advantage’, Journal of Management, 17(1), pp. 99–120.</w:t>
      </w:r>
    </w:p>
    <w:p w14:paraId="052583C7" w14:textId="5A5F98E6"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lastRenderedPageBreak/>
        <w:t>Bartlett, C. A. and Ghoshal, S. (1989) Managing across borders: the transnational solution. Boston, MA: Harvard Business School Press.</w:t>
      </w:r>
    </w:p>
    <w:p w14:paraId="4B615548" w14:textId="02EBA2A7"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 xml:space="preserve">BBC (2023) Brexit: labour shortages continue to impact UK sectors. Available at: </w:t>
      </w:r>
      <w:hyperlink r:id="rId9">
        <w:r w:rsidRPr="5E736396">
          <w:rPr>
            <w:rStyle w:val="Hyperlink"/>
            <w:rFonts w:ascii="Times New Roman" w:eastAsia="Times New Roman" w:hAnsi="Times New Roman" w:cs="Times New Roman"/>
            <w:color w:val="auto"/>
          </w:rPr>
          <w:t>https://www.bbc.co.uk/news/business</w:t>
        </w:r>
      </w:hyperlink>
      <w:r w:rsidRPr="5E736396">
        <w:rPr>
          <w:rFonts w:ascii="Times New Roman" w:eastAsia="Times New Roman" w:hAnsi="Times New Roman" w:cs="Times New Roman"/>
        </w:rPr>
        <w:t xml:space="preserve"> (Accessed: 5 October 2025).</w:t>
      </w:r>
    </w:p>
    <w:p w14:paraId="09757E0A" w14:textId="0FB332E9"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Becker, G. S. (1993) Human capital: a theoretical and empirical analysis with special reference to education. 3rd edn. Chicago, IL: University of Chicago Press.</w:t>
      </w:r>
    </w:p>
    <w:p w14:paraId="246FF5FF" w14:textId="11D75F12"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Brewster, C., Chung, C. and Sparrow, P. (2022) Globalizing human resource management. 3rd edn. London: Routledge.</w:t>
      </w:r>
    </w:p>
    <w:p w14:paraId="75D33E9B" w14:textId="295B5874"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Brynjolfsson, E. and McAfee, A. (2022) The second machine age: work, progress, and prosperity in a time of brilliant technologies. New York: W. W. Norton &amp; Company.</w:t>
      </w:r>
    </w:p>
    <w:p w14:paraId="2BB3BFAC" w14:textId="53DF88A5"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Chartered Institute of Personnel and Development (CIPD) (2024) HR analytics and digital transformation report. London: CIPD.</w:t>
      </w:r>
    </w:p>
    <w:p w14:paraId="10A2F132" w14:textId="2BF5DE49"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Chartered Institute of Personnel and Development (CIPD) (2024) Workforce planning and diversity report 2024. London: CIPD.</w:t>
      </w:r>
    </w:p>
    <w:p w14:paraId="61E21944" w14:textId="7AB86D70"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Deloitte (2024) Global human capital trends 2024: navigating the new digital workplace. London: Deloitte Insights.</w:t>
      </w:r>
    </w:p>
    <w:p w14:paraId="0F3C0618" w14:textId="6FE050DE"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Ernst &amp; Young (EY) (2023) Gen Z and the future of work report. London: Ernst &amp; Young.</w:t>
      </w:r>
    </w:p>
    <w:p w14:paraId="334109D3" w14:textId="6C8E1770"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Gibbs, G. (1988) Learning by doing: a guide to teaching and learning methods. Oxford: Oxford Polytechnic.</w:t>
      </w:r>
    </w:p>
    <w:p w14:paraId="5226BBDD" w14:textId="5A40E85C"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IBM Corporation (2024) SkillsBuild impact report 2024. Armonk, NY: IBM Corporation.</w:t>
      </w:r>
    </w:p>
    <w:p w14:paraId="4FA25FD8" w14:textId="54D6A49A"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International Labour Organization (ILO) (2024) World employment and social outlook 2024. Geneva: International Labour Organization.</w:t>
      </w:r>
    </w:p>
    <w:p w14:paraId="456C333F" w14:textId="090FA548"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Kolb, D. A. (1984) Experiential learning: experience as the source of learning and development. Englewood Cliffs, NJ: Prentice Hall.</w:t>
      </w:r>
    </w:p>
    <w:p w14:paraId="2BA7B0F7" w14:textId="01444986"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lastRenderedPageBreak/>
        <w:t>Organisation for Economic Co-operation and Development (OECD) (2024) Skills outlook 2024: strengthening global workforce resilience. Paris: OECD Publishing.</w:t>
      </w:r>
    </w:p>
    <w:p w14:paraId="6DDBADDB" w14:textId="6791B14B"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Shore, L. M., Randel, A. E., Chung, B. G., Dean, M. A., Ehrhart, K. H. and Singh, G. (2018) ‘Inclusive workplaces: a review and model’, Human Resource Management Review, 28(2), pp. 176–189.</w:t>
      </w:r>
    </w:p>
    <w:p w14:paraId="202880C5" w14:textId="3001F5F7"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Trist, E. L. and Bamforth, K. W. (1951) ‘Some social and psychological consequences of the longwall method’, Human Relations, 4(1), pp. 3–38.</w:t>
      </w:r>
    </w:p>
    <w:p w14:paraId="7A85D612" w14:textId="6AE2FE0D" w:rsidR="007A3265" w:rsidRDefault="0B28BA53" w:rsidP="00FF222C">
      <w:pPr>
        <w:spacing w:before="240" w:after="240" w:line="360" w:lineRule="auto"/>
        <w:rPr>
          <w:rFonts w:ascii="Times New Roman" w:eastAsia="Times New Roman" w:hAnsi="Times New Roman" w:cs="Times New Roman"/>
        </w:rPr>
      </w:pPr>
      <w:r w:rsidRPr="5E736396">
        <w:rPr>
          <w:rFonts w:ascii="Times New Roman" w:eastAsia="Times New Roman" w:hAnsi="Times New Roman" w:cs="Times New Roman"/>
        </w:rPr>
        <w:t>World Economic Forum (WEF) (2023) The future of jobs report 2023. Geneva: World Economic Forum.</w:t>
      </w:r>
    </w:p>
    <w:p w14:paraId="017DD3FE" w14:textId="09260260" w:rsidR="007A3265" w:rsidRDefault="007A3265" w:rsidP="5E736396">
      <w:pPr>
        <w:spacing w:before="240" w:after="240"/>
        <w:rPr>
          <w:rFonts w:ascii="system-ui" w:eastAsia="system-ui" w:hAnsi="system-ui" w:cs="system-ui"/>
          <w:color w:val="111111"/>
        </w:rPr>
      </w:pPr>
    </w:p>
    <w:p w14:paraId="5C36C151" w14:textId="0EC8D959" w:rsidR="007A3265" w:rsidRDefault="007A3265" w:rsidP="5E736396">
      <w:pPr>
        <w:spacing w:before="240" w:after="240"/>
        <w:rPr>
          <w:rFonts w:ascii="Aptos" w:eastAsia="Aptos" w:hAnsi="Aptos" w:cs="Aptos"/>
        </w:rPr>
      </w:pPr>
    </w:p>
    <w:p w14:paraId="2C078E63" w14:textId="45B7B3D2" w:rsidR="007A3265" w:rsidRDefault="007A3265"/>
    <w:sectPr w:rsidR="007A32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hnschrift Light">
    <w:panose1 w:val="020B0502040204020203"/>
    <w:charset w:val="00"/>
    <w:family w:val="swiss"/>
    <w:pitch w:val="variable"/>
    <w:sig w:usb0="A00002C7" w:usb1="00000002" w:usb2="00000000" w:usb3="00000000" w:csb0="0000019F" w:csb1="00000000"/>
  </w:font>
  <w:font w:name="system-ui">
    <w:altName w:val="Cambria"/>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Ub2VNTrtpmFUM7" int2:id="qsBhp5u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5138FB"/>
    <w:multiLevelType w:val="hybridMultilevel"/>
    <w:tmpl w:val="1B40C9D0"/>
    <w:lvl w:ilvl="0" w:tplc="C8BA37A8">
      <w:start w:val="1"/>
      <w:numFmt w:val="bullet"/>
      <w:lvlText w:val=""/>
      <w:lvlJc w:val="left"/>
      <w:pPr>
        <w:ind w:left="720" w:hanging="360"/>
      </w:pPr>
      <w:rPr>
        <w:rFonts w:ascii="Symbol" w:hAnsi="Symbol" w:hint="default"/>
      </w:rPr>
    </w:lvl>
    <w:lvl w:ilvl="1" w:tplc="885CD872">
      <w:start w:val="1"/>
      <w:numFmt w:val="bullet"/>
      <w:lvlText w:val="o"/>
      <w:lvlJc w:val="left"/>
      <w:pPr>
        <w:ind w:left="1440" w:hanging="360"/>
      </w:pPr>
      <w:rPr>
        <w:rFonts w:ascii="Courier New" w:hAnsi="Courier New" w:hint="default"/>
      </w:rPr>
    </w:lvl>
    <w:lvl w:ilvl="2" w:tplc="1F08C08C">
      <w:start w:val="1"/>
      <w:numFmt w:val="bullet"/>
      <w:lvlText w:val=""/>
      <w:lvlJc w:val="left"/>
      <w:pPr>
        <w:ind w:left="2160" w:hanging="360"/>
      </w:pPr>
      <w:rPr>
        <w:rFonts w:ascii="Wingdings" w:hAnsi="Wingdings" w:hint="default"/>
      </w:rPr>
    </w:lvl>
    <w:lvl w:ilvl="3" w:tplc="74A687CA">
      <w:start w:val="1"/>
      <w:numFmt w:val="bullet"/>
      <w:lvlText w:val=""/>
      <w:lvlJc w:val="left"/>
      <w:pPr>
        <w:ind w:left="2880" w:hanging="360"/>
      </w:pPr>
      <w:rPr>
        <w:rFonts w:ascii="Symbol" w:hAnsi="Symbol" w:hint="default"/>
      </w:rPr>
    </w:lvl>
    <w:lvl w:ilvl="4" w:tplc="DC66DA1E">
      <w:start w:val="1"/>
      <w:numFmt w:val="bullet"/>
      <w:lvlText w:val="o"/>
      <w:lvlJc w:val="left"/>
      <w:pPr>
        <w:ind w:left="3600" w:hanging="360"/>
      </w:pPr>
      <w:rPr>
        <w:rFonts w:ascii="Courier New" w:hAnsi="Courier New" w:hint="default"/>
      </w:rPr>
    </w:lvl>
    <w:lvl w:ilvl="5" w:tplc="6B0AD482">
      <w:start w:val="1"/>
      <w:numFmt w:val="bullet"/>
      <w:lvlText w:val=""/>
      <w:lvlJc w:val="left"/>
      <w:pPr>
        <w:ind w:left="4320" w:hanging="360"/>
      </w:pPr>
      <w:rPr>
        <w:rFonts w:ascii="Wingdings" w:hAnsi="Wingdings" w:hint="default"/>
      </w:rPr>
    </w:lvl>
    <w:lvl w:ilvl="6" w:tplc="0C24392A">
      <w:start w:val="1"/>
      <w:numFmt w:val="bullet"/>
      <w:lvlText w:val=""/>
      <w:lvlJc w:val="left"/>
      <w:pPr>
        <w:ind w:left="5040" w:hanging="360"/>
      </w:pPr>
      <w:rPr>
        <w:rFonts w:ascii="Symbol" w:hAnsi="Symbol" w:hint="default"/>
      </w:rPr>
    </w:lvl>
    <w:lvl w:ilvl="7" w:tplc="8292BBEC">
      <w:start w:val="1"/>
      <w:numFmt w:val="bullet"/>
      <w:lvlText w:val="o"/>
      <w:lvlJc w:val="left"/>
      <w:pPr>
        <w:ind w:left="5760" w:hanging="360"/>
      </w:pPr>
      <w:rPr>
        <w:rFonts w:ascii="Courier New" w:hAnsi="Courier New" w:hint="default"/>
      </w:rPr>
    </w:lvl>
    <w:lvl w:ilvl="8" w:tplc="CFA8E15C">
      <w:start w:val="1"/>
      <w:numFmt w:val="bullet"/>
      <w:lvlText w:val=""/>
      <w:lvlJc w:val="left"/>
      <w:pPr>
        <w:ind w:left="6480" w:hanging="360"/>
      </w:pPr>
      <w:rPr>
        <w:rFonts w:ascii="Wingdings" w:hAnsi="Wingdings" w:hint="default"/>
      </w:rPr>
    </w:lvl>
  </w:abstractNum>
  <w:num w:numId="1" w16cid:durableId="198013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E404C4"/>
    <w:rsid w:val="000E2092"/>
    <w:rsid w:val="001C6A47"/>
    <w:rsid w:val="003C5BDF"/>
    <w:rsid w:val="00520EDF"/>
    <w:rsid w:val="007A3265"/>
    <w:rsid w:val="00F04DB1"/>
    <w:rsid w:val="00FF222C"/>
    <w:rsid w:val="018B94D2"/>
    <w:rsid w:val="05A53DCA"/>
    <w:rsid w:val="06252B6C"/>
    <w:rsid w:val="06CEB52F"/>
    <w:rsid w:val="07557389"/>
    <w:rsid w:val="0761E9ED"/>
    <w:rsid w:val="08D6E9F8"/>
    <w:rsid w:val="0941865C"/>
    <w:rsid w:val="0B28BA53"/>
    <w:rsid w:val="0CCC46BF"/>
    <w:rsid w:val="0FC70662"/>
    <w:rsid w:val="103F6896"/>
    <w:rsid w:val="1118F72E"/>
    <w:rsid w:val="134313D3"/>
    <w:rsid w:val="13DC0A5F"/>
    <w:rsid w:val="15FC5444"/>
    <w:rsid w:val="1B8E637C"/>
    <w:rsid w:val="1D9A9B1B"/>
    <w:rsid w:val="1E288006"/>
    <w:rsid w:val="1F872702"/>
    <w:rsid w:val="1F906A66"/>
    <w:rsid w:val="2091696E"/>
    <w:rsid w:val="20DC6E34"/>
    <w:rsid w:val="20FCFEEA"/>
    <w:rsid w:val="22D5BF0E"/>
    <w:rsid w:val="254C552A"/>
    <w:rsid w:val="2693CDF9"/>
    <w:rsid w:val="27C2E982"/>
    <w:rsid w:val="284DE9BC"/>
    <w:rsid w:val="29F388B2"/>
    <w:rsid w:val="2A56757C"/>
    <w:rsid w:val="2AB0D101"/>
    <w:rsid w:val="2C841E7D"/>
    <w:rsid w:val="2C8E86F1"/>
    <w:rsid w:val="2DB501AE"/>
    <w:rsid w:val="308B22BD"/>
    <w:rsid w:val="3325A9C4"/>
    <w:rsid w:val="338922AD"/>
    <w:rsid w:val="35CA9C2E"/>
    <w:rsid w:val="36505964"/>
    <w:rsid w:val="3703ACD3"/>
    <w:rsid w:val="371D7A12"/>
    <w:rsid w:val="37E8BEEA"/>
    <w:rsid w:val="387D786C"/>
    <w:rsid w:val="38D41ADA"/>
    <w:rsid w:val="39F44953"/>
    <w:rsid w:val="3B2079C6"/>
    <w:rsid w:val="3BFAF093"/>
    <w:rsid w:val="3CE82052"/>
    <w:rsid w:val="3DC891C6"/>
    <w:rsid w:val="3EE404C4"/>
    <w:rsid w:val="40208B3F"/>
    <w:rsid w:val="414CDE02"/>
    <w:rsid w:val="41B77745"/>
    <w:rsid w:val="4218E313"/>
    <w:rsid w:val="43EDC016"/>
    <w:rsid w:val="4481E519"/>
    <w:rsid w:val="44EE3DEA"/>
    <w:rsid w:val="44F91DAD"/>
    <w:rsid w:val="455C37E1"/>
    <w:rsid w:val="469C3402"/>
    <w:rsid w:val="4856B5C6"/>
    <w:rsid w:val="492464ED"/>
    <w:rsid w:val="4A2D303B"/>
    <w:rsid w:val="4BA970F0"/>
    <w:rsid w:val="4BEFC7C3"/>
    <w:rsid w:val="4DBEF8F6"/>
    <w:rsid w:val="4F3666A9"/>
    <w:rsid w:val="4FFB0930"/>
    <w:rsid w:val="527FCC9D"/>
    <w:rsid w:val="538A1418"/>
    <w:rsid w:val="541D0743"/>
    <w:rsid w:val="549DA404"/>
    <w:rsid w:val="55F93553"/>
    <w:rsid w:val="57A9ADBB"/>
    <w:rsid w:val="594A49C2"/>
    <w:rsid w:val="5AF7BC4F"/>
    <w:rsid w:val="5B0888F4"/>
    <w:rsid w:val="5B705FA5"/>
    <w:rsid w:val="5B872968"/>
    <w:rsid w:val="5C414E4E"/>
    <w:rsid w:val="5E736396"/>
    <w:rsid w:val="5F1C51AE"/>
    <w:rsid w:val="5FFFE560"/>
    <w:rsid w:val="6122AE45"/>
    <w:rsid w:val="616213CE"/>
    <w:rsid w:val="62D63CA1"/>
    <w:rsid w:val="63BB81BB"/>
    <w:rsid w:val="64C35C92"/>
    <w:rsid w:val="6631EE51"/>
    <w:rsid w:val="67AE242D"/>
    <w:rsid w:val="67D132C4"/>
    <w:rsid w:val="690128E3"/>
    <w:rsid w:val="6A2B2FED"/>
    <w:rsid w:val="6B7ED4E7"/>
    <w:rsid w:val="6E571694"/>
    <w:rsid w:val="6FADD774"/>
    <w:rsid w:val="71083C4B"/>
    <w:rsid w:val="715D321E"/>
    <w:rsid w:val="7581F262"/>
    <w:rsid w:val="78BB5A2B"/>
    <w:rsid w:val="792D3D0A"/>
    <w:rsid w:val="794A8773"/>
    <w:rsid w:val="7A22CE04"/>
    <w:rsid w:val="7B624A62"/>
    <w:rsid w:val="7BF7DAB8"/>
    <w:rsid w:val="7CDF3F0A"/>
    <w:rsid w:val="7DBE3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F6896"/>
  <w15:chartTrackingRefBased/>
  <w15:docId w15:val="{6F141D8C-9AD7-4047-BE3B-687E1C32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E7363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E7363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E73639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E736396"/>
    <w:pPr>
      <w:ind w:left="720"/>
      <w:contextualSpacing/>
    </w:pPr>
  </w:style>
  <w:style w:type="character" w:styleId="Hyperlink">
    <w:name w:val="Hyperlink"/>
    <w:basedOn w:val="DefaultParagraphFont"/>
    <w:uiPriority w:val="99"/>
    <w:unhideWhenUsed/>
    <w:rsid w:val="5E736396"/>
    <w:rPr>
      <w:color w:val="467886"/>
      <w:u w:val="single"/>
    </w:rPr>
  </w:style>
  <w:style w:type="paragraph" w:styleId="TOC2">
    <w:name w:val="toc 2"/>
    <w:basedOn w:val="Normal"/>
    <w:next w:val="Normal"/>
    <w:uiPriority w:val="39"/>
    <w:unhideWhenUsed/>
    <w:rsid w:val="5E736396"/>
    <w:pPr>
      <w:spacing w:after="100"/>
      <w:ind w:left="220"/>
    </w:pPr>
  </w:style>
  <w:style w:type="paragraph" w:styleId="TOC3">
    <w:name w:val="toc 3"/>
    <w:basedOn w:val="Normal"/>
    <w:next w:val="Normal"/>
    <w:uiPriority w:val="39"/>
    <w:unhideWhenUsed/>
    <w:rsid w:val="5E736396"/>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3670</Words>
  <Characters>20920</Characters>
  <Application>Microsoft Office Word</Application>
  <DocSecurity>0</DocSecurity>
  <Lines>174</Lines>
  <Paragraphs>49</Paragraphs>
  <ScaleCrop>false</ScaleCrop>
  <Company/>
  <LinksUpToDate>false</LinksUpToDate>
  <CharactersWithSpaces>24541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nabigha Faheem'S</dc:creator>
  <cp:keywords/>
  <dc:description/>
  <cp:lastModifiedBy>Bhargav Khunt</cp:lastModifiedBy>
  <cp:revision>5</cp:revision>
  <dcterms:created xsi:type="dcterms:W3CDTF">2025-10-05T06:53:00Z</dcterms:created>
  <dcterms:modified xsi:type="dcterms:W3CDTF">2025-10-16T14:03:00Z</dcterms:modified>
</cp:coreProperties>
</file>