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diagrams/drawing3.xml" ContentType="application/vnd.ms-office.drawingml.diagramDrawing+xml"/>
  <Override PartName="/word/settings.xml" ContentType="application/vnd.openxmlformats-officedocument.wordprocessingml.settings+xml"/>
  <Override PartName="/docProps/custom.xml" ContentType="application/vnd.openxmlformats-officedocument.custom-propertie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7DF5" w:rsidRDefault="00DF402D" w:rsidP="00965DC2">
      <w:pPr>
        <w:pStyle w:val="NoSpacing"/>
        <w:rPr>
          <w:rFonts w:ascii="Arial" w:hAnsi="Arial" w:cs="Arial"/>
          <w:szCs w:val="24"/>
        </w:rPr>
      </w:pPr>
      <w:r w:rsidRPr="00C807F0">
        <w:rPr>
          <w:rFonts w:ascii="Arial" w:hAnsi="Arial" w:cs="Arial"/>
          <w:noProof/>
          <w:szCs w:val="24"/>
        </w:rPr>
        <w:drawing>
          <wp:inline distT="0" distB="0" distL="0" distR="0">
            <wp:extent cx="2266950" cy="1009650"/>
            <wp:effectExtent l="0" t="0" r="0" b="0"/>
            <wp:docPr id="5" name="Picture 5" descr="download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download (55)"/>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66950" cy="1009650"/>
                    </a:xfrm>
                    <a:prstGeom prst="rect">
                      <a:avLst/>
                    </a:prstGeom>
                    <a:noFill/>
                    <a:ln>
                      <a:noFill/>
                    </a:ln>
                  </pic:spPr>
                </pic:pic>
              </a:graphicData>
            </a:graphic>
          </wp:inline>
        </w:drawing>
      </w:r>
    </w:p>
    <w:p w:rsidR="00C807F0" w:rsidRDefault="00C807F0" w:rsidP="00965DC2">
      <w:pPr>
        <w:pStyle w:val="NoSpacing"/>
        <w:rPr>
          <w:rFonts w:ascii="Arial" w:hAnsi="Arial" w:cs="Arial"/>
          <w:szCs w:val="24"/>
        </w:rPr>
      </w:pPr>
    </w:p>
    <w:p w:rsidR="00C807F0" w:rsidRPr="00C807F0" w:rsidRDefault="00C807F0" w:rsidP="00965DC2">
      <w:pPr>
        <w:pStyle w:val="NoSpacing"/>
        <w:rPr>
          <w:rFonts w:ascii="Arial" w:hAnsi="Arial" w:cs="Arial"/>
          <w:sz w:val="28"/>
          <w:szCs w:val="28"/>
        </w:rPr>
      </w:pPr>
    </w:p>
    <w:p w:rsidR="00C807F0" w:rsidRDefault="00C807F0" w:rsidP="00965DC2">
      <w:pPr>
        <w:pStyle w:val="NoSpacing"/>
        <w:rPr>
          <w:rFonts w:ascii="Arial" w:hAnsi="Arial" w:cs="Arial"/>
          <w:sz w:val="28"/>
          <w:szCs w:val="28"/>
        </w:rPr>
      </w:pPr>
    </w:p>
    <w:p w:rsidR="00C807F0" w:rsidRDefault="00C807F0" w:rsidP="00965DC2">
      <w:pPr>
        <w:pStyle w:val="NoSpacing"/>
        <w:rPr>
          <w:rFonts w:ascii="Arial" w:hAnsi="Arial" w:cs="Arial"/>
          <w:sz w:val="28"/>
          <w:szCs w:val="28"/>
        </w:rPr>
      </w:pPr>
    </w:p>
    <w:p w:rsidR="00C807F0" w:rsidRPr="00C807F0" w:rsidRDefault="00C807F0" w:rsidP="00965DC2">
      <w:pPr>
        <w:pStyle w:val="NoSpacing"/>
        <w:rPr>
          <w:rFonts w:ascii="Arial" w:hAnsi="Arial" w:cs="Arial"/>
          <w:sz w:val="28"/>
          <w:szCs w:val="28"/>
        </w:rPr>
      </w:pPr>
    </w:p>
    <w:p w:rsidR="00C807F0" w:rsidRPr="00C807F0" w:rsidRDefault="00C807F0" w:rsidP="00965DC2">
      <w:pPr>
        <w:pStyle w:val="NoSpacing"/>
        <w:rPr>
          <w:rFonts w:ascii="Arial" w:hAnsi="Arial" w:cs="Arial"/>
          <w:sz w:val="28"/>
          <w:szCs w:val="28"/>
        </w:rPr>
      </w:pPr>
    </w:p>
    <w:p w:rsidR="00634743" w:rsidRPr="00C807F0" w:rsidRDefault="002F6855" w:rsidP="00C807F0">
      <w:pPr>
        <w:jc w:val="center"/>
        <w:rPr>
          <w:rFonts w:ascii="Arial" w:hAnsi="Arial" w:cs="Arial"/>
          <w:b/>
          <w:bCs/>
          <w:sz w:val="36"/>
          <w:szCs w:val="36"/>
        </w:rPr>
      </w:pPr>
      <w:r w:rsidRPr="00C807F0">
        <w:rPr>
          <w:rFonts w:ascii="Arial" w:hAnsi="Arial" w:cs="Arial"/>
          <w:b/>
          <w:bCs/>
          <w:sz w:val="36"/>
          <w:szCs w:val="36"/>
        </w:rPr>
        <w:t>Planning and Delivering an International Meeting/Event</w:t>
      </w:r>
    </w:p>
    <w:p w:rsidR="00C807F0" w:rsidRPr="00C807F0" w:rsidRDefault="00C807F0" w:rsidP="00C807F0">
      <w:pPr>
        <w:jc w:val="center"/>
        <w:rPr>
          <w:rFonts w:ascii="Arial" w:hAnsi="Arial" w:cs="Arial"/>
          <w:b/>
          <w:bCs/>
          <w:sz w:val="36"/>
          <w:szCs w:val="36"/>
        </w:rPr>
      </w:pPr>
      <w:r w:rsidRPr="00C807F0">
        <w:rPr>
          <w:rFonts w:ascii="Arial" w:hAnsi="Arial" w:cs="Arial"/>
          <w:b/>
          <w:bCs/>
          <w:sz w:val="36"/>
          <w:szCs w:val="36"/>
        </w:rPr>
        <w:t>Future of Dining Symposium</w:t>
      </w:r>
    </w:p>
    <w:p w:rsidR="00C807F0" w:rsidRDefault="00C807F0" w:rsidP="00C807F0">
      <w:pPr>
        <w:jc w:val="center"/>
        <w:rPr>
          <w:rFonts w:ascii="Arial" w:hAnsi="Arial" w:cs="Arial"/>
          <w:b/>
          <w:bCs/>
          <w:szCs w:val="24"/>
        </w:rPr>
      </w:pPr>
    </w:p>
    <w:p w:rsidR="00C807F0" w:rsidRDefault="00C807F0" w:rsidP="00C807F0">
      <w:pPr>
        <w:jc w:val="center"/>
        <w:rPr>
          <w:rFonts w:ascii="Arial" w:hAnsi="Arial" w:cs="Arial"/>
          <w:b/>
          <w:bCs/>
          <w:szCs w:val="24"/>
        </w:rPr>
      </w:pPr>
    </w:p>
    <w:p w:rsidR="00C807F0" w:rsidRPr="00C807F0" w:rsidRDefault="00C807F0" w:rsidP="00C807F0">
      <w:pPr>
        <w:jc w:val="center"/>
        <w:rPr>
          <w:rFonts w:ascii="Arial" w:hAnsi="Arial" w:cs="Arial"/>
          <w:b/>
          <w:bCs/>
          <w:szCs w:val="24"/>
        </w:rPr>
      </w:pPr>
    </w:p>
    <w:p w:rsidR="00C807F0" w:rsidRDefault="00C807F0" w:rsidP="00C807F0">
      <w:pPr>
        <w:jc w:val="left"/>
        <w:rPr>
          <w:rFonts w:ascii="Arial" w:hAnsi="Arial" w:cs="Arial"/>
          <w:b/>
          <w:bCs/>
          <w:sz w:val="28"/>
          <w:szCs w:val="28"/>
        </w:rPr>
      </w:pPr>
    </w:p>
    <w:p w:rsidR="00634743" w:rsidRPr="00C807F0" w:rsidRDefault="002F6855" w:rsidP="00C807F0">
      <w:pPr>
        <w:jc w:val="left"/>
        <w:rPr>
          <w:rFonts w:ascii="Arial" w:hAnsi="Arial" w:cs="Arial"/>
          <w:sz w:val="28"/>
          <w:szCs w:val="28"/>
        </w:rPr>
      </w:pPr>
      <w:r w:rsidRPr="00C807F0">
        <w:rPr>
          <w:rFonts w:ascii="Arial" w:hAnsi="Arial" w:cs="Arial"/>
          <w:b/>
          <w:bCs/>
          <w:sz w:val="28"/>
          <w:szCs w:val="28"/>
        </w:rPr>
        <w:t>Student Name:</w:t>
      </w:r>
      <w:r w:rsidR="00FE0059">
        <w:rPr>
          <w:rFonts w:ascii="Arial" w:hAnsi="Arial" w:cs="Arial"/>
          <w:b/>
          <w:bCs/>
          <w:sz w:val="28"/>
          <w:szCs w:val="28"/>
        </w:rPr>
        <w:t xml:space="preserve"> </w:t>
      </w:r>
      <w:r w:rsidR="00C807F0">
        <w:rPr>
          <w:rFonts w:ascii="Arial" w:hAnsi="Arial" w:cs="Arial"/>
          <w:sz w:val="28"/>
          <w:szCs w:val="28"/>
        </w:rPr>
        <w:t>Simina Maria Suciu</w:t>
      </w:r>
    </w:p>
    <w:p w:rsidR="002F6855" w:rsidRPr="00C807F0" w:rsidRDefault="00634743" w:rsidP="00C807F0">
      <w:pPr>
        <w:jc w:val="left"/>
        <w:rPr>
          <w:rFonts w:ascii="Arial" w:hAnsi="Arial" w:cs="Arial"/>
          <w:b/>
          <w:bCs/>
          <w:sz w:val="28"/>
          <w:szCs w:val="28"/>
        </w:rPr>
      </w:pPr>
      <w:r w:rsidRPr="00C807F0">
        <w:rPr>
          <w:rFonts w:ascii="Arial" w:hAnsi="Arial" w:cs="Arial"/>
          <w:b/>
          <w:bCs/>
          <w:sz w:val="28"/>
          <w:szCs w:val="28"/>
        </w:rPr>
        <w:t>Student ID:</w:t>
      </w:r>
      <w:r w:rsidR="00FE0059">
        <w:rPr>
          <w:rFonts w:ascii="Arial" w:hAnsi="Arial" w:cs="Arial"/>
          <w:b/>
          <w:bCs/>
          <w:sz w:val="28"/>
          <w:szCs w:val="28"/>
        </w:rPr>
        <w:t xml:space="preserve"> </w:t>
      </w:r>
      <w:r w:rsidR="00C807F0">
        <w:rPr>
          <w:rFonts w:ascii="Arial" w:hAnsi="Arial" w:cs="Arial"/>
          <w:sz w:val="28"/>
          <w:szCs w:val="28"/>
        </w:rPr>
        <w:t>2131600</w:t>
      </w:r>
    </w:p>
    <w:p w:rsidR="00C807F0" w:rsidRDefault="00C807F0" w:rsidP="00C807F0">
      <w:pPr>
        <w:jc w:val="left"/>
        <w:rPr>
          <w:rFonts w:ascii="Arial" w:hAnsi="Arial" w:cs="Arial"/>
          <w:sz w:val="28"/>
          <w:szCs w:val="28"/>
        </w:rPr>
      </w:pPr>
      <w:r w:rsidRPr="00C807F0">
        <w:rPr>
          <w:rFonts w:ascii="Arial" w:hAnsi="Arial" w:cs="Arial"/>
          <w:b/>
          <w:bCs/>
          <w:sz w:val="28"/>
          <w:szCs w:val="28"/>
        </w:rPr>
        <w:t xml:space="preserve">Module Title: </w:t>
      </w:r>
      <w:r w:rsidRPr="00C807F0">
        <w:rPr>
          <w:rFonts w:ascii="Arial" w:hAnsi="Arial" w:cs="Arial"/>
          <w:sz w:val="28"/>
          <w:szCs w:val="28"/>
        </w:rPr>
        <w:t>International Meeting Management BMIH6007</w:t>
      </w:r>
    </w:p>
    <w:p w:rsidR="00C807F0" w:rsidRPr="00C807F0" w:rsidRDefault="00C807F0" w:rsidP="00C807F0">
      <w:pPr>
        <w:jc w:val="left"/>
        <w:rPr>
          <w:rFonts w:ascii="Arial" w:hAnsi="Arial" w:cs="Arial"/>
          <w:sz w:val="28"/>
          <w:szCs w:val="28"/>
        </w:rPr>
      </w:pPr>
      <w:r w:rsidRPr="00C807F0">
        <w:rPr>
          <w:rFonts w:ascii="Arial" w:hAnsi="Arial" w:cs="Arial"/>
          <w:b/>
          <w:bCs/>
          <w:sz w:val="28"/>
          <w:szCs w:val="28"/>
        </w:rPr>
        <w:t>Name of Lecturer:</w:t>
      </w:r>
      <w:r w:rsidR="00FE0059">
        <w:rPr>
          <w:rFonts w:ascii="Arial" w:hAnsi="Arial" w:cs="Arial"/>
          <w:b/>
          <w:bCs/>
          <w:sz w:val="28"/>
          <w:szCs w:val="28"/>
        </w:rPr>
        <w:t xml:space="preserve"> </w:t>
      </w:r>
      <w:r>
        <w:rPr>
          <w:rFonts w:ascii="Arial" w:hAnsi="Arial" w:cs="Arial"/>
          <w:sz w:val="28"/>
          <w:szCs w:val="28"/>
        </w:rPr>
        <w:t>Kathryn Flynn</w:t>
      </w:r>
      <w:r>
        <w:rPr>
          <w:rFonts w:ascii="Arial" w:hAnsi="Arial" w:cs="Arial"/>
          <w:sz w:val="28"/>
          <w:szCs w:val="28"/>
        </w:rPr>
        <w:tab/>
      </w:r>
    </w:p>
    <w:p w:rsidR="00C807F0" w:rsidRPr="00C807F0" w:rsidRDefault="00C807F0" w:rsidP="00C807F0">
      <w:pPr>
        <w:jc w:val="left"/>
        <w:rPr>
          <w:rFonts w:ascii="Arial" w:hAnsi="Arial" w:cs="Arial"/>
          <w:b/>
          <w:bCs/>
          <w:sz w:val="28"/>
          <w:szCs w:val="28"/>
        </w:rPr>
      </w:pPr>
    </w:p>
    <w:p w:rsidR="00C807F0" w:rsidRPr="00C807F0" w:rsidRDefault="00C807F0" w:rsidP="00006C0D">
      <w:pPr>
        <w:jc w:val="center"/>
        <w:rPr>
          <w:rFonts w:ascii="Arial" w:hAnsi="Arial" w:cs="Arial"/>
          <w:b/>
          <w:bCs/>
          <w:szCs w:val="24"/>
        </w:rPr>
      </w:pPr>
    </w:p>
    <w:p w:rsidR="00FD5613" w:rsidRPr="00C807F0" w:rsidRDefault="00FD5613">
      <w:pPr>
        <w:spacing w:line="276" w:lineRule="auto"/>
        <w:jc w:val="left"/>
        <w:rPr>
          <w:rFonts w:ascii="Arial" w:hAnsi="Arial" w:cs="Arial"/>
          <w:szCs w:val="24"/>
        </w:rPr>
      </w:pPr>
      <w:r w:rsidRPr="00C807F0">
        <w:rPr>
          <w:rFonts w:ascii="Arial" w:hAnsi="Arial" w:cs="Arial"/>
          <w:szCs w:val="24"/>
        </w:rPr>
        <w:br w:type="page"/>
      </w:r>
    </w:p>
    <w:sdt>
      <w:sdtPr>
        <w:rPr>
          <w:rFonts w:ascii="Arial" w:eastAsiaTheme="minorHAnsi" w:hAnsi="Arial" w:cs="Arial"/>
          <w:b w:val="0"/>
          <w:bCs w:val="0"/>
          <w:color w:val="auto"/>
          <w:sz w:val="24"/>
          <w:szCs w:val="24"/>
          <w:lang w:eastAsia="en-US"/>
        </w:rPr>
        <w:id w:val="-2080511777"/>
        <w:docPartObj>
          <w:docPartGallery w:val="Table of Contents"/>
          <w:docPartUnique/>
        </w:docPartObj>
      </w:sdtPr>
      <w:sdtEndPr>
        <w:rPr>
          <w:noProof/>
        </w:rPr>
      </w:sdtEndPr>
      <w:sdtContent>
        <w:p w:rsidR="00FD5613" w:rsidRPr="00C807F0" w:rsidRDefault="00FD5613">
          <w:pPr>
            <w:pStyle w:val="TOCHeading"/>
            <w:rPr>
              <w:rFonts w:ascii="Arial" w:hAnsi="Arial" w:cs="Arial"/>
              <w:sz w:val="24"/>
              <w:szCs w:val="24"/>
            </w:rPr>
          </w:pPr>
          <w:r w:rsidRPr="00C807F0">
            <w:rPr>
              <w:rFonts w:ascii="Arial" w:hAnsi="Arial" w:cs="Arial"/>
              <w:sz w:val="24"/>
              <w:szCs w:val="24"/>
            </w:rPr>
            <w:t>Table of Contents</w:t>
          </w:r>
        </w:p>
        <w:p w:rsidR="008E6507" w:rsidRPr="00C807F0" w:rsidRDefault="00B232D3">
          <w:pPr>
            <w:pStyle w:val="TOC1"/>
            <w:tabs>
              <w:tab w:val="right" w:leader="dot" w:pos="9350"/>
            </w:tabs>
            <w:rPr>
              <w:rFonts w:ascii="Arial" w:eastAsiaTheme="minorEastAsia" w:hAnsi="Arial" w:cs="Arial"/>
              <w:noProof/>
              <w:szCs w:val="24"/>
            </w:rPr>
          </w:pPr>
          <w:r w:rsidRPr="00B232D3">
            <w:rPr>
              <w:rFonts w:ascii="Arial" w:hAnsi="Arial" w:cs="Arial"/>
              <w:szCs w:val="24"/>
            </w:rPr>
            <w:fldChar w:fldCharType="begin"/>
          </w:r>
          <w:r w:rsidR="00FD5613" w:rsidRPr="00C807F0">
            <w:rPr>
              <w:rFonts w:ascii="Arial" w:hAnsi="Arial" w:cs="Arial"/>
              <w:szCs w:val="24"/>
            </w:rPr>
            <w:instrText xml:space="preserve"> TOC \o "1-3" \h \z \u </w:instrText>
          </w:r>
          <w:r w:rsidRPr="00B232D3">
            <w:rPr>
              <w:rFonts w:ascii="Arial" w:hAnsi="Arial" w:cs="Arial"/>
              <w:szCs w:val="24"/>
            </w:rPr>
            <w:fldChar w:fldCharType="separate"/>
          </w:r>
          <w:hyperlink w:anchor="_Toc167539984" w:history="1">
            <w:r w:rsidR="008E6507" w:rsidRPr="00C807F0">
              <w:rPr>
                <w:rStyle w:val="Hyperlink"/>
                <w:rFonts w:ascii="Arial" w:hAnsi="Arial" w:cs="Arial"/>
                <w:noProof/>
                <w:szCs w:val="24"/>
              </w:rPr>
              <w:t>Introduction</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_Toc167539984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3</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39985" w:history="1">
            <w:r w:rsidR="008E6507" w:rsidRPr="00C807F0">
              <w:rPr>
                <w:rStyle w:val="Hyperlink"/>
                <w:rFonts w:ascii="Arial" w:hAnsi="Arial" w:cs="Arial"/>
                <w:noProof/>
                <w:szCs w:val="24"/>
              </w:rPr>
              <w:t>Event Cycle</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_Toc167539985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4</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86" w:history="1">
            <w:r w:rsidR="008E6507" w:rsidRPr="00C807F0">
              <w:rPr>
                <w:rStyle w:val="Hyperlink"/>
                <w:rFonts w:ascii="Arial" w:hAnsi="Arial" w:cs="Arial"/>
                <w:noProof/>
                <w:szCs w:val="24"/>
              </w:rPr>
              <w:t>Event Typology</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_Toc167539986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4</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87" w:history="1">
            <w:r w:rsidR="008E6507" w:rsidRPr="00C807F0">
              <w:rPr>
                <w:rStyle w:val="Hyperlink"/>
                <w:rFonts w:ascii="Arial" w:hAnsi="Arial" w:cs="Arial"/>
                <w:noProof/>
                <w:szCs w:val="24"/>
              </w:rPr>
              <w:t>Phases of the Event Cycle</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_Toc167539987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4</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39988" w:history="1">
            <w:r w:rsidR="008E6507" w:rsidRPr="00C807F0">
              <w:rPr>
                <w:rStyle w:val="Hyperlink"/>
                <w:rFonts w:ascii="Arial" w:hAnsi="Arial" w:cs="Arial"/>
                <w:noProof/>
                <w:szCs w:val="24"/>
              </w:rPr>
              <w:t>Event Concept</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_Toc167539988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6</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89" w:history="1">
            <w:r w:rsidR="008E6507" w:rsidRPr="00C807F0">
              <w:rPr>
                <w:rStyle w:val="Hyperlink"/>
                <w:rFonts w:ascii="Arial" w:hAnsi="Arial" w:cs="Arial"/>
                <w:noProof/>
                <w:szCs w:val="24"/>
              </w:rPr>
              <w:t>Event focus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_Toc167539989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6</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90" w:history="1">
            <w:r w:rsidR="008E6507" w:rsidRPr="00C807F0">
              <w:rPr>
                <w:rStyle w:val="Hyperlink"/>
                <w:rFonts w:ascii="Arial" w:hAnsi="Arial" w:cs="Arial"/>
                <w:noProof/>
                <w:szCs w:val="24"/>
              </w:rPr>
              <w:t>Attendee experiences and itinerary</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_Toc167539990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6</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39991" w:history="1">
            <w:r w:rsidR="008E6507" w:rsidRPr="00C807F0">
              <w:rPr>
                <w:rStyle w:val="Hyperlink"/>
                <w:rFonts w:ascii="Arial" w:hAnsi="Arial" w:cs="Arial"/>
                <w:noProof/>
                <w:szCs w:val="24"/>
              </w:rPr>
              <w:t>Aim and Objectives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_Toc167539991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8</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92" w:history="1">
            <w:r w:rsidR="008E6507" w:rsidRPr="00C807F0">
              <w:rPr>
                <w:rStyle w:val="Hyperlink"/>
                <w:rFonts w:ascii="Arial" w:hAnsi="Arial" w:cs="Arial"/>
                <w:noProof/>
                <w:szCs w:val="24"/>
              </w:rPr>
              <w:t>Aim</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_Toc167539992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8</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93" w:history="1">
            <w:r w:rsidR="008E6507" w:rsidRPr="00C807F0">
              <w:rPr>
                <w:rStyle w:val="Hyperlink"/>
                <w:rFonts w:ascii="Arial" w:hAnsi="Arial" w:cs="Arial"/>
                <w:noProof/>
                <w:szCs w:val="24"/>
              </w:rPr>
              <w:t>Objectives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_Toc167539993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8</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39994" w:history="1">
            <w:r w:rsidR="008E6507" w:rsidRPr="00C807F0">
              <w:rPr>
                <w:rStyle w:val="Hyperlink"/>
                <w:rFonts w:ascii="Arial" w:hAnsi="Arial" w:cs="Arial"/>
                <w:noProof/>
                <w:szCs w:val="24"/>
              </w:rPr>
              <w:t>Event Operations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_Toc167539994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9</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39995" w:history="1">
            <w:r w:rsidR="008E6507" w:rsidRPr="00C807F0">
              <w:rPr>
                <w:rStyle w:val="Hyperlink"/>
                <w:rFonts w:ascii="Arial" w:hAnsi="Arial" w:cs="Arial"/>
                <w:noProof/>
                <w:szCs w:val="24"/>
              </w:rPr>
              <w:t>Event Budget</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_Toc167539995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10</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96" w:history="1">
            <w:r w:rsidR="008E6507" w:rsidRPr="00C807F0">
              <w:rPr>
                <w:rStyle w:val="Hyperlink"/>
                <w:rFonts w:ascii="Arial" w:hAnsi="Arial" w:cs="Arial"/>
                <w:noProof/>
                <w:szCs w:val="24"/>
              </w:rPr>
              <w:t>Costs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_Toc167539996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10</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97" w:history="1">
            <w:r w:rsidR="008E6507" w:rsidRPr="00C807F0">
              <w:rPr>
                <w:rStyle w:val="Hyperlink"/>
                <w:rFonts w:ascii="Arial" w:hAnsi="Arial" w:cs="Arial"/>
                <w:noProof/>
                <w:szCs w:val="24"/>
              </w:rPr>
              <w:t>Predicted Revenue</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_Toc167539997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10</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39998" w:history="1">
            <w:r w:rsidR="008E6507" w:rsidRPr="00C807F0">
              <w:rPr>
                <w:rStyle w:val="Hyperlink"/>
                <w:rFonts w:ascii="Arial" w:hAnsi="Arial" w:cs="Arial"/>
                <w:noProof/>
                <w:szCs w:val="24"/>
              </w:rPr>
              <w:t>Profitability</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_Toc167539998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11</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39999" w:history="1">
            <w:r w:rsidR="008E6507" w:rsidRPr="00C807F0">
              <w:rPr>
                <w:rStyle w:val="Hyperlink"/>
                <w:rFonts w:ascii="Arial" w:hAnsi="Arial" w:cs="Arial"/>
                <w:noProof/>
                <w:szCs w:val="24"/>
              </w:rPr>
              <w:t>Industry Impacts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_Toc167539999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12</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40000" w:history="1">
            <w:r w:rsidR="008E6507" w:rsidRPr="00C807F0">
              <w:rPr>
                <w:rStyle w:val="Hyperlink"/>
                <w:rFonts w:ascii="Arial" w:hAnsi="Arial" w:cs="Arial"/>
                <w:noProof/>
                <w:szCs w:val="24"/>
              </w:rPr>
              <w:t>Industry Trends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_Toc167540000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12</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40001" w:history="1">
            <w:r w:rsidR="008E6507" w:rsidRPr="00C807F0">
              <w:rPr>
                <w:rStyle w:val="Hyperlink"/>
                <w:rFonts w:ascii="Arial" w:hAnsi="Arial" w:cs="Arial"/>
                <w:noProof/>
                <w:szCs w:val="24"/>
              </w:rPr>
              <w:t>SWOT Analysis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_Toc167540001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12</w:t>
            </w:r>
            <w:r w:rsidRPr="00C807F0">
              <w:rPr>
                <w:rFonts w:ascii="Arial" w:hAnsi="Arial" w:cs="Arial"/>
                <w:noProof/>
                <w:webHidden/>
                <w:szCs w:val="24"/>
              </w:rPr>
              <w:fldChar w:fldCharType="end"/>
            </w:r>
          </w:hyperlink>
        </w:p>
        <w:p w:rsidR="008E6507" w:rsidRPr="00C807F0" w:rsidRDefault="00B232D3">
          <w:pPr>
            <w:pStyle w:val="TOC2"/>
            <w:tabs>
              <w:tab w:val="right" w:leader="dot" w:pos="9350"/>
            </w:tabs>
            <w:rPr>
              <w:rFonts w:ascii="Arial" w:eastAsiaTheme="minorEastAsia" w:hAnsi="Arial" w:cs="Arial"/>
              <w:noProof/>
              <w:szCs w:val="24"/>
            </w:rPr>
          </w:pPr>
          <w:hyperlink w:anchor="_Toc167540002" w:history="1">
            <w:r w:rsidR="008E6507" w:rsidRPr="00C807F0">
              <w:rPr>
                <w:rStyle w:val="Hyperlink"/>
                <w:rFonts w:ascii="Arial" w:hAnsi="Arial" w:cs="Arial"/>
                <w:noProof/>
                <w:szCs w:val="24"/>
              </w:rPr>
              <w:t>PESTLE Analysis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_Toc167540002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14</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40003" w:history="1">
            <w:r w:rsidR="008E6507" w:rsidRPr="00C807F0">
              <w:rPr>
                <w:rStyle w:val="Hyperlink"/>
                <w:rFonts w:ascii="Arial" w:hAnsi="Arial" w:cs="Arial"/>
                <w:noProof/>
                <w:szCs w:val="24"/>
              </w:rPr>
              <w:t>Cultural and Situational Considerations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_Toc167540003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14</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40004" w:history="1">
            <w:r w:rsidR="008E6507" w:rsidRPr="00C807F0">
              <w:rPr>
                <w:rStyle w:val="Hyperlink"/>
                <w:rFonts w:ascii="Arial" w:hAnsi="Arial" w:cs="Arial"/>
                <w:noProof/>
                <w:szCs w:val="24"/>
              </w:rPr>
              <w:t>Conclusion</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_Toc167540004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16</w:t>
            </w:r>
            <w:r w:rsidRPr="00C807F0">
              <w:rPr>
                <w:rFonts w:ascii="Arial" w:hAnsi="Arial" w:cs="Arial"/>
                <w:noProof/>
                <w:webHidden/>
                <w:szCs w:val="24"/>
              </w:rPr>
              <w:fldChar w:fldCharType="end"/>
            </w:r>
          </w:hyperlink>
        </w:p>
        <w:p w:rsidR="008E6507" w:rsidRPr="00C807F0" w:rsidRDefault="00B232D3">
          <w:pPr>
            <w:pStyle w:val="TOC1"/>
            <w:tabs>
              <w:tab w:val="right" w:leader="dot" w:pos="9350"/>
            </w:tabs>
            <w:rPr>
              <w:rFonts w:ascii="Arial" w:eastAsiaTheme="minorEastAsia" w:hAnsi="Arial" w:cs="Arial"/>
              <w:noProof/>
              <w:szCs w:val="24"/>
            </w:rPr>
          </w:pPr>
          <w:hyperlink w:anchor="_Toc167540005" w:history="1">
            <w:r w:rsidR="008E6507" w:rsidRPr="00C807F0">
              <w:rPr>
                <w:rStyle w:val="Hyperlink"/>
                <w:rFonts w:ascii="Arial" w:hAnsi="Arial" w:cs="Arial"/>
                <w:noProof/>
                <w:szCs w:val="24"/>
              </w:rPr>
              <w:t>References</w:t>
            </w:r>
            <w:r w:rsidR="008E6507" w:rsidRPr="00C807F0">
              <w:rPr>
                <w:rFonts w:ascii="Arial" w:hAnsi="Arial" w:cs="Arial"/>
                <w:noProof/>
                <w:webHidden/>
                <w:szCs w:val="24"/>
              </w:rPr>
              <w:tab/>
            </w:r>
            <w:r w:rsidRPr="00C807F0">
              <w:rPr>
                <w:rFonts w:ascii="Arial" w:hAnsi="Arial" w:cs="Arial"/>
                <w:noProof/>
                <w:webHidden/>
                <w:szCs w:val="24"/>
              </w:rPr>
              <w:fldChar w:fldCharType="begin"/>
            </w:r>
            <w:r w:rsidR="008E6507" w:rsidRPr="00C807F0">
              <w:rPr>
                <w:rFonts w:ascii="Arial" w:hAnsi="Arial" w:cs="Arial"/>
                <w:noProof/>
                <w:webHidden/>
                <w:szCs w:val="24"/>
              </w:rPr>
              <w:instrText xml:space="preserve"> PAGEREF _Toc167540005 \h </w:instrText>
            </w:r>
            <w:r w:rsidRPr="00C807F0">
              <w:rPr>
                <w:rFonts w:ascii="Arial" w:hAnsi="Arial" w:cs="Arial"/>
                <w:noProof/>
                <w:webHidden/>
                <w:szCs w:val="24"/>
              </w:rPr>
            </w:r>
            <w:r w:rsidRPr="00C807F0">
              <w:rPr>
                <w:rFonts w:ascii="Arial" w:hAnsi="Arial" w:cs="Arial"/>
                <w:noProof/>
                <w:webHidden/>
                <w:szCs w:val="24"/>
              </w:rPr>
              <w:fldChar w:fldCharType="separate"/>
            </w:r>
            <w:r w:rsidR="008E6507" w:rsidRPr="00C807F0">
              <w:rPr>
                <w:rFonts w:ascii="Arial" w:hAnsi="Arial" w:cs="Arial"/>
                <w:noProof/>
                <w:webHidden/>
                <w:szCs w:val="24"/>
              </w:rPr>
              <w:t>17</w:t>
            </w:r>
            <w:r w:rsidRPr="00C807F0">
              <w:rPr>
                <w:rFonts w:ascii="Arial" w:hAnsi="Arial" w:cs="Arial"/>
                <w:noProof/>
                <w:webHidden/>
                <w:szCs w:val="24"/>
              </w:rPr>
              <w:fldChar w:fldCharType="end"/>
            </w:r>
          </w:hyperlink>
        </w:p>
        <w:p w:rsidR="00FD5613" w:rsidRPr="00C807F0" w:rsidRDefault="00B232D3">
          <w:pPr>
            <w:rPr>
              <w:rFonts w:ascii="Arial" w:hAnsi="Arial" w:cs="Arial"/>
              <w:szCs w:val="24"/>
            </w:rPr>
          </w:pPr>
          <w:r w:rsidRPr="00C807F0">
            <w:rPr>
              <w:rFonts w:ascii="Arial" w:hAnsi="Arial" w:cs="Arial"/>
              <w:b/>
              <w:bCs/>
              <w:noProof/>
              <w:szCs w:val="24"/>
            </w:rPr>
            <w:fldChar w:fldCharType="end"/>
          </w:r>
        </w:p>
      </w:sdtContent>
    </w:sdt>
    <w:p w:rsidR="00FD5613" w:rsidRPr="00C807F0" w:rsidRDefault="00FD5613">
      <w:pPr>
        <w:pStyle w:val="TableofFigures"/>
        <w:tabs>
          <w:tab w:val="right" w:leader="dot" w:pos="9350"/>
        </w:tabs>
        <w:rPr>
          <w:rFonts w:ascii="Arial" w:hAnsi="Arial" w:cs="Arial"/>
          <w:szCs w:val="24"/>
        </w:rPr>
      </w:pPr>
    </w:p>
    <w:p w:rsidR="00461415" w:rsidRPr="00C807F0" w:rsidRDefault="006403A8" w:rsidP="00AB6839">
      <w:pPr>
        <w:pStyle w:val="Heading1"/>
        <w:rPr>
          <w:rFonts w:ascii="Arial" w:hAnsi="Arial" w:cs="Arial"/>
          <w:sz w:val="24"/>
          <w:szCs w:val="24"/>
        </w:rPr>
      </w:pPr>
      <w:bookmarkStart w:id="0" w:name="_Toc47086322"/>
      <w:bookmarkStart w:id="1" w:name="_Toc167539984"/>
      <w:r w:rsidRPr="00C807F0">
        <w:rPr>
          <w:rFonts w:ascii="Arial" w:hAnsi="Arial" w:cs="Arial"/>
          <w:sz w:val="24"/>
          <w:szCs w:val="24"/>
        </w:rPr>
        <w:lastRenderedPageBreak/>
        <w:t>Introduction</w:t>
      </w:r>
      <w:bookmarkEnd w:id="0"/>
      <w:bookmarkEnd w:id="1"/>
    </w:p>
    <w:p w:rsidR="00645E58" w:rsidRPr="00C807F0" w:rsidRDefault="00040521" w:rsidP="00C57FDC">
      <w:pPr>
        <w:rPr>
          <w:rFonts w:ascii="Arial" w:hAnsi="Arial" w:cs="Arial"/>
          <w:szCs w:val="24"/>
        </w:rPr>
      </w:pPr>
      <w:r w:rsidRPr="00C807F0">
        <w:rPr>
          <w:rFonts w:ascii="Arial" w:hAnsi="Arial" w:cs="Arial"/>
          <w:szCs w:val="24"/>
        </w:rPr>
        <w:t>“</w:t>
      </w:r>
      <w:r w:rsidR="00C57FDC" w:rsidRPr="00C807F0">
        <w:rPr>
          <w:rFonts w:ascii="Arial" w:hAnsi="Arial" w:cs="Arial"/>
          <w:szCs w:val="24"/>
        </w:rPr>
        <w:t>Future of Dining Symposium</w:t>
      </w:r>
      <w:r w:rsidRPr="00C807F0">
        <w:rPr>
          <w:rFonts w:ascii="Arial" w:hAnsi="Arial" w:cs="Arial"/>
          <w:szCs w:val="24"/>
        </w:rPr>
        <w:t>”</w:t>
      </w:r>
      <w:r w:rsidR="00C57FDC" w:rsidRPr="00C807F0">
        <w:rPr>
          <w:rFonts w:ascii="Arial" w:hAnsi="Arial" w:cs="Arial"/>
          <w:szCs w:val="24"/>
        </w:rPr>
        <w:t xml:space="preserve"> is to be a feather in the cap of </w:t>
      </w:r>
      <w:r w:rsidRPr="00C807F0">
        <w:rPr>
          <w:rFonts w:ascii="Arial" w:hAnsi="Arial" w:cs="Arial"/>
          <w:szCs w:val="24"/>
        </w:rPr>
        <w:t xml:space="preserve">the </w:t>
      </w:r>
      <w:r w:rsidR="00C57FDC" w:rsidRPr="00C807F0">
        <w:rPr>
          <w:rFonts w:ascii="Arial" w:hAnsi="Arial" w:cs="Arial"/>
          <w:szCs w:val="24"/>
        </w:rPr>
        <w:t>MICE industry with a vision to moderni</w:t>
      </w:r>
      <w:r w:rsidRPr="00C807F0">
        <w:rPr>
          <w:rFonts w:ascii="Arial" w:hAnsi="Arial" w:cs="Arial"/>
          <w:szCs w:val="24"/>
        </w:rPr>
        <w:t>s</w:t>
      </w:r>
      <w:r w:rsidR="00C57FDC" w:rsidRPr="00C807F0">
        <w:rPr>
          <w:rFonts w:ascii="Arial" w:hAnsi="Arial" w:cs="Arial"/>
          <w:szCs w:val="24"/>
        </w:rPr>
        <w:t xml:space="preserve">e culinary art by keeping pace with cutting-edge fusion of food and technology. </w:t>
      </w:r>
      <w:r w:rsidRPr="00C807F0">
        <w:rPr>
          <w:rFonts w:ascii="Arial" w:hAnsi="Arial" w:cs="Arial"/>
          <w:szCs w:val="24"/>
        </w:rPr>
        <w:t>The plan isto hold</w:t>
      </w:r>
      <w:r w:rsidR="00564053" w:rsidRPr="00C807F0">
        <w:rPr>
          <w:rFonts w:ascii="Arial" w:hAnsi="Arial" w:cs="Arial"/>
          <w:szCs w:val="24"/>
        </w:rPr>
        <w:t xml:space="preserve"> the show on June 25, 2024</w:t>
      </w:r>
      <w:r w:rsidRPr="00C807F0">
        <w:rPr>
          <w:rFonts w:ascii="Arial" w:hAnsi="Arial" w:cs="Arial"/>
          <w:szCs w:val="24"/>
        </w:rPr>
        <w:t>,</w:t>
      </w:r>
      <w:r w:rsidR="00564053" w:rsidRPr="00C807F0">
        <w:rPr>
          <w:rFonts w:ascii="Arial" w:hAnsi="Arial" w:cs="Arial"/>
          <w:szCs w:val="24"/>
        </w:rPr>
        <w:t xml:space="preserve"> at the </w:t>
      </w:r>
      <w:r w:rsidR="00C57FDC" w:rsidRPr="00C807F0">
        <w:rPr>
          <w:rFonts w:ascii="Arial" w:hAnsi="Arial" w:cs="Arial"/>
          <w:szCs w:val="24"/>
        </w:rPr>
        <w:t xml:space="preserve">prestigious </w:t>
      </w:r>
      <w:r w:rsidR="00564053" w:rsidRPr="00C807F0">
        <w:rPr>
          <w:rFonts w:ascii="Arial" w:hAnsi="Arial" w:cs="Arial"/>
          <w:szCs w:val="24"/>
        </w:rPr>
        <w:t xml:space="preserve">Freemasons Hall in London. This symposium is aimed at providing experts from the dining field who are involved in developing new technologies and people who are interested in the field with a deep insight into the future developments and possible consequences of further improvements in the sphere of dining technological innovations.The event’s primary objective is to play a part in the direction and development of the </w:t>
      </w:r>
      <w:r w:rsidRPr="00C807F0">
        <w:rPr>
          <w:rFonts w:ascii="Arial" w:hAnsi="Arial" w:cs="Arial"/>
          <w:szCs w:val="24"/>
        </w:rPr>
        <w:t>m</w:t>
      </w:r>
      <w:r w:rsidR="00564053" w:rsidRPr="00C807F0">
        <w:rPr>
          <w:rFonts w:ascii="Arial" w:hAnsi="Arial" w:cs="Arial"/>
          <w:szCs w:val="24"/>
        </w:rPr>
        <w:t>ining industry and allow technology to elevate the industry to its full potential by providing attendees with opportunities to network, practice what they learn, and engage in conversations that will create new horizons for the industry.</w:t>
      </w:r>
      <w:r w:rsidR="00645E58" w:rsidRPr="00C807F0">
        <w:rPr>
          <w:rFonts w:ascii="Arial" w:hAnsi="Arial" w:cs="Arial"/>
          <w:szCs w:val="24"/>
        </w:rPr>
        <w:br w:type="page"/>
      </w:r>
    </w:p>
    <w:p w:rsidR="00645E58" w:rsidRPr="00C807F0" w:rsidRDefault="00744C6B" w:rsidP="00E00487">
      <w:pPr>
        <w:pStyle w:val="Heading1"/>
        <w:rPr>
          <w:rFonts w:ascii="Arial" w:hAnsi="Arial" w:cs="Arial"/>
          <w:sz w:val="24"/>
          <w:szCs w:val="24"/>
        </w:rPr>
      </w:pPr>
      <w:bookmarkStart w:id="2" w:name="_Toc167539985"/>
      <w:r w:rsidRPr="00C807F0">
        <w:rPr>
          <w:rFonts w:ascii="Arial" w:hAnsi="Arial" w:cs="Arial"/>
          <w:sz w:val="24"/>
          <w:szCs w:val="24"/>
        </w:rPr>
        <w:lastRenderedPageBreak/>
        <w:t>Event Cycle</w:t>
      </w:r>
      <w:bookmarkEnd w:id="2"/>
    </w:p>
    <w:p w:rsidR="00744C6B" w:rsidRPr="00C807F0" w:rsidRDefault="00744C6B" w:rsidP="00E00487">
      <w:pPr>
        <w:pStyle w:val="Heading2"/>
        <w:rPr>
          <w:rFonts w:ascii="Arial" w:hAnsi="Arial" w:cs="Arial"/>
          <w:sz w:val="24"/>
          <w:szCs w:val="24"/>
        </w:rPr>
      </w:pPr>
      <w:bookmarkStart w:id="3" w:name="_Toc166651854"/>
      <w:bookmarkStart w:id="4" w:name="_Toc167539986"/>
      <w:r w:rsidRPr="00C807F0">
        <w:rPr>
          <w:rFonts w:ascii="Arial" w:hAnsi="Arial" w:cs="Arial"/>
          <w:sz w:val="24"/>
          <w:szCs w:val="24"/>
        </w:rPr>
        <w:t>Event Typology</w:t>
      </w:r>
      <w:bookmarkEnd w:id="3"/>
      <w:bookmarkEnd w:id="4"/>
    </w:p>
    <w:p w:rsidR="00C57FDC" w:rsidRPr="00C807F0" w:rsidRDefault="00C57FDC" w:rsidP="00C57FDC">
      <w:pPr>
        <w:rPr>
          <w:rFonts w:ascii="Arial" w:hAnsi="Arial" w:cs="Arial"/>
          <w:szCs w:val="24"/>
        </w:rPr>
      </w:pPr>
      <w:r w:rsidRPr="00C807F0">
        <w:rPr>
          <w:rFonts w:ascii="Arial" w:hAnsi="Arial" w:cs="Arial"/>
          <w:szCs w:val="24"/>
        </w:rPr>
        <w:t xml:space="preserve">Based on the event typologies in the event industry, </w:t>
      </w:r>
      <w:r w:rsidR="00040521" w:rsidRPr="00C807F0">
        <w:rPr>
          <w:rFonts w:ascii="Arial" w:hAnsi="Arial" w:cs="Arial"/>
          <w:szCs w:val="24"/>
        </w:rPr>
        <w:t xml:space="preserve">the </w:t>
      </w:r>
      <w:r w:rsidRPr="00C807F0">
        <w:rPr>
          <w:rFonts w:ascii="Arial" w:hAnsi="Arial" w:cs="Arial"/>
          <w:szCs w:val="24"/>
        </w:rPr>
        <w:t xml:space="preserve">“Future of Dining Symposium” can be defined as </w:t>
      </w:r>
      <w:r w:rsidR="00040521" w:rsidRPr="00C807F0">
        <w:rPr>
          <w:rFonts w:ascii="Arial" w:hAnsi="Arial" w:cs="Arial"/>
          <w:szCs w:val="24"/>
        </w:rPr>
        <w:t xml:space="preserve">a </w:t>
      </w:r>
      <w:r w:rsidRPr="00C807F0">
        <w:rPr>
          <w:rFonts w:ascii="Arial" w:hAnsi="Arial" w:cs="Arial"/>
          <w:szCs w:val="24"/>
        </w:rPr>
        <w:t>special event. This typology can help organi</w:t>
      </w:r>
      <w:r w:rsidR="00040521" w:rsidRPr="00C807F0">
        <w:rPr>
          <w:rFonts w:ascii="Arial" w:hAnsi="Arial" w:cs="Arial"/>
          <w:szCs w:val="24"/>
        </w:rPr>
        <w:t>s</w:t>
      </w:r>
      <w:r w:rsidRPr="00C807F0">
        <w:rPr>
          <w:rFonts w:ascii="Arial" w:hAnsi="Arial" w:cs="Arial"/>
          <w:szCs w:val="24"/>
        </w:rPr>
        <w:t xml:space="preserve">ers to structure the content, format and goals of the event correspondingly to those people who will seek immersion and </w:t>
      </w:r>
      <w:r w:rsidR="00040521" w:rsidRPr="00C807F0">
        <w:rPr>
          <w:rFonts w:ascii="Arial" w:hAnsi="Arial" w:cs="Arial"/>
          <w:szCs w:val="24"/>
        </w:rPr>
        <w:t xml:space="preserve">a </w:t>
      </w:r>
      <w:r w:rsidRPr="00C807F0">
        <w:rPr>
          <w:rFonts w:ascii="Arial" w:hAnsi="Arial" w:cs="Arial"/>
          <w:szCs w:val="24"/>
        </w:rPr>
        <w:t xml:space="preserve">practical atmosphere for understanding relations between dining and technology (Fenich, 2016). “Future of Dining Symposium” is going to be an event structure composed </w:t>
      </w:r>
      <w:r w:rsidR="00040521" w:rsidRPr="00C807F0">
        <w:rPr>
          <w:rFonts w:ascii="Arial" w:hAnsi="Arial" w:cs="Arial"/>
          <w:szCs w:val="24"/>
        </w:rPr>
        <w:t>of</w:t>
      </w:r>
      <w:r w:rsidRPr="00C807F0">
        <w:rPr>
          <w:rFonts w:ascii="Arial" w:hAnsi="Arial" w:cs="Arial"/>
          <w:szCs w:val="24"/>
        </w:rPr>
        <w:t xml:space="preserve"> experts and panels together with interactive sessions for know-how transfer or professional development within </w:t>
      </w:r>
      <w:r w:rsidR="001D33D5" w:rsidRPr="00C807F0">
        <w:rPr>
          <w:rFonts w:ascii="Arial" w:hAnsi="Arial" w:cs="Arial"/>
          <w:szCs w:val="24"/>
        </w:rPr>
        <w:t xml:space="preserve">the </w:t>
      </w:r>
      <w:r w:rsidRPr="00C807F0">
        <w:rPr>
          <w:rFonts w:ascii="Arial" w:hAnsi="Arial" w:cs="Arial"/>
          <w:szCs w:val="24"/>
        </w:rPr>
        <w:t>particular industry.</w:t>
      </w:r>
    </w:p>
    <w:p w:rsidR="00461415" w:rsidRPr="00C807F0" w:rsidRDefault="00E00487" w:rsidP="00AB6839">
      <w:pPr>
        <w:pStyle w:val="Heading2"/>
        <w:rPr>
          <w:rFonts w:ascii="Arial" w:hAnsi="Arial" w:cs="Arial"/>
          <w:sz w:val="24"/>
          <w:szCs w:val="24"/>
        </w:rPr>
      </w:pPr>
      <w:bookmarkStart w:id="5" w:name="_Toc166651855"/>
      <w:bookmarkStart w:id="6" w:name="_Toc167539987"/>
      <w:r w:rsidRPr="00C807F0">
        <w:rPr>
          <w:rFonts w:ascii="Arial" w:hAnsi="Arial" w:cs="Arial"/>
          <w:sz w:val="24"/>
          <w:szCs w:val="24"/>
        </w:rPr>
        <w:t>Phases of the Event Cycle</w:t>
      </w:r>
      <w:bookmarkEnd w:id="5"/>
      <w:bookmarkEnd w:id="6"/>
    </w:p>
    <w:p w:rsidR="00461415" w:rsidRPr="00C807F0" w:rsidRDefault="001D33D5" w:rsidP="00F020B6">
      <w:pPr>
        <w:rPr>
          <w:rFonts w:ascii="Arial" w:hAnsi="Arial" w:cs="Arial"/>
          <w:szCs w:val="24"/>
        </w:rPr>
      </w:pPr>
      <w:r w:rsidRPr="00C807F0">
        <w:rPr>
          <w:rFonts w:ascii="Arial" w:hAnsi="Arial" w:cs="Arial"/>
          <w:szCs w:val="24"/>
        </w:rPr>
        <w:t xml:space="preserve">The Event Cycle </w:t>
      </w:r>
      <w:r w:rsidR="00040521" w:rsidRPr="00C807F0">
        <w:rPr>
          <w:rFonts w:ascii="Arial" w:hAnsi="Arial" w:cs="Arial"/>
          <w:szCs w:val="24"/>
        </w:rPr>
        <w:t>helps organis</w:t>
      </w:r>
      <w:r w:rsidRPr="00C807F0">
        <w:rPr>
          <w:rFonts w:ascii="Arial" w:hAnsi="Arial" w:cs="Arial"/>
          <w:szCs w:val="24"/>
        </w:rPr>
        <w:t>er by providing some indication as to how event organi</w:t>
      </w:r>
      <w:r w:rsidR="00040521" w:rsidRPr="00C807F0">
        <w:rPr>
          <w:rFonts w:ascii="Arial" w:hAnsi="Arial" w:cs="Arial"/>
          <w:szCs w:val="24"/>
        </w:rPr>
        <w:t>s</w:t>
      </w:r>
      <w:r w:rsidRPr="00C807F0">
        <w:rPr>
          <w:rFonts w:ascii="Arial" w:hAnsi="Arial" w:cs="Arial"/>
          <w:szCs w:val="24"/>
        </w:rPr>
        <w:t>ers can be involved in the development, operation, and evaluation stages (Getz and Page, 2019). This section will explore three key phases of the Event Cycle</w:t>
      </w:r>
      <w:r w:rsidR="00040521" w:rsidRPr="00C807F0">
        <w:rPr>
          <w:rFonts w:ascii="Arial" w:hAnsi="Arial" w:cs="Arial"/>
          <w:szCs w:val="24"/>
        </w:rPr>
        <w:t>,</w:t>
      </w:r>
      <w:r w:rsidRPr="00C807F0">
        <w:rPr>
          <w:rFonts w:ascii="Arial" w:hAnsi="Arial" w:cs="Arial"/>
          <w:szCs w:val="24"/>
        </w:rPr>
        <w:t xml:space="preserve"> including planning, delivering and post</w:t>
      </w:r>
      <w:r w:rsidR="00040521" w:rsidRPr="00C807F0">
        <w:rPr>
          <w:rFonts w:ascii="Arial" w:hAnsi="Arial" w:cs="Arial"/>
          <w:szCs w:val="24"/>
        </w:rPr>
        <w:t>-</w:t>
      </w:r>
      <w:r w:rsidRPr="00C807F0">
        <w:rPr>
          <w:rFonts w:ascii="Arial" w:hAnsi="Arial" w:cs="Arial"/>
          <w:szCs w:val="24"/>
        </w:rPr>
        <w:t>event evaluation.</w:t>
      </w:r>
    </w:p>
    <w:p w:rsidR="00F020B6" w:rsidRPr="00C807F0" w:rsidRDefault="00F020B6" w:rsidP="00FD5613">
      <w:pPr>
        <w:rPr>
          <w:rFonts w:ascii="Arial" w:hAnsi="Arial" w:cs="Arial"/>
          <w:szCs w:val="24"/>
        </w:rPr>
      </w:pPr>
      <w:r w:rsidRPr="00C807F0">
        <w:rPr>
          <w:rFonts w:ascii="Arial" w:hAnsi="Arial" w:cs="Arial"/>
          <w:noProof/>
          <w:szCs w:val="24"/>
        </w:rPr>
        <w:drawing>
          <wp:inline distT="0" distB="0" distL="0" distR="0">
            <wp:extent cx="5953125" cy="2676525"/>
            <wp:effectExtent l="0" t="0" r="0" b="0"/>
            <wp:docPr id="208013821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3A77F8" w:rsidRPr="00C807F0" w:rsidRDefault="003A77F8" w:rsidP="003A77F8">
      <w:pPr>
        <w:pStyle w:val="Caption"/>
        <w:jc w:val="center"/>
        <w:rPr>
          <w:rFonts w:ascii="Arial" w:hAnsi="Arial" w:cs="Arial"/>
          <w:i w:val="0"/>
          <w:iCs w:val="0"/>
          <w:color w:val="auto"/>
          <w:sz w:val="24"/>
          <w:szCs w:val="24"/>
        </w:rPr>
      </w:pPr>
      <w:bookmarkStart w:id="7" w:name="_Toc167049451"/>
      <w:r w:rsidRPr="00C807F0">
        <w:rPr>
          <w:rFonts w:ascii="Arial" w:hAnsi="Arial" w:cs="Arial"/>
          <w:i w:val="0"/>
          <w:iCs w:val="0"/>
          <w:color w:val="auto"/>
          <w:sz w:val="24"/>
          <w:szCs w:val="24"/>
        </w:rPr>
        <w:t xml:space="preserve">Figure </w:t>
      </w:r>
      <w:r w:rsidR="00B232D3" w:rsidRPr="00C807F0">
        <w:rPr>
          <w:rFonts w:ascii="Arial" w:hAnsi="Arial" w:cs="Arial"/>
          <w:i w:val="0"/>
          <w:iCs w:val="0"/>
          <w:color w:val="auto"/>
          <w:sz w:val="24"/>
          <w:szCs w:val="24"/>
        </w:rPr>
        <w:fldChar w:fldCharType="begin"/>
      </w:r>
      <w:r w:rsidRPr="00C807F0">
        <w:rPr>
          <w:rFonts w:ascii="Arial" w:hAnsi="Arial" w:cs="Arial"/>
          <w:i w:val="0"/>
          <w:iCs w:val="0"/>
          <w:color w:val="auto"/>
          <w:sz w:val="24"/>
          <w:szCs w:val="24"/>
        </w:rPr>
        <w:instrText xml:space="preserve"> SEQ Figure \* ARABIC </w:instrText>
      </w:r>
      <w:r w:rsidR="00B232D3" w:rsidRPr="00C807F0">
        <w:rPr>
          <w:rFonts w:ascii="Arial" w:hAnsi="Arial" w:cs="Arial"/>
          <w:i w:val="0"/>
          <w:iCs w:val="0"/>
          <w:color w:val="auto"/>
          <w:sz w:val="24"/>
          <w:szCs w:val="24"/>
        </w:rPr>
        <w:fldChar w:fldCharType="separate"/>
      </w:r>
      <w:r w:rsidRPr="00C807F0">
        <w:rPr>
          <w:rFonts w:ascii="Arial" w:hAnsi="Arial" w:cs="Arial"/>
          <w:i w:val="0"/>
          <w:iCs w:val="0"/>
          <w:noProof/>
          <w:color w:val="auto"/>
          <w:sz w:val="24"/>
          <w:szCs w:val="24"/>
        </w:rPr>
        <w:t>1</w:t>
      </w:r>
      <w:r w:rsidR="00B232D3" w:rsidRPr="00C807F0">
        <w:rPr>
          <w:rFonts w:ascii="Arial" w:hAnsi="Arial" w:cs="Arial"/>
          <w:i w:val="0"/>
          <w:iCs w:val="0"/>
          <w:color w:val="auto"/>
          <w:sz w:val="24"/>
          <w:szCs w:val="24"/>
        </w:rPr>
        <w:fldChar w:fldCharType="end"/>
      </w:r>
      <w:r w:rsidRPr="00C807F0">
        <w:rPr>
          <w:rFonts w:ascii="Arial" w:hAnsi="Arial" w:cs="Arial"/>
          <w:i w:val="0"/>
          <w:iCs w:val="0"/>
          <w:color w:val="auto"/>
          <w:sz w:val="24"/>
          <w:szCs w:val="24"/>
        </w:rPr>
        <w:t>: Phases of the Event Cycle</w:t>
      </w:r>
      <w:bookmarkEnd w:id="7"/>
    </w:p>
    <w:p w:rsidR="003A77F8" w:rsidRPr="00C807F0" w:rsidRDefault="003A77F8" w:rsidP="003A77F8">
      <w:pPr>
        <w:jc w:val="center"/>
        <w:rPr>
          <w:rFonts w:ascii="Arial" w:hAnsi="Arial" w:cs="Arial"/>
          <w:szCs w:val="24"/>
        </w:rPr>
      </w:pPr>
      <w:r w:rsidRPr="00C807F0">
        <w:rPr>
          <w:rFonts w:ascii="Arial" w:hAnsi="Arial" w:cs="Arial"/>
          <w:szCs w:val="24"/>
        </w:rPr>
        <w:t xml:space="preserve">Source: </w:t>
      </w:r>
      <w:r w:rsidR="00884002" w:rsidRPr="00C807F0">
        <w:rPr>
          <w:rFonts w:ascii="Arial" w:hAnsi="Arial" w:cs="Arial"/>
          <w:szCs w:val="24"/>
        </w:rPr>
        <w:t>(Bowdin et al., 2010)</w:t>
      </w:r>
    </w:p>
    <w:p w:rsidR="001D33D5" w:rsidRPr="00C807F0" w:rsidRDefault="001D33D5" w:rsidP="001D33D5">
      <w:pPr>
        <w:rPr>
          <w:rFonts w:ascii="Arial" w:hAnsi="Arial" w:cs="Arial"/>
          <w:szCs w:val="24"/>
        </w:rPr>
      </w:pPr>
      <w:r w:rsidRPr="00C807F0">
        <w:rPr>
          <w:rFonts w:ascii="Arial" w:hAnsi="Arial" w:cs="Arial"/>
          <w:b/>
          <w:bCs/>
          <w:szCs w:val="24"/>
        </w:rPr>
        <w:t>Planning Phase:</w:t>
      </w:r>
      <w:r w:rsidRPr="00C807F0">
        <w:rPr>
          <w:rFonts w:ascii="Arial" w:hAnsi="Arial" w:cs="Arial"/>
          <w:szCs w:val="24"/>
        </w:rPr>
        <w:t xml:space="preserve"> The planning phase is the foundation for the entire event. This means conducting market research to determine what the trends are in the industry, what the </w:t>
      </w:r>
      <w:r w:rsidRPr="00C807F0">
        <w:rPr>
          <w:rFonts w:ascii="Arial" w:hAnsi="Arial" w:cs="Arial"/>
          <w:szCs w:val="24"/>
        </w:rPr>
        <w:lastRenderedPageBreak/>
        <w:t>preferences and demands of the customers are, and what kind of logistics will be suitable (Goldblatt, 2014).</w:t>
      </w:r>
      <w:r w:rsidR="00702182" w:rsidRPr="00C807F0">
        <w:rPr>
          <w:rFonts w:ascii="Arial" w:hAnsi="Arial" w:cs="Arial"/>
          <w:szCs w:val="24"/>
        </w:rPr>
        <w:t xml:space="preserve"> The event organi</w:t>
      </w:r>
      <w:r w:rsidR="00040521" w:rsidRPr="00C807F0">
        <w:rPr>
          <w:rFonts w:ascii="Arial" w:hAnsi="Arial" w:cs="Arial"/>
          <w:szCs w:val="24"/>
        </w:rPr>
        <w:t>s</w:t>
      </w:r>
      <w:r w:rsidR="00702182" w:rsidRPr="00C807F0">
        <w:rPr>
          <w:rFonts w:ascii="Arial" w:hAnsi="Arial" w:cs="Arial"/>
          <w:szCs w:val="24"/>
        </w:rPr>
        <w:t xml:space="preserve">er must need to develop </w:t>
      </w:r>
      <w:r w:rsidR="00040521" w:rsidRPr="00C807F0">
        <w:rPr>
          <w:rFonts w:ascii="Arial" w:hAnsi="Arial" w:cs="Arial"/>
          <w:szCs w:val="24"/>
        </w:rPr>
        <w:t xml:space="preserve">the </w:t>
      </w:r>
      <w:r w:rsidR="00702182" w:rsidRPr="00C807F0">
        <w:rPr>
          <w:rFonts w:ascii="Arial" w:hAnsi="Arial" w:cs="Arial"/>
          <w:szCs w:val="24"/>
        </w:rPr>
        <w:t>event’s aim and objectives.</w:t>
      </w:r>
      <w:r w:rsidRPr="00C807F0">
        <w:rPr>
          <w:rFonts w:ascii="Arial" w:hAnsi="Arial" w:cs="Arial"/>
          <w:szCs w:val="24"/>
        </w:rPr>
        <w:t xml:space="preserve"> It is crucial to outline a detailed event budget and find the sponsors to finance the event</w:t>
      </w:r>
      <w:r w:rsidR="00040521" w:rsidRPr="00C807F0">
        <w:rPr>
          <w:rFonts w:ascii="Arial" w:hAnsi="Arial" w:cs="Arial"/>
          <w:szCs w:val="24"/>
        </w:rPr>
        <w:t>,</w:t>
      </w:r>
      <w:r w:rsidRPr="00C807F0">
        <w:rPr>
          <w:rFonts w:ascii="Arial" w:hAnsi="Arial" w:cs="Arial"/>
          <w:szCs w:val="24"/>
        </w:rPr>
        <w:t xml:space="preserve"> too. Subsequently, the event organi</w:t>
      </w:r>
      <w:r w:rsidR="00040521" w:rsidRPr="00C807F0">
        <w:rPr>
          <w:rFonts w:ascii="Arial" w:hAnsi="Arial" w:cs="Arial"/>
          <w:szCs w:val="24"/>
        </w:rPr>
        <w:t>s</w:t>
      </w:r>
      <w:r w:rsidRPr="00C807F0">
        <w:rPr>
          <w:rFonts w:ascii="Arial" w:hAnsi="Arial" w:cs="Arial"/>
          <w:szCs w:val="24"/>
        </w:rPr>
        <w:t xml:space="preserve">ers will also draft </w:t>
      </w:r>
      <w:r w:rsidR="00040521" w:rsidRPr="00C807F0">
        <w:rPr>
          <w:rFonts w:ascii="Arial" w:hAnsi="Arial" w:cs="Arial"/>
          <w:szCs w:val="24"/>
        </w:rPr>
        <w:t xml:space="preserve">the </w:t>
      </w:r>
      <w:r w:rsidRPr="00C807F0">
        <w:rPr>
          <w:rFonts w:ascii="Arial" w:hAnsi="Arial" w:cs="Arial"/>
          <w:szCs w:val="24"/>
        </w:rPr>
        <w:t>event’s structure</w:t>
      </w:r>
      <w:r w:rsidR="00702182" w:rsidRPr="00C807F0">
        <w:rPr>
          <w:rFonts w:ascii="Arial" w:hAnsi="Arial" w:cs="Arial"/>
          <w:szCs w:val="24"/>
        </w:rPr>
        <w:t xml:space="preserve"> a</w:t>
      </w:r>
      <w:r w:rsidR="00040521" w:rsidRPr="00C807F0">
        <w:rPr>
          <w:rFonts w:ascii="Arial" w:hAnsi="Arial" w:cs="Arial"/>
          <w:szCs w:val="24"/>
        </w:rPr>
        <w:t>nd concept, along with its marketing and promotional decisions, the speaker lineup, interactive experiences, and vendors,</w:t>
      </w:r>
      <w:r w:rsidR="00702182" w:rsidRPr="00C807F0">
        <w:rPr>
          <w:rFonts w:ascii="Arial" w:hAnsi="Arial" w:cs="Arial"/>
          <w:szCs w:val="24"/>
        </w:rPr>
        <w:t xml:space="preserve"> to maximi</w:t>
      </w:r>
      <w:r w:rsidR="00040521" w:rsidRPr="00C807F0">
        <w:rPr>
          <w:rFonts w:ascii="Arial" w:hAnsi="Arial" w:cs="Arial"/>
          <w:szCs w:val="24"/>
        </w:rPr>
        <w:t>s</w:t>
      </w:r>
      <w:r w:rsidR="00702182" w:rsidRPr="00C807F0">
        <w:rPr>
          <w:rFonts w:ascii="Arial" w:hAnsi="Arial" w:cs="Arial"/>
          <w:szCs w:val="24"/>
        </w:rPr>
        <w:t>e event attende</w:t>
      </w:r>
      <w:r w:rsidR="00040521" w:rsidRPr="00C807F0">
        <w:rPr>
          <w:rFonts w:ascii="Arial" w:hAnsi="Arial" w:cs="Arial"/>
          <w:szCs w:val="24"/>
        </w:rPr>
        <w:t>es’</w:t>
      </w:r>
      <w:r w:rsidR="00702182" w:rsidRPr="00C807F0">
        <w:rPr>
          <w:rFonts w:ascii="Arial" w:hAnsi="Arial" w:cs="Arial"/>
          <w:szCs w:val="24"/>
        </w:rPr>
        <w:t xml:space="preserve"> experiences</w:t>
      </w:r>
      <w:r w:rsidRPr="00C807F0">
        <w:rPr>
          <w:rFonts w:ascii="Arial" w:hAnsi="Arial" w:cs="Arial"/>
          <w:szCs w:val="24"/>
        </w:rPr>
        <w:t>.</w:t>
      </w:r>
    </w:p>
    <w:p w:rsidR="001D33D5" w:rsidRPr="00C807F0" w:rsidRDefault="001D33D5" w:rsidP="001D33D5">
      <w:pPr>
        <w:rPr>
          <w:rFonts w:ascii="Arial" w:hAnsi="Arial" w:cs="Arial"/>
          <w:szCs w:val="24"/>
        </w:rPr>
      </w:pPr>
      <w:r w:rsidRPr="00C807F0">
        <w:rPr>
          <w:rFonts w:ascii="Arial" w:hAnsi="Arial" w:cs="Arial"/>
          <w:b/>
          <w:bCs/>
          <w:szCs w:val="24"/>
        </w:rPr>
        <w:t>Delivery Phase:</w:t>
      </w:r>
      <w:r w:rsidRPr="00C807F0">
        <w:rPr>
          <w:rFonts w:ascii="Arial" w:hAnsi="Arial" w:cs="Arial"/>
          <w:szCs w:val="24"/>
        </w:rPr>
        <w:t xml:space="preserve"> The </w:t>
      </w:r>
      <w:r w:rsidR="00702182" w:rsidRPr="00C807F0">
        <w:rPr>
          <w:rFonts w:ascii="Arial" w:hAnsi="Arial" w:cs="Arial"/>
          <w:szCs w:val="24"/>
        </w:rPr>
        <w:t>delivery</w:t>
      </w:r>
      <w:r w:rsidRPr="00C807F0">
        <w:rPr>
          <w:rFonts w:ascii="Arial" w:hAnsi="Arial" w:cs="Arial"/>
          <w:szCs w:val="24"/>
        </w:rPr>
        <w:t xml:space="preserve"> phase </w:t>
      </w:r>
      <w:r w:rsidR="00702182" w:rsidRPr="00C807F0">
        <w:rPr>
          <w:rFonts w:ascii="Arial" w:hAnsi="Arial" w:cs="Arial"/>
          <w:szCs w:val="24"/>
        </w:rPr>
        <w:t>is the implementation process of the planning stage</w:t>
      </w:r>
      <w:r w:rsidRPr="00C807F0">
        <w:rPr>
          <w:rFonts w:ascii="Arial" w:hAnsi="Arial" w:cs="Arial"/>
          <w:szCs w:val="24"/>
        </w:rPr>
        <w:t>. In the course of this phase, the event organi</w:t>
      </w:r>
      <w:r w:rsidR="00040521" w:rsidRPr="00C807F0">
        <w:rPr>
          <w:rFonts w:ascii="Arial" w:hAnsi="Arial" w:cs="Arial"/>
          <w:szCs w:val="24"/>
        </w:rPr>
        <w:t>s</w:t>
      </w:r>
      <w:r w:rsidRPr="00C807F0">
        <w:rPr>
          <w:rFonts w:ascii="Arial" w:hAnsi="Arial" w:cs="Arial"/>
          <w:szCs w:val="24"/>
        </w:rPr>
        <w:t xml:space="preserve">ers and their team </w:t>
      </w:r>
      <w:r w:rsidR="00702182" w:rsidRPr="00C807F0">
        <w:rPr>
          <w:rFonts w:ascii="Arial" w:hAnsi="Arial" w:cs="Arial"/>
          <w:szCs w:val="24"/>
        </w:rPr>
        <w:t>need to focus on</w:t>
      </w:r>
      <w:r w:rsidRPr="00C807F0">
        <w:rPr>
          <w:rFonts w:ascii="Arial" w:hAnsi="Arial" w:cs="Arial"/>
          <w:szCs w:val="24"/>
        </w:rPr>
        <w:t xml:space="preserve"> deploying detailed development, which will be in line with the symposium program that has been pre-planned (Abson et al.</w:t>
      </w:r>
      <w:r w:rsidR="00702182" w:rsidRPr="00C807F0">
        <w:rPr>
          <w:rFonts w:ascii="Arial" w:hAnsi="Arial" w:cs="Arial"/>
          <w:szCs w:val="24"/>
        </w:rPr>
        <w:t>,</w:t>
      </w:r>
      <w:r w:rsidRPr="00C807F0">
        <w:rPr>
          <w:rFonts w:ascii="Arial" w:hAnsi="Arial" w:cs="Arial"/>
          <w:szCs w:val="24"/>
        </w:rPr>
        <w:t xml:space="preserve"> 2012). In this phase</w:t>
      </w:r>
      <w:r w:rsidR="00040521" w:rsidRPr="00C807F0">
        <w:rPr>
          <w:rFonts w:ascii="Arial" w:hAnsi="Arial" w:cs="Arial"/>
          <w:szCs w:val="24"/>
        </w:rPr>
        <w:t>, the event organisers should prepare the event venue for the attendees, the speakers, and other exhibitors, ensuring the speakers’ arrival and the participation of the attendees while facilitating the keynote presentations, panel discussions,</w:t>
      </w:r>
      <w:r w:rsidRPr="00C807F0">
        <w:rPr>
          <w:rFonts w:ascii="Arial" w:hAnsi="Arial" w:cs="Arial"/>
          <w:szCs w:val="24"/>
        </w:rPr>
        <w:t xml:space="preserve"> and </w:t>
      </w:r>
      <w:r w:rsidR="003C2FE8" w:rsidRPr="00C807F0">
        <w:rPr>
          <w:rFonts w:ascii="Arial" w:hAnsi="Arial" w:cs="Arial"/>
          <w:szCs w:val="24"/>
        </w:rPr>
        <w:t>networking sessions</w:t>
      </w:r>
      <w:r w:rsidRPr="00C807F0">
        <w:rPr>
          <w:rFonts w:ascii="Arial" w:hAnsi="Arial" w:cs="Arial"/>
          <w:szCs w:val="24"/>
        </w:rPr>
        <w:t xml:space="preserve">. </w:t>
      </w:r>
    </w:p>
    <w:p w:rsidR="00461415" w:rsidRPr="00C807F0" w:rsidRDefault="001D33D5" w:rsidP="001D33D5">
      <w:pPr>
        <w:rPr>
          <w:rFonts w:ascii="Arial" w:hAnsi="Arial" w:cs="Arial"/>
          <w:b/>
          <w:bCs/>
          <w:szCs w:val="24"/>
        </w:rPr>
      </w:pPr>
      <w:r w:rsidRPr="00C807F0">
        <w:rPr>
          <w:rFonts w:ascii="Arial" w:hAnsi="Arial" w:cs="Arial"/>
          <w:b/>
          <w:bCs/>
          <w:szCs w:val="24"/>
        </w:rPr>
        <w:t>Post-Event Evaluation Phase:</w:t>
      </w:r>
      <w:r w:rsidRPr="00C807F0">
        <w:rPr>
          <w:rFonts w:ascii="Arial" w:hAnsi="Arial" w:cs="Arial"/>
          <w:szCs w:val="24"/>
        </w:rPr>
        <w:t xml:space="preserve"> The post-assessment phase in an Event Cycle is an essential step through which organi</w:t>
      </w:r>
      <w:r w:rsidR="00040521" w:rsidRPr="00C807F0">
        <w:rPr>
          <w:rFonts w:ascii="Arial" w:hAnsi="Arial" w:cs="Arial"/>
          <w:szCs w:val="24"/>
        </w:rPr>
        <w:t>s</w:t>
      </w:r>
      <w:r w:rsidRPr="00C807F0">
        <w:rPr>
          <w:rFonts w:ascii="Arial" w:hAnsi="Arial" w:cs="Arial"/>
          <w:szCs w:val="24"/>
        </w:rPr>
        <w:t xml:space="preserve">ers can evaluate the </w:t>
      </w:r>
      <w:r w:rsidR="00702182" w:rsidRPr="00C807F0">
        <w:rPr>
          <w:rFonts w:ascii="Arial" w:hAnsi="Arial" w:cs="Arial"/>
          <w:szCs w:val="24"/>
        </w:rPr>
        <w:t xml:space="preserve">successof </w:t>
      </w:r>
      <w:r w:rsidRPr="00C807F0">
        <w:rPr>
          <w:rFonts w:ascii="Arial" w:hAnsi="Arial" w:cs="Arial"/>
          <w:szCs w:val="24"/>
        </w:rPr>
        <w:t xml:space="preserve">the symposium, </w:t>
      </w:r>
      <w:r w:rsidR="00702182" w:rsidRPr="00C807F0">
        <w:rPr>
          <w:rFonts w:ascii="Arial" w:hAnsi="Arial" w:cs="Arial"/>
          <w:szCs w:val="24"/>
        </w:rPr>
        <w:t>understand</w:t>
      </w:r>
      <w:r w:rsidRPr="00C807F0">
        <w:rPr>
          <w:rFonts w:ascii="Arial" w:hAnsi="Arial" w:cs="Arial"/>
          <w:szCs w:val="24"/>
        </w:rPr>
        <w:t xml:space="preserve"> the gaps to be filled, and get insights for future events (Bowdin et al.</w:t>
      </w:r>
      <w:r w:rsidR="00702182" w:rsidRPr="00C807F0">
        <w:rPr>
          <w:rFonts w:ascii="Arial" w:hAnsi="Arial" w:cs="Arial"/>
          <w:szCs w:val="24"/>
        </w:rPr>
        <w:t>,</w:t>
      </w:r>
      <w:r w:rsidRPr="00C807F0">
        <w:rPr>
          <w:rFonts w:ascii="Arial" w:hAnsi="Arial" w:cs="Arial"/>
          <w:szCs w:val="24"/>
        </w:rPr>
        <w:t xml:space="preserve"> 2010). Activities including questionnaire</w:t>
      </w:r>
      <w:r w:rsidR="00040521" w:rsidRPr="00C807F0">
        <w:rPr>
          <w:rFonts w:ascii="Arial" w:hAnsi="Arial" w:cs="Arial"/>
          <w:szCs w:val="24"/>
        </w:rPr>
        <w:t>s</w:t>
      </w:r>
      <w:r w:rsidRPr="00C807F0">
        <w:rPr>
          <w:rFonts w:ascii="Arial" w:hAnsi="Arial" w:cs="Arial"/>
          <w:szCs w:val="24"/>
        </w:rPr>
        <w:t xml:space="preserve"> to participants </w:t>
      </w:r>
      <w:r w:rsidR="00040521" w:rsidRPr="00C807F0">
        <w:rPr>
          <w:rFonts w:ascii="Arial" w:hAnsi="Arial" w:cs="Arial"/>
          <w:szCs w:val="24"/>
        </w:rPr>
        <w:t xml:space="preserve">and </w:t>
      </w:r>
      <w:r w:rsidRPr="00C807F0">
        <w:rPr>
          <w:rFonts w:ascii="Arial" w:hAnsi="Arial" w:cs="Arial"/>
          <w:szCs w:val="24"/>
        </w:rPr>
        <w:t xml:space="preserve">stakeholders, analysis of event indicators, reviewing marketing effectiveness, performances, review of </w:t>
      </w:r>
      <w:r w:rsidR="00040521" w:rsidRPr="00C807F0">
        <w:rPr>
          <w:rFonts w:ascii="Arial" w:hAnsi="Arial" w:cs="Arial"/>
          <w:szCs w:val="24"/>
        </w:rPr>
        <w:t xml:space="preserve">the </w:t>
      </w:r>
      <w:r w:rsidRPr="00C807F0">
        <w:rPr>
          <w:rFonts w:ascii="Arial" w:hAnsi="Arial" w:cs="Arial"/>
          <w:szCs w:val="24"/>
        </w:rPr>
        <w:t xml:space="preserve">whole attendee experience, </w:t>
      </w:r>
      <w:r w:rsidR="00040521" w:rsidRPr="00C807F0">
        <w:rPr>
          <w:rFonts w:ascii="Arial" w:hAnsi="Arial" w:cs="Arial"/>
          <w:szCs w:val="24"/>
        </w:rPr>
        <w:t xml:space="preserve">and </w:t>
      </w:r>
      <w:r w:rsidRPr="00C807F0">
        <w:rPr>
          <w:rFonts w:ascii="Arial" w:hAnsi="Arial" w:cs="Arial"/>
          <w:szCs w:val="24"/>
        </w:rPr>
        <w:t>areas for improvement are to be done by event organi</w:t>
      </w:r>
      <w:r w:rsidR="00040521" w:rsidRPr="00C807F0">
        <w:rPr>
          <w:rFonts w:ascii="Arial" w:hAnsi="Arial" w:cs="Arial"/>
          <w:szCs w:val="24"/>
        </w:rPr>
        <w:t>s</w:t>
      </w:r>
      <w:r w:rsidRPr="00C807F0">
        <w:rPr>
          <w:rFonts w:ascii="Arial" w:hAnsi="Arial" w:cs="Arial"/>
          <w:szCs w:val="24"/>
        </w:rPr>
        <w:t xml:space="preserve">ers of </w:t>
      </w:r>
      <w:r w:rsidR="00040521" w:rsidRPr="00C807F0">
        <w:rPr>
          <w:rFonts w:ascii="Arial" w:hAnsi="Arial" w:cs="Arial"/>
          <w:szCs w:val="24"/>
        </w:rPr>
        <w:t>the “</w:t>
      </w:r>
      <w:r w:rsidRPr="00C807F0">
        <w:rPr>
          <w:rFonts w:ascii="Arial" w:hAnsi="Arial" w:cs="Arial"/>
          <w:szCs w:val="24"/>
        </w:rPr>
        <w:t>Future of Dining Symposium</w:t>
      </w:r>
      <w:r w:rsidR="00040521" w:rsidRPr="00C807F0">
        <w:rPr>
          <w:rFonts w:ascii="Arial" w:hAnsi="Arial" w:cs="Arial"/>
          <w:szCs w:val="24"/>
        </w:rPr>
        <w:t>”</w:t>
      </w:r>
      <w:r w:rsidRPr="00C807F0">
        <w:rPr>
          <w:rFonts w:ascii="Arial" w:hAnsi="Arial" w:cs="Arial"/>
          <w:szCs w:val="24"/>
        </w:rPr>
        <w:t xml:space="preserve"> in the stage of post-event evaluation.</w:t>
      </w:r>
    </w:p>
    <w:p w:rsidR="00E00487" w:rsidRPr="00C807F0" w:rsidRDefault="00E00487">
      <w:pPr>
        <w:spacing w:line="276" w:lineRule="auto"/>
        <w:jc w:val="left"/>
        <w:rPr>
          <w:rFonts w:ascii="Arial" w:eastAsiaTheme="majorEastAsia" w:hAnsi="Arial" w:cs="Arial"/>
          <w:b/>
          <w:bCs/>
          <w:color w:val="365F91" w:themeColor="accent1" w:themeShade="BF"/>
          <w:szCs w:val="24"/>
        </w:rPr>
      </w:pPr>
      <w:bookmarkStart w:id="8" w:name="_Toc166651856"/>
      <w:r w:rsidRPr="00C807F0">
        <w:rPr>
          <w:rFonts w:ascii="Arial" w:hAnsi="Arial" w:cs="Arial"/>
          <w:szCs w:val="24"/>
        </w:rPr>
        <w:br w:type="page"/>
      </w:r>
    </w:p>
    <w:p w:rsidR="003739D5" w:rsidRPr="00C807F0" w:rsidRDefault="00E00487" w:rsidP="00AB6839">
      <w:pPr>
        <w:pStyle w:val="Heading1"/>
        <w:rPr>
          <w:rFonts w:ascii="Arial" w:hAnsi="Arial" w:cs="Arial"/>
          <w:sz w:val="24"/>
          <w:szCs w:val="24"/>
        </w:rPr>
      </w:pPr>
      <w:bookmarkStart w:id="9" w:name="_Toc167539988"/>
      <w:r w:rsidRPr="00C807F0">
        <w:rPr>
          <w:rFonts w:ascii="Arial" w:hAnsi="Arial" w:cs="Arial"/>
          <w:sz w:val="24"/>
          <w:szCs w:val="24"/>
        </w:rPr>
        <w:lastRenderedPageBreak/>
        <w:t>Event Concept</w:t>
      </w:r>
      <w:bookmarkStart w:id="10" w:name="_Toc166651859"/>
      <w:bookmarkEnd w:id="8"/>
      <w:bookmarkEnd w:id="9"/>
    </w:p>
    <w:p w:rsidR="00175478" w:rsidRPr="00C807F0" w:rsidRDefault="00175478" w:rsidP="00175478">
      <w:pPr>
        <w:pStyle w:val="Heading2"/>
        <w:rPr>
          <w:rFonts w:ascii="Arial" w:hAnsi="Arial" w:cs="Arial"/>
          <w:sz w:val="24"/>
          <w:szCs w:val="24"/>
        </w:rPr>
      </w:pPr>
      <w:bookmarkStart w:id="11" w:name="_Toc167539989"/>
      <w:r w:rsidRPr="00C807F0">
        <w:rPr>
          <w:rFonts w:ascii="Arial" w:hAnsi="Arial" w:cs="Arial"/>
          <w:sz w:val="24"/>
          <w:szCs w:val="24"/>
        </w:rPr>
        <w:t>Event focus</w:t>
      </w:r>
      <w:bookmarkEnd w:id="11"/>
    </w:p>
    <w:p w:rsidR="009E4527" w:rsidRPr="00C807F0" w:rsidRDefault="009E4527" w:rsidP="00AC5189">
      <w:pPr>
        <w:rPr>
          <w:rFonts w:ascii="Arial" w:hAnsi="Arial" w:cs="Arial"/>
          <w:szCs w:val="24"/>
        </w:rPr>
      </w:pPr>
      <w:r w:rsidRPr="00C807F0">
        <w:rPr>
          <w:rFonts w:ascii="Arial" w:hAnsi="Arial" w:cs="Arial"/>
          <w:szCs w:val="24"/>
        </w:rPr>
        <w:t>The focus of the “Future of Dining Symposium” is presenting the feasibility and potential consequences of applying new technologies in the dining Sector. The symposium will host an excitingly detailed agenda containing a variety of interesting activities and experiences.</w:t>
      </w:r>
      <w:r w:rsidR="00BC58E2" w:rsidRPr="00C807F0">
        <w:rPr>
          <w:rFonts w:ascii="Arial" w:hAnsi="Arial" w:cs="Arial"/>
          <w:szCs w:val="24"/>
        </w:rPr>
        <w:t xml:space="preserve"> “Future of Dining Symposium” will be an example</w:t>
      </w:r>
      <w:r w:rsidR="00040521" w:rsidRPr="00C807F0">
        <w:rPr>
          <w:rFonts w:ascii="Arial" w:hAnsi="Arial" w:cs="Arial"/>
          <w:szCs w:val="24"/>
        </w:rPr>
        <w:t>; one could argue that any event should have</w:t>
      </w:r>
      <w:r w:rsidR="00BC58E2" w:rsidRPr="00C807F0">
        <w:rPr>
          <w:rFonts w:ascii="Arial" w:hAnsi="Arial" w:cs="Arial"/>
          <w:szCs w:val="24"/>
        </w:rPr>
        <w:t xml:space="preserve"> educational content and a strong emphasis on engagement and interaction. </w:t>
      </w:r>
    </w:p>
    <w:p w:rsidR="00175478" w:rsidRPr="00C807F0" w:rsidRDefault="00175478" w:rsidP="00175478">
      <w:pPr>
        <w:pStyle w:val="Heading2"/>
        <w:rPr>
          <w:rFonts w:ascii="Arial" w:hAnsi="Arial" w:cs="Arial"/>
          <w:sz w:val="24"/>
          <w:szCs w:val="24"/>
        </w:rPr>
      </w:pPr>
      <w:bookmarkStart w:id="12" w:name="_Toc167539990"/>
      <w:r w:rsidRPr="00C807F0">
        <w:rPr>
          <w:rFonts w:ascii="Arial" w:hAnsi="Arial" w:cs="Arial"/>
          <w:sz w:val="24"/>
          <w:szCs w:val="24"/>
        </w:rPr>
        <w:t>Attendee experiences and itinerary</w:t>
      </w:r>
      <w:bookmarkEnd w:id="12"/>
    </w:p>
    <w:p w:rsidR="00602056" w:rsidRPr="00C807F0" w:rsidRDefault="009E4527" w:rsidP="00BC58E2">
      <w:pPr>
        <w:rPr>
          <w:rFonts w:ascii="Arial" w:hAnsi="Arial" w:cs="Arial"/>
          <w:szCs w:val="24"/>
        </w:rPr>
      </w:pPr>
      <w:r w:rsidRPr="00C807F0">
        <w:rPr>
          <w:rFonts w:ascii="Arial" w:hAnsi="Arial" w:cs="Arial"/>
          <w:szCs w:val="24"/>
        </w:rPr>
        <w:t>Opening the event will be a string of keynote presentations given by technology visionaries and tech leaders in the field of innovation. Throughout the symposium, the sessions will focus on the most recent discoveries and explore the ways in which these advancements are able to revolutioni</w:t>
      </w:r>
      <w:r w:rsidR="00040521" w:rsidRPr="00C807F0">
        <w:rPr>
          <w:rFonts w:ascii="Arial" w:hAnsi="Arial" w:cs="Arial"/>
          <w:szCs w:val="24"/>
        </w:rPr>
        <w:t>s</w:t>
      </w:r>
      <w:r w:rsidRPr="00C807F0">
        <w:rPr>
          <w:rFonts w:ascii="Arial" w:hAnsi="Arial" w:cs="Arial"/>
          <w:szCs w:val="24"/>
        </w:rPr>
        <w:t xml:space="preserve">e the </w:t>
      </w:r>
      <w:r w:rsidR="00040521" w:rsidRPr="00C807F0">
        <w:rPr>
          <w:rFonts w:ascii="Arial" w:hAnsi="Arial" w:cs="Arial"/>
          <w:szCs w:val="24"/>
        </w:rPr>
        <w:t>m</w:t>
      </w:r>
      <w:r w:rsidRPr="00C807F0">
        <w:rPr>
          <w:rFonts w:ascii="Arial" w:hAnsi="Arial" w:cs="Arial"/>
          <w:szCs w:val="24"/>
        </w:rPr>
        <w:t>ining industry, illustrating an innovator</w:t>
      </w:r>
      <w:r w:rsidR="00040521" w:rsidRPr="00C807F0">
        <w:rPr>
          <w:rFonts w:ascii="Arial" w:hAnsi="Arial" w:cs="Arial"/>
          <w:szCs w:val="24"/>
        </w:rPr>
        <w:t>’</w:t>
      </w:r>
      <w:r w:rsidRPr="00C807F0">
        <w:rPr>
          <w:rFonts w:ascii="Arial" w:hAnsi="Arial" w:cs="Arial"/>
          <w:szCs w:val="24"/>
        </w:rPr>
        <w:t xml:space="preserve">s thinking and approach.After the keynotes, </w:t>
      </w:r>
      <w:r w:rsidR="00040521" w:rsidRPr="00C807F0">
        <w:rPr>
          <w:rFonts w:ascii="Arial" w:hAnsi="Arial" w:cs="Arial"/>
          <w:szCs w:val="24"/>
        </w:rPr>
        <w:t xml:space="preserve">the </w:t>
      </w:r>
      <w:r w:rsidRPr="00C807F0">
        <w:rPr>
          <w:rFonts w:ascii="Arial" w:hAnsi="Arial" w:cs="Arial"/>
          <w:szCs w:val="24"/>
        </w:rPr>
        <w:t>audience will be involved in panel discussion</w:t>
      </w:r>
      <w:r w:rsidR="00040521" w:rsidRPr="00C807F0">
        <w:rPr>
          <w:rFonts w:ascii="Arial" w:hAnsi="Arial" w:cs="Arial"/>
          <w:szCs w:val="24"/>
        </w:rPr>
        <w:t>s</w:t>
      </w:r>
      <w:r w:rsidRPr="00C807F0">
        <w:rPr>
          <w:rFonts w:ascii="Arial" w:hAnsi="Arial" w:cs="Arial"/>
          <w:szCs w:val="24"/>
        </w:rPr>
        <w:t>. These sessions will include interactive discussions and case studies related to topics like AI in menu engineering, automation/robotics in modern kitchens, the future of dining where Augmented/ virtual reality is involved, and data-driven sustainability practices will be addressed</w:t>
      </w:r>
      <w:r w:rsidR="00040521" w:rsidRPr="00C807F0">
        <w:rPr>
          <w:rFonts w:ascii="Arial" w:hAnsi="Arial" w:cs="Arial"/>
          <w:szCs w:val="24"/>
        </w:rPr>
        <w:t>.</w:t>
      </w:r>
      <w:r w:rsidRPr="00C807F0">
        <w:rPr>
          <w:rFonts w:ascii="Arial" w:hAnsi="Arial" w:cs="Arial"/>
          <w:szCs w:val="24"/>
        </w:rPr>
        <w:t xml:space="preserve"> Visitors will </w:t>
      </w:r>
      <w:r w:rsidR="00896B7C" w:rsidRPr="00C807F0">
        <w:rPr>
          <w:rFonts w:ascii="Arial" w:hAnsi="Arial" w:cs="Arial"/>
          <w:szCs w:val="24"/>
        </w:rPr>
        <w:t xml:space="preserve">also </w:t>
      </w:r>
      <w:r w:rsidRPr="00C807F0">
        <w:rPr>
          <w:rFonts w:ascii="Arial" w:hAnsi="Arial" w:cs="Arial"/>
          <w:szCs w:val="24"/>
        </w:rPr>
        <w:t xml:space="preserve">experience the magic of combining professional chefs’ culinary skills with technology experts’ presentations as their dishes are exposed for the public to see. </w:t>
      </w:r>
      <w:r w:rsidR="00AC5189" w:rsidRPr="00C807F0">
        <w:rPr>
          <w:rFonts w:ascii="Arial" w:hAnsi="Arial" w:cs="Arial"/>
          <w:szCs w:val="24"/>
        </w:rPr>
        <w:t>From 3D printing to molecular cuisine</w:t>
      </w:r>
      <w:r w:rsidR="00040521" w:rsidRPr="00C807F0">
        <w:rPr>
          <w:rFonts w:ascii="Arial" w:hAnsi="Arial" w:cs="Arial"/>
          <w:szCs w:val="24"/>
        </w:rPr>
        <w:t>, this tasting will certainly bring the table to experience the dining experience of the</w:t>
      </w:r>
      <w:r w:rsidR="00AC5189" w:rsidRPr="00C807F0">
        <w:rPr>
          <w:rFonts w:ascii="Arial" w:hAnsi="Arial" w:cs="Arial"/>
          <w:szCs w:val="24"/>
        </w:rPr>
        <w:t xml:space="preserve"> future.</w:t>
      </w:r>
      <w:r w:rsidRPr="00C807F0">
        <w:rPr>
          <w:rFonts w:ascii="Arial" w:hAnsi="Arial" w:cs="Arial"/>
          <w:szCs w:val="24"/>
        </w:rPr>
        <w:t>There will be many opportunities for attendees of the symposium to interact with other professionals in the industry as well as with firms that provide technologies that can be used by firms in the industry</w:t>
      </w:r>
      <w:r w:rsidR="00040521" w:rsidRPr="00C807F0">
        <w:rPr>
          <w:rFonts w:ascii="Arial" w:hAnsi="Arial" w:cs="Arial"/>
          <w:szCs w:val="24"/>
        </w:rPr>
        <w:t>,</w:t>
      </w:r>
      <w:r w:rsidRPr="00C807F0">
        <w:rPr>
          <w:rFonts w:ascii="Arial" w:hAnsi="Arial" w:cs="Arial"/>
          <w:szCs w:val="24"/>
        </w:rPr>
        <w:t xml:space="preserve"> such as consultants, as well as for firms to consider as potential partners or investors. Specific networking events will also allow for the creation of professional and personal relationships that will lead to knowledge transfers among attendees who are engaged in similar ideas about putting the ‘food’ and technology together.</w:t>
      </w:r>
    </w:p>
    <w:p w:rsidR="00965DC2" w:rsidRPr="00C807F0" w:rsidRDefault="00965DC2" w:rsidP="00BC58E2">
      <w:pPr>
        <w:rPr>
          <w:rFonts w:ascii="Arial" w:hAnsi="Arial" w:cs="Arial"/>
          <w:szCs w:val="24"/>
        </w:rPr>
      </w:pPr>
    </w:p>
    <w:p w:rsidR="00965DC2" w:rsidRPr="00C807F0" w:rsidRDefault="00965DC2" w:rsidP="00BC58E2">
      <w:pPr>
        <w:rPr>
          <w:rFonts w:ascii="Arial" w:hAnsi="Arial" w:cs="Arial"/>
          <w:szCs w:val="24"/>
        </w:rPr>
      </w:pPr>
    </w:p>
    <w:p w:rsidR="00965DC2" w:rsidRPr="00C807F0" w:rsidRDefault="00965DC2" w:rsidP="00BC58E2">
      <w:pPr>
        <w:rPr>
          <w:rFonts w:ascii="Arial" w:hAnsi="Arial" w:cs="Arial"/>
          <w:szCs w:val="24"/>
        </w:rPr>
      </w:pPr>
    </w:p>
    <w:p w:rsidR="002B2419" w:rsidRPr="00C807F0" w:rsidRDefault="00BC58E2" w:rsidP="00BC58E2">
      <w:pPr>
        <w:rPr>
          <w:rFonts w:ascii="Arial" w:hAnsi="Arial" w:cs="Arial"/>
          <w:szCs w:val="24"/>
        </w:rPr>
      </w:pPr>
      <w:r w:rsidRPr="00C807F0">
        <w:rPr>
          <w:rFonts w:ascii="Arial" w:hAnsi="Arial" w:cs="Arial"/>
          <w:szCs w:val="24"/>
        </w:rPr>
        <w:t>Here the itinerary of the event is presented below:</w:t>
      </w:r>
    </w:p>
    <w:tbl>
      <w:tblPr>
        <w:tblStyle w:val="TableGrid"/>
        <w:tblW w:w="0" w:type="auto"/>
        <w:tblInd w:w="198" w:type="dxa"/>
        <w:tblLook w:val="04A0"/>
      </w:tblPr>
      <w:tblGrid>
        <w:gridCol w:w="4590"/>
        <w:gridCol w:w="4680"/>
      </w:tblGrid>
      <w:tr w:rsidR="002B2419" w:rsidRPr="00C807F0" w:rsidTr="00175478">
        <w:tc>
          <w:tcPr>
            <w:tcW w:w="4590" w:type="dxa"/>
          </w:tcPr>
          <w:p w:rsidR="002B2419" w:rsidRPr="00C807F0" w:rsidRDefault="002B2419" w:rsidP="00040521">
            <w:pPr>
              <w:jc w:val="center"/>
              <w:rPr>
                <w:rFonts w:ascii="Arial" w:hAnsi="Arial" w:cs="Arial"/>
                <w:b/>
                <w:bCs/>
                <w:szCs w:val="24"/>
              </w:rPr>
            </w:pPr>
            <w:r w:rsidRPr="00C807F0">
              <w:rPr>
                <w:rFonts w:ascii="Arial" w:hAnsi="Arial" w:cs="Arial"/>
                <w:b/>
                <w:bCs/>
                <w:szCs w:val="24"/>
              </w:rPr>
              <w:t>Time</w:t>
            </w:r>
          </w:p>
        </w:tc>
        <w:tc>
          <w:tcPr>
            <w:tcW w:w="4680" w:type="dxa"/>
          </w:tcPr>
          <w:p w:rsidR="002B2419" w:rsidRPr="00C807F0" w:rsidRDefault="002B2419" w:rsidP="00040521">
            <w:pPr>
              <w:jc w:val="center"/>
              <w:rPr>
                <w:rFonts w:ascii="Arial" w:hAnsi="Arial" w:cs="Arial"/>
                <w:b/>
                <w:bCs/>
                <w:szCs w:val="24"/>
              </w:rPr>
            </w:pPr>
            <w:r w:rsidRPr="00C807F0">
              <w:rPr>
                <w:rFonts w:ascii="Arial" w:hAnsi="Arial" w:cs="Arial"/>
                <w:b/>
                <w:bCs/>
                <w:szCs w:val="24"/>
              </w:rPr>
              <w:t>Activity</w:t>
            </w:r>
          </w:p>
        </w:tc>
      </w:tr>
      <w:tr w:rsidR="002B2419" w:rsidRPr="00C807F0" w:rsidTr="00175478">
        <w:tc>
          <w:tcPr>
            <w:tcW w:w="4590" w:type="dxa"/>
          </w:tcPr>
          <w:p w:rsidR="002B2419" w:rsidRPr="00C807F0" w:rsidRDefault="002B2419" w:rsidP="00040521">
            <w:pPr>
              <w:jc w:val="center"/>
              <w:rPr>
                <w:rFonts w:ascii="Arial" w:hAnsi="Arial" w:cs="Arial"/>
                <w:szCs w:val="24"/>
              </w:rPr>
            </w:pPr>
            <w:r w:rsidRPr="00C807F0">
              <w:rPr>
                <w:rFonts w:ascii="Arial" w:hAnsi="Arial" w:cs="Arial"/>
                <w:szCs w:val="24"/>
              </w:rPr>
              <w:t>9:00 am-10:00 am</w:t>
            </w:r>
          </w:p>
        </w:tc>
        <w:tc>
          <w:tcPr>
            <w:tcW w:w="4680" w:type="dxa"/>
          </w:tcPr>
          <w:p w:rsidR="002B2419" w:rsidRPr="00C807F0" w:rsidRDefault="002B2419" w:rsidP="00BC58E2">
            <w:pPr>
              <w:rPr>
                <w:rFonts w:ascii="Arial" w:hAnsi="Arial" w:cs="Arial"/>
                <w:szCs w:val="24"/>
              </w:rPr>
            </w:pPr>
            <w:r w:rsidRPr="00C807F0">
              <w:rPr>
                <w:rFonts w:ascii="Arial" w:hAnsi="Arial" w:cs="Arial"/>
                <w:szCs w:val="24"/>
              </w:rPr>
              <w:t>Registration</w:t>
            </w:r>
          </w:p>
        </w:tc>
      </w:tr>
      <w:tr w:rsidR="002B2419" w:rsidRPr="00C807F0" w:rsidTr="00175478">
        <w:tc>
          <w:tcPr>
            <w:tcW w:w="4590" w:type="dxa"/>
          </w:tcPr>
          <w:p w:rsidR="002B2419" w:rsidRPr="00C807F0" w:rsidRDefault="002B2419" w:rsidP="00040521">
            <w:pPr>
              <w:jc w:val="center"/>
              <w:rPr>
                <w:rFonts w:ascii="Arial" w:hAnsi="Arial" w:cs="Arial"/>
                <w:szCs w:val="24"/>
              </w:rPr>
            </w:pPr>
            <w:r w:rsidRPr="00C807F0">
              <w:rPr>
                <w:rFonts w:ascii="Arial" w:hAnsi="Arial" w:cs="Arial"/>
                <w:szCs w:val="24"/>
              </w:rPr>
              <w:t>10:00 am-10:15 am</w:t>
            </w:r>
          </w:p>
        </w:tc>
        <w:tc>
          <w:tcPr>
            <w:tcW w:w="4680" w:type="dxa"/>
          </w:tcPr>
          <w:p w:rsidR="002B2419" w:rsidRPr="00C807F0" w:rsidRDefault="002B2419" w:rsidP="00040521">
            <w:pPr>
              <w:rPr>
                <w:rFonts w:ascii="Arial" w:hAnsi="Arial" w:cs="Arial"/>
                <w:szCs w:val="24"/>
              </w:rPr>
            </w:pPr>
            <w:r w:rsidRPr="00C807F0">
              <w:rPr>
                <w:rFonts w:ascii="Arial" w:hAnsi="Arial" w:cs="Arial"/>
                <w:szCs w:val="24"/>
              </w:rPr>
              <w:t>Opening speech by the event organi</w:t>
            </w:r>
            <w:r w:rsidR="00040521" w:rsidRPr="00C807F0">
              <w:rPr>
                <w:rFonts w:ascii="Arial" w:hAnsi="Arial" w:cs="Arial"/>
                <w:szCs w:val="24"/>
              </w:rPr>
              <w:t>s</w:t>
            </w:r>
            <w:r w:rsidRPr="00C807F0">
              <w:rPr>
                <w:rFonts w:ascii="Arial" w:hAnsi="Arial" w:cs="Arial"/>
                <w:szCs w:val="24"/>
              </w:rPr>
              <w:t>er</w:t>
            </w:r>
          </w:p>
        </w:tc>
      </w:tr>
      <w:tr w:rsidR="002B2419" w:rsidRPr="00C807F0" w:rsidTr="00175478">
        <w:tc>
          <w:tcPr>
            <w:tcW w:w="4590" w:type="dxa"/>
          </w:tcPr>
          <w:p w:rsidR="002B2419" w:rsidRPr="00C807F0" w:rsidRDefault="002B2419" w:rsidP="00040521">
            <w:pPr>
              <w:jc w:val="center"/>
              <w:rPr>
                <w:rFonts w:ascii="Arial" w:hAnsi="Arial" w:cs="Arial"/>
                <w:szCs w:val="24"/>
              </w:rPr>
            </w:pPr>
            <w:r w:rsidRPr="00C807F0">
              <w:rPr>
                <w:rFonts w:ascii="Arial" w:hAnsi="Arial" w:cs="Arial"/>
                <w:szCs w:val="24"/>
              </w:rPr>
              <w:t>10:15 am-11:15 am</w:t>
            </w:r>
          </w:p>
        </w:tc>
        <w:tc>
          <w:tcPr>
            <w:tcW w:w="4680" w:type="dxa"/>
          </w:tcPr>
          <w:p w:rsidR="002B2419" w:rsidRPr="00C807F0" w:rsidRDefault="002B2419" w:rsidP="00BC58E2">
            <w:pPr>
              <w:rPr>
                <w:rFonts w:ascii="Arial" w:hAnsi="Arial" w:cs="Arial"/>
                <w:szCs w:val="24"/>
              </w:rPr>
            </w:pPr>
            <w:r w:rsidRPr="00C807F0">
              <w:rPr>
                <w:rFonts w:ascii="Arial" w:hAnsi="Arial" w:cs="Arial"/>
                <w:szCs w:val="24"/>
              </w:rPr>
              <w:t>Keynote speaker</w:t>
            </w:r>
          </w:p>
        </w:tc>
      </w:tr>
      <w:tr w:rsidR="002B2419" w:rsidRPr="00C807F0" w:rsidTr="00175478">
        <w:tc>
          <w:tcPr>
            <w:tcW w:w="4590" w:type="dxa"/>
          </w:tcPr>
          <w:p w:rsidR="002B2419" w:rsidRPr="00C807F0" w:rsidRDefault="002B2419" w:rsidP="00040521">
            <w:pPr>
              <w:jc w:val="center"/>
              <w:rPr>
                <w:rFonts w:ascii="Arial" w:hAnsi="Arial" w:cs="Arial"/>
                <w:szCs w:val="24"/>
              </w:rPr>
            </w:pPr>
            <w:r w:rsidRPr="00C807F0">
              <w:rPr>
                <w:rFonts w:ascii="Arial" w:hAnsi="Arial" w:cs="Arial"/>
                <w:szCs w:val="24"/>
              </w:rPr>
              <w:t>11:15 am-12:15 pm</w:t>
            </w:r>
          </w:p>
        </w:tc>
        <w:tc>
          <w:tcPr>
            <w:tcW w:w="4680" w:type="dxa"/>
          </w:tcPr>
          <w:p w:rsidR="002B2419" w:rsidRPr="00C807F0" w:rsidRDefault="002B2419" w:rsidP="00BC58E2">
            <w:pPr>
              <w:rPr>
                <w:rFonts w:ascii="Arial" w:hAnsi="Arial" w:cs="Arial"/>
                <w:szCs w:val="24"/>
              </w:rPr>
            </w:pPr>
            <w:r w:rsidRPr="00C807F0">
              <w:rPr>
                <w:rFonts w:ascii="Arial" w:hAnsi="Arial" w:cs="Arial"/>
                <w:szCs w:val="24"/>
              </w:rPr>
              <w:t>Panel discussion</w:t>
            </w:r>
          </w:p>
        </w:tc>
      </w:tr>
      <w:tr w:rsidR="002B2419" w:rsidRPr="00C807F0" w:rsidTr="00175478">
        <w:tc>
          <w:tcPr>
            <w:tcW w:w="4590" w:type="dxa"/>
          </w:tcPr>
          <w:p w:rsidR="002B2419" w:rsidRPr="00C807F0" w:rsidRDefault="002B2419" w:rsidP="00040521">
            <w:pPr>
              <w:jc w:val="center"/>
              <w:rPr>
                <w:rFonts w:ascii="Arial" w:hAnsi="Arial" w:cs="Arial"/>
                <w:szCs w:val="24"/>
              </w:rPr>
            </w:pPr>
            <w:r w:rsidRPr="00C807F0">
              <w:rPr>
                <w:rFonts w:ascii="Arial" w:hAnsi="Arial" w:cs="Arial"/>
                <w:szCs w:val="24"/>
              </w:rPr>
              <w:t>12:15pm-2:00 pm</w:t>
            </w:r>
          </w:p>
        </w:tc>
        <w:tc>
          <w:tcPr>
            <w:tcW w:w="4680" w:type="dxa"/>
          </w:tcPr>
          <w:p w:rsidR="002B2419" w:rsidRPr="00C807F0" w:rsidRDefault="00175478" w:rsidP="00BC58E2">
            <w:pPr>
              <w:rPr>
                <w:rFonts w:ascii="Arial" w:hAnsi="Arial" w:cs="Arial"/>
                <w:szCs w:val="24"/>
              </w:rPr>
            </w:pPr>
            <w:r w:rsidRPr="00C807F0">
              <w:rPr>
                <w:rFonts w:ascii="Arial" w:hAnsi="Arial" w:cs="Arial"/>
                <w:szCs w:val="24"/>
              </w:rPr>
              <w:t>Networking lunch and technology showcase</w:t>
            </w:r>
          </w:p>
        </w:tc>
      </w:tr>
      <w:tr w:rsidR="002B2419" w:rsidRPr="00C807F0" w:rsidTr="00175478">
        <w:tc>
          <w:tcPr>
            <w:tcW w:w="4590" w:type="dxa"/>
          </w:tcPr>
          <w:p w:rsidR="002B2419" w:rsidRPr="00C807F0" w:rsidRDefault="00175478" w:rsidP="00040521">
            <w:pPr>
              <w:jc w:val="center"/>
              <w:rPr>
                <w:rFonts w:ascii="Arial" w:hAnsi="Arial" w:cs="Arial"/>
                <w:szCs w:val="24"/>
              </w:rPr>
            </w:pPr>
            <w:r w:rsidRPr="00C807F0">
              <w:rPr>
                <w:rFonts w:ascii="Arial" w:hAnsi="Arial" w:cs="Arial"/>
                <w:szCs w:val="24"/>
              </w:rPr>
              <w:t>2:00pm-3:00 pm</w:t>
            </w:r>
          </w:p>
        </w:tc>
        <w:tc>
          <w:tcPr>
            <w:tcW w:w="4680" w:type="dxa"/>
          </w:tcPr>
          <w:p w:rsidR="002B2419" w:rsidRPr="00C807F0" w:rsidRDefault="00175478" w:rsidP="00BC58E2">
            <w:pPr>
              <w:rPr>
                <w:rFonts w:ascii="Arial" w:hAnsi="Arial" w:cs="Arial"/>
                <w:szCs w:val="24"/>
              </w:rPr>
            </w:pPr>
            <w:r w:rsidRPr="00C807F0">
              <w:rPr>
                <w:rFonts w:ascii="Arial" w:hAnsi="Arial" w:cs="Arial"/>
                <w:szCs w:val="24"/>
              </w:rPr>
              <w:t>Keynote speaker</w:t>
            </w:r>
          </w:p>
        </w:tc>
      </w:tr>
      <w:tr w:rsidR="002B2419" w:rsidRPr="00C807F0" w:rsidTr="00175478">
        <w:tc>
          <w:tcPr>
            <w:tcW w:w="4590" w:type="dxa"/>
          </w:tcPr>
          <w:p w:rsidR="002B2419" w:rsidRPr="00C807F0" w:rsidRDefault="00175478" w:rsidP="00040521">
            <w:pPr>
              <w:jc w:val="center"/>
              <w:rPr>
                <w:rFonts w:ascii="Arial" w:hAnsi="Arial" w:cs="Arial"/>
                <w:szCs w:val="24"/>
              </w:rPr>
            </w:pPr>
            <w:r w:rsidRPr="00C807F0">
              <w:rPr>
                <w:rFonts w:ascii="Arial" w:hAnsi="Arial" w:cs="Arial"/>
                <w:szCs w:val="24"/>
              </w:rPr>
              <w:t>3:00-pm- 4:00 pm</w:t>
            </w:r>
          </w:p>
        </w:tc>
        <w:tc>
          <w:tcPr>
            <w:tcW w:w="4680" w:type="dxa"/>
          </w:tcPr>
          <w:p w:rsidR="002B2419" w:rsidRPr="00C807F0" w:rsidRDefault="00175478" w:rsidP="00BC58E2">
            <w:pPr>
              <w:rPr>
                <w:rFonts w:ascii="Arial" w:hAnsi="Arial" w:cs="Arial"/>
                <w:szCs w:val="24"/>
              </w:rPr>
            </w:pPr>
            <w:r w:rsidRPr="00C807F0">
              <w:rPr>
                <w:rFonts w:ascii="Arial" w:hAnsi="Arial" w:cs="Arial"/>
                <w:szCs w:val="24"/>
              </w:rPr>
              <w:t>Networking break</w:t>
            </w:r>
          </w:p>
        </w:tc>
      </w:tr>
      <w:tr w:rsidR="002B2419" w:rsidRPr="00C807F0" w:rsidTr="00175478">
        <w:tc>
          <w:tcPr>
            <w:tcW w:w="4590" w:type="dxa"/>
          </w:tcPr>
          <w:p w:rsidR="002B2419" w:rsidRPr="00C807F0" w:rsidRDefault="00175478" w:rsidP="00040521">
            <w:pPr>
              <w:jc w:val="center"/>
              <w:rPr>
                <w:rFonts w:ascii="Arial" w:hAnsi="Arial" w:cs="Arial"/>
                <w:szCs w:val="24"/>
              </w:rPr>
            </w:pPr>
            <w:r w:rsidRPr="00C807F0">
              <w:rPr>
                <w:rFonts w:ascii="Arial" w:hAnsi="Arial" w:cs="Arial"/>
                <w:szCs w:val="24"/>
              </w:rPr>
              <w:t>4:00pm-5:00pm</w:t>
            </w:r>
          </w:p>
        </w:tc>
        <w:tc>
          <w:tcPr>
            <w:tcW w:w="4680" w:type="dxa"/>
          </w:tcPr>
          <w:p w:rsidR="002B2419" w:rsidRPr="00C807F0" w:rsidRDefault="00175478" w:rsidP="00BC58E2">
            <w:pPr>
              <w:rPr>
                <w:rFonts w:ascii="Arial" w:hAnsi="Arial" w:cs="Arial"/>
                <w:szCs w:val="24"/>
              </w:rPr>
            </w:pPr>
            <w:r w:rsidRPr="00C807F0">
              <w:rPr>
                <w:rFonts w:ascii="Arial" w:hAnsi="Arial" w:cs="Arial"/>
                <w:szCs w:val="24"/>
              </w:rPr>
              <w:t>Panel discussion</w:t>
            </w:r>
          </w:p>
        </w:tc>
      </w:tr>
      <w:tr w:rsidR="002B2419" w:rsidRPr="00C807F0" w:rsidTr="00175478">
        <w:tc>
          <w:tcPr>
            <w:tcW w:w="4590" w:type="dxa"/>
          </w:tcPr>
          <w:p w:rsidR="002B2419" w:rsidRPr="00C807F0" w:rsidRDefault="00175478" w:rsidP="00040521">
            <w:pPr>
              <w:jc w:val="center"/>
              <w:rPr>
                <w:rFonts w:ascii="Arial" w:hAnsi="Arial" w:cs="Arial"/>
                <w:szCs w:val="24"/>
              </w:rPr>
            </w:pPr>
            <w:r w:rsidRPr="00C807F0">
              <w:rPr>
                <w:rFonts w:ascii="Arial" w:hAnsi="Arial" w:cs="Arial"/>
                <w:szCs w:val="24"/>
              </w:rPr>
              <w:t>5:00pm-5:30pm</w:t>
            </w:r>
          </w:p>
        </w:tc>
        <w:tc>
          <w:tcPr>
            <w:tcW w:w="4680" w:type="dxa"/>
          </w:tcPr>
          <w:p w:rsidR="002B2419" w:rsidRPr="00C807F0" w:rsidRDefault="00175478" w:rsidP="00BC58E2">
            <w:pPr>
              <w:rPr>
                <w:rFonts w:ascii="Arial" w:hAnsi="Arial" w:cs="Arial"/>
                <w:szCs w:val="24"/>
              </w:rPr>
            </w:pPr>
            <w:r w:rsidRPr="00C807F0">
              <w:rPr>
                <w:rFonts w:ascii="Arial" w:hAnsi="Arial" w:cs="Arial"/>
                <w:szCs w:val="24"/>
              </w:rPr>
              <w:t>Closing speech and networking reception</w:t>
            </w:r>
          </w:p>
        </w:tc>
      </w:tr>
    </w:tbl>
    <w:p w:rsidR="00BC58E2" w:rsidRPr="00C807F0" w:rsidRDefault="00BC58E2" w:rsidP="00BC58E2">
      <w:pPr>
        <w:rPr>
          <w:rFonts w:ascii="Arial" w:eastAsiaTheme="majorEastAsia" w:hAnsi="Arial" w:cs="Arial"/>
          <w:color w:val="365F91" w:themeColor="accent1" w:themeShade="BF"/>
          <w:szCs w:val="24"/>
        </w:rPr>
      </w:pPr>
      <w:r w:rsidRPr="00C807F0">
        <w:rPr>
          <w:rFonts w:ascii="Arial" w:hAnsi="Arial" w:cs="Arial"/>
          <w:szCs w:val="24"/>
        </w:rPr>
        <w:br w:type="page"/>
      </w:r>
    </w:p>
    <w:p w:rsidR="00E00487" w:rsidRPr="00C807F0" w:rsidRDefault="00E00487" w:rsidP="00E00487">
      <w:pPr>
        <w:pStyle w:val="Heading1"/>
        <w:rPr>
          <w:rFonts w:ascii="Arial" w:hAnsi="Arial" w:cs="Arial"/>
          <w:sz w:val="24"/>
          <w:szCs w:val="24"/>
        </w:rPr>
      </w:pPr>
      <w:bookmarkStart w:id="13" w:name="_Toc167539991"/>
      <w:r w:rsidRPr="00C807F0">
        <w:rPr>
          <w:rFonts w:ascii="Arial" w:hAnsi="Arial" w:cs="Arial"/>
          <w:sz w:val="24"/>
          <w:szCs w:val="24"/>
        </w:rPr>
        <w:lastRenderedPageBreak/>
        <w:t>Aim and Objectives</w:t>
      </w:r>
      <w:bookmarkEnd w:id="10"/>
      <w:bookmarkEnd w:id="13"/>
    </w:p>
    <w:p w:rsidR="005F6612" w:rsidRPr="00C807F0" w:rsidRDefault="003739D5" w:rsidP="005F6612">
      <w:pPr>
        <w:pStyle w:val="Heading2"/>
        <w:rPr>
          <w:rFonts w:ascii="Arial" w:hAnsi="Arial" w:cs="Arial"/>
          <w:sz w:val="24"/>
          <w:szCs w:val="24"/>
        </w:rPr>
      </w:pPr>
      <w:bookmarkStart w:id="14" w:name="_Toc167539992"/>
      <w:bookmarkStart w:id="15" w:name="_Toc166651862"/>
      <w:r w:rsidRPr="00C807F0">
        <w:rPr>
          <w:rFonts w:ascii="Arial" w:hAnsi="Arial" w:cs="Arial"/>
          <w:sz w:val="24"/>
          <w:szCs w:val="24"/>
        </w:rPr>
        <w:t>Aim</w:t>
      </w:r>
      <w:bookmarkEnd w:id="14"/>
    </w:p>
    <w:p w:rsidR="00AC5189" w:rsidRPr="00C807F0" w:rsidRDefault="00AC5189" w:rsidP="00AC5189">
      <w:pPr>
        <w:rPr>
          <w:rFonts w:ascii="Arial" w:hAnsi="Arial" w:cs="Arial"/>
          <w:szCs w:val="24"/>
        </w:rPr>
      </w:pPr>
      <w:r w:rsidRPr="00C807F0">
        <w:rPr>
          <w:rFonts w:ascii="Arial" w:hAnsi="Arial" w:cs="Arial"/>
          <w:szCs w:val="24"/>
        </w:rPr>
        <w:t xml:space="preserve">The aim of </w:t>
      </w:r>
      <w:r w:rsidR="00040521" w:rsidRPr="00C807F0">
        <w:rPr>
          <w:rFonts w:ascii="Arial" w:hAnsi="Arial" w:cs="Arial"/>
          <w:szCs w:val="24"/>
        </w:rPr>
        <w:t>the “</w:t>
      </w:r>
      <w:r w:rsidRPr="00C807F0">
        <w:rPr>
          <w:rFonts w:ascii="Arial" w:hAnsi="Arial" w:cs="Arial"/>
          <w:szCs w:val="24"/>
        </w:rPr>
        <w:t>Future of Dining Symposium</w:t>
      </w:r>
      <w:r w:rsidR="00040521" w:rsidRPr="00C807F0">
        <w:rPr>
          <w:rFonts w:ascii="Arial" w:hAnsi="Arial" w:cs="Arial"/>
          <w:szCs w:val="24"/>
        </w:rPr>
        <w:t>”</w:t>
      </w:r>
      <w:r w:rsidRPr="00C807F0">
        <w:rPr>
          <w:rFonts w:ascii="Arial" w:hAnsi="Arial" w:cs="Arial"/>
          <w:szCs w:val="24"/>
        </w:rPr>
        <w:t xml:space="preserve"> is to promote a technological and practical platforming for the development of the </w:t>
      </w:r>
      <w:r w:rsidR="00040521" w:rsidRPr="00C807F0">
        <w:rPr>
          <w:rFonts w:ascii="Arial" w:hAnsi="Arial" w:cs="Arial"/>
          <w:szCs w:val="24"/>
        </w:rPr>
        <w:t>hospitality</w:t>
      </w:r>
      <w:r w:rsidRPr="00C807F0">
        <w:rPr>
          <w:rFonts w:ascii="Arial" w:hAnsi="Arial" w:cs="Arial"/>
          <w:szCs w:val="24"/>
        </w:rPr>
        <w:t xml:space="preserve"> industry along with the stimulation of innovation and mutual enrichment of leaders of the </w:t>
      </w:r>
      <w:r w:rsidR="00040521" w:rsidRPr="00C807F0">
        <w:rPr>
          <w:rFonts w:ascii="Arial" w:hAnsi="Arial" w:cs="Arial"/>
          <w:szCs w:val="24"/>
        </w:rPr>
        <w:t>hospitality</w:t>
      </w:r>
      <w:r w:rsidRPr="00C807F0">
        <w:rPr>
          <w:rFonts w:ascii="Arial" w:hAnsi="Arial" w:cs="Arial"/>
          <w:szCs w:val="24"/>
        </w:rPr>
        <w:t xml:space="preserve"> industry by ensuring wide access to new </w:t>
      </w:r>
      <w:r w:rsidR="00A6365C" w:rsidRPr="00C807F0">
        <w:rPr>
          <w:rFonts w:ascii="Arial" w:hAnsi="Arial" w:cs="Arial"/>
          <w:szCs w:val="24"/>
        </w:rPr>
        <w:t xml:space="preserve">and sustainable </w:t>
      </w:r>
      <w:r w:rsidRPr="00C807F0">
        <w:rPr>
          <w:rFonts w:ascii="Arial" w:hAnsi="Arial" w:cs="Arial"/>
          <w:szCs w:val="24"/>
        </w:rPr>
        <w:t xml:space="preserve">development conditions for the </w:t>
      </w:r>
      <w:r w:rsidR="00040521" w:rsidRPr="00C807F0">
        <w:rPr>
          <w:rFonts w:ascii="Arial" w:hAnsi="Arial" w:cs="Arial"/>
          <w:szCs w:val="24"/>
        </w:rPr>
        <w:t>hospitality</w:t>
      </w:r>
      <w:r w:rsidRPr="00C807F0">
        <w:rPr>
          <w:rFonts w:ascii="Arial" w:hAnsi="Arial" w:cs="Arial"/>
          <w:szCs w:val="24"/>
        </w:rPr>
        <w:t xml:space="preserve"> industry.</w:t>
      </w:r>
    </w:p>
    <w:p w:rsidR="003739D5" w:rsidRPr="00C807F0" w:rsidRDefault="003739D5" w:rsidP="005F6612">
      <w:pPr>
        <w:pStyle w:val="Heading2"/>
        <w:rPr>
          <w:rFonts w:ascii="Arial" w:hAnsi="Arial" w:cs="Arial"/>
          <w:sz w:val="24"/>
          <w:szCs w:val="24"/>
        </w:rPr>
      </w:pPr>
      <w:bookmarkStart w:id="16" w:name="_Toc167539993"/>
      <w:r w:rsidRPr="00C807F0">
        <w:rPr>
          <w:rFonts w:ascii="Arial" w:hAnsi="Arial" w:cs="Arial"/>
          <w:sz w:val="24"/>
          <w:szCs w:val="24"/>
        </w:rPr>
        <w:t>Objectives</w:t>
      </w:r>
      <w:bookmarkEnd w:id="16"/>
    </w:p>
    <w:p w:rsidR="00A6365C" w:rsidRPr="00C807F0" w:rsidRDefault="00A6365C" w:rsidP="00A6365C">
      <w:pPr>
        <w:rPr>
          <w:rFonts w:ascii="Arial" w:hAnsi="Arial" w:cs="Arial"/>
          <w:szCs w:val="24"/>
        </w:rPr>
      </w:pPr>
      <w:r w:rsidRPr="00C807F0">
        <w:rPr>
          <w:rFonts w:ascii="Arial" w:hAnsi="Arial" w:cs="Arial"/>
          <w:szCs w:val="24"/>
        </w:rPr>
        <w:t>By establishing a SMART objective, event organi</w:t>
      </w:r>
      <w:r w:rsidR="00040521" w:rsidRPr="00C807F0">
        <w:rPr>
          <w:rFonts w:ascii="Arial" w:hAnsi="Arial" w:cs="Arial"/>
          <w:szCs w:val="24"/>
        </w:rPr>
        <w:t>s</w:t>
      </w:r>
      <w:r w:rsidRPr="00C807F0">
        <w:rPr>
          <w:rFonts w:ascii="Arial" w:hAnsi="Arial" w:cs="Arial"/>
          <w:szCs w:val="24"/>
        </w:rPr>
        <w:t>er</w:t>
      </w:r>
      <w:r w:rsidR="00040521" w:rsidRPr="00C807F0">
        <w:rPr>
          <w:rFonts w:ascii="Arial" w:hAnsi="Arial" w:cs="Arial"/>
          <w:szCs w:val="24"/>
        </w:rPr>
        <w:t>scan make decisions that</w:t>
      </w:r>
      <w:r w:rsidRPr="00C807F0">
        <w:rPr>
          <w:rFonts w:ascii="Arial" w:hAnsi="Arial" w:cs="Arial"/>
          <w:szCs w:val="24"/>
        </w:rPr>
        <w:t xml:space="preserve"> can be more feasible and effective (Quick, 2020). The purpose of </w:t>
      </w:r>
      <w:r w:rsidR="00040521" w:rsidRPr="00C807F0">
        <w:rPr>
          <w:rFonts w:ascii="Arial" w:hAnsi="Arial" w:cs="Arial"/>
          <w:szCs w:val="24"/>
        </w:rPr>
        <w:t>the “</w:t>
      </w:r>
      <w:r w:rsidRPr="00C807F0">
        <w:rPr>
          <w:rFonts w:ascii="Arial" w:hAnsi="Arial" w:cs="Arial"/>
          <w:szCs w:val="24"/>
        </w:rPr>
        <w:t>Future of Dining Symposium</w:t>
      </w:r>
      <w:r w:rsidR="00040521" w:rsidRPr="00C807F0">
        <w:rPr>
          <w:rFonts w:ascii="Arial" w:hAnsi="Arial" w:cs="Arial"/>
          <w:szCs w:val="24"/>
        </w:rPr>
        <w:t>”</w:t>
      </w:r>
      <w:r w:rsidRPr="00C807F0">
        <w:rPr>
          <w:rFonts w:ascii="Arial" w:hAnsi="Arial" w:cs="Arial"/>
          <w:szCs w:val="24"/>
        </w:rPr>
        <w:t xml:space="preserve"> is to bring 1000 participants together</w:t>
      </w:r>
      <w:r w:rsidR="00040521" w:rsidRPr="00C807F0">
        <w:rPr>
          <w:rFonts w:ascii="Arial" w:hAnsi="Arial" w:cs="Arial"/>
          <w:szCs w:val="24"/>
        </w:rPr>
        <w:t>,</w:t>
      </w:r>
      <w:r w:rsidRPr="00C807F0">
        <w:rPr>
          <w:rFonts w:ascii="Arial" w:hAnsi="Arial" w:cs="Arial"/>
          <w:szCs w:val="24"/>
        </w:rPr>
        <w:t xml:space="preserve"> which include 40% industry professionals, 30% technology providers, 20% culinary experts and 10% food enthusiasts, by June 25, 2024</w:t>
      </w:r>
      <w:r w:rsidR="00040521" w:rsidRPr="00C807F0">
        <w:rPr>
          <w:rFonts w:ascii="Arial" w:hAnsi="Arial" w:cs="Arial"/>
          <w:szCs w:val="24"/>
        </w:rPr>
        <w:t>,</w:t>
      </w:r>
      <w:r w:rsidRPr="00C807F0">
        <w:rPr>
          <w:rFonts w:ascii="Arial" w:hAnsi="Arial" w:cs="Arial"/>
          <w:szCs w:val="24"/>
        </w:rPr>
        <w:t xml:space="preserve"> through various marketing campaigns and tie up with event, dining and related tech-based industries.</w:t>
      </w:r>
    </w:p>
    <w:p w:rsidR="00A6365C" w:rsidRPr="00C807F0" w:rsidRDefault="00A6365C" w:rsidP="00A6365C">
      <w:pPr>
        <w:rPr>
          <w:rFonts w:ascii="Arial" w:hAnsi="Arial" w:cs="Arial"/>
          <w:b/>
          <w:bCs/>
          <w:szCs w:val="24"/>
        </w:rPr>
      </w:pPr>
      <w:r w:rsidRPr="00C807F0">
        <w:rPr>
          <w:rFonts w:ascii="Arial" w:hAnsi="Arial" w:cs="Arial"/>
          <w:b/>
          <w:bCs/>
          <w:szCs w:val="24"/>
        </w:rPr>
        <w:t>Additional Objectives:</w:t>
      </w:r>
    </w:p>
    <w:p w:rsidR="00A6365C" w:rsidRPr="00C807F0" w:rsidRDefault="00A6365C" w:rsidP="00A6365C">
      <w:pPr>
        <w:pStyle w:val="ListParagraph"/>
        <w:numPr>
          <w:ilvl w:val="0"/>
          <w:numId w:val="23"/>
        </w:numPr>
        <w:rPr>
          <w:rFonts w:ascii="Arial" w:hAnsi="Arial" w:cs="Arial"/>
          <w:szCs w:val="24"/>
        </w:rPr>
      </w:pPr>
      <w:r w:rsidRPr="00C807F0">
        <w:rPr>
          <w:rFonts w:ascii="Arial" w:hAnsi="Arial" w:cs="Arial"/>
          <w:szCs w:val="24"/>
        </w:rPr>
        <w:t>In order to have a free flow of knowledge and discussions among the industry representatives, the technology providers and the culinary experts of the sector about how it is possible to integrate emerging technologies with the dining world.</w:t>
      </w:r>
    </w:p>
    <w:p w:rsidR="00A6365C" w:rsidRPr="00C807F0" w:rsidRDefault="00A6365C" w:rsidP="00A6365C">
      <w:pPr>
        <w:pStyle w:val="ListParagraph"/>
        <w:numPr>
          <w:ilvl w:val="0"/>
          <w:numId w:val="23"/>
        </w:numPr>
        <w:rPr>
          <w:rFonts w:ascii="Arial" w:hAnsi="Arial" w:cs="Arial"/>
          <w:szCs w:val="24"/>
        </w:rPr>
      </w:pPr>
      <w:r w:rsidRPr="00C807F0">
        <w:rPr>
          <w:rFonts w:ascii="Arial" w:hAnsi="Arial" w:cs="Arial"/>
          <w:szCs w:val="24"/>
        </w:rPr>
        <w:t>Cutting-edge technology and its significance in boosting the experience of guests and improving the operations, maintenance and sustainability in the dining industry will be showcased for all.</w:t>
      </w:r>
    </w:p>
    <w:p w:rsidR="00390DAA" w:rsidRPr="00C807F0" w:rsidRDefault="00390DAA">
      <w:pPr>
        <w:spacing w:line="276" w:lineRule="auto"/>
        <w:jc w:val="left"/>
        <w:rPr>
          <w:rFonts w:ascii="Arial" w:eastAsia="Times New Roman" w:hAnsi="Arial" w:cs="Arial"/>
          <w:szCs w:val="24"/>
        </w:rPr>
      </w:pPr>
      <w:r w:rsidRPr="00C807F0">
        <w:rPr>
          <w:rFonts w:ascii="Arial" w:hAnsi="Arial" w:cs="Arial"/>
          <w:szCs w:val="24"/>
        </w:rPr>
        <w:br w:type="page"/>
      </w:r>
    </w:p>
    <w:p w:rsidR="00E00487" w:rsidRPr="00C807F0" w:rsidRDefault="00E00487" w:rsidP="00E00487">
      <w:pPr>
        <w:pStyle w:val="Heading1"/>
        <w:rPr>
          <w:rFonts w:ascii="Arial" w:hAnsi="Arial" w:cs="Arial"/>
          <w:sz w:val="24"/>
          <w:szCs w:val="24"/>
        </w:rPr>
      </w:pPr>
      <w:bookmarkStart w:id="17" w:name="_Toc167539994"/>
      <w:r w:rsidRPr="00C807F0">
        <w:rPr>
          <w:rFonts w:ascii="Arial" w:hAnsi="Arial" w:cs="Arial"/>
          <w:sz w:val="24"/>
          <w:szCs w:val="24"/>
        </w:rPr>
        <w:lastRenderedPageBreak/>
        <w:t>Event Operations</w:t>
      </w:r>
      <w:bookmarkEnd w:id="15"/>
      <w:bookmarkEnd w:id="17"/>
    </w:p>
    <w:p w:rsidR="003739D5" w:rsidRPr="00C807F0" w:rsidRDefault="00065417" w:rsidP="00A462FF">
      <w:pPr>
        <w:rPr>
          <w:rFonts w:ascii="Arial" w:hAnsi="Arial" w:cs="Arial"/>
          <w:szCs w:val="24"/>
        </w:rPr>
      </w:pPr>
      <w:r w:rsidRPr="00C807F0">
        <w:rPr>
          <w:rFonts w:ascii="Arial" w:hAnsi="Arial" w:cs="Arial"/>
          <w:szCs w:val="24"/>
        </w:rPr>
        <w:t xml:space="preserve">It is required </w:t>
      </w:r>
      <w:r w:rsidR="00040521" w:rsidRPr="00C807F0">
        <w:rPr>
          <w:rFonts w:ascii="Arial" w:hAnsi="Arial" w:cs="Arial"/>
          <w:szCs w:val="24"/>
        </w:rPr>
        <w:t xml:space="preserve">to </w:t>
      </w:r>
      <w:r w:rsidRPr="00C807F0">
        <w:rPr>
          <w:rFonts w:ascii="Arial" w:hAnsi="Arial" w:cs="Arial"/>
          <w:szCs w:val="24"/>
        </w:rPr>
        <w:t>have diverse</w:t>
      </w:r>
      <w:r w:rsidR="00040521" w:rsidRPr="00C807F0">
        <w:rPr>
          <w:rFonts w:ascii="Arial" w:hAnsi="Arial" w:cs="Arial"/>
          <w:szCs w:val="24"/>
        </w:rPr>
        <w:t>,</w:t>
      </w:r>
      <w:r w:rsidRPr="00C807F0">
        <w:rPr>
          <w:rFonts w:ascii="Arial" w:hAnsi="Arial" w:cs="Arial"/>
          <w:szCs w:val="24"/>
        </w:rPr>
        <w:t xml:space="preserve"> skilled personnel and resources </w:t>
      </w:r>
      <w:r w:rsidR="00040521" w:rsidRPr="00C807F0">
        <w:rPr>
          <w:rFonts w:ascii="Arial" w:hAnsi="Arial" w:cs="Arial"/>
          <w:szCs w:val="24"/>
        </w:rPr>
        <w:t>to ensure</w:t>
      </w:r>
      <w:r w:rsidR="00F82193" w:rsidRPr="00C807F0">
        <w:rPr>
          <w:rFonts w:ascii="Arial" w:hAnsi="Arial" w:cs="Arial"/>
          <w:szCs w:val="24"/>
        </w:rPr>
        <w:t xml:space="preserve"> the</w:t>
      </w:r>
      <w:r w:rsidR="003739D5" w:rsidRPr="00C807F0">
        <w:rPr>
          <w:rFonts w:ascii="Arial" w:hAnsi="Arial" w:cs="Arial"/>
          <w:szCs w:val="24"/>
        </w:rPr>
        <w:t xml:space="preserve"> successful </w:t>
      </w:r>
      <w:r w:rsidR="00F82193" w:rsidRPr="00C807F0">
        <w:rPr>
          <w:rFonts w:ascii="Arial" w:hAnsi="Arial" w:cs="Arial"/>
          <w:szCs w:val="24"/>
        </w:rPr>
        <w:t>implementation</w:t>
      </w:r>
      <w:r w:rsidR="003739D5" w:rsidRPr="00C807F0">
        <w:rPr>
          <w:rFonts w:ascii="Arial" w:hAnsi="Arial" w:cs="Arial"/>
          <w:szCs w:val="24"/>
        </w:rPr>
        <w:t xml:space="preserve"> of the </w:t>
      </w:r>
      <w:r w:rsidR="00040521" w:rsidRPr="00C807F0">
        <w:rPr>
          <w:rFonts w:ascii="Arial" w:hAnsi="Arial" w:cs="Arial"/>
          <w:szCs w:val="24"/>
        </w:rPr>
        <w:t>“</w:t>
      </w:r>
      <w:r w:rsidR="003739D5" w:rsidRPr="00C807F0">
        <w:rPr>
          <w:rFonts w:ascii="Arial" w:hAnsi="Arial" w:cs="Arial"/>
          <w:szCs w:val="24"/>
        </w:rPr>
        <w:t>Future of Dining Symposium</w:t>
      </w:r>
      <w:r w:rsidR="00040521" w:rsidRPr="00C807F0">
        <w:rPr>
          <w:rFonts w:ascii="Arial" w:hAnsi="Arial" w:cs="Arial"/>
          <w:szCs w:val="24"/>
        </w:rPr>
        <w:t>”</w:t>
      </w:r>
      <w:r w:rsidR="003F7896" w:rsidRPr="00C807F0">
        <w:rPr>
          <w:rFonts w:ascii="Arial" w:hAnsi="Arial" w:cs="Arial"/>
          <w:szCs w:val="24"/>
        </w:rPr>
        <w:t xml:space="preserve">as </w:t>
      </w:r>
      <w:r w:rsidRPr="00C807F0">
        <w:rPr>
          <w:rFonts w:ascii="Arial" w:hAnsi="Arial" w:cs="Arial"/>
          <w:szCs w:val="24"/>
        </w:rPr>
        <w:t>outlined below</w:t>
      </w:r>
      <w:r w:rsidR="003F7896" w:rsidRPr="00C807F0">
        <w:rPr>
          <w:rFonts w:ascii="Arial" w:hAnsi="Arial" w:cs="Arial"/>
          <w:szCs w:val="24"/>
        </w:rPr>
        <w:t>:</w:t>
      </w:r>
    </w:p>
    <w:p w:rsidR="00A462FF" w:rsidRPr="00C807F0" w:rsidRDefault="00A462FF" w:rsidP="00A462FF">
      <w:pPr>
        <w:rPr>
          <w:rFonts w:ascii="Arial" w:hAnsi="Arial" w:cs="Arial"/>
          <w:szCs w:val="24"/>
        </w:rPr>
      </w:pPr>
      <w:r w:rsidRPr="00C807F0">
        <w:rPr>
          <w:rFonts w:ascii="Arial" w:hAnsi="Arial" w:cs="Arial"/>
          <w:szCs w:val="24"/>
        </w:rPr>
        <w:t xml:space="preserve">It is important to note that the foundation of event operations is highly skilled and competent event management personnel (Allen, Harris and Jago, 2022). A skilled team is required to </w:t>
      </w:r>
      <w:r w:rsidR="00F82193" w:rsidRPr="00C807F0">
        <w:rPr>
          <w:rFonts w:ascii="Arial" w:hAnsi="Arial" w:cs="Arial"/>
          <w:szCs w:val="24"/>
        </w:rPr>
        <w:t>manage the event from the initial to the final execution</w:t>
      </w:r>
      <w:r w:rsidRPr="00C807F0">
        <w:rPr>
          <w:rFonts w:ascii="Arial" w:hAnsi="Arial" w:cs="Arial"/>
          <w:szCs w:val="24"/>
        </w:rPr>
        <w:t xml:space="preserve">. </w:t>
      </w:r>
      <w:r w:rsidR="00F82193" w:rsidRPr="00C807F0">
        <w:rPr>
          <w:rFonts w:ascii="Arial" w:hAnsi="Arial" w:cs="Arial"/>
          <w:szCs w:val="24"/>
        </w:rPr>
        <w:t>Effectivecommunication must be ensured</w:t>
      </w:r>
      <w:r w:rsidRPr="00C807F0">
        <w:rPr>
          <w:rFonts w:ascii="Arial" w:hAnsi="Arial" w:cs="Arial"/>
          <w:szCs w:val="24"/>
        </w:rPr>
        <w:t xml:space="preserve"> with the Freemasons Hall venue managers</w:t>
      </w:r>
      <w:r w:rsidR="00602056" w:rsidRPr="00C807F0">
        <w:rPr>
          <w:rFonts w:ascii="Arial" w:hAnsi="Arial" w:cs="Arial"/>
          <w:szCs w:val="24"/>
        </w:rPr>
        <w:t>. It</w:t>
      </w:r>
      <w:r w:rsidRPr="00C807F0">
        <w:rPr>
          <w:rFonts w:ascii="Arial" w:hAnsi="Arial" w:cs="Arial"/>
          <w:szCs w:val="24"/>
        </w:rPr>
        <w:t xml:space="preserve"> is crucial for the workstation and layout design of event venues, media technology, food and beverages, </w:t>
      </w:r>
      <w:r w:rsidR="00040521" w:rsidRPr="00C807F0">
        <w:rPr>
          <w:rFonts w:ascii="Arial" w:hAnsi="Arial" w:cs="Arial"/>
          <w:szCs w:val="24"/>
        </w:rPr>
        <w:t xml:space="preserve">and </w:t>
      </w:r>
      <w:r w:rsidRPr="00C807F0">
        <w:rPr>
          <w:rFonts w:ascii="Arial" w:hAnsi="Arial" w:cs="Arial"/>
          <w:szCs w:val="24"/>
        </w:rPr>
        <w:t xml:space="preserve">client and guest management.There </w:t>
      </w:r>
      <w:r w:rsidR="00602056" w:rsidRPr="00C807F0">
        <w:rPr>
          <w:rFonts w:ascii="Arial" w:hAnsi="Arial" w:cs="Arial"/>
          <w:szCs w:val="24"/>
        </w:rPr>
        <w:t>have to be</w:t>
      </w:r>
      <w:r w:rsidRPr="00C807F0">
        <w:rPr>
          <w:rFonts w:ascii="Arial" w:hAnsi="Arial" w:cs="Arial"/>
          <w:szCs w:val="24"/>
        </w:rPr>
        <w:t xml:space="preserve"> a coordinator whose duty </w:t>
      </w:r>
      <w:r w:rsidR="00602056" w:rsidRPr="00C807F0">
        <w:rPr>
          <w:rFonts w:ascii="Arial" w:hAnsi="Arial" w:cs="Arial"/>
          <w:szCs w:val="24"/>
        </w:rPr>
        <w:t>is</w:t>
      </w:r>
      <w:r w:rsidRPr="00C807F0">
        <w:rPr>
          <w:rFonts w:ascii="Arial" w:hAnsi="Arial" w:cs="Arial"/>
          <w:szCs w:val="24"/>
        </w:rPr>
        <w:t xml:space="preserve"> to facilitate and coordinate with the venue staff in case there </w:t>
      </w:r>
      <w:r w:rsidR="00040521" w:rsidRPr="00C807F0">
        <w:rPr>
          <w:rFonts w:ascii="Arial" w:hAnsi="Arial" w:cs="Arial"/>
          <w:szCs w:val="24"/>
        </w:rPr>
        <w:t>hav</w:t>
      </w:r>
      <w:r w:rsidRPr="00C807F0">
        <w:rPr>
          <w:rFonts w:ascii="Arial" w:hAnsi="Arial" w:cs="Arial"/>
          <w:szCs w:val="24"/>
        </w:rPr>
        <w:t xml:space="preserve">e been any operational constraints with the facility and that all the necessary preparations </w:t>
      </w:r>
      <w:r w:rsidR="00602056" w:rsidRPr="00C807F0">
        <w:rPr>
          <w:rFonts w:ascii="Arial" w:hAnsi="Arial" w:cs="Arial"/>
          <w:szCs w:val="24"/>
        </w:rPr>
        <w:t>must be</w:t>
      </w:r>
      <w:r w:rsidRPr="00C807F0">
        <w:rPr>
          <w:rFonts w:ascii="Arial" w:hAnsi="Arial" w:cs="Arial"/>
          <w:szCs w:val="24"/>
        </w:rPr>
        <w:t xml:space="preserve"> in place in time before the event date</w:t>
      </w:r>
      <w:r w:rsidR="00B17F9E" w:rsidRPr="00C807F0">
        <w:rPr>
          <w:rFonts w:ascii="Arial" w:hAnsi="Arial" w:cs="Arial"/>
          <w:szCs w:val="24"/>
        </w:rPr>
        <w:t xml:space="preserve"> (Creazza, Colicchia and Dallari, 2015)</w:t>
      </w:r>
      <w:r w:rsidRPr="00C807F0">
        <w:rPr>
          <w:rFonts w:ascii="Arial" w:hAnsi="Arial" w:cs="Arial"/>
          <w:szCs w:val="24"/>
        </w:rPr>
        <w:t>.</w:t>
      </w:r>
    </w:p>
    <w:p w:rsidR="00E00487" w:rsidRPr="00C807F0" w:rsidRDefault="00A462FF" w:rsidP="00A462FF">
      <w:pPr>
        <w:rPr>
          <w:rFonts w:ascii="Arial" w:hAnsi="Arial" w:cs="Arial"/>
          <w:szCs w:val="24"/>
        </w:rPr>
      </w:pPr>
      <w:r w:rsidRPr="00C807F0">
        <w:rPr>
          <w:rFonts w:ascii="Arial" w:hAnsi="Arial" w:cs="Arial"/>
          <w:szCs w:val="24"/>
        </w:rPr>
        <w:t>Communication with keynote speakers, pane</w:t>
      </w:r>
      <w:r w:rsidR="00040521" w:rsidRPr="00C807F0">
        <w:rPr>
          <w:rFonts w:ascii="Arial" w:hAnsi="Arial" w:cs="Arial"/>
          <w:szCs w:val="24"/>
        </w:rPr>
        <w:t>l</w:t>
      </w:r>
      <w:r w:rsidRPr="00C807F0">
        <w:rPr>
          <w:rFonts w:ascii="Arial" w:hAnsi="Arial" w:cs="Arial"/>
          <w:szCs w:val="24"/>
        </w:rPr>
        <w:t>lists and moderators, working group presenters and facilitators, a</w:t>
      </w:r>
      <w:r w:rsidR="00040521" w:rsidRPr="00C807F0">
        <w:rPr>
          <w:rFonts w:ascii="Arial" w:hAnsi="Arial" w:cs="Arial"/>
          <w:szCs w:val="24"/>
        </w:rPr>
        <w:t>nd</w:t>
      </w:r>
      <w:r w:rsidRPr="00C807F0">
        <w:rPr>
          <w:rFonts w:ascii="Arial" w:hAnsi="Arial" w:cs="Arial"/>
          <w:szCs w:val="24"/>
        </w:rPr>
        <w:t xml:space="preserve"> exhibitors is one more important element of the event’s operational model (Allen, 2008). </w:t>
      </w:r>
      <w:r w:rsidR="00040521" w:rsidRPr="00C807F0">
        <w:rPr>
          <w:rFonts w:ascii="Arial" w:hAnsi="Arial" w:cs="Arial"/>
          <w:szCs w:val="24"/>
        </w:rPr>
        <w:t>The m</w:t>
      </w:r>
      <w:r w:rsidRPr="00C807F0">
        <w:rPr>
          <w:rFonts w:ascii="Arial" w:hAnsi="Arial" w:cs="Arial"/>
          <w:szCs w:val="24"/>
        </w:rPr>
        <w:t>arketing</w:t>
      </w:r>
      <w:r w:rsidR="00F82193" w:rsidRPr="00C807F0">
        <w:rPr>
          <w:rFonts w:ascii="Arial" w:hAnsi="Arial" w:cs="Arial"/>
          <w:szCs w:val="24"/>
        </w:rPr>
        <w:t xml:space="preserve"> unitwillwork on promotional activities utili</w:t>
      </w:r>
      <w:r w:rsidR="00040521" w:rsidRPr="00C807F0">
        <w:rPr>
          <w:rFonts w:ascii="Arial" w:hAnsi="Arial" w:cs="Arial"/>
          <w:szCs w:val="24"/>
        </w:rPr>
        <w:t>s</w:t>
      </w:r>
      <w:r w:rsidR="00F82193" w:rsidRPr="00C807F0">
        <w:rPr>
          <w:rFonts w:ascii="Arial" w:hAnsi="Arial" w:cs="Arial"/>
          <w:szCs w:val="24"/>
        </w:rPr>
        <w:t>ing</w:t>
      </w:r>
      <w:r w:rsidRPr="00C807F0">
        <w:rPr>
          <w:rFonts w:ascii="Arial" w:hAnsi="Arial" w:cs="Arial"/>
          <w:szCs w:val="24"/>
        </w:rPr>
        <w:t xml:space="preserve"> social channels, industry press, email marketing and so on and so forth in order to target the right customer segment. The technical support is also obvious since there will be </w:t>
      </w:r>
      <w:r w:rsidR="00040521" w:rsidRPr="00C807F0">
        <w:rPr>
          <w:rFonts w:ascii="Arial" w:hAnsi="Arial" w:cs="Arial"/>
          <w:szCs w:val="24"/>
        </w:rPr>
        <w:t xml:space="preserve">an </w:t>
      </w:r>
      <w:r w:rsidR="00F82193" w:rsidRPr="00C807F0">
        <w:rPr>
          <w:rFonts w:ascii="Arial" w:hAnsi="Arial" w:cs="Arial"/>
          <w:szCs w:val="24"/>
        </w:rPr>
        <w:t>IT</w:t>
      </w:r>
      <w:r w:rsidRPr="00C807F0">
        <w:rPr>
          <w:rFonts w:ascii="Arial" w:hAnsi="Arial" w:cs="Arial"/>
          <w:szCs w:val="24"/>
        </w:rPr>
        <w:t xml:space="preserve"> show and other interactive symposiums. This </w:t>
      </w:r>
      <w:r w:rsidR="00F82193" w:rsidRPr="00C807F0">
        <w:rPr>
          <w:rFonts w:ascii="Arial" w:hAnsi="Arial" w:cs="Arial"/>
          <w:szCs w:val="24"/>
        </w:rPr>
        <w:t>must</w:t>
      </w:r>
      <w:r w:rsidRPr="00C807F0">
        <w:rPr>
          <w:rFonts w:ascii="Arial" w:hAnsi="Arial" w:cs="Arial"/>
          <w:szCs w:val="24"/>
        </w:rPr>
        <w:t xml:space="preserve"> include the employment of IT personnel alongside technicians who </w:t>
      </w:r>
      <w:r w:rsidR="00F82193" w:rsidRPr="00C807F0">
        <w:rPr>
          <w:rFonts w:ascii="Arial" w:hAnsi="Arial" w:cs="Arial"/>
          <w:szCs w:val="24"/>
        </w:rPr>
        <w:t>must be</w:t>
      </w:r>
      <w:r w:rsidRPr="00C807F0">
        <w:rPr>
          <w:rFonts w:ascii="Arial" w:hAnsi="Arial" w:cs="Arial"/>
          <w:szCs w:val="24"/>
        </w:rPr>
        <w:t xml:space="preserve"> in charge of operating the audiovisual technology in the room</w:t>
      </w:r>
      <w:r w:rsidR="00040521" w:rsidRPr="00C807F0">
        <w:rPr>
          <w:rFonts w:ascii="Arial" w:hAnsi="Arial" w:cs="Arial"/>
          <w:szCs w:val="24"/>
        </w:rPr>
        <w:t>,</w:t>
      </w:r>
      <w:r w:rsidRPr="00C807F0">
        <w:rPr>
          <w:rFonts w:ascii="Arial" w:hAnsi="Arial" w:cs="Arial"/>
          <w:szCs w:val="24"/>
        </w:rPr>
        <w:t xml:space="preserve"> as well as the functionality of the room as a live</w:t>
      </w:r>
      <w:r w:rsidR="00040521" w:rsidRPr="00C807F0">
        <w:rPr>
          <w:rFonts w:ascii="Arial" w:hAnsi="Arial" w:cs="Arial"/>
          <w:szCs w:val="24"/>
        </w:rPr>
        <w:t>-</w:t>
      </w:r>
      <w:r w:rsidRPr="00C807F0">
        <w:rPr>
          <w:rFonts w:ascii="Arial" w:hAnsi="Arial" w:cs="Arial"/>
          <w:szCs w:val="24"/>
        </w:rPr>
        <w:t>streaming classroom with other interactive features in demonstrations</w:t>
      </w:r>
      <w:r w:rsidR="00F82193" w:rsidRPr="00C807F0">
        <w:rPr>
          <w:rFonts w:ascii="Arial" w:hAnsi="Arial" w:cs="Arial"/>
          <w:szCs w:val="24"/>
        </w:rPr>
        <w:t xml:space="preserve"> (Thakur, 2022)</w:t>
      </w:r>
      <w:r w:rsidRPr="00C807F0">
        <w:rPr>
          <w:rFonts w:ascii="Arial" w:hAnsi="Arial" w:cs="Arial"/>
          <w:szCs w:val="24"/>
        </w:rPr>
        <w:t>.Culinary expertis</w:t>
      </w:r>
      <w:r w:rsidR="00AF70C6" w:rsidRPr="00C807F0">
        <w:rPr>
          <w:rFonts w:ascii="Arial" w:hAnsi="Arial" w:cs="Arial"/>
          <w:szCs w:val="24"/>
        </w:rPr>
        <w:t xml:space="preserve">e is </w:t>
      </w:r>
      <w:r w:rsidRPr="00C807F0">
        <w:rPr>
          <w:rFonts w:ascii="Arial" w:hAnsi="Arial" w:cs="Arial"/>
          <w:szCs w:val="24"/>
        </w:rPr>
        <w:t>need</w:t>
      </w:r>
      <w:r w:rsidR="00AF70C6" w:rsidRPr="00C807F0">
        <w:rPr>
          <w:rFonts w:ascii="Arial" w:hAnsi="Arial" w:cs="Arial"/>
          <w:szCs w:val="24"/>
        </w:rPr>
        <w:t>ed</w:t>
      </w:r>
      <w:r w:rsidRPr="00C807F0">
        <w:rPr>
          <w:rFonts w:ascii="Arial" w:hAnsi="Arial" w:cs="Arial"/>
          <w:szCs w:val="24"/>
        </w:rPr>
        <w:t xml:space="preserve"> the help of some of the best chefs, culinary experts, food scientists and technology engineers in the world to develop and conduct the long-awaited advanced gastronomy cuisine and sampling and cooking technologies events.</w:t>
      </w:r>
      <w:bookmarkStart w:id="18" w:name="_Toc166651865"/>
    </w:p>
    <w:p w:rsidR="00A462FF" w:rsidRPr="00C807F0" w:rsidRDefault="00A462FF">
      <w:pPr>
        <w:spacing w:line="276" w:lineRule="auto"/>
        <w:jc w:val="left"/>
        <w:rPr>
          <w:rFonts w:ascii="Arial" w:eastAsiaTheme="majorEastAsia" w:hAnsi="Arial" w:cs="Arial"/>
          <w:b/>
          <w:bCs/>
          <w:color w:val="365F91" w:themeColor="accent1" w:themeShade="BF"/>
          <w:szCs w:val="24"/>
        </w:rPr>
      </w:pPr>
      <w:r w:rsidRPr="00C807F0">
        <w:rPr>
          <w:rFonts w:ascii="Arial" w:hAnsi="Arial" w:cs="Arial"/>
          <w:szCs w:val="24"/>
        </w:rPr>
        <w:br w:type="page"/>
      </w:r>
    </w:p>
    <w:p w:rsidR="00AF7028" w:rsidRPr="00C807F0" w:rsidRDefault="00E00487" w:rsidP="001C261D">
      <w:pPr>
        <w:pStyle w:val="Heading1"/>
        <w:rPr>
          <w:rFonts w:ascii="Arial" w:hAnsi="Arial" w:cs="Arial"/>
          <w:sz w:val="24"/>
          <w:szCs w:val="24"/>
        </w:rPr>
      </w:pPr>
      <w:bookmarkStart w:id="19" w:name="_Toc167539995"/>
      <w:r w:rsidRPr="00C807F0">
        <w:rPr>
          <w:rFonts w:ascii="Arial" w:hAnsi="Arial" w:cs="Arial"/>
          <w:sz w:val="24"/>
          <w:szCs w:val="24"/>
        </w:rPr>
        <w:lastRenderedPageBreak/>
        <w:t>Event Budget</w:t>
      </w:r>
      <w:bookmarkStart w:id="20" w:name="_Toc166651868"/>
      <w:bookmarkEnd w:id="18"/>
      <w:bookmarkEnd w:id="19"/>
    </w:p>
    <w:p w:rsidR="00AF7028" w:rsidRPr="00C807F0" w:rsidRDefault="008333D8" w:rsidP="0000076C">
      <w:pPr>
        <w:rPr>
          <w:rFonts w:ascii="Arial" w:hAnsi="Arial" w:cs="Arial"/>
          <w:szCs w:val="24"/>
        </w:rPr>
      </w:pPr>
      <w:r w:rsidRPr="00C807F0">
        <w:rPr>
          <w:rFonts w:ascii="Arial" w:hAnsi="Arial" w:cs="Arial"/>
          <w:szCs w:val="24"/>
        </w:rPr>
        <w:t xml:space="preserve">This section details the estimated expenses, expected income, and expected profitability of </w:t>
      </w:r>
      <w:r w:rsidR="00040521" w:rsidRPr="00C807F0">
        <w:rPr>
          <w:rFonts w:ascii="Arial" w:hAnsi="Arial" w:cs="Arial"/>
          <w:szCs w:val="24"/>
        </w:rPr>
        <w:t xml:space="preserve">the </w:t>
      </w:r>
      <w:r w:rsidRPr="00C807F0">
        <w:rPr>
          <w:rFonts w:ascii="Arial" w:hAnsi="Arial" w:cs="Arial"/>
          <w:szCs w:val="24"/>
        </w:rPr>
        <w:t>‘Future of Dining Symposium”.</w:t>
      </w:r>
    </w:p>
    <w:p w:rsidR="0000076C" w:rsidRPr="00C807F0" w:rsidRDefault="00AF7028" w:rsidP="00542099">
      <w:pPr>
        <w:pStyle w:val="Heading2"/>
        <w:rPr>
          <w:rFonts w:ascii="Arial" w:hAnsi="Arial" w:cs="Arial"/>
          <w:sz w:val="24"/>
          <w:szCs w:val="24"/>
        </w:rPr>
      </w:pPr>
      <w:bookmarkStart w:id="21" w:name="_Toc167539996"/>
      <w:r w:rsidRPr="00C807F0">
        <w:rPr>
          <w:rFonts w:ascii="Arial" w:hAnsi="Arial" w:cs="Arial"/>
          <w:sz w:val="24"/>
          <w:szCs w:val="24"/>
        </w:rPr>
        <w:t>Costs</w:t>
      </w:r>
      <w:bookmarkEnd w:id="21"/>
    </w:p>
    <w:tbl>
      <w:tblPr>
        <w:tblStyle w:val="GridTable5DarkAccent1"/>
        <w:tblW w:w="8505" w:type="dxa"/>
        <w:jc w:val="center"/>
        <w:tblLayout w:type="fixed"/>
        <w:tblLook w:val="04A0"/>
      </w:tblPr>
      <w:tblGrid>
        <w:gridCol w:w="3915"/>
        <w:gridCol w:w="2295"/>
        <w:gridCol w:w="2295"/>
      </w:tblGrid>
      <w:tr w:rsidR="00DB6DA2" w:rsidRPr="00C807F0" w:rsidTr="006136A7">
        <w:trPr>
          <w:cnfStyle w:val="100000000000"/>
          <w:trHeight w:val="550"/>
          <w:jc w:val="center"/>
        </w:trPr>
        <w:tc>
          <w:tcPr>
            <w:cnfStyle w:val="001000000000"/>
            <w:tcW w:w="3915" w:type="dxa"/>
            <w:hideMark/>
          </w:tcPr>
          <w:p w:rsidR="00DB6DA2" w:rsidRPr="00C807F0" w:rsidRDefault="00DB6DA2">
            <w:pPr>
              <w:spacing w:line="240" w:lineRule="auto"/>
              <w:jc w:val="center"/>
              <w:rPr>
                <w:rFonts w:ascii="Arial" w:hAnsi="Arial" w:cs="Arial"/>
                <w:b w:val="0"/>
                <w:bCs w:val="0"/>
                <w:szCs w:val="24"/>
              </w:rPr>
            </w:pPr>
            <w:r w:rsidRPr="00C807F0">
              <w:rPr>
                <w:rFonts w:ascii="Arial" w:hAnsi="Arial" w:cs="Arial"/>
                <w:szCs w:val="24"/>
              </w:rPr>
              <w:t>Expense Category</w:t>
            </w:r>
          </w:p>
        </w:tc>
        <w:tc>
          <w:tcPr>
            <w:tcW w:w="2295" w:type="dxa"/>
            <w:hideMark/>
          </w:tcPr>
          <w:p w:rsidR="00DB6DA2" w:rsidRPr="00C807F0" w:rsidRDefault="00DB6DA2">
            <w:pPr>
              <w:spacing w:line="240" w:lineRule="auto"/>
              <w:jc w:val="center"/>
              <w:cnfStyle w:val="100000000000"/>
              <w:rPr>
                <w:rFonts w:ascii="Arial" w:hAnsi="Arial" w:cs="Arial"/>
                <w:b w:val="0"/>
                <w:bCs w:val="0"/>
                <w:szCs w:val="24"/>
              </w:rPr>
            </w:pPr>
            <w:r w:rsidRPr="00C807F0">
              <w:rPr>
                <w:rFonts w:ascii="Arial" w:hAnsi="Arial" w:cs="Arial"/>
                <w:szCs w:val="24"/>
              </w:rPr>
              <w:t>Estimated Cost</w:t>
            </w:r>
          </w:p>
        </w:tc>
        <w:tc>
          <w:tcPr>
            <w:tcW w:w="2295" w:type="dxa"/>
          </w:tcPr>
          <w:p w:rsidR="00DB6DA2" w:rsidRPr="00C807F0" w:rsidRDefault="00DB6DA2">
            <w:pPr>
              <w:spacing w:line="240" w:lineRule="auto"/>
              <w:jc w:val="center"/>
              <w:cnfStyle w:val="100000000000"/>
              <w:rPr>
                <w:rFonts w:ascii="Arial" w:hAnsi="Arial" w:cs="Arial"/>
                <w:b w:val="0"/>
                <w:bCs w:val="0"/>
                <w:szCs w:val="24"/>
              </w:rPr>
            </w:pPr>
            <w:r w:rsidRPr="00C807F0">
              <w:rPr>
                <w:rFonts w:ascii="Arial" w:hAnsi="Arial" w:cs="Arial"/>
                <w:szCs w:val="24"/>
              </w:rPr>
              <w:t>Percentage</w:t>
            </w:r>
          </w:p>
        </w:tc>
      </w:tr>
      <w:tr w:rsidR="00DB6DA2" w:rsidRPr="00C807F0" w:rsidTr="006A6DE0">
        <w:trPr>
          <w:cnfStyle w:val="000000100000"/>
          <w:trHeight w:val="385"/>
          <w:jc w:val="center"/>
        </w:trPr>
        <w:tc>
          <w:tcPr>
            <w:cnfStyle w:val="001000000000"/>
            <w:tcW w:w="3915"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Venue Rental</w:t>
            </w:r>
          </w:p>
        </w:tc>
        <w:tc>
          <w:tcPr>
            <w:tcW w:w="2295" w:type="dxa"/>
            <w:hideMark/>
          </w:tcPr>
          <w:p w:rsidR="00DB6DA2" w:rsidRPr="00C807F0" w:rsidRDefault="00DB6DA2">
            <w:pPr>
              <w:spacing w:line="240" w:lineRule="auto"/>
              <w:jc w:val="left"/>
              <w:cnfStyle w:val="000000100000"/>
              <w:rPr>
                <w:rFonts w:ascii="Arial" w:hAnsi="Arial" w:cs="Arial"/>
                <w:color w:val="0D0D0D"/>
                <w:szCs w:val="24"/>
              </w:rPr>
            </w:pPr>
            <w:r w:rsidRPr="00C807F0">
              <w:rPr>
                <w:rFonts w:ascii="Arial" w:hAnsi="Arial" w:cs="Arial"/>
                <w:color w:val="0D0D0D"/>
                <w:szCs w:val="24"/>
              </w:rPr>
              <w:t>£10,000</w:t>
            </w:r>
          </w:p>
        </w:tc>
        <w:tc>
          <w:tcPr>
            <w:tcW w:w="2295" w:type="dxa"/>
          </w:tcPr>
          <w:p w:rsidR="00DB6DA2" w:rsidRPr="00C807F0" w:rsidRDefault="00DB6DA2">
            <w:pPr>
              <w:spacing w:line="240" w:lineRule="auto"/>
              <w:jc w:val="left"/>
              <w:cnfStyle w:val="000000100000"/>
              <w:rPr>
                <w:rFonts w:ascii="Arial" w:hAnsi="Arial" w:cs="Arial"/>
                <w:color w:val="0D0D0D"/>
                <w:szCs w:val="24"/>
              </w:rPr>
            </w:pPr>
            <w:r w:rsidRPr="00C807F0">
              <w:rPr>
                <w:rFonts w:ascii="Arial" w:hAnsi="Arial" w:cs="Arial"/>
                <w:szCs w:val="24"/>
              </w:rPr>
              <w:t>18.2%</w:t>
            </w:r>
          </w:p>
        </w:tc>
      </w:tr>
      <w:tr w:rsidR="00DB6DA2" w:rsidRPr="00C807F0" w:rsidTr="006A6DE0">
        <w:trPr>
          <w:trHeight w:val="430"/>
          <w:jc w:val="center"/>
        </w:trPr>
        <w:tc>
          <w:tcPr>
            <w:cnfStyle w:val="001000000000"/>
            <w:tcW w:w="3915"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Audiovisual Equipment</w:t>
            </w:r>
          </w:p>
        </w:tc>
        <w:tc>
          <w:tcPr>
            <w:tcW w:w="2295" w:type="dxa"/>
            <w:hideMark/>
          </w:tcPr>
          <w:p w:rsidR="00DB6DA2" w:rsidRPr="00C807F0" w:rsidRDefault="00DB6DA2">
            <w:pPr>
              <w:spacing w:line="240" w:lineRule="auto"/>
              <w:jc w:val="left"/>
              <w:cnfStyle w:val="000000000000"/>
              <w:rPr>
                <w:rFonts w:ascii="Arial" w:hAnsi="Arial" w:cs="Arial"/>
                <w:color w:val="0D0D0D"/>
                <w:szCs w:val="24"/>
              </w:rPr>
            </w:pPr>
            <w:r w:rsidRPr="00C807F0">
              <w:rPr>
                <w:rFonts w:ascii="Arial" w:hAnsi="Arial" w:cs="Arial"/>
                <w:color w:val="0D0D0D"/>
                <w:szCs w:val="24"/>
              </w:rPr>
              <w:t>£5,000</w:t>
            </w:r>
          </w:p>
        </w:tc>
        <w:tc>
          <w:tcPr>
            <w:tcW w:w="2295" w:type="dxa"/>
          </w:tcPr>
          <w:p w:rsidR="00DB6DA2" w:rsidRPr="00C807F0" w:rsidRDefault="00DB6DA2">
            <w:pPr>
              <w:spacing w:line="240" w:lineRule="auto"/>
              <w:jc w:val="left"/>
              <w:cnfStyle w:val="000000000000"/>
              <w:rPr>
                <w:rFonts w:ascii="Arial" w:hAnsi="Arial" w:cs="Arial"/>
                <w:color w:val="0D0D0D"/>
                <w:szCs w:val="24"/>
              </w:rPr>
            </w:pPr>
            <w:r w:rsidRPr="00C807F0">
              <w:rPr>
                <w:rFonts w:ascii="Arial" w:hAnsi="Arial" w:cs="Arial"/>
                <w:szCs w:val="24"/>
              </w:rPr>
              <w:t>9.1%</w:t>
            </w:r>
          </w:p>
        </w:tc>
      </w:tr>
      <w:tr w:rsidR="00DB6DA2" w:rsidRPr="00C807F0" w:rsidTr="006A6DE0">
        <w:trPr>
          <w:cnfStyle w:val="000000100000"/>
          <w:trHeight w:val="430"/>
          <w:jc w:val="center"/>
        </w:trPr>
        <w:tc>
          <w:tcPr>
            <w:cnfStyle w:val="001000000000"/>
            <w:tcW w:w="3915"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Catering Services</w:t>
            </w:r>
          </w:p>
        </w:tc>
        <w:tc>
          <w:tcPr>
            <w:tcW w:w="2295" w:type="dxa"/>
            <w:hideMark/>
          </w:tcPr>
          <w:p w:rsidR="00DB6DA2" w:rsidRPr="00C807F0" w:rsidRDefault="00DB6DA2">
            <w:pPr>
              <w:spacing w:line="240" w:lineRule="auto"/>
              <w:jc w:val="left"/>
              <w:cnfStyle w:val="000000100000"/>
              <w:rPr>
                <w:rFonts w:ascii="Arial" w:hAnsi="Arial" w:cs="Arial"/>
                <w:color w:val="0D0D0D"/>
                <w:szCs w:val="24"/>
              </w:rPr>
            </w:pPr>
            <w:r w:rsidRPr="00C807F0">
              <w:rPr>
                <w:rFonts w:ascii="Arial" w:hAnsi="Arial" w:cs="Arial"/>
                <w:color w:val="0D0D0D"/>
                <w:szCs w:val="24"/>
              </w:rPr>
              <w:t>£15,000</w:t>
            </w:r>
          </w:p>
        </w:tc>
        <w:tc>
          <w:tcPr>
            <w:tcW w:w="2295" w:type="dxa"/>
          </w:tcPr>
          <w:p w:rsidR="00DB6DA2" w:rsidRPr="00C807F0" w:rsidRDefault="00DB6DA2">
            <w:pPr>
              <w:spacing w:line="240" w:lineRule="auto"/>
              <w:jc w:val="left"/>
              <w:cnfStyle w:val="000000100000"/>
              <w:rPr>
                <w:rFonts w:ascii="Arial" w:hAnsi="Arial" w:cs="Arial"/>
                <w:color w:val="0D0D0D"/>
                <w:szCs w:val="24"/>
              </w:rPr>
            </w:pPr>
            <w:r w:rsidRPr="00C807F0">
              <w:rPr>
                <w:rFonts w:ascii="Arial" w:hAnsi="Arial" w:cs="Arial"/>
                <w:szCs w:val="24"/>
              </w:rPr>
              <w:t>27.3%</w:t>
            </w:r>
          </w:p>
        </w:tc>
      </w:tr>
      <w:tr w:rsidR="00DB6DA2" w:rsidRPr="00C807F0" w:rsidTr="006A6DE0">
        <w:trPr>
          <w:trHeight w:val="367"/>
          <w:jc w:val="center"/>
        </w:trPr>
        <w:tc>
          <w:tcPr>
            <w:cnfStyle w:val="001000000000"/>
            <w:tcW w:w="3915"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Marketing Materials</w:t>
            </w:r>
          </w:p>
        </w:tc>
        <w:tc>
          <w:tcPr>
            <w:tcW w:w="2295" w:type="dxa"/>
            <w:hideMark/>
          </w:tcPr>
          <w:p w:rsidR="00DB6DA2" w:rsidRPr="00C807F0" w:rsidRDefault="00DB6DA2">
            <w:pPr>
              <w:spacing w:line="240" w:lineRule="auto"/>
              <w:jc w:val="left"/>
              <w:cnfStyle w:val="000000000000"/>
              <w:rPr>
                <w:rFonts w:ascii="Arial" w:hAnsi="Arial" w:cs="Arial"/>
                <w:color w:val="0D0D0D"/>
                <w:szCs w:val="24"/>
              </w:rPr>
            </w:pPr>
            <w:r w:rsidRPr="00C807F0">
              <w:rPr>
                <w:rFonts w:ascii="Arial" w:hAnsi="Arial" w:cs="Arial"/>
                <w:color w:val="0D0D0D"/>
                <w:szCs w:val="24"/>
              </w:rPr>
              <w:t>£3,000</w:t>
            </w:r>
          </w:p>
        </w:tc>
        <w:tc>
          <w:tcPr>
            <w:tcW w:w="2295" w:type="dxa"/>
          </w:tcPr>
          <w:p w:rsidR="00DB6DA2" w:rsidRPr="00C807F0" w:rsidRDefault="00DB6DA2">
            <w:pPr>
              <w:spacing w:line="240" w:lineRule="auto"/>
              <w:jc w:val="left"/>
              <w:cnfStyle w:val="000000000000"/>
              <w:rPr>
                <w:rFonts w:ascii="Arial" w:hAnsi="Arial" w:cs="Arial"/>
                <w:color w:val="0D0D0D"/>
                <w:szCs w:val="24"/>
              </w:rPr>
            </w:pPr>
            <w:r w:rsidRPr="00C807F0">
              <w:rPr>
                <w:rFonts w:ascii="Arial" w:hAnsi="Arial" w:cs="Arial"/>
                <w:szCs w:val="24"/>
              </w:rPr>
              <w:t>5.5%</w:t>
            </w:r>
          </w:p>
        </w:tc>
      </w:tr>
      <w:tr w:rsidR="00DB6DA2" w:rsidRPr="00C807F0" w:rsidTr="006A6DE0">
        <w:trPr>
          <w:cnfStyle w:val="000000100000"/>
          <w:trHeight w:val="403"/>
          <w:jc w:val="center"/>
        </w:trPr>
        <w:tc>
          <w:tcPr>
            <w:cnfStyle w:val="001000000000"/>
            <w:tcW w:w="3915"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Speaker Fees</w:t>
            </w:r>
          </w:p>
        </w:tc>
        <w:tc>
          <w:tcPr>
            <w:tcW w:w="2295" w:type="dxa"/>
            <w:hideMark/>
          </w:tcPr>
          <w:p w:rsidR="00DB6DA2" w:rsidRPr="00C807F0" w:rsidRDefault="00DB6DA2">
            <w:pPr>
              <w:spacing w:line="240" w:lineRule="auto"/>
              <w:jc w:val="left"/>
              <w:cnfStyle w:val="000000100000"/>
              <w:rPr>
                <w:rFonts w:ascii="Arial" w:hAnsi="Arial" w:cs="Arial"/>
                <w:color w:val="0D0D0D"/>
                <w:szCs w:val="24"/>
              </w:rPr>
            </w:pPr>
            <w:r w:rsidRPr="00C807F0">
              <w:rPr>
                <w:rFonts w:ascii="Arial" w:hAnsi="Arial" w:cs="Arial"/>
                <w:color w:val="0D0D0D"/>
                <w:szCs w:val="24"/>
              </w:rPr>
              <w:t>£8,000</w:t>
            </w:r>
          </w:p>
        </w:tc>
        <w:tc>
          <w:tcPr>
            <w:tcW w:w="2295" w:type="dxa"/>
          </w:tcPr>
          <w:p w:rsidR="00DB6DA2" w:rsidRPr="00C807F0" w:rsidRDefault="00DB6DA2">
            <w:pPr>
              <w:spacing w:line="240" w:lineRule="auto"/>
              <w:jc w:val="left"/>
              <w:cnfStyle w:val="000000100000"/>
              <w:rPr>
                <w:rFonts w:ascii="Arial" w:hAnsi="Arial" w:cs="Arial"/>
                <w:color w:val="0D0D0D"/>
                <w:szCs w:val="24"/>
              </w:rPr>
            </w:pPr>
            <w:r w:rsidRPr="00C807F0">
              <w:rPr>
                <w:rFonts w:ascii="Arial" w:hAnsi="Arial" w:cs="Arial"/>
                <w:szCs w:val="24"/>
              </w:rPr>
              <w:t>14.5%</w:t>
            </w:r>
          </w:p>
        </w:tc>
      </w:tr>
      <w:tr w:rsidR="00DB6DA2" w:rsidRPr="00C807F0" w:rsidTr="006A6DE0">
        <w:trPr>
          <w:trHeight w:val="340"/>
          <w:jc w:val="center"/>
        </w:trPr>
        <w:tc>
          <w:tcPr>
            <w:cnfStyle w:val="001000000000"/>
            <w:tcW w:w="3915"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Staff Salaries</w:t>
            </w:r>
          </w:p>
        </w:tc>
        <w:tc>
          <w:tcPr>
            <w:tcW w:w="2295" w:type="dxa"/>
            <w:hideMark/>
          </w:tcPr>
          <w:p w:rsidR="00DB6DA2" w:rsidRPr="00C807F0" w:rsidRDefault="00DB6DA2">
            <w:pPr>
              <w:spacing w:line="240" w:lineRule="auto"/>
              <w:jc w:val="left"/>
              <w:cnfStyle w:val="000000000000"/>
              <w:rPr>
                <w:rFonts w:ascii="Arial" w:hAnsi="Arial" w:cs="Arial"/>
                <w:color w:val="0D0D0D"/>
                <w:szCs w:val="24"/>
              </w:rPr>
            </w:pPr>
            <w:r w:rsidRPr="00C807F0">
              <w:rPr>
                <w:rFonts w:ascii="Arial" w:hAnsi="Arial" w:cs="Arial"/>
                <w:color w:val="0D0D0D"/>
                <w:szCs w:val="24"/>
              </w:rPr>
              <w:t>£12,000</w:t>
            </w:r>
          </w:p>
        </w:tc>
        <w:tc>
          <w:tcPr>
            <w:tcW w:w="2295" w:type="dxa"/>
          </w:tcPr>
          <w:p w:rsidR="00DB6DA2" w:rsidRPr="00C807F0" w:rsidRDefault="00DB6DA2">
            <w:pPr>
              <w:spacing w:line="240" w:lineRule="auto"/>
              <w:jc w:val="left"/>
              <w:cnfStyle w:val="000000000000"/>
              <w:rPr>
                <w:rFonts w:ascii="Arial" w:hAnsi="Arial" w:cs="Arial"/>
                <w:color w:val="0D0D0D"/>
                <w:szCs w:val="24"/>
              </w:rPr>
            </w:pPr>
            <w:r w:rsidRPr="00C807F0">
              <w:rPr>
                <w:rFonts w:ascii="Arial" w:hAnsi="Arial" w:cs="Arial"/>
                <w:szCs w:val="24"/>
              </w:rPr>
              <w:t>21.8%</w:t>
            </w:r>
          </w:p>
        </w:tc>
      </w:tr>
      <w:tr w:rsidR="00DB6DA2" w:rsidRPr="00C807F0" w:rsidTr="006A6DE0">
        <w:trPr>
          <w:cnfStyle w:val="000000100000"/>
          <w:trHeight w:val="367"/>
          <w:jc w:val="center"/>
        </w:trPr>
        <w:tc>
          <w:tcPr>
            <w:cnfStyle w:val="001000000000"/>
            <w:tcW w:w="3915"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Miscellaneous Expenses</w:t>
            </w:r>
          </w:p>
        </w:tc>
        <w:tc>
          <w:tcPr>
            <w:tcW w:w="2295" w:type="dxa"/>
            <w:hideMark/>
          </w:tcPr>
          <w:p w:rsidR="00DB6DA2" w:rsidRPr="00C807F0" w:rsidRDefault="00DB6DA2">
            <w:pPr>
              <w:spacing w:line="240" w:lineRule="auto"/>
              <w:jc w:val="left"/>
              <w:cnfStyle w:val="000000100000"/>
              <w:rPr>
                <w:rFonts w:ascii="Arial" w:hAnsi="Arial" w:cs="Arial"/>
                <w:color w:val="0D0D0D"/>
                <w:szCs w:val="24"/>
              </w:rPr>
            </w:pPr>
            <w:r w:rsidRPr="00C807F0">
              <w:rPr>
                <w:rFonts w:ascii="Arial" w:hAnsi="Arial" w:cs="Arial"/>
                <w:color w:val="0D0D0D"/>
                <w:szCs w:val="24"/>
              </w:rPr>
              <w:t>£2,000</w:t>
            </w:r>
          </w:p>
        </w:tc>
        <w:tc>
          <w:tcPr>
            <w:tcW w:w="2295" w:type="dxa"/>
          </w:tcPr>
          <w:p w:rsidR="00DB6DA2" w:rsidRPr="00C807F0" w:rsidRDefault="00DB6DA2">
            <w:pPr>
              <w:spacing w:line="240" w:lineRule="auto"/>
              <w:jc w:val="left"/>
              <w:cnfStyle w:val="000000100000"/>
              <w:rPr>
                <w:rFonts w:ascii="Arial" w:hAnsi="Arial" w:cs="Arial"/>
                <w:color w:val="0D0D0D"/>
                <w:szCs w:val="24"/>
              </w:rPr>
            </w:pPr>
            <w:r w:rsidRPr="00C807F0">
              <w:rPr>
                <w:rFonts w:ascii="Arial" w:hAnsi="Arial" w:cs="Arial"/>
                <w:szCs w:val="24"/>
              </w:rPr>
              <w:t>3.6%</w:t>
            </w:r>
          </w:p>
        </w:tc>
      </w:tr>
      <w:tr w:rsidR="00DB6DA2" w:rsidRPr="00C807F0" w:rsidTr="006A6DE0">
        <w:trPr>
          <w:trHeight w:val="550"/>
          <w:jc w:val="center"/>
        </w:trPr>
        <w:tc>
          <w:tcPr>
            <w:cnfStyle w:val="001000000000"/>
            <w:tcW w:w="3915" w:type="dxa"/>
            <w:shd w:val="clear" w:color="auto" w:fill="DBE5F1" w:themeFill="accent1" w:themeFillTint="33"/>
            <w:hideMark/>
          </w:tcPr>
          <w:p w:rsidR="00DB6DA2" w:rsidRPr="00C807F0" w:rsidRDefault="00DB6DA2">
            <w:pPr>
              <w:spacing w:line="240" w:lineRule="auto"/>
              <w:jc w:val="left"/>
              <w:rPr>
                <w:rFonts w:ascii="Arial" w:hAnsi="Arial" w:cs="Arial"/>
                <w:b w:val="0"/>
                <w:bCs w:val="0"/>
                <w:color w:val="0D0D0D"/>
                <w:szCs w:val="24"/>
              </w:rPr>
            </w:pPr>
            <w:r w:rsidRPr="00C807F0">
              <w:rPr>
                <w:rFonts w:ascii="Arial" w:hAnsi="Arial" w:cs="Arial"/>
                <w:color w:val="0D0D0D"/>
                <w:szCs w:val="24"/>
              </w:rPr>
              <w:t>Total Estimated Costs</w:t>
            </w:r>
          </w:p>
        </w:tc>
        <w:tc>
          <w:tcPr>
            <w:tcW w:w="2295" w:type="dxa"/>
            <w:hideMark/>
          </w:tcPr>
          <w:p w:rsidR="00DB6DA2" w:rsidRPr="00C807F0" w:rsidRDefault="00DB6DA2">
            <w:pPr>
              <w:spacing w:line="240" w:lineRule="auto"/>
              <w:jc w:val="left"/>
              <w:cnfStyle w:val="000000000000"/>
              <w:rPr>
                <w:rFonts w:ascii="Arial" w:hAnsi="Arial" w:cs="Arial"/>
                <w:b/>
                <w:bCs/>
                <w:color w:val="0D0D0D"/>
                <w:szCs w:val="24"/>
              </w:rPr>
            </w:pPr>
            <w:r w:rsidRPr="00C807F0">
              <w:rPr>
                <w:rFonts w:ascii="Arial" w:hAnsi="Arial" w:cs="Arial"/>
                <w:b/>
                <w:bCs/>
                <w:color w:val="0D0D0D"/>
                <w:szCs w:val="24"/>
              </w:rPr>
              <w:t>£55,000</w:t>
            </w:r>
          </w:p>
        </w:tc>
        <w:tc>
          <w:tcPr>
            <w:tcW w:w="2295" w:type="dxa"/>
          </w:tcPr>
          <w:p w:rsidR="00DB6DA2" w:rsidRPr="00C807F0" w:rsidRDefault="00DB6DA2">
            <w:pPr>
              <w:spacing w:line="240" w:lineRule="auto"/>
              <w:jc w:val="left"/>
              <w:cnfStyle w:val="000000000000"/>
              <w:rPr>
                <w:rFonts w:ascii="Arial" w:hAnsi="Arial" w:cs="Arial"/>
                <w:b/>
                <w:bCs/>
                <w:color w:val="0D0D0D"/>
                <w:szCs w:val="24"/>
              </w:rPr>
            </w:pPr>
            <w:r w:rsidRPr="00C807F0">
              <w:rPr>
                <w:rFonts w:ascii="Arial" w:hAnsi="Arial" w:cs="Arial"/>
                <w:b/>
                <w:bCs/>
                <w:szCs w:val="24"/>
              </w:rPr>
              <w:t>100%</w:t>
            </w:r>
          </w:p>
        </w:tc>
      </w:tr>
    </w:tbl>
    <w:p w:rsidR="00542099" w:rsidRPr="00C807F0" w:rsidRDefault="00542099" w:rsidP="00C909B0">
      <w:pPr>
        <w:rPr>
          <w:rFonts w:ascii="Arial" w:hAnsi="Arial" w:cs="Arial"/>
          <w:szCs w:val="24"/>
        </w:rPr>
      </w:pPr>
      <w:r w:rsidRPr="00C807F0">
        <w:rPr>
          <w:rFonts w:ascii="Arial" w:hAnsi="Arial" w:cs="Arial"/>
          <w:szCs w:val="24"/>
        </w:rPr>
        <w:t xml:space="preserve">Using industry standards and vendors’ quotations, the total cost of the event had been estimated at £55,000. From the </w:t>
      </w:r>
      <w:r w:rsidR="00C909B0" w:rsidRPr="00C807F0">
        <w:rPr>
          <w:rFonts w:ascii="Arial" w:hAnsi="Arial" w:cs="Arial"/>
          <w:szCs w:val="24"/>
        </w:rPr>
        <w:t xml:space="preserve">above </w:t>
      </w:r>
      <w:r w:rsidRPr="00C807F0">
        <w:rPr>
          <w:rFonts w:ascii="Arial" w:hAnsi="Arial" w:cs="Arial"/>
          <w:szCs w:val="24"/>
        </w:rPr>
        <w:t xml:space="preserve">chart, we can see that catering service places the highest expense </w:t>
      </w:r>
      <w:r w:rsidRPr="00C807F0">
        <w:rPr>
          <w:rFonts w:ascii="Arial" w:hAnsi="Arial" w:cs="Arial"/>
          <w:color w:val="0D0D0D"/>
          <w:szCs w:val="24"/>
        </w:rPr>
        <w:t>£15,000 with 27.3%, followed by the staff salary £12,000 and venue rent £10,000 respectively.</w:t>
      </w:r>
      <w:r w:rsidR="00C909B0" w:rsidRPr="00C807F0">
        <w:rPr>
          <w:rFonts w:ascii="Arial" w:hAnsi="Arial" w:cs="Arial"/>
          <w:szCs w:val="24"/>
        </w:rPr>
        <w:t xml:space="preserve">Besides, the event includes other costs like speaker payments at14.5%, audiovisual equipment at 9.1%, marketing at 5.5%, </w:t>
      </w:r>
      <w:r w:rsidR="00C909B0" w:rsidRPr="00C807F0">
        <w:rPr>
          <w:rFonts w:ascii="Arial" w:hAnsi="Arial" w:cs="Arial"/>
          <w:color w:val="0D0D0D"/>
          <w:szCs w:val="24"/>
        </w:rPr>
        <w:t>Miscellaneous</w:t>
      </w:r>
      <w:r w:rsidR="00C909B0" w:rsidRPr="00C807F0">
        <w:rPr>
          <w:rFonts w:ascii="Arial" w:hAnsi="Arial" w:cs="Arial"/>
          <w:szCs w:val="24"/>
        </w:rPr>
        <w:t xml:space="preserve"> cost at 3.6% of total estimated cost.</w:t>
      </w:r>
    </w:p>
    <w:p w:rsidR="00AF7028" w:rsidRPr="00C807F0" w:rsidRDefault="00AF7028" w:rsidP="00C909B0">
      <w:pPr>
        <w:pStyle w:val="Heading2"/>
        <w:rPr>
          <w:rFonts w:ascii="Arial" w:hAnsi="Arial" w:cs="Arial"/>
          <w:sz w:val="24"/>
          <w:szCs w:val="24"/>
        </w:rPr>
      </w:pPr>
      <w:bookmarkStart w:id="22" w:name="_Toc167539997"/>
      <w:r w:rsidRPr="00C807F0">
        <w:rPr>
          <w:rFonts w:ascii="Arial" w:hAnsi="Arial" w:cs="Arial"/>
          <w:sz w:val="24"/>
          <w:szCs w:val="24"/>
        </w:rPr>
        <w:t>Predicted Revenue</w:t>
      </w:r>
      <w:bookmarkEnd w:id="22"/>
    </w:p>
    <w:tbl>
      <w:tblPr>
        <w:tblStyle w:val="GridTable5DarkAccent1"/>
        <w:tblW w:w="9000" w:type="dxa"/>
        <w:jc w:val="center"/>
        <w:tblLayout w:type="fixed"/>
        <w:tblLook w:val="04A0"/>
      </w:tblPr>
      <w:tblGrid>
        <w:gridCol w:w="4338"/>
        <w:gridCol w:w="1962"/>
        <w:gridCol w:w="2700"/>
      </w:tblGrid>
      <w:tr w:rsidR="00DB6DA2" w:rsidRPr="00C807F0" w:rsidTr="00040521">
        <w:trPr>
          <w:cnfStyle w:val="100000000000"/>
          <w:trHeight w:val="413"/>
          <w:jc w:val="center"/>
        </w:trPr>
        <w:tc>
          <w:tcPr>
            <w:cnfStyle w:val="001000000000"/>
            <w:tcW w:w="4338" w:type="dxa"/>
            <w:vAlign w:val="center"/>
            <w:hideMark/>
          </w:tcPr>
          <w:p w:rsidR="00DB6DA2" w:rsidRPr="00C807F0" w:rsidRDefault="00DB6DA2" w:rsidP="00524959">
            <w:pPr>
              <w:spacing w:line="240" w:lineRule="auto"/>
              <w:jc w:val="center"/>
              <w:rPr>
                <w:rFonts w:ascii="Arial" w:hAnsi="Arial" w:cs="Arial"/>
                <w:b w:val="0"/>
                <w:bCs w:val="0"/>
                <w:szCs w:val="24"/>
              </w:rPr>
            </w:pPr>
            <w:r w:rsidRPr="00C807F0">
              <w:rPr>
                <w:rFonts w:ascii="Arial" w:hAnsi="Arial" w:cs="Arial"/>
                <w:szCs w:val="24"/>
              </w:rPr>
              <w:t>Revenue Source</w:t>
            </w:r>
          </w:p>
        </w:tc>
        <w:tc>
          <w:tcPr>
            <w:tcW w:w="1962" w:type="dxa"/>
            <w:vAlign w:val="center"/>
            <w:hideMark/>
          </w:tcPr>
          <w:p w:rsidR="00DB6DA2" w:rsidRPr="00C807F0" w:rsidRDefault="00DB6DA2" w:rsidP="00524959">
            <w:pPr>
              <w:spacing w:line="240" w:lineRule="auto"/>
              <w:jc w:val="center"/>
              <w:cnfStyle w:val="100000000000"/>
              <w:rPr>
                <w:rFonts w:ascii="Arial" w:hAnsi="Arial" w:cs="Arial"/>
                <w:b w:val="0"/>
                <w:bCs w:val="0"/>
                <w:szCs w:val="24"/>
              </w:rPr>
            </w:pPr>
            <w:r w:rsidRPr="00C807F0">
              <w:rPr>
                <w:rFonts w:ascii="Arial" w:hAnsi="Arial" w:cs="Arial"/>
                <w:szCs w:val="24"/>
              </w:rPr>
              <w:t>Estimated Amount (£)</w:t>
            </w:r>
          </w:p>
        </w:tc>
        <w:tc>
          <w:tcPr>
            <w:tcW w:w="2700" w:type="dxa"/>
            <w:vAlign w:val="center"/>
          </w:tcPr>
          <w:p w:rsidR="00DB6DA2" w:rsidRPr="00C807F0" w:rsidRDefault="00DB6DA2" w:rsidP="00524959">
            <w:pPr>
              <w:spacing w:line="240" w:lineRule="auto"/>
              <w:jc w:val="center"/>
              <w:cnfStyle w:val="100000000000"/>
              <w:rPr>
                <w:rFonts w:ascii="Arial" w:hAnsi="Arial" w:cs="Arial"/>
                <w:b w:val="0"/>
                <w:bCs w:val="0"/>
                <w:szCs w:val="24"/>
              </w:rPr>
            </w:pPr>
            <w:r w:rsidRPr="00C807F0">
              <w:rPr>
                <w:rFonts w:ascii="Arial" w:hAnsi="Arial" w:cs="Arial"/>
                <w:szCs w:val="24"/>
              </w:rPr>
              <w:t>Percentage</w:t>
            </w:r>
          </w:p>
        </w:tc>
      </w:tr>
      <w:tr w:rsidR="00DB6DA2" w:rsidRPr="00C807F0" w:rsidTr="00040521">
        <w:trPr>
          <w:cnfStyle w:val="000000100000"/>
          <w:trHeight w:val="808"/>
          <w:jc w:val="center"/>
        </w:trPr>
        <w:tc>
          <w:tcPr>
            <w:cnfStyle w:val="001000000000"/>
            <w:tcW w:w="4338"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Ticket Sales (1000 tickets@ £50)</w:t>
            </w:r>
          </w:p>
        </w:tc>
        <w:tc>
          <w:tcPr>
            <w:tcW w:w="1962" w:type="dxa"/>
            <w:hideMark/>
          </w:tcPr>
          <w:p w:rsidR="00DB6DA2" w:rsidRPr="00C807F0" w:rsidRDefault="00335D1D" w:rsidP="00335D1D">
            <w:pPr>
              <w:spacing w:line="240" w:lineRule="auto"/>
              <w:cnfStyle w:val="000000100000"/>
              <w:rPr>
                <w:rFonts w:ascii="Arial" w:hAnsi="Arial" w:cs="Arial"/>
                <w:color w:val="0D0D0D"/>
                <w:szCs w:val="24"/>
              </w:rPr>
            </w:pPr>
            <w:r w:rsidRPr="00C807F0">
              <w:rPr>
                <w:rFonts w:ascii="Arial" w:hAnsi="Arial" w:cs="Arial"/>
                <w:color w:val="0D0D0D"/>
                <w:szCs w:val="24"/>
              </w:rPr>
              <w:t>5</w:t>
            </w:r>
            <w:r w:rsidR="00DB6DA2" w:rsidRPr="00C807F0">
              <w:rPr>
                <w:rFonts w:ascii="Arial" w:hAnsi="Arial" w:cs="Arial"/>
                <w:color w:val="0D0D0D"/>
                <w:szCs w:val="24"/>
              </w:rPr>
              <w:t>0,000</w:t>
            </w:r>
          </w:p>
        </w:tc>
        <w:tc>
          <w:tcPr>
            <w:tcW w:w="2700" w:type="dxa"/>
          </w:tcPr>
          <w:p w:rsidR="00DB6DA2" w:rsidRPr="00C807F0" w:rsidRDefault="00335D1D" w:rsidP="00335D1D">
            <w:pPr>
              <w:spacing w:line="240" w:lineRule="auto"/>
              <w:cnfStyle w:val="000000100000"/>
              <w:rPr>
                <w:rFonts w:ascii="Arial" w:hAnsi="Arial" w:cs="Arial"/>
                <w:color w:val="0D0D0D"/>
                <w:szCs w:val="24"/>
              </w:rPr>
            </w:pPr>
            <w:r w:rsidRPr="00C807F0">
              <w:rPr>
                <w:rFonts w:ascii="Arial" w:hAnsi="Arial" w:cs="Arial"/>
                <w:szCs w:val="24"/>
              </w:rPr>
              <w:t>71.4%</w:t>
            </w:r>
          </w:p>
        </w:tc>
      </w:tr>
      <w:tr w:rsidR="00335D1D" w:rsidRPr="00C807F0" w:rsidTr="00040521">
        <w:trPr>
          <w:trHeight w:val="808"/>
          <w:jc w:val="center"/>
        </w:trPr>
        <w:tc>
          <w:tcPr>
            <w:cnfStyle w:val="001000000000"/>
            <w:tcW w:w="4338" w:type="dxa"/>
            <w:shd w:val="clear" w:color="auto" w:fill="DBE5F1" w:themeFill="accent1" w:themeFillTint="33"/>
          </w:tcPr>
          <w:p w:rsidR="00335D1D" w:rsidRPr="00C807F0" w:rsidRDefault="00335D1D">
            <w:pPr>
              <w:spacing w:line="240" w:lineRule="auto"/>
              <w:jc w:val="left"/>
              <w:rPr>
                <w:rFonts w:ascii="Arial" w:hAnsi="Arial" w:cs="Arial"/>
                <w:color w:val="0D0D0D"/>
                <w:szCs w:val="24"/>
              </w:rPr>
            </w:pPr>
            <w:r w:rsidRPr="00C807F0">
              <w:rPr>
                <w:rFonts w:ascii="Arial" w:hAnsi="Arial" w:cs="Arial"/>
                <w:color w:val="0D0D0D"/>
                <w:szCs w:val="24"/>
              </w:rPr>
              <w:t>Sponsorship Opportunities</w:t>
            </w:r>
          </w:p>
        </w:tc>
        <w:tc>
          <w:tcPr>
            <w:tcW w:w="1962" w:type="dxa"/>
          </w:tcPr>
          <w:p w:rsidR="00335D1D" w:rsidRPr="00C807F0" w:rsidRDefault="00335D1D" w:rsidP="00335D1D">
            <w:pPr>
              <w:spacing w:line="240" w:lineRule="auto"/>
              <w:cnfStyle w:val="000000000000"/>
              <w:rPr>
                <w:rFonts w:ascii="Arial" w:hAnsi="Arial" w:cs="Arial"/>
                <w:color w:val="0D0D0D"/>
                <w:szCs w:val="24"/>
              </w:rPr>
            </w:pPr>
            <w:r w:rsidRPr="00C807F0">
              <w:rPr>
                <w:rFonts w:ascii="Arial" w:hAnsi="Arial" w:cs="Arial"/>
                <w:color w:val="0D0D0D"/>
                <w:szCs w:val="24"/>
              </w:rPr>
              <w:t>15,000</w:t>
            </w:r>
          </w:p>
        </w:tc>
        <w:tc>
          <w:tcPr>
            <w:tcW w:w="2700" w:type="dxa"/>
          </w:tcPr>
          <w:p w:rsidR="00335D1D" w:rsidRPr="00C807F0" w:rsidRDefault="00335D1D" w:rsidP="00335D1D">
            <w:pPr>
              <w:spacing w:line="240" w:lineRule="auto"/>
              <w:cnfStyle w:val="000000000000"/>
              <w:rPr>
                <w:rFonts w:ascii="Arial" w:hAnsi="Arial" w:cs="Arial"/>
                <w:szCs w:val="24"/>
              </w:rPr>
            </w:pPr>
            <w:r w:rsidRPr="00C807F0">
              <w:rPr>
                <w:rFonts w:ascii="Arial" w:hAnsi="Arial" w:cs="Arial"/>
                <w:szCs w:val="24"/>
              </w:rPr>
              <w:t>21.4%</w:t>
            </w:r>
          </w:p>
          <w:p w:rsidR="00335D1D" w:rsidRPr="00C807F0" w:rsidRDefault="00335D1D" w:rsidP="00335D1D">
            <w:pPr>
              <w:spacing w:line="240" w:lineRule="auto"/>
              <w:jc w:val="center"/>
              <w:cnfStyle w:val="000000000000"/>
              <w:rPr>
                <w:rFonts w:ascii="Arial" w:hAnsi="Arial" w:cs="Arial"/>
                <w:szCs w:val="24"/>
              </w:rPr>
            </w:pPr>
          </w:p>
        </w:tc>
      </w:tr>
      <w:tr w:rsidR="00DB6DA2" w:rsidRPr="00C807F0" w:rsidTr="00040521">
        <w:trPr>
          <w:cnfStyle w:val="000000100000"/>
          <w:trHeight w:val="745"/>
          <w:jc w:val="center"/>
        </w:trPr>
        <w:tc>
          <w:tcPr>
            <w:cnfStyle w:val="001000000000"/>
            <w:tcW w:w="4338" w:type="dxa"/>
            <w:shd w:val="clear" w:color="auto" w:fill="DBE5F1" w:themeFill="accent1" w:themeFillTint="33"/>
            <w:hideMark/>
          </w:tcPr>
          <w:p w:rsidR="00DB6DA2" w:rsidRPr="00C807F0" w:rsidRDefault="00DB6DA2">
            <w:pPr>
              <w:spacing w:line="240" w:lineRule="auto"/>
              <w:jc w:val="left"/>
              <w:rPr>
                <w:rFonts w:ascii="Arial" w:hAnsi="Arial" w:cs="Arial"/>
                <w:color w:val="0D0D0D"/>
                <w:szCs w:val="24"/>
              </w:rPr>
            </w:pPr>
            <w:r w:rsidRPr="00C807F0">
              <w:rPr>
                <w:rFonts w:ascii="Arial" w:hAnsi="Arial" w:cs="Arial"/>
                <w:color w:val="0D0D0D"/>
                <w:szCs w:val="24"/>
              </w:rPr>
              <w:t>Exhibitor Fees</w:t>
            </w:r>
          </w:p>
        </w:tc>
        <w:tc>
          <w:tcPr>
            <w:tcW w:w="1962" w:type="dxa"/>
            <w:hideMark/>
          </w:tcPr>
          <w:p w:rsidR="00DB6DA2" w:rsidRPr="00C807F0" w:rsidRDefault="00DB6DA2" w:rsidP="00335D1D">
            <w:pPr>
              <w:spacing w:line="240" w:lineRule="auto"/>
              <w:cnfStyle w:val="000000100000"/>
              <w:rPr>
                <w:rFonts w:ascii="Arial" w:hAnsi="Arial" w:cs="Arial"/>
                <w:color w:val="0D0D0D"/>
                <w:szCs w:val="24"/>
              </w:rPr>
            </w:pPr>
            <w:r w:rsidRPr="00C807F0">
              <w:rPr>
                <w:rFonts w:ascii="Arial" w:hAnsi="Arial" w:cs="Arial"/>
                <w:color w:val="0D0D0D"/>
                <w:szCs w:val="24"/>
              </w:rPr>
              <w:t>5,000</w:t>
            </w:r>
          </w:p>
        </w:tc>
        <w:tc>
          <w:tcPr>
            <w:tcW w:w="2700" w:type="dxa"/>
          </w:tcPr>
          <w:p w:rsidR="00DB6DA2" w:rsidRPr="00C807F0" w:rsidRDefault="00335D1D" w:rsidP="00335D1D">
            <w:pPr>
              <w:spacing w:line="240" w:lineRule="auto"/>
              <w:cnfStyle w:val="000000100000"/>
              <w:rPr>
                <w:rFonts w:ascii="Arial" w:hAnsi="Arial" w:cs="Arial"/>
                <w:szCs w:val="24"/>
              </w:rPr>
            </w:pPr>
            <w:r w:rsidRPr="00C807F0">
              <w:rPr>
                <w:rFonts w:ascii="Arial" w:hAnsi="Arial" w:cs="Arial"/>
                <w:szCs w:val="24"/>
              </w:rPr>
              <w:t>7.2%</w:t>
            </w:r>
          </w:p>
        </w:tc>
      </w:tr>
      <w:tr w:rsidR="00DB6DA2" w:rsidRPr="00C807F0" w:rsidTr="00040521">
        <w:trPr>
          <w:trHeight w:val="700"/>
          <w:jc w:val="center"/>
        </w:trPr>
        <w:tc>
          <w:tcPr>
            <w:cnfStyle w:val="001000000000"/>
            <w:tcW w:w="4338" w:type="dxa"/>
            <w:shd w:val="clear" w:color="auto" w:fill="DBE5F1" w:themeFill="accent1" w:themeFillTint="33"/>
            <w:hideMark/>
          </w:tcPr>
          <w:p w:rsidR="00DB6DA2" w:rsidRPr="00C807F0" w:rsidRDefault="00DB6DA2">
            <w:pPr>
              <w:spacing w:line="240" w:lineRule="auto"/>
              <w:jc w:val="left"/>
              <w:rPr>
                <w:rFonts w:ascii="Arial" w:hAnsi="Arial" w:cs="Arial"/>
                <w:b w:val="0"/>
                <w:color w:val="0D0D0D"/>
                <w:szCs w:val="24"/>
              </w:rPr>
            </w:pPr>
            <w:r w:rsidRPr="00C807F0">
              <w:rPr>
                <w:rFonts w:ascii="Arial" w:hAnsi="Arial" w:cs="Arial"/>
                <w:color w:val="0D0D0D"/>
                <w:szCs w:val="24"/>
              </w:rPr>
              <w:t>Total Predicted Revenues</w:t>
            </w:r>
          </w:p>
        </w:tc>
        <w:tc>
          <w:tcPr>
            <w:tcW w:w="1962" w:type="dxa"/>
            <w:hideMark/>
          </w:tcPr>
          <w:p w:rsidR="00DB6DA2" w:rsidRPr="00C807F0" w:rsidRDefault="00DB6DA2" w:rsidP="00335D1D">
            <w:pPr>
              <w:spacing w:line="240" w:lineRule="auto"/>
              <w:cnfStyle w:val="000000000000"/>
              <w:rPr>
                <w:rFonts w:ascii="Arial" w:hAnsi="Arial" w:cs="Arial"/>
                <w:b/>
                <w:color w:val="0D0D0D"/>
                <w:szCs w:val="24"/>
              </w:rPr>
            </w:pPr>
            <w:r w:rsidRPr="00C807F0">
              <w:rPr>
                <w:rFonts w:ascii="Arial" w:hAnsi="Arial" w:cs="Arial"/>
                <w:b/>
                <w:color w:val="0D0D0D"/>
                <w:szCs w:val="24"/>
              </w:rPr>
              <w:t>70,000</w:t>
            </w:r>
          </w:p>
        </w:tc>
        <w:tc>
          <w:tcPr>
            <w:tcW w:w="2700" w:type="dxa"/>
          </w:tcPr>
          <w:p w:rsidR="00DB6DA2" w:rsidRPr="00C807F0" w:rsidRDefault="00335D1D" w:rsidP="00335D1D">
            <w:pPr>
              <w:spacing w:line="240" w:lineRule="auto"/>
              <w:cnfStyle w:val="000000000000"/>
              <w:rPr>
                <w:rFonts w:ascii="Arial" w:hAnsi="Arial" w:cs="Arial"/>
                <w:b/>
                <w:color w:val="0D0D0D"/>
                <w:szCs w:val="24"/>
              </w:rPr>
            </w:pPr>
            <w:r w:rsidRPr="00C807F0">
              <w:rPr>
                <w:rFonts w:ascii="Arial" w:hAnsi="Arial" w:cs="Arial"/>
                <w:b/>
                <w:color w:val="0D0D0D"/>
                <w:szCs w:val="24"/>
              </w:rPr>
              <w:t>100%</w:t>
            </w:r>
          </w:p>
        </w:tc>
      </w:tr>
    </w:tbl>
    <w:p w:rsidR="00AF7028" w:rsidRPr="00C807F0" w:rsidRDefault="00AF7028" w:rsidP="009E7D04">
      <w:pPr>
        <w:rPr>
          <w:rFonts w:ascii="Arial" w:hAnsi="Arial" w:cs="Arial"/>
          <w:szCs w:val="24"/>
        </w:rPr>
      </w:pPr>
    </w:p>
    <w:p w:rsidR="00C909B0" w:rsidRPr="00C807F0" w:rsidRDefault="00C909B0" w:rsidP="00C909B0">
      <w:pPr>
        <w:rPr>
          <w:rFonts w:ascii="Arial" w:hAnsi="Arial" w:cs="Arial"/>
          <w:szCs w:val="24"/>
        </w:rPr>
      </w:pPr>
      <w:r w:rsidRPr="00C807F0">
        <w:rPr>
          <w:rFonts w:ascii="Arial" w:hAnsi="Arial" w:cs="Arial"/>
          <w:szCs w:val="24"/>
        </w:rPr>
        <w:lastRenderedPageBreak/>
        <w:t xml:space="preserve">Using market research and average revenue per user figures for similar companies, the expected revenue is £70,000. Here, the major sources of income for the “Future of Dining Symposium” are tickets sales </w:t>
      </w:r>
      <w:r w:rsidR="00B17F9E" w:rsidRPr="00C807F0">
        <w:rPr>
          <w:rFonts w:ascii="Arial" w:hAnsi="Arial" w:cs="Arial"/>
          <w:szCs w:val="24"/>
        </w:rPr>
        <w:t>with</w:t>
      </w:r>
      <w:r w:rsidRPr="00C807F0">
        <w:rPr>
          <w:rFonts w:ascii="Arial" w:hAnsi="Arial" w:cs="Arial"/>
          <w:szCs w:val="24"/>
        </w:rPr>
        <w:t xml:space="preserve"> 71.4% of the total predicted revenue. Sponsors and exhibitors will contribute to achieve 21.4% and 7.2% respectively of the predicted revenue. </w:t>
      </w:r>
    </w:p>
    <w:p w:rsidR="00D93410" w:rsidRPr="00C807F0" w:rsidRDefault="00AF7028" w:rsidP="00D93410">
      <w:pPr>
        <w:pStyle w:val="Heading2"/>
        <w:rPr>
          <w:rFonts w:ascii="Arial" w:hAnsi="Arial" w:cs="Arial"/>
          <w:sz w:val="24"/>
          <w:szCs w:val="24"/>
        </w:rPr>
      </w:pPr>
      <w:bookmarkStart w:id="23" w:name="_Toc167539998"/>
      <w:r w:rsidRPr="00C807F0">
        <w:rPr>
          <w:rFonts w:ascii="Arial" w:hAnsi="Arial" w:cs="Arial"/>
          <w:sz w:val="24"/>
          <w:szCs w:val="24"/>
        </w:rPr>
        <w:t>Profitability</w:t>
      </w:r>
      <w:bookmarkEnd w:id="23"/>
    </w:p>
    <w:p w:rsidR="00AF7028" w:rsidRPr="00C807F0" w:rsidRDefault="008333D8" w:rsidP="00755E4E">
      <w:pPr>
        <w:rPr>
          <w:rFonts w:ascii="Arial" w:hAnsi="Arial" w:cs="Arial"/>
          <w:szCs w:val="24"/>
        </w:rPr>
      </w:pPr>
      <w:r w:rsidRPr="00C807F0">
        <w:rPr>
          <w:rFonts w:ascii="Arial" w:hAnsi="Arial" w:cs="Arial"/>
          <w:szCs w:val="24"/>
        </w:rPr>
        <w:t>Through effective cost control and effective use of the revenue potential</w:t>
      </w:r>
      <w:r w:rsidR="00040521" w:rsidRPr="00C807F0">
        <w:rPr>
          <w:rFonts w:ascii="Arial" w:hAnsi="Arial" w:cs="Arial"/>
          <w:szCs w:val="24"/>
        </w:rPr>
        <w:t>,</w:t>
      </w:r>
      <w:r w:rsidRPr="00C807F0">
        <w:rPr>
          <w:rFonts w:ascii="Arial" w:hAnsi="Arial" w:cs="Arial"/>
          <w:szCs w:val="24"/>
        </w:rPr>
        <w:t xml:space="preserve"> “Future of Dining Symposium” will have the potential to make a net profit </w:t>
      </w:r>
      <w:r w:rsidR="00040521" w:rsidRPr="00C807F0">
        <w:rPr>
          <w:rFonts w:ascii="Arial" w:hAnsi="Arial" w:cs="Arial"/>
          <w:szCs w:val="24"/>
        </w:rPr>
        <w:t xml:space="preserve">of </w:t>
      </w:r>
      <w:r w:rsidRPr="00C807F0">
        <w:rPr>
          <w:rFonts w:ascii="Arial" w:hAnsi="Arial" w:cs="Arial"/>
          <w:szCs w:val="24"/>
        </w:rPr>
        <w:t>£15000</w:t>
      </w:r>
      <w:r w:rsidR="00040521" w:rsidRPr="00C807F0">
        <w:rPr>
          <w:rFonts w:ascii="Arial" w:hAnsi="Arial" w:cs="Arial"/>
          <w:szCs w:val="24"/>
        </w:rPr>
        <w:t>,</w:t>
      </w:r>
      <w:r w:rsidRPr="00C807F0">
        <w:rPr>
          <w:rFonts w:ascii="Arial" w:hAnsi="Arial" w:cs="Arial"/>
          <w:szCs w:val="24"/>
        </w:rPr>
        <w:t xml:space="preserve"> which is a healthy 21.4% profit margin.</w:t>
      </w:r>
    </w:p>
    <w:tbl>
      <w:tblPr>
        <w:tblStyle w:val="GridTable4Accent1"/>
        <w:tblW w:w="0" w:type="auto"/>
        <w:jc w:val="center"/>
        <w:tblLook w:val="04A0"/>
      </w:tblPr>
      <w:tblGrid>
        <w:gridCol w:w="4010"/>
        <w:gridCol w:w="4010"/>
      </w:tblGrid>
      <w:tr w:rsidR="00D93410" w:rsidRPr="00C807F0" w:rsidTr="00040521">
        <w:trPr>
          <w:cnfStyle w:val="100000000000"/>
          <w:trHeight w:val="513"/>
          <w:jc w:val="center"/>
        </w:trPr>
        <w:tc>
          <w:tcPr>
            <w:cnfStyle w:val="001000000000"/>
            <w:tcW w:w="4010" w:type="dxa"/>
            <w:hideMark/>
          </w:tcPr>
          <w:p w:rsidR="00D93410" w:rsidRPr="00C807F0" w:rsidRDefault="00D93410">
            <w:pPr>
              <w:rPr>
                <w:rFonts w:ascii="Arial" w:hAnsi="Arial" w:cs="Arial"/>
                <w:b w:val="0"/>
                <w:szCs w:val="24"/>
              </w:rPr>
            </w:pPr>
            <w:r w:rsidRPr="00C807F0">
              <w:rPr>
                <w:rFonts w:ascii="Arial" w:hAnsi="Arial" w:cs="Arial"/>
                <w:szCs w:val="24"/>
              </w:rPr>
              <w:t>Particular</w:t>
            </w:r>
          </w:p>
        </w:tc>
        <w:tc>
          <w:tcPr>
            <w:tcW w:w="4010" w:type="dxa"/>
            <w:hideMark/>
          </w:tcPr>
          <w:p w:rsidR="00D93410" w:rsidRPr="00C807F0" w:rsidRDefault="00D93410">
            <w:pPr>
              <w:cnfStyle w:val="100000000000"/>
              <w:rPr>
                <w:rFonts w:ascii="Arial" w:hAnsi="Arial" w:cs="Arial"/>
                <w:szCs w:val="24"/>
              </w:rPr>
            </w:pPr>
            <w:r w:rsidRPr="00C807F0">
              <w:rPr>
                <w:rFonts w:ascii="Arial" w:hAnsi="Arial" w:cs="Arial"/>
                <w:color w:val="0D0D0D"/>
                <w:szCs w:val="24"/>
              </w:rPr>
              <w:t>Amount (£)</w:t>
            </w:r>
          </w:p>
        </w:tc>
      </w:tr>
      <w:tr w:rsidR="00D93410" w:rsidRPr="00C807F0" w:rsidTr="00040521">
        <w:trPr>
          <w:cnfStyle w:val="000000100000"/>
          <w:trHeight w:val="518"/>
          <w:jc w:val="center"/>
        </w:trPr>
        <w:tc>
          <w:tcPr>
            <w:cnfStyle w:val="001000000000"/>
            <w:tcW w:w="4010" w:type="dxa"/>
            <w:hideMark/>
          </w:tcPr>
          <w:p w:rsidR="00D93410" w:rsidRPr="00C807F0" w:rsidRDefault="00D93410" w:rsidP="00DB6DA2">
            <w:pPr>
              <w:rPr>
                <w:rFonts w:ascii="Arial" w:hAnsi="Arial" w:cs="Arial"/>
                <w:szCs w:val="24"/>
              </w:rPr>
            </w:pPr>
            <w:r w:rsidRPr="00C807F0">
              <w:rPr>
                <w:rFonts w:ascii="Arial" w:hAnsi="Arial" w:cs="Arial"/>
                <w:szCs w:val="24"/>
              </w:rPr>
              <w:t>Predicted Revenue</w:t>
            </w:r>
          </w:p>
        </w:tc>
        <w:tc>
          <w:tcPr>
            <w:tcW w:w="4010" w:type="dxa"/>
            <w:hideMark/>
          </w:tcPr>
          <w:p w:rsidR="00D93410" w:rsidRPr="00C807F0" w:rsidRDefault="00D93410">
            <w:pPr>
              <w:cnfStyle w:val="000000100000"/>
              <w:rPr>
                <w:rFonts w:ascii="Arial" w:hAnsi="Arial" w:cs="Arial"/>
                <w:szCs w:val="24"/>
              </w:rPr>
            </w:pPr>
            <w:r w:rsidRPr="00C807F0">
              <w:rPr>
                <w:rFonts w:ascii="Arial" w:hAnsi="Arial" w:cs="Arial"/>
                <w:color w:val="0D0D0D"/>
                <w:szCs w:val="24"/>
              </w:rPr>
              <w:t>£70,000</w:t>
            </w:r>
          </w:p>
        </w:tc>
      </w:tr>
      <w:tr w:rsidR="00D93410" w:rsidRPr="00C807F0" w:rsidTr="00040521">
        <w:trPr>
          <w:trHeight w:val="513"/>
          <w:jc w:val="center"/>
        </w:trPr>
        <w:tc>
          <w:tcPr>
            <w:cnfStyle w:val="001000000000"/>
            <w:tcW w:w="4010" w:type="dxa"/>
            <w:hideMark/>
          </w:tcPr>
          <w:p w:rsidR="00D93410" w:rsidRPr="00C807F0" w:rsidRDefault="00D93410">
            <w:pPr>
              <w:spacing w:line="240" w:lineRule="auto"/>
              <w:jc w:val="left"/>
              <w:rPr>
                <w:rFonts w:ascii="Arial" w:hAnsi="Arial" w:cs="Arial"/>
                <w:color w:val="0D0D0D"/>
                <w:szCs w:val="24"/>
              </w:rPr>
            </w:pPr>
            <w:r w:rsidRPr="00C807F0">
              <w:rPr>
                <w:rFonts w:ascii="Arial" w:hAnsi="Arial" w:cs="Arial"/>
                <w:color w:val="0D0D0D"/>
                <w:szCs w:val="24"/>
              </w:rPr>
              <w:t>Total Estimated Costs</w:t>
            </w:r>
          </w:p>
        </w:tc>
        <w:tc>
          <w:tcPr>
            <w:tcW w:w="4010" w:type="dxa"/>
            <w:hideMark/>
          </w:tcPr>
          <w:p w:rsidR="00D93410" w:rsidRPr="00C807F0" w:rsidRDefault="00D93410">
            <w:pPr>
              <w:spacing w:line="240" w:lineRule="auto"/>
              <w:jc w:val="left"/>
              <w:cnfStyle w:val="000000000000"/>
              <w:rPr>
                <w:rFonts w:ascii="Arial" w:hAnsi="Arial" w:cs="Arial"/>
                <w:color w:val="0D0D0D"/>
                <w:szCs w:val="24"/>
              </w:rPr>
            </w:pPr>
            <w:r w:rsidRPr="00C807F0">
              <w:rPr>
                <w:rFonts w:ascii="Arial" w:hAnsi="Arial" w:cs="Arial"/>
                <w:color w:val="0D0D0D"/>
                <w:szCs w:val="24"/>
              </w:rPr>
              <w:t>£55,000</w:t>
            </w:r>
          </w:p>
        </w:tc>
      </w:tr>
      <w:tr w:rsidR="00D93410" w:rsidRPr="00C807F0" w:rsidTr="00040521">
        <w:trPr>
          <w:cnfStyle w:val="000000100000"/>
          <w:trHeight w:val="513"/>
          <w:jc w:val="center"/>
        </w:trPr>
        <w:tc>
          <w:tcPr>
            <w:cnfStyle w:val="001000000000"/>
            <w:tcW w:w="4010" w:type="dxa"/>
            <w:hideMark/>
          </w:tcPr>
          <w:p w:rsidR="00D93410" w:rsidRPr="00C807F0" w:rsidRDefault="00D93410">
            <w:pPr>
              <w:tabs>
                <w:tab w:val="center" w:pos="1897"/>
              </w:tabs>
              <w:rPr>
                <w:rFonts w:ascii="Arial" w:hAnsi="Arial" w:cs="Arial"/>
                <w:b w:val="0"/>
                <w:szCs w:val="24"/>
              </w:rPr>
            </w:pPr>
            <w:r w:rsidRPr="00C807F0">
              <w:rPr>
                <w:rFonts w:ascii="Arial" w:hAnsi="Arial" w:cs="Arial"/>
                <w:szCs w:val="24"/>
              </w:rPr>
              <w:t xml:space="preserve">Net Profit </w:t>
            </w:r>
            <w:r w:rsidRPr="00C807F0">
              <w:rPr>
                <w:rFonts w:ascii="Arial" w:hAnsi="Arial" w:cs="Arial"/>
                <w:szCs w:val="24"/>
              </w:rPr>
              <w:tab/>
            </w:r>
          </w:p>
        </w:tc>
        <w:tc>
          <w:tcPr>
            <w:tcW w:w="4010" w:type="dxa"/>
            <w:hideMark/>
          </w:tcPr>
          <w:p w:rsidR="00D93410" w:rsidRPr="00C807F0" w:rsidRDefault="00D93410">
            <w:pPr>
              <w:cnfStyle w:val="000000100000"/>
              <w:rPr>
                <w:rFonts w:ascii="Arial" w:hAnsi="Arial" w:cs="Arial"/>
                <w:b/>
                <w:szCs w:val="24"/>
                <w:u w:val="double"/>
              </w:rPr>
            </w:pPr>
            <w:r w:rsidRPr="00C807F0">
              <w:rPr>
                <w:rFonts w:ascii="Arial" w:hAnsi="Arial" w:cs="Arial"/>
                <w:b/>
                <w:color w:val="0D0D0D"/>
                <w:szCs w:val="24"/>
                <w:u w:val="double"/>
              </w:rPr>
              <w:t>£15000</w:t>
            </w:r>
          </w:p>
        </w:tc>
      </w:tr>
    </w:tbl>
    <w:p w:rsidR="00DB6DA2" w:rsidRPr="00C807F0" w:rsidRDefault="00DB6DA2" w:rsidP="00DB6DA2">
      <w:pPr>
        <w:spacing w:line="276" w:lineRule="auto"/>
        <w:jc w:val="left"/>
        <w:rPr>
          <w:rFonts w:ascii="Arial" w:hAnsi="Arial" w:cs="Arial"/>
          <w:szCs w:val="24"/>
        </w:rPr>
      </w:pPr>
    </w:p>
    <w:p w:rsidR="008333D8" w:rsidRPr="00C807F0" w:rsidRDefault="008333D8" w:rsidP="008333D8">
      <w:pPr>
        <w:rPr>
          <w:rFonts w:ascii="Arial" w:hAnsi="Arial" w:cs="Arial"/>
          <w:szCs w:val="24"/>
        </w:rPr>
      </w:pPr>
      <w:r w:rsidRPr="00C807F0">
        <w:rPr>
          <w:rFonts w:ascii="Arial" w:hAnsi="Arial" w:cs="Arial"/>
          <w:szCs w:val="24"/>
        </w:rPr>
        <w:t xml:space="preserve">By using the information in the projected budget, it can be concluded that the “Future of Dining Symposium” is a financially viable event with </w:t>
      </w:r>
      <w:r w:rsidR="00040521" w:rsidRPr="00C807F0">
        <w:rPr>
          <w:rFonts w:ascii="Arial" w:hAnsi="Arial" w:cs="Arial"/>
          <w:szCs w:val="24"/>
        </w:rPr>
        <w:t xml:space="preserve">a </w:t>
      </w:r>
      <w:r w:rsidRPr="00C807F0">
        <w:rPr>
          <w:rFonts w:ascii="Arial" w:hAnsi="Arial" w:cs="Arial"/>
          <w:szCs w:val="24"/>
        </w:rPr>
        <w:t>21.4% Profit Margin</w:t>
      </w:r>
      <w:r w:rsidR="00040521" w:rsidRPr="00C807F0">
        <w:rPr>
          <w:rFonts w:ascii="Arial" w:hAnsi="Arial" w:cs="Arial"/>
          <w:szCs w:val="24"/>
        </w:rPr>
        <w:t>,</w:t>
      </w:r>
      <w:r w:rsidRPr="00C807F0">
        <w:rPr>
          <w:rFonts w:ascii="Arial" w:hAnsi="Arial" w:cs="Arial"/>
          <w:szCs w:val="24"/>
        </w:rPr>
        <w:t xml:space="preserve"> which is considered favo</w:t>
      </w:r>
      <w:r w:rsidR="00040521" w:rsidRPr="00C807F0">
        <w:rPr>
          <w:rFonts w:ascii="Arial" w:hAnsi="Arial" w:cs="Arial"/>
          <w:szCs w:val="24"/>
        </w:rPr>
        <w:t>u</w:t>
      </w:r>
      <w:r w:rsidRPr="00C807F0">
        <w:rPr>
          <w:rFonts w:ascii="Arial" w:hAnsi="Arial" w:cs="Arial"/>
          <w:szCs w:val="24"/>
        </w:rPr>
        <w:t>rable for a niche event within the hospitality industry. The costs are structured according to industry standards</w:t>
      </w:r>
      <w:r w:rsidR="00040521" w:rsidRPr="00C807F0">
        <w:rPr>
          <w:rFonts w:ascii="Arial" w:hAnsi="Arial" w:cs="Arial"/>
          <w:szCs w:val="24"/>
        </w:rPr>
        <w:t>,</w:t>
      </w:r>
      <w:r w:rsidRPr="00C807F0">
        <w:rPr>
          <w:rFonts w:ascii="Arial" w:hAnsi="Arial" w:cs="Arial"/>
          <w:szCs w:val="24"/>
        </w:rPr>
        <w:t xml:space="preserve"> which indicate a highly planned and commercially viable event. If well planned and implemented and through efficient use of resource</w:t>
      </w:r>
      <w:r w:rsidR="00040521" w:rsidRPr="00C807F0">
        <w:rPr>
          <w:rFonts w:ascii="Arial" w:hAnsi="Arial" w:cs="Arial"/>
          <w:szCs w:val="24"/>
        </w:rPr>
        <w:t>s</w:t>
      </w:r>
      <w:r w:rsidRPr="00C807F0">
        <w:rPr>
          <w:rFonts w:ascii="Arial" w:hAnsi="Arial" w:cs="Arial"/>
          <w:szCs w:val="24"/>
        </w:rPr>
        <w:t xml:space="preserve"> and strategic partnering</w:t>
      </w:r>
      <w:r w:rsidR="00040521" w:rsidRPr="00C807F0">
        <w:rPr>
          <w:rFonts w:ascii="Arial" w:hAnsi="Arial" w:cs="Arial"/>
          <w:szCs w:val="24"/>
        </w:rPr>
        <w:t>,</w:t>
      </w:r>
      <w:r w:rsidRPr="00C807F0">
        <w:rPr>
          <w:rFonts w:ascii="Arial" w:hAnsi="Arial" w:cs="Arial"/>
          <w:szCs w:val="24"/>
        </w:rPr>
        <w:t xml:space="preserve"> then the “Future of Dining Symposium” should be able to make </w:t>
      </w:r>
      <w:r w:rsidR="00040521" w:rsidRPr="00C807F0">
        <w:rPr>
          <w:rFonts w:ascii="Arial" w:hAnsi="Arial" w:cs="Arial"/>
          <w:szCs w:val="24"/>
        </w:rPr>
        <w:t xml:space="preserve">a </w:t>
      </w:r>
      <w:r w:rsidRPr="00C807F0">
        <w:rPr>
          <w:rFonts w:ascii="Arial" w:hAnsi="Arial" w:cs="Arial"/>
          <w:szCs w:val="24"/>
        </w:rPr>
        <w:t>profit and</w:t>
      </w:r>
      <w:r w:rsidR="00040521" w:rsidRPr="00C807F0">
        <w:rPr>
          <w:rFonts w:ascii="Arial" w:hAnsi="Arial" w:cs="Arial"/>
          <w:szCs w:val="24"/>
        </w:rPr>
        <w:t>,</w:t>
      </w:r>
      <w:r w:rsidRPr="00C807F0">
        <w:rPr>
          <w:rFonts w:ascii="Arial" w:hAnsi="Arial" w:cs="Arial"/>
          <w:szCs w:val="24"/>
        </w:rPr>
        <w:t xml:space="preserve"> at the same time</w:t>
      </w:r>
      <w:r w:rsidR="00040521" w:rsidRPr="00C807F0">
        <w:rPr>
          <w:rFonts w:ascii="Arial" w:hAnsi="Arial" w:cs="Arial"/>
          <w:szCs w:val="24"/>
        </w:rPr>
        <w:t>,</w:t>
      </w:r>
      <w:r w:rsidRPr="00C807F0">
        <w:rPr>
          <w:rFonts w:ascii="Arial" w:hAnsi="Arial" w:cs="Arial"/>
          <w:szCs w:val="24"/>
        </w:rPr>
        <w:t xml:space="preserve"> create a successful event for all those who are involved in this event.</w:t>
      </w:r>
    </w:p>
    <w:p w:rsidR="008333D8" w:rsidRPr="00C807F0" w:rsidRDefault="008333D8" w:rsidP="008333D8">
      <w:pPr>
        <w:rPr>
          <w:rFonts w:ascii="Arial" w:hAnsi="Arial" w:cs="Arial"/>
          <w:szCs w:val="24"/>
        </w:rPr>
      </w:pPr>
    </w:p>
    <w:p w:rsidR="008333D8" w:rsidRPr="00C807F0" w:rsidRDefault="008333D8" w:rsidP="008333D8">
      <w:pPr>
        <w:rPr>
          <w:rFonts w:ascii="Arial" w:hAnsi="Arial" w:cs="Arial"/>
          <w:szCs w:val="24"/>
        </w:rPr>
      </w:pPr>
    </w:p>
    <w:p w:rsidR="00E00487" w:rsidRPr="00C807F0" w:rsidRDefault="00E00487" w:rsidP="008333D8">
      <w:pPr>
        <w:rPr>
          <w:rFonts w:ascii="Arial" w:eastAsiaTheme="majorEastAsia" w:hAnsi="Arial" w:cs="Arial"/>
          <w:color w:val="365F91" w:themeColor="accent1" w:themeShade="BF"/>
          <w:szCs w:val="24"/>
        </w:rPr>
      </w:pPr>
      <w:r w:rsidRPr="00C807F0">
        <w:rPr>
          <w:rFonts w:ascii="Arial" w:hAnsi="Arial" w:cs="Arial"/>
          <w:szCs w:val="24"/>
        </w:rPr>
        <w:br w:type="page"/>
      </w:r>
    </w:p>
    <w:p w:rsidR="00E00487" w:rsidRPr="00C807F0" w:rsidRDefault="00E00487" w:rsidP="00E00487">
      <w:pPr>
        <w:pStyle w:val="Heading1"/>
        <w:rPr>
          <w:rFonts w:ascii="Arial" w:hAnsi="Arial" w:cs="Arial"/>
          <w:sz w:val="24"/>
          <w:szCs w:val="24"/>
        </w:rPr>
      </w:pPr>
      <w:bookmarkStart w:id="24" w:name="_Toc167539999"/>
      <w:r w:rsidRPr="00C807F0">
        <w:rPr>
          <w:rFonts w:ascii="Arial" w:hAnsi="Arial" w:cs="Arial"/>
          <w:sz w:val="24"/>
          <w:szCs w:val="24"/>
        </w:rPr>
        <w:lastRenderedPageBreak/>
        <w:t>Industry Impacts</w:t>
      </w:r>
      <w:bookmarkEnd w:id="20"/>
      <w:bookmarkEnd w:id="24"/>
    </w:p>
    <w:p w:rsidR="008333D8" w:rsidRPr="00C807F0" w:rsidRDefault="008333D8" w:rsidP="008333D8">
      <w:pPr>
        <w:rPr>
          <w:rFonts w:ascii="Arial" w:hAnsi="Arial" w:cs="Arial"/>
          <w:szCs w:val="24"/>
        </w:rPr>
      </w:pPr>
      <w:bookmarkStart w:id="25" w:name="_Toc166651872"/>
      <w:r w:rsidRPr="00C807F0">
        <w:rPr>
          <w:rFonts w:ascii="Arial" w:hAnsi="Arial" w:cs="Arial"/>
          <w:szCs w:val="24"/>
        </w:rPr>
        <w:t xml:space="preserve">This section will proceed by discussing </w:t>
      </w:r>
      <w:r w:rsidR="003605C1" w:rsidRPr="00C807F0">
        <w:rPr>
          <w:rFonts w:ascii="Arial" w:hAnsi="Arial" w:cs="Arial"/>
          <w:szCs w:val="24"/>
        </w:rPr>
        <w:t xml:space="preserve">industry </w:t>
      </w:r>
      <w:r w:rsidRPr="00C807F0">
        <w:rPr>
          <w:rFonts w:ascii="Arial" w:hAnsi="Arial" w:cs="Arial"/>
          <w:szCs w:val="24"/>
        </w:rPr>
        <w:t>trends</w:t>
      </w:r>
      <w:r w:rsidR="00040521" w:rsidRPr="00C807F0">
        <w:rPr>
          <w:rFonts w:ascii="Arial" w:hAnsi="Arial" w:cs="Arial"/>
          <w:szCs w:val="24"/>
        </w:rPr>
        <w:t>,</w:t>
      </w:r>
      <w:r w:rsidRPr="00C807F0">
        <w:rPr>
          <w:rFonts w:ascii="Arial" w:hAnsi="Arial" w:cs="Arial"/>
          <w:szCs w:val="24"/>
        </w:rPr>
        <w:t xml:space="preserve"> undertaking SWOT and PESTLE analysis and generally discussing the future prospects of the symposium</w:t>
      </w:r>
      <w:r w:rsidR="003605C1" w:rsidRPr="00C807F0">
        <w:rPr>
          <w:rFonts w:ascii="Arial" w:hAnsi="Arial" w:cs="Arial"/>
          <w:szCs w:val="24"/>
        </w:rPr>
        <w:t>.</w:t>
      </w:r>
    </w:p>
    <w:p w:rsidR="008333D8" w:rsidRPr="00C807F0" w:rsidRDefault="008333D8" w:rsidP="008333D8">
      <w:pPr>
        <w:pStyle w:val="Heading2"/>
        <w:rPr>
          <w:rFonts w:ascii="Arial" w:hAnsi="Arial" w:cs="Arial"/>
          <w:sz w:val="24"/>
          <w:szCs w:val="24"/>
        </w:rPr>
      </w:pPr>
      <w:bookmarkStart w:id="26" w:name="_Toc167540000"/>
      <w:r w:rsidRPr="00C807F0">
        <w:rPr>
          <w:rFonts w:ascii="Arial" w:hAnsi="Arial" w:cs="Arial"/>
          <w:sz w:val="24"/>
          <w:szCs w:val="24"/>
        </w:rPr>
        <w:t>Industry Trends</w:t>
      </w:r>
      <w:bookmarkEnd w:id="26"/>
    </w:p>
    <w:p w:rsidR="008333D8" w:rsidRPr="00C807F0" w:rsidRDefault="008333D8" w:rsidP="008333D8">
      <w:pPr>
        <w:rPr>
          <w:rFonts w:ascii="Arial" w:hAnsi="Arial" w:cs="Arial"/>
          <w:szCs w:val="24"/>
        </w:rPr>
      </w:pPr>
      <w:r w:rsidRPr="00C807F0">
        <w:rPr>
          <w:rFonts w:ascii="Arial" w:hAnsi="Arial" w:cs="Arial"/>
          <w:szCs w:val="24"/>
        </w:rPr>
        <w:t>The applications of technology in industries like hospitality and dining have been growing by leaps and bounds in recent decades. The global restaurant management software market share was valued at USD 4,556.4 million in 2022and is expected to rise at a CAGR of 16</w:t>
      </w:r>
      <w:r w:rsidR="003605C1" w:rsidRPr="00C807F0">
        <w:rPr>
          <w:rFonts w:ascii="Arial" w:hAnsi="Arial" w:cs="Arial"/>
          <w:szCs w:val="24"/>
        </w:rPr>
        <w:t>.3</w:t>
      </w:r>
      <w:r w:rsidRPr="00C807F0">
        <w:rPr>
          <w:rFonts w:ascii="Arial" w:hAnsi="Arial" w:cs="Arial"/>
          <w:szCs w:val="24"/>
        </w:rPr>
        <w:t xml:space="preserve">% in the forecast period of 2022-2028 </w:t>
      </w:r>
      <w:r w:rsidR="00951685" w:rsidRPr="00C807F0">
        <w:rPr>
          <w:rFonts w:ascii="Arial" w:hAnsi="Arial" w:cs="Arial"/>
          <w:szCs w:val="24"/>
        </w:rPr>
        <w:t xml:space="preserve"> (G</w:t>
      </w:r>
      <w:r w:rsidR="003605C1" w:rsidRPr="00C807F0">
        <w:rPr>
          <w:rFonts w:ascii="Arial" w:eastAsia="Times New Roman" w:hAnsi="Arial" w:cs="Arial"/>
          <w:szCs w:val="24"/>
        </w:rPr>
        <w:t>randviewresearch, 2023)</w:t>
      </w:r>
      <w:r w:rsidRPr="00C807F0">
        <w:rPr>
          <w:rFonts w:ascii="Arial" w:hAnsi="Arial" w:cs="Arial"/>
          <w:szCs w:val="24"/>
        </w:rPr>
        <w:t xml:space="preserve">. This is probably because the number of restaurants globally is expanding due to the adoption of more digital solutions for the restaurants’ operations, guests’ experience, and decision-making using </w:t>
      </w:r>
      <w:r w:rsidR="003605C1" w:rsidRPr="00C807F0">
        <w:rPr>
          <w:rFonts w:ascii="Arial" w:hAnsi="Arial" w:cs="Arial"/>
          <w:szCs w:val="24"/>
        </w:rPr>
        <w:t>data-driven technology</w:t>
      </w:r>
      <w:r w:rsidRPr="00C807F0">
        <w:rPr>
          <w:rFonts w:ascii="Arial" w:hAnsi="Arial" w:cs="Arial"/>
          <w:szCs w:val="24"/>
        </w:rPr>
        <w:t>. In particular, contactless and mobile-based eating out has been fast-tracked due to the COVID-19 pandemic (Jeon et al., 2023).</w:t>
      </w:r>
    </w:p>
    <w:p w:rsidR="007A3C03" w:rsidRPr="00C807F0" w:rsidRDefault="00AF7028" w:rsidP="007A3C03">
      <w:pPr>
        <w:pStyle w:val="Heading2"/>
        <w:rPr>
          <w:rFonts w:ascii="Arial" w:hAnsi="Arial" w:cs="Arial"/>
          <w:sz w:val="24"/>
          <w:szCs w:val="24"/>
        </w:rPr>
      </w:pPr>
      <w:bookmarkStart w:id="27" w:name="_Toc167540001"/>
      <w:r w:rsidRPr="00C807F0">
        <w:rPr>
          <w:rFonts w:ascii="Arial" w:hAnsi="Arial" w:cs="Arial"/>
          <w:sz w:val="24"/>
          <w:szCs w:val="24"/>
        </w:rPr>
        <w:t>SWOT Analysis</w:t>
      </w:r>
      <w:bookmarkEnd w:id="27"/>
    </w:p>
    <w:p w:rsidR="007A3C03" w:rsidRPr="00C807F0" w:rsidRDefault="007A3C03" w:rsidP="00FD5613">
      <w:pPr>
        <w:rPr>
          <w:rFonts w:ascii="Arial" w:hAnsi="Arial" w:cs="Arial"/>
          <w:szCs w:val="24"/>
        </w:rPr>
      </w:pPr>
      <w:r w:rsidRPr="00C807F0">
        <w:rPr>
          <w:rFonts w:ascii="Arial" w:hAnsi="Arial" w:cs="Arial"/>
          <w:noProof/>
          <w:szCs w:val="24"/>
        </w:rPr>
        <w:drawing>
          <wp:inline distT="0" distB="0" distL="0" distR="0">
            <wp:extent cx="5743575" cy="3318553"/>
            <wp:effectExtent l="0" t="0" r="0" b="0"/>
            <wp:docPr id="194745155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710BDE" w:rsidRPr="00C807F0" w:rsidRDefault="003A77F8" w:rsidP="003A77F8">
      <w:pPr>
        <w:pStyle w:val="Caption"/>
        <w:jc w:val="center"/>
        <w:rPr>
          <w:rFonts w:ascii="Arial" w:hAnsi="Arial" w:cs="Arial"/>
          <w:i w:val="0"/>
          <w:iCs w:val="0"/>
          <w:color w:val="auto"/>
          <w:sz w:val="24"/>
          <w:szCs w:val="24"/>
        </w:rPr>
      </w:pPr>
      <w:bookmarkStart w:id="28" w:name="_Toc167049452"/>
      <w:r w:rsidRPr="00C807F0">
        <w:rPr>
          <w:rFonts w:ascii="Arial" w:hAnsi="Arial" w:cs="Arial"/>
          <w:i w:val="0"/>
          <w:iCs w:val="0"/>
          <w:color w:val="auto"/>
          <w:sz w:val="24"/>
          <w:szCs w:val="24"/>
        </w:rPr>
        <w:t xml:space="preserve">Figure </w:t>
      </w:r>
      <w:r w:rsidR="00B232D3" w:rsidRPr="00C807F0">
        <w:rPr>
          <w:rFonts w:ascii="Arial" w:hAnsi="Arial" w:cs="Arial"/>
          <w:i w:val="0"/>
          <w:iCs w:val="0"/>
          <w:color w:val="auto"/>
          <w:sz w:val="24"/>
          <w:szCs w:val="24"/>
        </w:rPr>
        <w:fldChar w:fldCharType="begin"/>
      </w:r>
      <w:r w:rsidRPr="00C807F0">
        <w:rPr>
          <w:rFonts w:ascii="Arial" w:hAnsi="Arial" w:cs="Arial"/>
          <w:i w:val="0"/>
          <w:iCs w:val="0"/>
          <w:color w:val="auto"/>
          <w:sz w:val="24"/>
          <w:szCs w:val="24"/>
        </w:rPr>
        <w:instrText xml:space="preserve"> SEQ Figure \* ARABIC </w:instrText>
      </w:r>
      <w:r w:rsidR="00B232D3" w:rsidRPr="00C807F0">
        <w:rPr>
          <w:rFonts w:ascii="Arial" w:hAnsi="Arial" w:cs="Arial"/>
          <w:i w:val="0"/>
          <w:iCs w:val="0"/>
          <w:color w:val="auto"/>
          <w:sz w:val="24"/>
          <w:szCs w:val="24"/>
        </w:rPr>
        <w:fldChar w:fldCharType="separate"/>
      </w:r>
      <w:r w:rsidRPr="00C807F0">
        <w:rPr>
          <w:rFonts w:ascii="Arial" w:hAnsi="Arial" w:cs="Arial"/>
          <w:i w:val="0"/>
          <w:iCs w:val="0"/>
          <w:noProof/>
          <w:color w:val="auto"/>
          <w:sz w:val="24"/>
          <w:szCs w:val="24"/>
        </w:rPr>
        <w:t>2</w:t>
      </w:r>
      <w:r w:rsidR="00B232D3" w:rsidRPr="00C807F0">
        <w:rPr>
          <w:rFonts w:ascii="Arial" w:hAnsi="Arial" w:cs="Arial"/>
          <w:i w:val="0"/>
          <w:iCs w:val="0"/>
          <w:color w:val="auto"/>
          <w:sz w:val="24"/>
          <w:szCs w:val="24"/>
        </w:rPr>
        <w:fldChar w:fldCharType="end"/>
      </w:r>
      <w:r w:rsidRPr="00C807F0">
        <w:rPr>
          <w:rFonts w:ascii="Arial" w:hAnsi="Arial" w:cs="Arial"/>
          <w:i w:val="0"/>
          <w:iCs w:val="0"/>
          <w:color w:val="auto"/>
          <w:sz w:val="24"/>
          <w:szCs w:val="24"/>
        </w:rPr>
        <w:t>: SWOT analysis</w:t>
      </w:r>
      <w:bookmarkEnd w:id="28"/>
    </w:p>
    <w:p w:rsidR="003A77F8" w:rsidRPr="00C807F0" w:rsidRDefault="003A77F8" w:rsidP="003A77F8">
      <w:pPr>
        <w:jc w:val="center"/>
        <w:rPr>
          <w:rFonts w:ascii="Arial" w:hAnsi="Arial" w:cs="Arial"/>
          <w:szCs w:val="24"/>
        </w:rPr>
      </w:pPr>
      <w:r w:rsidRPr="00C807F0">
        <w:rPr>
          <w:rFonts w:ascii="Arial" w:hAnsi="Arial" w:cs="Arial"/>
          <w:szCs w:val="24"/>
        </w:rPr>
        <w:t>Source:</w:t>
      </w:r>
      <w:r w:rsidR="003C40DE" w:rsidRPr="00C807F0">
        <w:rPr>
          <w:rFonts w:ascii="Arial" w:hAnsi="Arial" w:cs="Arial"/>
          <w:szCs w:val="24"/>
        </w:rPr>
        <w:t xml:space="preserve"> (</w:t>
      </w:r>
      <w:r w:rsidR="003C40DE" w:rsidRPr="00C807F0">
        <w:rPr>
          <w:rFonts w:ascii="Arial" w:hAnsi="Arial" w:cs="Arial"/>
          <w:szCs w:val="24"/>
          <w:shd w:val="clear" w:color="auto" w:fill="FFFFFF"/>
        </w:rPr>
        <w:t>Woźniak and Fill, 2018)</w:t>
      </w:r>
    </w:p>
    <w:p w:rsidR="00A7748D" w:rsidRPr="00C807F0" w:rsidRDefault="00A7748D" w:rsidP="00A7748D">
      <w:pPr>
        <w:rPr>
          <w:rFonts w:ascii="Arial" w:hAnsi="Arial" w:cs="Arial"/>
          <w:szCs w:val="24"/>
        </w:rPr>
      </w:pPr>
      <w:r w:rsidRPr="00C807F0">
        <w:rPr>
          <w:rFonts w:ascii="Arial" w:hAnsi="Arial" w:cs="Arial"/>
          <w:szCs w:val="24"/>
        </w:rPr>
        <w:lastRenderedPageBreak/>
        <w:t>The main advantages of the event are targeted at organizing entertaining events for the parties with regard to the themes according to the modern tendencies, providing our guests with the possibility of interacting without the interfering equipment, using cooperation with the companies connected with our sphere and technology vendors. However, there are challenges like the dynamics of our target clients being unaware of digital-enabled dining and the fixed costs of youthful, technological exhibitionism and other sophisticated creative trends in dining.</w:t>
      </w:r>
    </w:p>
    <w:p w:rsidR="00212FED" w:rsidRPr="00C807F0" w:rsidRDefault="00A7748D" w:rsidP="00A7748D">
      <w:pPr>
        <w:rPr>
          <w:rFonts w:ascii="Arial" w:hAnsi="Arial" w:cs="Arial"/>
          <w:szCs w:val="24"/>
        </w:rPr>
      </w:pPr>
      <w:r w:rsidRPr="00C807F0">
        <w:rPr>
          <w:rFonts w:ascii="Arial" w:hAnsi="Arial" w:cs="Arial"/>
          <w:szCs w:val="24"/>
        </w:rPr>
        <w:t>To note, there is still much potential for expanding on dine-in ideas that involve technology (D’Souza, 2023). Also,  partnering with technology firms and food-related firms to have a broad base and share some limited resources. However, some risks are as follows, there are high threats in the industry that can lead to increased competition, technology may change and this may compel the organization to change as well, and there may be several logistical issues in an organization (Woźniak and Fill, 2018).</w:t>
      </w:r>
      <w:r w:rsidR="00212FED" w:rsidRPr="00C807F0">
        <w:rPr>
          <w:rFonts w:ascii="Arial" w:hAnsi="Arial" w:cs="Arial"/>
          <w:szCs w:val="24"/>
        </w:rPr>
        <w:br w:type="page"/>
      </w:r>
    </w:p>
    <w:p w:rsidR="00D85EB4" w:rsidRPr="00C807F0" w:rsidRDefault="00AF7028" w:rsidP="00D85EB4">
      <w:pPr>
        <w:pStyle w:val="Heading2"/>
        <w:rPr>
          <w:rFonts w:ascii="Arial" w:hAnsi="Arial" w:cs="Arial"/>
          <w:sz w:val="24"/>
          <w:szCs w:val="24"/>
        </w:rPr>
      </w:pPr>
      <w:bookmarkStart w:id="29" w:name="_Toc167540002"/>
      <w:r w:rsidRPr="00C807F0">
        <w:rPr>
          <w:rFonts w:ascii="Arial" w:hAnsi="Arial" w:cs="Arial"/>
          <w:sz w:val="24"/>
          <w:szCs w:val="24"/>
        </w:rPr>
        <w:lastRenderedPageBreak/>
        <w:t>PESTLE Analysis</w:t>
      </w:r>
      <w:bookmarkEnd w:id="29"/>
    </w:p>
    <w:p w:rsidR="00710BDE" w:rsidRPr="00C807F0" w:rsidRDefault="00710BDE" w:rsidP="00FD5613">
      <w:pPr>
        <w:rPr>
          <w:rFonts w:ascii="Arial" w:hAnsi="Arial" w:cs="Arial"/>
          <w:szCs w:val="24"/>
        </w:rPr>
      </w:pPr>
      <w:r w:rsidRPr="00C807F0">
        <w:rPr>
          <w:rFonts w:ascii="Arial" w:hAnsi="Arial" w:cs="Arial"/>
          <w:noProof/>
          <w:szCs w:val="24"/>
        </w:rPr>
        <w:drawing>
          <wp:inline distT="0" distB="0" distL="0" distR="0">
            <wp:extent cx="6181725" cy="2143125"/>
            <wp:effectExtent l="0" t="0" r="0" b="0"/>
            <wp:docPr id="86420191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3A77F8" w:rsidRPr="00C807F0" w:rsidRDefault="003A77F8" w:rsidP="003A77F8">
      <w:pPr>
        <w:pStyle w:val="Caption"/>
        <w:jc w:val="center"/>
        <w:rPr>
          <w:rFonts w:ascii="Arial" w:hAnsi="Arial" w:cs="Arial"/>
          <w:i w:val="0"/>
          <w:iCs w:val="0"/>
          <w:color w:val="auto"/>
          <w:sz w:val="24"/>
          <w:szCs w:val="24"/>
        </w:rPr>
      </w:pPr>
      <w:bookmarkStart w:id="30" w:name="_Toc167049453"/>
      <w:r w:rsidRPr="00C807F0">
        <w:rPr>
          <w:rFonts w:ascii="Arial" w:hAnsi="Arial" w:cs="Arial"/>
          <w:i w:val="0"/>
          <w:iCs w:val="0"/>
          <w:color w:val="auto"/>
          <w:sz w:val="24"/>
          <w:szCs w:val="24"/>
        </w:rPr>
        <w:t xml:space="preserve">Figure </w:t>
      </w:r>
      <w:r w:rsidR="00B232D3" w:rsidRPr="00C807F0">
        <w:rPr>
          <w:rFonts w:ascii="Arial" w:hAnsi="Arial" w:cs="Arial"/>
          <w:i w:val="0"/>
          <w:iCs w:val="0"/>
          <w:color w:val="auto"/>
          <w:sz w:val="24"/>
          <w:szCs w:val="24"/>
        </w:rPr>
        <w:fldChar w:fldCharType="begin"/>
      </w:r>
      <w:r w:rsidRPr="00C807F0">
        <w:rPr>
          <w:rFonts w:ascii="Arial" w:hAnsi="Arial" w:cs="Arial"/>
          <w:i w:val="0"/>
          <w:iCs w:val="0"/>
          <w:color w:val="auto"/>
          <w:sz w:val="24"/>
          <w:szCs w:val="24"/>
        </w:rPr>
        <w:instrText xml:space="preserve"> SEQ Figure \* ARABIC </w:instrText>
      </w:r>
      <w:r w:rsidR="00B232D3" w:rsidRPr="00C807F0">
        <w:rPr>
          <w:rFonts w:ascii="Arial" w:hAnsi="Arial" w:cs="Arial"/>
          <w:i w:val="0"/>
          <w:iCs w:val="0"/>
          <w:color w:val="auto"/>
          <w:sz w:val="24"/>
          <w:szCs w:val="24"/>
        </w:rPr>
        <w:fldChar w:fldCharType="separate"/>
      </w:r>
      <w:r w:rsidRPr="00C807F0">
        <w:rPr>
          <w:rFonts w:ascii="Arial" w:hAnsi="Arial" w:cs="Arial"/>
          <w:i w:val="0"/>
          <w:iCs w:val="0"/>
          <w:noProof/>
          <w:color w:val="auto"/>
          <w:sz w:val="24"/>
          <w:szCs w:val="24"/>
        </w:rPr>
        <w:t>3</w:t>
      </w:r>
      <w:r w:rsidR="00B232D3" w:rsidRPr="00C807F0">
        <w:rPr>
          <w:rFonts w:ascii="Arial" w:hAnsi="Arial" w:cs="Arial"/>
          <w:i w:val="0"/>
          <w:iCs w:val="0"/>
          <w:color w:val="auto"/>
          <w:sz w:val="24"/>
          <w:szCs w:val="24"/>
        </w:rPr>
        <w:fldChar w:fldCharType="end"/>
      </w:r>
      <w:r w:rsidRPr="00C807F0">
        <w:rPr>
          <w:rFonts w:ascii="Arial" w:hAnsi="Arial" w:cs="Arial"/>
          <w:i w:val="0"/>
          <w:iCs w:val="0"/>
          <w:color w:val="auto"/>
          <w:sz w:val="24"/>
          <w:szCs w:val="24"/>
        </w:rPr>
        <w:t>: PESTLE analysis</w:t>
      </w:r>
      <w:bookmarkEnd w:id="30"/>
    </w:p>
    <w:p w:rsidR="003A77F8" w:rsidRPr="00C807F0" w:rsidRDefault="003A77F8" w:rsidP="003A77F8">
      <w:pPr>
        <w:jc w:val="center"/>
        <w:rPr>
          <w:rFonts w:ascii="Arial" w:hAnsi="Arial" w:cs="Arial"/>
          <w:szCs w:val="24"/>
        </w:rPr>
      </w:pPr>
      <w:r w:rsidRPr="00C807F0">
        <w:rPr>
          <w:rFonts w:ascii="Arial" w:hAnsi="Arial" w:cs="Arial"/>
          <w:szCs w:val="24"/>
        </w:rPr>
        <w:t>Source:</w:t>
      </w:r>
      <w:r w:rsidR="00FD5613" w:rsidRPr="00C807F0">
        <w:rPr>
          <w:rFonts w:ascii="Arial" w:hAnsi="Arial" w:cs="Arial"/>
          <w:szCs w:val="24"/>
        </w:rPr>
        <w:t xml:space="preserve"> (Reic., 2016)</w:t>
      </w:r>
    </w:p>
    <w:p w:rsidR="00585EC7" w:rsidRPr="00C807F0" w:rsidRDefault="00585EC7" w:rsidP="00373F5C">
      <w:pPr>
        <w:rPr>
          <w:rFonts w:ascii="Arial" w:hAnsi="Arial" w:cs="Arial"/>
          <w:szCs w:val="24"/>
        </w:rPr>
      </w:pPr>
      <w:r w:rsidRPr="00C807F0">
        <w:rPr>
          <w:rFonts w:ascii="Arial" w:hAnsi="Arial" w:cs="Arial"/>
          <w:szCs w:val="24"/>
        </w:rPr>
        <w:t xml:space="preserve">Government rules and regulations concerning food safety and hygiene, </w:t>
      </w:r>
      <w:r w:rsidR="00040521" w:rsidRPr="00C807F0">
        <w:rPr>
          <w:rFonts w:ascii="Arial" w:hAnsi="Arial" w:cs="Arial"/>
          <w:szCs w:val="24"/>
        </w:rPr>
        <w:t xml:space="preserve">the </w:t>
      </w:r>
      <w:r w:rsidRPr="00C807F0">
        <w:rPr>
          <w:rFonts w:ascii="Arial" w:hAnsi="Arial" w:cs="Arial"/>
          <w:szCs w:val="24"/>
        </w:rPr>
        <w:t xml:space="preserve">use of technology in the hospitality industry, and the management of events must be ensured while planning and holding the symposium.Economic factors should be </w:t>
      </w:r>
      <w:r w:rsidR="00373F5C" w:rsidRPr="00C807F0">
        <w:rPr>
          <w:rFonts w:ascii="Arial" w:hAnsi="Arial" w:cs="Arial"/>
          <w:szCs w:val="24"/>
        </w:rPr>
        <w:t xml:space="preserve">taken </w:t>
      </w:r>
      <w:r w:rsidR="00040521" w:rsidRPr="00C807F0">
        <w:rPr>
          <w:rFonts w:ascii="Arial" w:hAnsi="Arial" w:cs="Arial"/>
          <w:szCs w:val="24"/>
        </w:rPr>
        <w:t>into account by the event organisers, comprising disposable incomes, businesses’ sponsorships,</w:t>
      </w:r>
      <w:r w:rsidRPr="00C807F0">
        <w:rPr>
          <w:rFonts w:ascii="Arial" w:hAnsi="Arial" w:cs="Arial"/>
          <w:szCs w:val="24"/>
        </w:rPr>
        <w:t xml:space="preserve"> and training budgets that influence the number of participants and the source of revenues.The demands and perceptions of consumers</w:t>
      </w:r>
      <w:r w:rsidR="00373F5C" w:rsidRPr="00C807F0">
        <w:rPr>
          <w:rFonts w:ascii="Arial" w:hAnsi="Arial" w:cs="Arial"/>
          <w:szCs w:val="24"/>
        </w:rPr>
        <w:t>, dietary trends</w:t>
      </w:r>
      <w:r w:rsidRPr="00C807F0">
        <w:rPr>
          <w:rFonts w:ascii="Arial" w:hAnsi="Arial" w:cs="Arial"/>
          <w:szCs w:val="24"/>
        </w:rPr>
        <w:t xml:space="preserve"> and society toward sustainability can also impact the products and services of the event (Kazandzhieva, Ilieva &amp;Filipova, 2017).Robotics, AI, AR/VR and other exponentially developing technologies present opportunities as well as threats for the symposium to remain at a competitive edge (Dzhandzhugazova et al., 2016). Certain legal needs </w:t>
      </w:r>
      <w:r w:rsidR="00040521" w:rsidRPr="00C807F0">
        <w:rPr>
          <w:rFonts w:ascii="Arial" w:hAnsi="Arial" w:cs="Arial"/>
          <w:szCs w:val="24"/>
        </w:rPr>
        <w:t>need to be satisfied for the symposium to take place,</w:t>
      </w:r>
      <w:r w:rsidRPr="00C807F0">
        <w:rPr>
          <w:rFonts w:ascii="Arial" w:hAnsi="Arial" w:cs="Arial"/>
          <w:szCs w:val="24"/>
        </w:rPr>
        <w:t xml:space="preserve"> such as food safety and hygiene, data protection and privacy</w:t>
      </w:r>
      <w:r w:rsidR="00373F5C" w:rsidRPr="00C807F0">
        <w:rPr>
          <w:rFonts w:ascii="Arial" w:hAnsi="Arial" w:cs="Arial"/>
          <w:szCs w:val="24"/>
        </w:rPr>
        <w:t>,</w:t>
      </w:r>
      <w:r w:rsidRPr="00C807F0">
        <w:rPr>
          <w:rFonts w:ascii="Arial" w:hAnsi="Arial" w:cs="Arial"/>
          <w:szCs w:val="24"/>
        </w:rPr>
        <w:t xml:space="preserve"> and event licensing</w:t>
      </w:r>
      <w:r w:rsidR="00DF6B51" w:rsidRPr="00C807F0">
        <w:rPr>
          <w:rFonts w:ascii="Arial" w:hAnsi="Arial" w:cs="Arial"/>
          <w:szCs w:val="24"/>
        </w:rPr>
        <w:t xml:space="preserve">  (Reic, 2016)</w:t>
      </w:r>
      <w:r w:rsidRPr="00C807F0">
        <w:rPr>
          <w:rFonts w:ascii="Arial" w:hAnsi="Arial" w:cs="Arial"/>
          <w:szCs w:val="24"/>
        </w:rPr>
        <w:t>.</w:t>
      </w:r>
      <w:r w:rsidR="00296B71" w:rsidRPr="00C807F0">
        <w:rPr>
          <w:rFonts w:ascii="Arial" w:hAnsi="Arial" w:cs="Arial"/>
          <w:szCs w:val="24"/>
        </w:rPr>
        <w:t xml:space="preserve"> The environmental factors </w:t>
      </w:r>
      <w:r w:rsidRPr="00C807F0">
        <w:rPr>
          <w:rFonts w:ascii="Arial" w:hAnsi="Arial" w:cs="Arial"/>
          <w:szCs w:val="24"/>
        </w:rPr>
        <w:t>will likely impact the work and menu of the symposium and focus on sustainability and the carbon footprint of events</w:t>
      </w:r>
      <w:r w:rsidR="00DF6B51" w:rsidRPr="00C807F0">
        <w:rPr>
          <w:rFonts w:ascii="Arial" w:hAnsi="Arial" w:cs="Arial"/>
          <w:szCs w:val="24"/>
          <w:shd w:val="clear" w:color="auto" w:fill="FFFFFF"/>
        </w:rPr>
        <w:t xml:space="preserve"> (Jones, 2017)</w:t>
      </w:r>
      <w:r w:rsidRPr="00C807F0">
        <w:rPr>
          <w:rFonts w:ascii="Arial" w:hAnsi="Arial" w:cs="Arial"/>
          <w:szCs w:val="24"/>
        </w:rPr>
        <w:t>.</w:t>
      </w:r>
    </w:p>
    <w:p w:rsidR="00BF4210" w:rsidRPr="00C807F0" w:rsidRDefault="00E00487" w:rsidP="0015587C">
      <w:pPr>
        <w:pStyle w:val="Heading1"/>
        <w:rPr>
          <w:rFonts w:ascii="Arial" w:hAnsi="Arial" w:cs="Arial"/>
          <w:sz w:val="24"/>
          <w:szCs w:val="24"/>
        </w:rPr>
      </w:pPr>
      <w:bookmarkStart w:id="31" w:name="_Toc167540003"/>
      <w:r w:rsidRPr="00C807F0">
        <w:rPr>
          <w:rFonts w:ascii="Arial" w:hAnsi="Arial" w:cs="Arial"/>
          <w:sz w:val="24"/>
          <w:szCs w:val="24"/>
        </w:rPr>
        <w:t>Cultural and Situational Considerations</w:t>
      </w:r>
      <w:bookmarkEnd w:id="25"/>
      <w:bookmarkEnd w:id="31"/>
    </w:p>
    <w:p w:rsidR="006123EE" w:rsidRPr="00C807F0" w:rsidRDefault="00040521" w:rsidP="006123EE">
      <w:pPr>
        <w:rPr>
          <w:rFonts w:ascii="Arial" w:hAnsi="Arial" w:cs="Arial"/>
          <w:szCs w:val="24"/>
        </w:rPr>
      </w:pPr>
      <w:r w:rsidRPr="00C807F0">
        <w:rPr>
          <w:rFonts w:ascii="Arial" w:hAnsi="Arial" w:cs="Arial"/>
          <w:szCs w:val="24"/>
        </w:rPr>
        <w:t>Different types of people live in London, and they</w:t>
      </w:r>
      <w:r w:rsidR="006123EE" w:rsidRPr="00C807F0">
        <w:rPr>
          <w:rFonts w:ascii="Arial" w:hAnsi="Arial" w:cs="Arial"/>
          <w:szCs w:val="24"/>
        </w:rPr>
        <w:t xml:space="preserve"> come from ethnically diverse backgrounds and have varied dietary preferences. </w:t>
      </w:r>
      <w:r w:rsidR="008A1FE7" w:rsidRPr="00C807F0">
        <w:rPr>
          <w:rFonts w:ascii="Arial" w:hAnsi="Arial" w:cs="Arial"/>
          <w:szCs w:val="24"/>
        </w:rPr>
        <w:t>I</w:t>
      </w:r>
      <w:r w:rsidR="006123EE" w:rsidRPr="00C807F0">
        <w:rPr>
          <w:rFonts w:ascii="Arial" w:hAnsi="Arial" w:cs="Arial"/>
          <w:szCs w:val="24"/>
        </w:rPr>
        <w:t xml:space="preserve">t is necessary to give the choice of </w:t>
      </w:r>
      <w:r w:rsidR="006123EE" w:rsidRPr="00C807F0">
        <w:rPr>
          <w:rFonts w:ascii="Arial" w:hAnsi="Arial" w:cs="Arial"/>
          <w:szCs w:val="24"/>
        </w:rPr>
        <w:lastRenderedPageBreak/>
        <w:t>those who want to have vegetarian, vegan, kosher, or halal food depending on their culture and religion when organi</w:t>
      </w:r>
      <w:r w:rsidRPr="00C807F0">
        <w:rPr>
          <w:rFonts w:ascii="Arial" w:hAnsi="Arial" w:cs="Arial"/>
          <w:szCs w:val="24"/>
        </w:rPr>
        <w:t>s</w:t>
      </w:r>
      <w:r w:rsidR="006123EE" w:rsidRPr="00C807F0">
        <w:rPr>
          <w:rFonts w:ascii="Arial" w:hAnsi="Arial" w:cs="Arial"/>
          <w:szCs w:val="24"/>
        </w:rPr>
        <w:t>ing the technological culinary cuisine tastings and the corresponding catering services (Goldblatt, 2014).Nevertheless, the primary language spoken throughout London is English b</w:t>
      </w:r>
      <w:r w:rsidR="008A1FE7" w:rsidRPr="00C807F0">
        <w:rPr>
          <w:rFonts w:ascii="Arial" w:hAnsi="Arial" w:cs="Arial"/>
          <w:szCs w:val="24"/>
        </w:rPr>
        <w:t>ut</w:t>
      </w:r>
      <w:r w:rsidR="006123EE" w:rsidRPr="00C807F0">
        <w:rPr>
          <w:rFonts w:ascii="Arial" w:hAnsi="Arial" w:cs="Arial"/>
          <w:szCs w:val="24"/>
        </w:rPr>
        <w:t xml:space="preserve"> it is a diverse city with people from different places and cultures. Verbal and written communication should be clear to let all participants, speakers, and exhibitors have active interaction with the content and other symposium events (Getz &amp; Page, 2019). There </w:t>
      </w:r>
      <w:r w:rsidRPr="00C807F0">
        <w:rPr>
          <w:rFonts w:ascii="Arial" w:hAnsi="Arial" w:cs="Arial"/>
          <w:szCs w:val="24"/>
        </w:rPr>
        <w:t xml:space="preserve">is a </w:t>
      </w:r>
      <w:r w:rsidR="006123EE" w:rsidRPr="00C807F0">
        <w:rPr>
          <w:rFonts w:ascii="Arial" w:hAnsi="Arial" w:cs="Arial"/>
          <w:szCs w:val="24"/>
        </w:rPr>
        <w:t>need to offer multilingual or translation support services if communication turns out to be a problem.Each culture has some specific features that should be considered while organi</w:t>
      </w:r>
      <w:r w:rsidRPr="00C807F0">
        <w:rPr>
          <w:rFonts w:ascii="Arial" w:hAnsi="Arial" w:cs="Arial"/>
          <w:szCs w:val="24"/>
        </w:rPr>
        <w:t>s</w:t>
      </w:r>
      <w:r w:rsidR="006123EE" w:rsidRPr="00C807F0">
        <w:rPr>
          <w:rFonts w:ascii="Arial" w:hAnsi="Arial" w:cs="Arial"/>
          <w:szCs w:val="24"/>
        </w:rPr>
        <w:t>ing</w:t>
      </w:r>
      <w:r w:rsidR="00DF6B51" w:rsidRPr="00C807F0">
        <w:rPr>
          <w:rFonts w:ascii="Arial" w:hAnsi="Arial" w:cs="Arial"/>
          <w:szCs w:val="24"/>
        </w:rPr>
        <w:t>an</w:t>
      </w:r>
      <w:r w:rsidR="006123EE" w:rsidRPr="00C807F0">
        <w:rPr>
          <w:rFonts w:ascii="Arial" w:hAnsi="Arial" w:cs="Arial"/>
          <w:szCs w:val="24"/>
        </w:rPr>
        <w:t xml:space="preserve"> event</w:t>
      </w:r>
      <w:r w:rsidR="00DF6B51" w:rsidRPr="00C807F0">
        <w:rPr>
          <w:rFonts w:ascii="Arial" w:hAnsi="Arial" w:cs="Arial"/>
          <w:szCs w:val="24"/>
        </w:rPr>
        <w:t xml:space="preserve"> (</w:t>
      </w:r>
      <w:r w:rsidR="00DF6B51" w:rsidRPr="00C807F0">
        <w:rPr>
          <w:rFonts w:ascii="Arial" w:hAnsi="Arial" w:cs="Arial"/>
          <w:szCs w:val="24"/>
          <w:shd w:val="clear" w:color="auto" w:fill="FFFFFF"/>
        </w:rPr>
        <w:t>Yan and Halpenny, 2019)</w:t>
      </w:r>
      <w:r w:rsidR="006123EE" w:rsidRPr="00C807F0">
        <w:rPr>
          <w:rFonts w:ascii="Arial" w:hAnsi="Arial" w:cs="Arial"/>
          <w:szCs w:val="24"/>
        </w:rPr>
        <w:t>. For instance</w:t>
      </w:r>
      <w:r w:rsidRPr="00C807F0">
        <w:rPr>
          <w:rFonts w:ascii="Arial" w:hAnsi="Arial" w:cs="Arial"/>
          <w:szCs w:val="24"/>
        </w:rPr>
        <w:t>,</w:t>
      </w:r>
      <w:r w:rsidR="006123EE" w:rsidRPr="00C807F0">
        <w:rPr>
          <w:rFonts w:ascii="Arial" w:hAnsi="Arial" w:cs="Arial"/>
          <w:szCs w:val="24"/>
        </w:rPr>
        <w:t xml:space="preserve"> there may be certain customs that need to be adhered to while meeting some special officials or the heads of some special industries</w:t>
      </w:r>
      <w:r w:rsidRPr="00C807F0">
        <w:rPr>
          <w:rFonts w:ascii="Arial" w:hAnsi="Arial" w:cs="Arial"/>
          <w:szCs w:val="24"/>
        </w:rPr>
        <w:t>, and vice versa; there may be some unique approach to the concept of time and its significance,</w:t>
      </w:r>
      <w:r w:rsidR="006123EE" w:rsidRPr="00C807F0">
        <w:rPr>
          <w:rFonts w:ascii="Arial" w:hAnsi="Arial" w:cs="Arial"/>
          <w:szCs w:val="24"/>
        </w:rPr>
        <w:t xml:space="preserve"> amongst others. Being aware of these cultural differences and providing some adjustments can also help to improve the general audience experience and diversity initiatives (Artal-Tur, 2019).</w:t>
      </w:r>
    </w:p>
    <w:p w:rsidR="007E65CD" w:rsidRPr="00C807F0" w:rsidRDefault="005B0109" w:rsidP="00F3760B">
      <w:pPr>
        <w:rPr>
          <w:rFonts w:ascii="Arial" w:hAnsi="Arial" w:cs="Arial"/>
          <w:szCs w:val="24"/>
        </w:rPr>
      </w:pPr>
      <w:r w:rsidRPr="00C807F0">
        <w:rPr>
          <w:rFonts w:ascii="Arial" w:hAnsi="Arial" w:cs="Arial"/>
          <w:szCs w:val="24"/>
        </w:rPr>
        <w:t>The assessment of Freemasons Hall should be in light of access and mobility so that physically disabled individuals and people having problems in mobility can access the venue. This may include such things as accommodation for disabled persons using wheelchairs or other physical disability, special areas for disabled persons, AV aids for the blind and the deaf signs, etc.All the issues pertaining to organi</w:t>
      </w:r>
      <w:r w:rsidR="00040521" w:rsidRPr="00C807F0">
        <w:rPr>
          <w:rFonts w:ascii="Arial" w:hAnsi="Arial" w:cs="Arial"/>
          <w:szCs w:val="24"/>
        </w:rPr>
        <w:t>s</w:t>
      </w:r>
      <w:r w:rsidRPr="00C807F0">
        <w:rPr>
          <w:rFonts w:ascii="Arial" w:hAnsi="Arial" w:cs="Arial"/>
          <w:szCs w:val="24"/>
        </w:rPr>
        <w:t>ing events</w:t>
      </w:r>
      <w:r w:rsidR="00040521" w:rsidRPr="00C807F0">
        <w:rPr>
          <w:rFonts w:ascii="Arial" w:hAnsi="Arial" w:cs="Arial"/>
          <w:szCs w:val="24"/>
        </w:rPr>
        <w:t>, food safety, health and safety, and any other related regulations</w:t>
      </w:r>
      <w:r w:rsidRPr="00C807F0">
        <w:rPr>
          <w:rFonts w:ascii="Arial" w:hAnsi="Arial" w:cs="Arial"/>
          <w:szCs w:val="24"/>
        </w:rPr>
        <w:t xml:space="preserve"> must be taken into consideration by the event organi</w:t>
      </w:r>
      <w:r w:rsidR="00040521" w:rsidRPr="00C807F0">
        <w:rPr>
          <w:rFonts w:ascii="Arial" w:hAnsi="Arial" w:cs="Arial"/>
          <w:szCs w:val="24"/>
        </w:rPr>
        <w:t>s</w:t>
      </w:r>
      <w:r w:rsidRPr="00C807F0">
        <w:rPr>
          <w:rFonts w:ascii="Arial" w:hAnsi="Arial" w:cs="Arial"/>
          <w:szCs w:val="24"/>
        </w:rPr>
        <w:t>ers (Getz &amp; Page, 2019).</w:t>
      </w:r>
      <w:r w:rsidR="007E65CD" w:rsidRPr="00C807F0">
        <w:rPr>
          <w:rFonts w:ascii="Arial" w:hAnsi="Arial" w:cs="Arial"/>
          <w:szCs w:val="24"/>
        </w:rPr>
        <w:br w:type="page"/>
      </w:r>
    </w:p>
    <w:p w:rsidR="006403A8" w:rsidRPr="00C807F0" w:rsidRDefault="006403A8" w:rsidP="00744C6B">
      <w:pPr>
        <w:pStyle w:val="Heading1"/>
        <w:rPr>
          <w:rFonts w:ascii="Arial" w:hAnsi="Arial" w:cs="Arial"/>
          <w:sz w:val="24"/>
          <w:szCs w:val="24"/>
        </w:rPr>
      </w:pPr>
      <w:bookmarkStart w:id="32" w:name="_Toc47086325"/>
      <w:bookmarkStart w:id="33" w:name="_Toc167540004"/>
      <w:r w:rsidRPr="00C807F0">
        <w:rPr>
          <w:rFonts w:ascii="Arial" w:hAnsi="Arial" w:cs="Arial"/>
          <w:sz w:val="24"/>
          <w:szCs w:val="24"/>
        </w:rPr>
        <w:lastRenderedPageBreak/>
        <w:t>Conclusion</w:t>
      </w:r>
      <w:bookmarkEnd w:id="32"/>
      <w:bookmarkEnd w:id="33"/>
    </w:p>
    <w:p w:rsidR="006403A8" w:rsidRPr="00C807F0" w:rsidRDefault="005B0109" w:rsidP="005B0109">
      <w:pPr>
        <w:rPr>
          <w:rFonts w:ascii="Arial" w:hAnsi="Arial" w:cs="Arial"/>
          <w:szCs w:val="24"/>
        </w:rPr>
      </w:pPr>
      <w:r w:rsidRPr="00C807F0">
        <w:rPr>
          <w:rFonts w:ascii="Arial" w:hAnsi="Arial" w:cs="Arial"/>
          <w:szCs w:val="24"/>
        </w:rPr>
        <w:t>In conclusion, the potential association of dining and technology in the context of the hospitality industry can be a great opportunity for the discussion in the “Future of Dining Symposium”. Areas considered in this feasibility study include event concept, operations, budgeting, trends, and culture.By actively engaging in and being deliberate and conscious about these elements, the organi</w:t>
      </w:r>
      <w:r w:rsidR="00040521" w:rsidRPr="00C807F0">
        <w:rPr>
          <w:rFonts w:ascii="Arial" w:hAnsi="Arial" w:cs="Arial"/>
          <w:szCs w:val="24"/>
        </w:rPr>
        <w:t>s</w:t>
      </w:r>
      <w:r w:rsidRPr="00C807F0">
        <w:rPr>
          <w:rFonts w:ascii="Arial" w:hAnsi="Arial" w:cs="Arial"/>
          <w:szCs w:val="24"/>
        </w:rPr>
        <w:t xml:space="preserve">ers can plan and execute the event in a way that is interactive, innovative, and mindful of cultural references and fulfillments. </w:t>
      </w:r>
      <w:r w:rsidR="008A1FE7" w:rsidRPr="00C807F0">
        <w:rPr>
          <w:rFonts w:ascii="Arial" w:hAnsi="Arial" w:cs="Arial"/>
          <w:szCs w:val="24"/>
        </w:rPr>
        <w:t xml:space="preserve">The event </w:t>
      </w:r>
      <w:r w:rsidRPr="00C807F0">
        <w:rPr>
          <w:rFonts w:ascii="Arial" w:hAnsi="Arial" w:cs="Arial"/>
          <w:szCs w:val="24"/>
        </w:rPr>
        <w:t xml:space="preserve">can contribute to knowledge transfer, focus on the most advanced technologies, </w:t>
      </w:r>
      <w:r w:rsidR="00040521" w:rsidRPr="00C807F0">
        <w:rPr>
          <w:rFonts w:ascii="Arial" w:hAnsi="Arial" w:cs="Arial"/>
          <w:szCs w:val="24"/>
        </w:rPr>
        <w:t xml:space="preserve">and </w:t>
      </w:r>
      <w:r w:rsidRPr="00C807F0">
        <w:rPr>
          <w:rFonts w:ascii="Arial" w:hAnsi="Arial" w:cs="Arial"/>
          <w:szCs w:val="24"/>
        </w:rPr>
        <w:t>promote sustainable development</w:t>
      </w:r>
      <w:r w:rsidR="00040521" w:rsidRPr="00C807F0">
        <w:rPr>
          <w:rFonts w:ascii="Arial" w:hAnsi="Arial" w:cs="Arial"/>
          <w:szCs w:val="24"/>
        </w:rPr>
        <w:t>,</w:t>
      </w:r>
      <w:r w:rsidR="00A462FF" w:rsidRPr="00C807F0">
        <w:rPr>
          <w:rFonts w:ascii="Arial" w:hAnsi="Arial" w:cs="Arial"/>
          <w:szCs w:val="24"/>
        </w:rPr>
        <w:t>resulting</w:t>
      </w:r>
      <w:r w:rsidR="00040521" w:rsidRPr="00C807F0">
        <w:rPr>
          <w:rFonts w:ascii="Arial" w:hAnsi="Arial" w:cs="Arial"/>
          <w:szCs w:val="24"/>
        </w:rPr>
        <w:t xml:space="preserve">in </w:t>
      </w:r>
      <w:r w:rsidRPr="00C807F0">
        <w:rPr>
          <w:rFonts w:ascii="Arial" w:hAnsi="Arial" w:cs="Arial"/>
          <w:szCs w:val="24"/>
        </w:rPr>
        <w:t>helpful and positive for all industry workers, technology experts, and foodies alike.If the planning is done strategically</w:t>
      </w:r>
      <w:r w:rsidR="00040521" w:rsidRPr="00C807F0">
        <w:rPr>
          <w:rFonts w:ascii="Arial" w:hAnsi="Arial" w:cs="Arial"/>
          <w:szCs w:val="24"/>
        </w:rPr>
        <w:t>,</w:t>
      </w:r>
      <w:r w:rsidRPr="00C807F0">
        <w:rPr>
          <w:rFonts w:ascii="Arial" w:hAnsi="Arial" w:cs="Arial"/>
          <w:szCs w:val="24"/>
        </w:rPr>
        <w:t xml:space="preserve"> execution is efficient, and the team is willing to face the challenges of culture and situation, then the “Future of Dining Symposium” is capable of changing the future of the industry, driving innovation, and creati</w:t>
      </w:r>
      <w:r w:rsidR="00040521" w:rsidRPr="00C807F0">
        <w:rPr>
          <w:rFonts w:ascii="Arial" w:hAnsi="Arial" w:cs="Arial"/>
          <w:szCs w:val="24"/>
        </w:rPr>
        <w:t>ng</w:t>
      </w:r>
      <w:r w:rsidRPr="00C807F0">
        <w:rPr>
          <w:rFonts w:ascii="Arial" w:hAnsi="Arial" w:cs="Arial"/>
          <w:szCs w:val="24"/>
        </w:rPr>
        <w:t xml:space="preserve"> values for all the participants successfully. </w:t>
      </w:r>
      <w:r w:rsidR="006403A8" w:rsidRPr="00C807F0">
        <w:rPr>
          <w:rFonts w:ascii="Arial" w:hAnsi="Arial" w:cs="Arial"/>
          <w:szCs w:val="24"/>
        </w:rPr>
        <w:br w:type="page"/>
      </w:r>
    </w:p>
    <w:p w:rsidR="00040521" w:rsidRPr="00C807F0" w:rsidRDefault="006403A8" w:rsidP="008236F7">
      <w:pPr>
        <w:pStyle w:val="Heading1"/>
        <w:rPr>
          <w:rFonts w:ascii="Arial" w:hAnsi="Arial" w:cs="Arial"/>
          <w:sz w:val="24"/>
          <w:szCs w:val="24"/>
        </w:rPr>
      </w:pPr>
      <w:bookmarkStart w:id="34" w:name="_Toc47086326"/>
      <w:bookmarkStart w:id="35" w:name="_Toc167540005"/>
      <w:r w:rsidRPr="00C807F0">
        <w:rPr>
          <w:rFonts w:ascii="Arial" w:hAnsi="Arial" w:cs="Arial"/>
          <w:sz w:val="24"/>
          <w:szCs w:val="24"/>
        </w:rPr>
        <w:lastRenderedPageBreak/>
        <w:t>References</w:t>
      </w:r>
      <w:bookmarkEnd w:id="34"/>
      <w:bookmarkEnd w:id="35"/>
    </w:p>
    <w:p w:rsidR="006138BE" w:rsidRPr="00C807F0" w:rsidRDefault="006138BE" w:rsidP="003A77F8">
      <w:pPr>
        <w:rPr>
          <w:rFonts w:ascii="Arial" w:hAnsi="Arial" w:cs="Arial"/>
          <w:szCs w:val="24"/>
          <w:shd w:val="clear" w:color="auto" w:fill="FFFFFF"/>
        </w:rPr>
      </w:pPr>
      <w:r w:rsidRPr="00C807F0">
        <w:rPr>
          <w:rFonts w:ascii="Arial" w:hAnsi="Arial" w:cs="Arial"/>
          <w:szCs w:val="24"/>
          <w:shd w:val="clear" w:color="auto" w:fill="FFFFFF"/>
        </w:rPr>
        <w:t>Abson, E., Bladen, C., Kennel, J. and Wilde, N., 2012. Events Management: An Introduction. </w:t>
      </w:r>
      <w:r w:rsidRPr="00C807F0">
        <w:rPr>
          <w:rFonts w:ascii="Arial" w:hAnsi="Arial" w:cs="Arial"/>
          <w:i/>
          <w:iCs/>
          <w:szCs w:val="24"/>
          <w:shd w:val="clear" w:color="auto" w:fill="FFFFFF"/>
        </w:rPr>
        <w:t>Oxon: Routledge</w:t>
      </w:r>
      <w:r w:rsidRPr="00C807F0">
        <w:rPr>
          <w:rFonts w:ascii="Arial" w:hAnsi="Arial" w:cs="Arial"/>
          <w:szCs w:val="24"/>
          <w:shd w:val="clear" w:color="auto" w:fill="FFFFFF"/>
        </w:rPr>
        <w:t>.</w:t>
      </w:r>
    </w:p>
    <w:p w:rsidR="006138BE" w:rsidRPr="00C807F0" w:rsidRDefault="006138BE" w:rsidP="003A77F8">
      <w:pPr>
        <w:rPr>
          <w:rFonts w:ascii="Arial" w:hAnsi="Arial" w:cs="Arial"/>
          <w:szCs w:val="24"/>
          <w:shd w:val="clear" w:color="auto" w:fill="FFFFFF"/>
        </w:rPr>
      </w:pPr>
      <w:r w:rsidRPr="00C807F0">
        <w:rPr>
          <w:rFonts w:ascii="Arial" w:hAnsi="Arial" w:cs="Arial"/>
          <w:szCs w:val="24"/>
          <w:shd w:val="clear" w:color="auto" w:fill="FFFFFF"/>
        </w:rPr>
        <w:t>Allen, J., 2008. Event planning: The ultimate guide to successful meetings, corporate events, fundraising galas, conferences, conventions, incentives and other special events. John Wiley &amp; Sons.</w:t>
      </w:r>
    </w:p>
    <w:p w:rsidR="006138BE" w:rsidRPr="00C807F0" w:rsidRDefault="006138BE" w:rsidP="003A77F8">
      <w:pPr>
        <w:rPr>
          <w:rFonts w:ascii="Arial" w:hAnsi="Arial" w:cs="Arial"/>
          <w:szCs w:val="24"/>
        </w:rPr>
      </w:pPr>
      <w:r w:rsidRPr="00C807F0">
        <w:rPr>
          <w:rFonts w:ascii="Arial" w:hAnsi="Arial" w:cs="Arial"/>
          <w:szCs w:val="24"/>
          <w:shd w:val="clear" w:color="auto" w:fill="FFFFFF"/>
        </w:rPr>
        <w:t>Allen, J., Harris, R. and Jago, L., 2022. Festival &amp; special event management. John Wiley &amp; Sons.</w:t>
      </w:r>
    </w:p>
    <w:p w:rsidR="006138BE" w:rsidRPr="00C807F0" w:rsidRDefault="006138BE" w:rsidP="003A77F8">
      <w:pPr>
        <w:rPr>
          <w:rFonts w:ascii="Arial" w:hAnsi="Arial" w:cs="Arial"/>
          <w:szCs w:val="24"/>
          <w:shd w:val="clear" w:color="auto" w:fill="FFFFFF"/>
        </w:rPr>
      </w:pPr>
      <w:r w:rsidRPr="00C807F0">
        <w:rPr>
          <w:rFonts w:ascii="Arial" w:hAnsi="Arial" w:cs="Arial"/>
          <w:szCs w:val="24"/>
          <w:shd w:val="clear" w:color="auto" w:fill="FFFFFF"/>
        </w:rPr>
        <w:t>Artal-Tur, A., 2019. Introduction: New Technologies and Innovation In the Tourism and Hospitality Sectors. </w:t>
      </w:r>
      <w:r w:rsidRPr="00C807F0">
        <w:rPr>
          <w:rFonts w:ascii="Arial" w:hAnsi="Arial" w:cs="Arial"/>
          <w:i/>
          <w:iCs/>
          <w:szCs w:val="24"/>
          <w:shd w:val="clear" w:color="auto" w:fill="FFFFFF"/>
        </w:rPr>
        <w:t>Tourism Analysis</w:t>
      </w:r>
      <w:r w:rsidRPr="00C807F0">
        <w:rPr>
          <w:rFonts w:ascii="Arial" w:hAnsi="Arial" w:cs="Arial"/>
          <w:szCs w:val="24"/>
          <w:shd w:val="clear" w:color="auto" w:fill="FFFFFF"/>
        </w:rPr>
        <w:t>, </w:t>
      </w:r>
      <w:r w:rsidRPr="00C807F0">
        <w:rPr>
          <w:rFonts w:ascii="Arial" w:hAnsi="Arial" w:cs="Arial"/>
          <w:i/>
          <w:iCs/>
          <w:szCs w:val="24"/>
          <w:shd w:val="clear" w:color="auto" w:fill="FFFFFF"/>
        </w:rPr>
        <w:t>24</w:t>
      </w:r>
      <w:r w:rsidRPr="00C807F0">
        <w:rPr>
          <w:rFonts w:ascii="Arial" w:hAnsi="Arial" w:cs="Arial"/>
          <w:szCs w:val="24"/>
          <w:shd w:val="clear" w:color="auto" w:fill="FFFFFF"/>
        </w:rPr>
        <w:t>(1), p.1.</w:t>
      </w:r>
    </w:p>
    <w:p w:rsidR="006138BE" w:rsidRPr="00C807F0" w:rsidRDefault="006138BE" w:rsidP="003A77F8">
      <w:pPr>
        <w:rPr>
          <w:rFonts w:ascii="Arial" w:hAnsi="Arial" w:cs="Arial"/>
          <w:szCs w:val="24"/>
        </w:rPr>
      </w:pPr>
      <w:r w:rsidRPr="00C807F0">
        <w:rPr>
          <w:rFonts w:ascii="Arial" w:hAnsi="Arial" w:cs="Arial"/>
          <w:szCs w:val="24"/>
          <w:shd w:val="clear" w:color="auto" w:fill="FFFFFF"/>
        </w:rPr>
        <w:t>Bowdin, G., Allen, J., Harris, R., McDonnell, I. and O’toole, W., 2012. </w:t>
      </w:r>
      <w:r w:rsidRPr="00C807F0">
        <w:rPr>
          <w:rFonts w:ascii="Arial" w:hAnsi="Arial" w:cs="Arial"/>
          <w:i/>
          <w:iCs/>
          <w:szCs w:val="24"/>
          <w:shd w:val="clear" w:color="auto" w:fill="FFFFFF"/>
        </w:rPr>
        <w:t>Events management</w:t>
      </w:r>
      <w:r w:rsidRPr="00C807F0">
        <w:rPr>
          <w:rFonts w:ascii="Arial" w:hAnsi="Arial" w:cs="Arial"/>
          <w:szCs w:val="24"/>
          <w:shd w:val="clear" w:color="auto" w:fill="FFFFFF"/>
        </w:rPr>
        <w:t>. Routledge.</w:t>
      </w:r>
    </w:p>
    <w:p w:rsidR="006138BE" w:rsidRPr="00C807F0" w:rsidRDefault="006138BE" w:rsidP="00B17F9E">
      <w:pPr>
        <w:rPr>
          <w:rFonts w:ascii="Arial" w:hAnsi="Arial" w:cs="Arial"/>
          <w:szCs w:val="24"/>
          <w:shd w:val="clear" w:color="auto" w:fill="FFFFFF"/>
        </w:rPr>
      </w:pPr>
      <w:r w:rsidRPr="00C807F0">
        <w:rPr>
          <w:rFonts w:ascii="Arial" w:hAnsi="Arial" w:cs="Arial"/>
          <w:szCs w:val="24"/>
          <w:shd w:val="clear" w:color="auto" w:fill="FFFFFF"/>
        </w:rPr>
        <w:t>Creazza, A., Colicchia, C. and Dallari, F., 2015. Designing the venue logistics management operations for a World Exposition. </w:t>
      </w:r>
      <w:r w:rsidRPr="00C807F0">
        <w:rPr>
          <w:rFonts w:ascii="Arial" w:hAnsi="Arial" w:cs="Arial"/>
          <w:i/>
          <w:iCs/>
          <w:szCs w:val="24"/>
          <w:shd w:val="clear" w:color="auto" w:fill="FFFFFF"/>
        </w:rPr>
        <w:t>Production planning &amp; control</w:t>
      </w:r>
      <w:r w:rsidRPr="00C807F0">
        <w:rPr>
          <w:rFonts w:ascii="Arial" w:hAnsi="Arial" w:cs="Arial"/>
          <w:szCs w:val="24"/>
          <w:shd w:val="clear" w:color="auto" w:fill="FFFFFF"/>
        </w:rPr>
        <w:t>, </w:t>
      </w:r>
      <w:r w:rsidRPr="00C807F0">
        <w:rPr>
          <w:rFonts w:ascii="Arial" w:hAnsi="Arial" w:cs="Arial"/>
          <w:i/>
          <w:iCs/>
          <w:szCs w:val="24"/>
          <w:shd w:val="clear" w:color="auto" w:fill="FFFFFF"/>
        </w:rPr>
        <w:t>26</w:t>
      </w:r>
      <w:r w:rsidRPr="00C807F0">
        <w:rPr>
          <w:rFonts w:ascii="Arial" w:hAnsi="Arial" w:cs="Arial"/>
          <w:szCs w:val="24"/>
          <w:shd w:val="clear" w:color="auto" w:fill="FFFFFF"/>
        </w:rPr>
        <w:t>(7), pp.543-563.</w:t>
      </w:r>
    </w:p>
    <w:p w:rsidR="006138BE" w:rsidRPr="00C807F0" w:rsidRDefault="006138BE" w:rsidP="003A77F8">
      <w:pPr>
        <w:rPr>
          <w:rFonts w:ascii="Arial" w:hAnsi="Arial" w:cs="Arial"/>
          <w:szCs w:val="24"/>
          <w:shd w:val="clear" w:color="auto" w:fill="FFFFFF"/>
        </w:rPr>
      </w:pPr>
      <w:r w:rsidRPr="00C807F0">
        <w:rPr>
          <w:rFonts w:ascii="Arial" w:hAnsi="Arial" w:cs="Arial"/>
          <w:szCs w:val="24"/>
          <w:shd w:val="clear" w:color="auto" w:fill="FFFFFF"/>
        </w:rPr>
        <w:t>D’Souza, E. and D’Souza, K., 2023. A study on the impact of innovative technologies in the hospitality industry. </w:t>
      </w:r>
      <w:r w:rsidRPr="00C807F0">
        <w:rPr>
          <w:rFonts w:ascii="Arial" w:hAnsi="Arial" w:cs="Arial"/>
          <w:i/>
          <w:iCs/>
          <w:szCs w:val="24"/>
          <w:shd w:val="clear" w:color="auto" w:fill="FFFFFF"/>
        </w:rPr>
        <w:t>Journal of Tourism, Hospitality and Culinary Arts</w:t>
      </w:r>
      <w:r w:rsidRPr="00C807F0">
        <w:rPr>
          <w:rFonts w:ascii="Arial" w:hAnsi="Arial" w:cs="Arial"/>
          <w:szCs w:val="24"/>
          <w:shd w:val="clear" w:color="auto" w:fill="FFFFFF"/>
        </w:rPr>
        <w:t>, </w:t>
      </w:r>
      <w:r w:rsidRPr="00C807F0">
        <w:rPr>
          <w:rFonts w:ascii="Arial" w:hAnsi="Arial" w:cs="Arial"/>
          <w:i/>
          <w:iCs/>
          <w:szCs w:val="24"/>
          <w:shd w:val="clear" w:color="auto" w:fill="FFFFFF"/>
        </w:rPr>
        <w:t>15</w:t>
      </w:r>
      <w:r w:rsidRPr="00C807F0">
        <w:rPr>
          <w:rFonts w:ascii="Arial" w:hAnsi="Arial" w:cs="Arial"/>
          <w:szCs w:val="24"/>
          <w:shd w:val="clear" w:color="auto" w:fill="FFFFFF"/>
        </w:rPr>
        <w:t>(1), pp.1-23.</w:t>
      </w:r>
    </w:p>
    <w:p w:rsidR="006138BE" w:rsidRPr="00C807F0" w:rsidRDefault="006138BE" w:rsidP="003A77F8">
      <w:pPr>
        <w:rPr>
          <w:rFonts w:ascii="Arial" w:hAnsi="Arial" w:cs="Arial"/>
          <w:szCs w:val="24"/>
          <w:shd w:val="clear" w:color="auto" w:fill="FFFFFF"/>
        </w:rPr>
      </w:pPr>
      <w:r w:rsidRPr="00C807F0">
        <w:rPr>
          <w:rFonts w:ascii="Arial" w:hAnsi="Arial" w:cs="Arial"/>
          <w:szCs w:val="24"/>
          <w:shd w:val="clear" w:color="auto" w:fill="FFFFFF"/>
        </w:rPr>
        <w:t>Dzhandzhugazova, E.A., Blinova, E.A., Orlova, L.N. and Romanova, M.M., 2016. Innovations in hospitality industry. </w:t>
      </w:r>
      <w:r w:rsidRPr="00C807F0">
        <w:rPr>
          <w:rFonts w:ascii="Arial" w:hAnsi="Arial" w:cs="Arial"/>
          <w:i/>
          <w:iCs/>
          <w:szCs w:val="24"/>
          <w:shd w:val="clear" w:color="auto" w:fill="FFFFFF"/>
        </w:rPr>
        <w:t>International Journal of Environmental and Science Education</w:t>
      </w:r>
      <w:r w:rsidRPr="00C807F0">
        <w:rPr>
          <w:rFonts w:ascii="Arial" w:hAnsi="Arial" w:cs="Arial"/>
          <w:szCs w:val="24"/>
          <w:shd w:val="clear" w:color="auto" w:fill="FFFFFF"/>
        </w:rPr>
        <w:t>, </w:t>
      </w:r>
      <w:r w:rsidRPr="00C807F0">
        <w:rPr>
          <w:rFonts w:ascii="Arial" w:hAnsi="Arial" w:cs="Arial"/>
          <w:i/>
          <w:iCs/>
          <w:szCs w:val="24"/>
          <w:shd w:val="clear" w:color="auto" w:fill="FFFFFF"/>
        </w:rPr>
        <w:t>11</w:t>
      </w:r>
      <w:r w:rsidRPr="00C807F0">
        <w:rPr>
          <w:rFonts w:ascii="Arial" w:hAnsi="Arial" w:cs="Arial"/>
          <w:szCs w:val="24"/>
          <w:shd w:val="clear" w:color="auto" w:fill="FFFFFF"/>
        </w:rPr>
        <w:t>(17), pp.10387-10400.</w:t>
      </w:r>
    </w:p>
    <w:p w:rsidR="006138BE" w:rsidRPr="00C807F0" w:rsidRDefault="006138BE" w:rsidP="003A77F8">
      <w:pPr>
        <w:rPr>
          <w:rFonts w:ascii="Arial" w:hAnsi="Arial" w:cs="Arial"/>
          <w:szCs w:val="24"/>
        </w:rPr>
      </w:pPr>
      <w:r w:rsidRPr="00C807F0">
        <w:rPr>
          <w:rFonts w:ascii="Arial" w:hAnsi="Arial" w:cs="Arial"/>
          <w:szCs w:val="24"/>
          <w:shd w:val="clear" w:color="auto" w:fill="FFFFFF"/>
        </w:rPr>
        <w:t>Fenich, G.G., 2016. Meetings, expositions, events, and conventions: An introduction to the industry. Pearson.</w:t>
      </w:r>
    </w:p>
    <w:p w:rsidR="006138BE" w:rsidRPr="00C807F0" w:rsidRDefault="006138BE" w:rsidP="003A77F8">
      <w:pPr>
        <w:rPr>
          <w:rFonts w:ascii="Arial" w:hAnsi="Arial" w:cs="Arial"/>
          <w:szCs w:val="24"/>
        </w:rPr>
      </w:pPr>
      <w:r w:rsidRPr="00C807F0">
        <w:rPr>
          <w:rFonts w:ascii="Arial" w:hAnsi="Arial" w:cs="Arial"/>
          <w:szCs w:val="24"/>
          <w:shd w:val="clear" w:color="auto" w:fill="FFFFFF"/>
        </w:rPr>
        <w:t>Getz, D. and Page, S.J., 2019. Event studies: Theory, research and policy for planned events. Routledge.</w:t>
      </w:r>
    </w:p>
    <w:p w:rsidR="006138BE" w:rsidRPr="00C807F0" w:rsidRDefault="006138BE" w:rsidP="003A77F8">
      <w:pPr>
        <w:rPr>
          <w:rFonts w:ascii="Arial" w:hAnsi="Arial" w:cs="Arial"/>
          <w:szCs w:val="24"/>
        </w:rPr>
      </w:pPr>
      <w:r w:rsidRPr="00C807F0">
        <w:rPr>
          <w:rFonts w:ascii="Arial" w:hAnsi="Arial" w:cs="Arial"/>
          <w:szCs w:val="24"/>
        </w:rPr>
        <w:t>Goldblatt, J. J., 2014. Special events: Creating and sustaining a new world for celebration (7th ed.). John Wiley &amp; Sons.</w:t>
      </w:r>
    </w:p>
    <w:p w:rsidR="006138BE" w:rsidRPr="00C807F0" w:rsidRDefault="006138BE" w:rsidP="003A77F8">
      <w:pPr>
        <w:rPr>
          <w:rFonts w:ascii="Arial" w:hAnsi="Arial" w:cs="Arial"/>
          <w:szCs w:val="24"/>
        </w:rPr>
      </w:pPr>
      <w:r w:rsidRPr="00C807F0">
        <w:rPr>
          <w:rFonts w:ascii="Arial" w:hAnsi="Arial" w:cs="Arial"/>
          <w:szCs w:val="24"/>
        </w:rPr>
        <w:lastRenderedPageBreak/>
        <w:t xml:space="preserve">Grandviewresearch., (2023). </w:t>
      </w:r>
      <w:r w:rsidRPr="00C807F0">
        <w:rPr>
          <w:rFonts w:ascii="Arial" w:hAnsi="Arial" w:cs="Arial"/>
          <w:i/>
          <w:iCs/>
          <w:szCs w:val="24"/>
        </w:rPr>
        <w:t>Global Restaurant Management Software Market Report, 2030</w:t>
      </w:r>
      <w:r w:rsidRPr="00C807F0">
        <w:rPr>
          <w:rFonts w:ascii="Arial" w:hAnsi="Arial" w:cs="Arial"/>
          <w:szCs w:val="24"/>
        </w:rPr>
        <w:t xml:space="preserve">. [online] Available at: </w:t>
      </w:r>
      <w:hyperlink r:id="rId21" w:history="1">
        <w:r w:rsidRPr="00C807F0">
          <w:rPr>
            <w:rStyle w:val="Hyperlink"/>
            <w:rFonts w:ascii="Arial" w:hAnsi="Arial" w:cs="Arial"/>
            <w:szCs w:val="24"/>
          </w:rPr>
          <w:t>https://www.grandviewresearch.com/industry-analysis/restaurant-management-software-market</w:t>
        </w:r>
      </w:hyperlink>
      <w:r w:rsidRPr="00C807F0">
        <w:rPr>
          <w:rFonts w:ascii="Arial" w:hAnsi="Arial" w:cs="Arial"/>
          <w:szCs w:val="24"/>
        </w:rPr>
        <w:t>.</w:t>
      </w:r>
    </w:p>
    <w:p w:rsidR="006138BE" w:rsidRPr="00C807F0" w:rsidRDefault="006138BE" w:rsidP="003A77F8">
      <w:pPr>
        <w:rPr>
          <w:rFonts w:ascii="Arial" w:hAnsi="Arial" w:cs="Arial"/>
          <w:szCs w:val="24"/>
        </w:rPr>
      </w:pPr>
      <w:r w:rsidRPr="00C807F0">
        <w:rPr>
          <w:rFonts w:ascii="Arial" w:hAnsi="Arial" w:cs="Arial"/>
          <w:szCs w:val="24"/>
          <w:shd w:val="clear" w:color="auto" w:fill="FFFFFF"/>
        </w:rPr>
        <w:t>Jeon, M.M., Robson, L., Colina, F. and Coleman, L.J., 2023. Impacts of the Covid-19 Pandemic on Risk Perception and Behaviors of Small Life Cycle Event Attendees. </w:t>
      </w:r>
      <w:r w:rsidRPr="00C807F0">
        <w:rPr>
          <w:rFonts w:ascii="Arial" w:hAnsi="Arial" w:cs="Arial"/>
          <w:i/>
          <w:iCs/>
          <w:szCs w:val="24"/>
          <w:shd w:val="clear" w:color="auto" w:fill="FFFFFF"/>
        </w:rPr>
        <w:t>Event Management</w:t>
      </w:r>
      <w:r w:rsidRPr="00C807F0">
        <w:rPr>
          <w:rFonts w:ascii="Arial" w:hAnsi="Arial" w:cs="Arial"/>
          <w:szCs w:val="24"/>
          <w:shd w:val="clear" w:color="auto" w:fill="FFFFFF"/>
        </w:rPr>
        <w:t>, </w:t>
      </w:r>
      <w:r w:rsidRPr="00C807F0">
        <w:rPr>
          <w:rFonts w:ascii="Arial" w:hAnsi="Arial" w:cs="Arial"/>
          <w:i/>
          <w:iCs/>
          <w:szCs w:val="24"/>
          <w:shd w:val="clear" w:color="auto" w:fill="FFFFFF"/>
        </w:rPr>
        <w:t>27</w:t>
      </w:r>
      <w:r w:rsidRPr="00C807F0">
        <w:rPr>
          <w:rFonts w:ascii="Arial" w:hAnsi="Arial" w:cs="Arial"/>
          <w:szCs w:val="24"/>
          <w:shd w:val="clear" w:color="auto" w:fill="FFFFFF"/>
        </w:rPr>
        <w:t>(3), pp.389-405.</w:t>
      </w:r>
    </w:p>
    <w:p w:rsidR="006138BE" w:rsidRPr="00C807F0" w:rsidRDefault="006138BE" w:rsidP="008236F7">
      <w:pPr>
        <w:rPr>
          <w:rFonts w:ascii="Arial" w:hAnsi="Arial" w:cs="Arial"/>
          <w:szCs w:val="24"/>
          <w:shd w:val="clear" w:color="auto" w:fill="FFFFFF"/>
        </w:rPr>
      </w:pPr>
      <w:r w:rsidRPr="00C807F0">
        <w:rPr>
          <w:rFonts w:ascii="Arial" w:hAnsi="Arial" w:cs="Arial"/>
          <w:szCs w:val="24"/>
          <w:shd w:val="clear" w:color="auto" w:fill="FFFFFF"/>
        </w:rPr>
        <w:t>Jones, M., 2017. Sustainable event management: A practical guide. Routledge.</w:t>
      </w:r>
    </w:p>
    <w:p w:rsidR="006138BE" w:rsidRPr="00C807F0" w:rsidRDefault="006138BE" w:rsidP="003A77F8">
      <w:pPr>
        <w:rPr>
          <w:rFonts w:ascii="Arial" w:hAnsi="Arial" w:cs="Arial"/>
          <w:szCs w:val="24"/>
          <w:shd w:val="clear" w:color="auto" w:fill="FFFFFF"/>
        </w:rPr>
      </w:pPr>
      <w:r w:rsidRPr="00C807F0">
        <w:rPr>
          <w:rFonts w:ascii="Arial" w:hAnsi="Arial" w:cs="Arial"/>
          <w:szCs w:val="24"/>
          <w:shd w:val="clear" w:color="auto" w:fill="FFFFFF"/>
        </w:rPr>
        <w:t>Kazandzhieva, V., Ilieva, G. and Filipova, H., 2017. The impact of technological innovations on hospitality service. </w:t>
      </w:r>
      <w:r w:rsidRPr="00C807F0">
        <w:rPr>
          <w:rFonts w:ascii="Arial" w:hAnsi="Arial" w:cs="Arial"/>
          <w:i/>
          <w:iCs/>
          <w:szCs w:val="24"/>
          <w:shd w:val="clear" w:color="auto" w:fill="FFFFFF"/>
        </w:rPr>
        <w:t>Contemporary Tourism-Traditions and Innovations, Sofia University</w:t>
      </w:r>
      <w:r w:rsidRPr="00C807F0">
        <w:rPr>
          <w:rFonts w:ascii="Arial" w:hAnsi="Arial" w:cs="Arial"/>
          <w:szCs w:val="24"/>
          <w:shd w:val="clear" w:color="auto" w:fill="FFFFFF"/>
        </w:rPr>
        <w:t>.</w:t>
      </w:r>
    </w:p>
    <w:p w:rsidR="006138BE" w:rsidRPr="00C807F0" w:rsidRDefault="006138BE" w:rsidP="003A77F8">
      <w:pPr>
        <w:rPr>
          <w:rFonts w:ascii="Arial" w:hAnsi="Arial" w:cs="Arial"/>
          <w:szCs w:val="24"/>
        </w:rPr>
      </w:pPr>
      <w:r w:rsidRPr="00C807F0">
        <w:rPr>
          <w:rFonts w:ascii="Arial" w:hAnsi="Arial" w:cs="Arial"/>
          <w:szCs w:val="24"/>
          <w:shd w:val="clear" w:color="auto" w:fill="FFFFFF"/>
        </w:rPr>
        <w:t>Quick, L., 2020. Managing events: Real challenges, real outcomes.</w:t>
      </w:r>
    </w:p>
    <w:p w:rsidR="006138BE" w:rsidRPr="00C807F0" w:rsidRDefault="006138BE" w:rsidP="00FD5613">
      <w:pPr>
        <w:rPr>
          <w:rFonts w:ascii="Arial" w:hAnsi="Arial" w:cs="Arial"/>
          <w:szCs w:val="24"/>
        </w:rPr>
      </w:pPr>
      <w:r w:rsidRPr="00C807F0">
        <w:rPr>
          <w:rFonts w:ascii="Arial" w:hAnsi="Arial" w:cs="Arial"/>
          <w:szCs w:val="24"/>
          <w:shd w:val="clear" w:color="auto" w:fill="FFFFFF"/>
        </w:rPr>
        <w:t>Reic, I., 2016. Events marketing management: A consumer perspective. Routledge.</w:t>
      </w:r>
    </w:p>
    <w:p w:rsidR="006138BE" w:rsidRPr="00C807F0" w:rsidRDefault="006138BE" w:rsidP="003A77F8">
      <w:pPr>
        <w:rPr>
          <w:rFonts w:ascii="Arial" w:hAnsi="Arial" w:cs="Arial"/>
          <w:szCs w:val="24"/>
          <w:shd w:val="clear" w:color="auto" w:fill="FFFFFF"/>
        </w:rPr>
      </w:pPr>
      <w:r w:rsidRPr="00C807F0">
        <w:rPr>
          <w:rFonts w:ascii="Arial" w:hAnsi="Arial" w:cs="Arial"/>
          <w:szCs w:val="24"/>
          <w:shd w:val="clear" w:color="auto" w:fill="FFFFFF"/>
        </w:rPr>
        <w:t>Thakur, A., 2022. Technological innovations in the hospitality and tourism industry. In </w:t>
      </w:r>
      <w:r w:rsidRPr="00C807F0">
        <w:rPr>
          <w:rFonts w:ascii="Arial" w:hAnsi="Arial" w:cs="Arial"/>
          <w:i/>
          <w:iCs/>
          <w:szCs w:val="24"/>
          <w:shd w:val="clear" w:color="auto" w:fill="FFFFFF"/>
        </w:rPr>
        <w:t>Mobile computing and technology applications in tourism and hospitality</w:t>
      </w:r>
      <w:r w:rsidRPr="00C807F0">
        <w:rPr>
          <w:rFonts w:ascii="Arial" w:hAnsi="Arial" w:cs="Arial"/>
          <w:szCs w:val="24"/>
          <w:shd w:val="clear" w:color="auto" w:fill="FFFFFF"/>
        </w:rPr>
        <w:t> (pp. 72-97). IGI Global.</w:t>
      </w:r>
    </w:p>
    <w:p w:rsidR="006138BE" w:rsidRPr="00C807F0" w:rsidRDefault="006138BE" w:rsidP="003C40DE">
      <w:pPr>
        <w:rPr>
          <w:rFonts w:ascii="Arial" w:hAnsi="Arial" w:cs="Arial"/>
          <w:szCs w:val="24"/>
          <w:shd w:val="clear" w:color="auto" w:fill="FFFFFF"/>
        </w:rPr>
      </w:pPr>
      <w:r w:rsidRPr="00C807F0">
        <w:rPr>
          <w:rFonts w:ascii="Arial" w:hAnsi="Arial" w:cs="Arial"/>
          <w:szCs w:val="24"/>
          <w:shd w:val="clear" w:color="auto" w:fill="FFFFFF"/>
        </w:rPr>
        <w:t>Woźniak, J. and Fill, K., 2018. Logistic Organization of Mass Events in the Light of SWOT Analysis-Case Study. </w:t>
      </w:r>
      <w:r w:rsidRPr="00C807F0">
        <w:rPr>
          <w:rFonts w:ascii="Arial" w:hAnsi="Arial" w:cs="Arial"/>
          <w:i/>
          <w:iCs/>
          <w:szCs w:val="24"/>
          <w:shd w:val="clear" w:color="auto" w:fill="FFFFFF"/>
        </w:rPr>
        <w:t>TEM Journal</w:t>
      </w:r>
      <w:r w:rsidRPr="00C807F0">
        <w:rPr>
          <w:rFonts w:ascii="Arial" w:hAnsi="Arial" w:cs="Arial"/>
          <w:szCs w:val="24"/>
          <w:shd w:val="clear" w:color="auto" w:fill="FFFFFF"/>
        </w:rPr>
        <w:t>, </w:t>
      </w:r>
      <w:r w:rsidRPr="00C807F0">
        <w:rPr>
          <w:rFonts w:ascii="Arial" w:hAnsi="Arial" w:cs="Arial"/>
          <w:i/>
          <w:iCs/>
          <w:szCs w:val="24"/>
          <w:shd w:val="clear" w:color="auto" w:fill="FFFFFF"/>
        </w:rPr>
        <w:t>7</w:t>
      </w:r>
      <w:r w:rsidRPr="00C807F0">
        <w:rPr>
          <w:rFonts w:ascii="Arial" w:hAnsi="Arial" w:cs="Arial"/>
          <w:szCs w:val="24"/>
          <w:shd w:val="clear" w:color="auto" w:fill="FFFFFF"/>
        </w:rPr>
        <w:t>(1).</w:t>
      </w:r>
    </w:p>
    <w:p w:rsidR="006138BE" w:rsidRPr="00C807F0" w:rsidRDefault="006138BE" w:rsidP="00DF6B51">
      <w:pPr>
        <w:rPr>
          <w:rFonts w:ascii="Arial" w:hAnsi="Arial" w:cs="Arial"/>
          <w:szCs w:val="24"/>
          <w:shd w:val="clear" w:color="auto" w:fill="FFFFFF"/>
        </w:rPr>
      </w:pPr>
      <w:r w:rsidRPr="00C807F0">
        <w:rPr>
          <w:rFonts w:ascii="Arial" w:hAnsi="Arial" w:cs="Arial"/>
          <w:szCs w:val="24"/>
          <w:shd w:val="clear" w:color="auto" w:fill="FFFFFF"/>
        </w:rPr>
        <w:t>Yan, N. and Halpenny, E., 2019. The role of cultural difference and travel motivation in event participation: A cross-cultural perspective. </w:t>
      </w:r>
      <w:r w:rsidRPr="00C807F0">
        <w:rPr>
          <w:rFonts w:ascii="Arial" w:hAnsi="Arial" w:cs="Arial"/>
          <w:i/>
          <w:iCs/>
          <w:szCs w:val="24"/>
          <w:shd w:val="clear" w:color="auto" w:fill="FFFFFF"/>
        </w:rPr>
        <w:t>International Journal of Event and Festival Management</w:t>
      </w:r>
      <w:r w:rsidRPr="00C807F0">
        <w:rPr>
          <w:rFonts w:ascii="Arial" w:hAnsi="Arial" w:cs="Arial"/>
          <w:szCs w:val="24"/>
          <w:shd w:val="clear" w:color="auto" w:fill="FFFFFF"/>
        </w:rPr>
        <w:t>, </w:t>
      </w:r>
      <w:r w:rsidRPr="00C807F0">
        <w:rPr>
          <w:rFonts w:ascii="Arial" w:hAnsi="Arial" w:cs="Arial"/>
          <w:i/>
          <w:iCs/>
          <w:szCs w:val="24"/>
          <w:shd w:val="clear" w:color="auto" w:fill="FFFFFF"/>
        </w:rPr>
        <w:t>10</w:t>
      </w:r>
      <w:r w:rsidRPr="00C807F0">
        <w:rPr>
          <w:rFonts w:ascii="Arial" w:hAnsi="Arial" w:cs="Arial"/>
          <w:szCs w:val="24"/>
          <w:shd w:val="clear" w:color="auto" w:fill="FFFFFF"/>
        </w:rPr>
        <w:t>(2), pp.155-173.</w:t>
      </w:r>
    </w:p>
    <w:sectPr w:rsidR="006138BE" w:rsidRPr="00C807F0" w:rsidSect="00B232D3">
      <w:footerReference w:type="default" r:id="rId2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73B4E" w:rsidRDefault="00C73B4E" w:rsidP="002A60CC">
      <w:pPr>
        <w:spacing w:after="0" w:line="240" w:lineRule="auto"/>
      </w:pPr>
      <w:r>
        <w:separator/>
      </w:r>
    </w:p>
  </w:endnote>
  <w:endnote w:type="continuationSeparator" w:id="1">
    <w:p w:rsidR="00C73B4E" w:rsidRDefault="00C73B4E" w:rsidP="002A60C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58668438"/>
      <w:docPartObj>
        <w:docPartGallery w:val="Page Numbers (Bottom of Page)"/>
        <w:docPartUnique/>
      </w:docPartObj>
    </w:sdtPr>
    <w:sdtContent>
      <w:p w:rsidR="009D19E5" w:rsidRDefault="009D19E5">
        <w:pPr>
          <w:pStyle w:val="Footer"/>
          <w:jc w:val="right"/>
        </w:pPr>
        <w:r>
          <w:t xml:space="preserve">Page | </w:t>
        </w:r>
        <w:r w:rsidR="00B232D3">
          <w:fldChar w:fldCharType="begin"/>
        </w:r>
        <w:r>
          <w:instrText xml:space="preserve"> PAGE   \* MERGEFORMAT </w:instrText>
        </w:r>
        <w:r w:rsidR="00B232D3">
          <w:fldChar w:fldCharType="separate"/>
        </w:r>
        <w:r w:rsidR="00FE0059">
          <w:rPr>
            <w:noProof/>
          </w:rPr>
          <w:t>13</w:t>
        </w:r>
        <w:r w:rsidR="00B232D3">
          <w:rPr>
            <w:noProof/>
          </w:rPr>
          <w:fldChar w:fldCharType="end"/>
        </w:r>
      </w:p>
    </w:sdtContent>
  </w:sdt>
  <w:p w:rsidR="002A60CC" w:rsidRPr="007B27EA" w:rsidRDefault="002A60CC" w:rsidP="007B27E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73B4E" w:rsidRDefault="00C73B4E" w:rsidP="002A60CC">
      <w:pPr>
        <w:spacing w:after="0" w:line="240" w:lineRule="auto"/>
      </w:pPr>
      <w:r>
        <w:separator/>
      </w:r>
    </w:p>
  </w:footnote>
  <w:footnote w:type="continuationSeparator" w:id="1">
    <w:p w:rsidR="00C73B4E" w:rsidRDefault="00C73B4E" w:rsidP="002A60C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6924EF"/>
    <w:multiLevelType w:val="multilevel"/>
    <w:tmpl w:val="3D08C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6BC7BC4"/>
    <w:multiLevelType w:val="hybridMultilevel"/>
    <w:tmpl w:val="D632B2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DB40AC"/>
    <w:multiLevelType w:val="hybridMultilevel"/>
    <w:tmpl w:val="A4B2E8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8CC0101"/>
    <w:multiLevelType w:val="hybridMultilevel"/>
    <w:tmpl w:val="3DC64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B605B2A"/>
    <w:multiLevelType w:val="multilevel"/>
    <w:tmpl w:val="2FB246C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B635EFD"/>
    <w:multiLevelType w:val="hybridMultilevel"/>
    <w:tmpl w:val="C1F2D1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F70517E"/>
    <w:multiLevelType w:val="hybridMultilevel"/>
    <w:tmpl w:val="1E9485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0581872"/>
    <w:multiLevelType w:val="multilevel"/>
    <w:tmpl w:val="1F487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CBA1E3D"/>
    <w:multiLevelType w:val="multilevel"/>
    <w:tmpl w:val="A6769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30633E7"/>
    <w:multiLevelType w:val="multilevel"/>
    <w:tmpl w:val="B5DE8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978612D"/>
    <w:multiLevelType w:val="multilevel"/>
    <w:tmpl w:val="8DBA9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9C50BDC"/>
    <w:multiLevelType w:val="multilevel"/>
    <w:tmpl w:val="7566255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3AF768A2"/>
    <w:multiLevelType w:val="hybridMultilevel"/>
    <w:tmpl w:val="A99A07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CE83F74"/>
    <w:multiLevelType w:val="multilevel"/>
    <w:tmpl w:val="ED5C8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D413498"/>
    <w:multiLevelType w:val="hybridMultilevel"/>
    <w:tmpl w:val="EC96C6C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F125691"/>
    <w:multiLevelType w:val="hybridMultilevel"/>
    <w:tmpl w:val="6BB20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FB2523D"/>
    <w:multiLevelType w:val="hybridMultilevel"/>
    <w:tmpl w:val="683640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42573886"/>
    <w:multiLevelType w:val="multilevel"/>
    <w:tmpl w:val="35426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D72438F"/>
    <w:multiLevelType w:val="hybridMultilevel"/>
    <w:tmpl w:val="31585C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067490B"/>
    <w:multiLevelType w:val="hybridMultilevel"/>
    <w:tmpl w:val="CB120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7F35C3B"/>
    <w:multiLevelType w:val="multilevel"/>
    <w:tmpl w:val="1B90B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5B076A3E"/>
    <w:multiLevelType w:val="hybridMultilevel"/>
    <w:tmpl w:val="288AB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14D190F"/>
    <w:multiLevelType w:val="multilevel"/>
    <w:tmpl w:val="2B8A9D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143689E"/>
    <w:multiLevelType w:val="hybridMultilevel"/>
    <w:tmpl w:val="AC2E0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23C3D8F"/>
    <w:multiLevelType w:val="multilevel"/>
    <w:tmpl w:val="BC6ABDF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72723E27"/>
    <w:multiLevelType w:val="multilevel"/>
    <w:tmpl w:val="595A2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742E6A24"/>
    <w:multiLevelType w:val="multilevel"/>
    <w:tmpl w:val="6060B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7734D8F"/>
    <w:multiLevelType w:val="multilevel"/>
    <w:tmpl w:val="58A66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876191F"/>
    <w:multiLevelType w:val="hybridMultilevel"/>
    <w:tmpl w:val="BBE6EFD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7BDD212C"/>
    <w:multiLevelType w:val="hybridMultilevel"/>
    <w:tmpl w:val="AD54F3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7D254758"/>
    <w:multiLevelType w:val="hybridMultilevel"/>
    <w:tmpl w:val="7766E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7EF669AD"/>
    <w:multiLevelType w:val="multilevel"/>
    <w:tmpl w:val="BF025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EF8380E"/>
    <w:multiLevelType w:val="multilevel"/>
    <w:tmpl w:val="83664AB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7"/>
  </w:num>
  <w:num w:numId="3">
    <w:abstractNumId w:val="22"/>
  </w:num>
  <w:num w:numId="4">
    <w:abstractNumId w:val="11"/>
  </w:num>
  <w:num w:numId="5">
    <w:abstractNumId w:val="17"/>
  </w:num>
  <w:num w:numId="6">
    <w:abstractNumId w:val="4"/>
  </w:num>
  <w:num w:numId="7">
    <w:abstractNumId w:val="8"/>
  </w:num>
  <w:num w:numId="8">
    <w:abstractNumId w:val="20"/>
  </w:num>
  <w:num w:numId="9">
    <w:abstractNumId w:val="32"/>
  </w:num>
  <w:num w:numId="10">
    <w:abstractNumId w:val="31"/>
  </w:num>
  <w:num w:numId="11">
    <w:abstractNumId w:val="9"/>
  </w:num>
  <w:num w:numId="12">
    <w:abstractNumId w:val="27"/>
  </w:num>
  <w:num w:numId="13">
    <w:abstractNumId w:val="26"/>
  </w:num>
  <w:num w:numId="14">
    <w:abstractNumId w:val="10"/>
  </w:num>
  <w:num w:numId="15">
    <w:abstractNumId w:val="13"/>
  </w:num>
  <w:num w:numId="16">
    <w:abstractNumId w:val="24"/>
  </w:num>
  <w:num w:numId="17">
    <w:abstractNumId w:val="25"/>
  </w:num>
  <w:num w:numId="18">
    <w:abstractNumId w:val="14"/>
  </w:num>
  <w:num w:numId="19">
    <w:abstractNumId w:val="5"/>
  </w:num>
  <w:num w:numId="20">
    <w:abstractNumId w:val="6"/>
  </w:num>
  <w:num w:numId="21">
    <w:abstractNumId w:val="19"/>
  </w:num>
  <w:num w:numId="22">
    <w:abstractNumId w:val="21"/>
  </w:num>
  <w:num w:numId="23">
    <w:abstractNumId w:val="28"/>
  </w:num>
  <w:num w:numId="24">
    <w:abstractNumId w:val="29"/>
  </w:num>
  <w:num w:numId="25">
    <w:abstractNumId w:val="15"/>
  </w:num>
  <w:num w:numId="26">
    <w:abstractNumId w:val="1"/>
  </w:num>
  <w:num w:numId="27">
    <w:abstractNumId w:val="30"/>
  </w:num>
  <w:num w:numId="28">
    <w:abstractNumId w:val="2"/>
  </w:num>
  <w:num w:numId="29">
    <w:abstractNumId w:val="16"/>
  </w:num>
  <w:num w:numId="30">
    <w:abstractNumId w:val="23"/>
  </w:num>
  <w:num w:numId="31">
    <w:abstractNumId w:val="12"/>
  </w:num>
  <w:num w:numId="32">
    <w:abstractNumId w:val="18"/>
  </w:num>
  <w:num w:numId="33">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7AwtTAxMDcCQgNzCyUdpeDU4uLM/DyQAqNaAKSppc0sAAAA"/>
  </w:docVars>
  <w:rsids>
    <w:rsidRoot w:val="00634743"/>
    <w:rsid w:val="0000076C"/>
    <w:rsid w:val="00000AFC"/>
    <w:rsid w:val="00003A98"/>
    <w:rsid w:val="00003AEC"/>
    <w:rsid w:val="00006C0D"/>
    <w:rsid w:val="00020D38"/>
    <w:rsid w:val="00030593"/>
    <w:rsid w:val="00040521"/>
    <w:rsid w:val="00057FEB"/>
    <w:rsid w:val="00061976"/>
    <w:rsid w:val="00065417"/>
    <w:rsid w:val="000672CD"/>
    <w:rsid w:val="0009664A"/>
    <w:rsid w:val="000A7A41"/>
    <w:rsid w:val="000B1E2F"/>
    <w:rsid w:val="000C46D7"/>
    <w:rsid w:val="000E1FA3"/>
    <w:rsid w:val="000E673F"/>
    <w:rsid w:val="001001BE"/>
    <w:rsid w:val="00107A2B"/>
    <w:rsid w:val="00141508"/>
    <w:rsid w:val="001452CC"/>
    <w:rsid w:val="00151A81"/>
    <w:rsid w:val="0015587C"/>
    <w:rsid w:val="00156901"/>
    <w:rsid w:val="0015769D"/>
    <w:rsid w:val="00172D77"/>
    <w:rsid w:val="00175478"/>
    <w:rsid w:val="00176B0D"/>
    <w:rsid w:val="00177F22"/>
    <w:rsid w:val="001865DB"/>
    <w:rsid w:val="00192A83"/>
    <w:rsid w:val="001B3E72"/>
    <w:rsid w:val="001B4E2C"/>
    <w:rsid w:val="001C261D"/>
    <w:rsid w:val="001D33D5"/>
    <w:rsid w:val="001E1A84"/>
    <w:rsid w:val="0020025E"/>
    <w:rsid w:val="00202009"/>
    <w:rsid w:val="00212FED"/>
    <w:rsid w:val="0022317D"/>
    <w:rsid w:val="00260D58"/>
    <w:rsid w:val="00262AC7"/>
    <w:rsid w:val="002902BA"/>
    <w:rsid w:val="00296B71"/>
    <w:rsid w:val="002A4B6E"/>
    <w:rsid w:val="002A60CC"/>
    <w:rsid w:val="002B2419"/>
    <w:rsid w:val="002D13FB"/>
    <w:rsid w:val="002E0ECB"/>
    <w:rsid w:val="002F1C74"/>
    <w:rsid w:val="002F1ED1"/>
    <w:rsid w:val="002F54FE"/>
    <w:rsid w:val="002F6855"/>
    <w:rsid w:val="00304D1D"/>
    <w:rsid w:val="003057DA"/>
    <w:rsid w:val="00335D1D"/>
    <w:rsid w:val="00337813"/>
    <w:rsid w:val="00337A70"/>
    <w:rsid w:val="00343061"/>
    <w:rsid w:val="003605C1"/>
    <w:rsid w:val="003739D5"/>
    <w:rsid w:val="00373F5C"/>
    <w:rsid w:val="00390DAA"/>
    <w:rsid w:val="00390E2B"/>
    <w:rsid w:val="003968E3"/>
    <w:rsid w:val="003A4E61"/>
    <w:rsid w:val="003A77F8"/>
    <w:rsid w:val="003B7B5D"/>
    <w:rsid w:val="003C2FE8"/>
    <w:rsid w:val="003C40DE"/>
    <w:rsid w:val="003D0ED8"/>
    <w:rsid w:val="003D3B12"/>
    <w:rsid w:val="003D533F"/>
    <w:rsid w:val="003D7A82"/>
    <w:rsid w:val="003F031B"/>
    <w:rsid w:val="003F5005"/>
    <w:rsid w:val="003F7896"/>
    <w:rsid w:val="00406F7D"/>
    <w:rsid w:val="00441816"/>
    <w:rsid w:val="00461415"/>
    <w:rsid w:val="00461CD0"/>
    <w:rsid w:val="00471AED"/>
    <w:rsid w:val="00473A1C"/>
    <w:rsid w:val="004753DD"/>
    <w:rsid w:val="004B5F1C"/>
    <w:rsid w:val="004C1160"/>
    <w:rsid w:val="004D3D22"/>
    <w:rsid w:val="005129AE"/>
    <w:rsid w:val="00524959"/>
    <w:rsid w:val="0053075B"/>
    <w:rsid w:val="00542099"/>
    <w:rsid w:val="005546CA"/>
    <w:rsid w:val="00564053"/>
    <w:rsid w:val="00566CF6"/>
    <w:rsid w:val="00575B04"/>
    <w:rsid w:val="00585EC7"/>
    <w:rsid w:val="005B0109"/>
    <w:rsid w:val="005D0C91"/>
    <w:rsid w:val="005F64FC"/>
    <w:rsid w:val="005F6612"/>
    <w:rsid w:val="00602056"/>
    <w:rsid w:val="006123EE"/>
    <w:rsid w:val="006136A7"/>
    <w:rsid w:val="006138BE"/>
    <w:rsid w:val="00634743"/>
    <w:rsid w:val="006403A8"/>
    <w:rsid w:val="00645E58"/>
    <w:rsid w:val="00651B1C"/>
    <w:rsid w:val="006565A0"/>
    <w:rsid w:val="00656AB1"/>
    <w:rsid w:val="00674F1C"/>
    <w:rsid w:val="00675A8A"/>
    <w:rsid w:val="006A6DE0"/>
    <w:rsid w:val="006B5E3B"/>
    <w:rsid w:val="006D04B7"/>
    <w:rsid w:val="006D4332"/>
    <w:rsid w:val="006F17EC"/>
    <w:rsid w:val="00702182"/>
    <w:rsid w:val="00705F0D"/>
    <w:rsid w:val="00710BDE"/>
    <w:rsid w:val="0071194D"/>
    <w:rsid w:val="00744C6B"/>
    <w:rsid w:val="00752641"/>
    <w:rsid w:val="00755E4E"/>
    <w:rsid w:val="0078435A"/>
    <w:rsid w:val="007858BB"/>
    <w:rsid w:val="00787219"/>
    <w:rsid w:val="00791481"/>
    <w:rsid w:val="007924BD"/>
    <w:rsid w:val="00797AC7"/>
    <w:rsid w:val="007A1361"/>
    <w:rsid w:val="007A333D"/>
    <w:rsid w:val="007A3C03"/>
    <w:rsid w:val="007A5F3F"/>
    <w:rsid w:val="007B27EA"/>
    <w:rsid w:val="007C59F8"/>
    <w:rsid w:val="007D1514"/>
    <w:rsid w:val="007E65CD"/>
    <w:rsid w:val="008047BE"/>
    <w:rsid w:val="00807F11"/>
    <w:rsid w:val="008236F7"/>
    <w:rsid w:val="008333D8"/>
    <w:rsid w:val="00852F26"/>
    <w:rsid w:val="00884002"/>
    <w:rsid w:val="0088553E"/>
    <w:rsid w:val="00896B7C"/>
    <w:rsid w:val="008A0642"/>
    <w:rsid w:val="008A0E70"/>
    <w:rsid w:val="008A1FE7"/>
    <w:rsid w:val="008D28F6"/>
    <w:rsid w:val="008E6507"/>
    <w:rsid w:val="008E67A1"/>
    <w:rsid w:val="0090688A"/>
    <w:rsid w:val="009114B3"/>
    <w:rsid w:val="009207F9"/>
    <w:rsid w:val="0094147E"/>
    <w:rsid w:val="00951685"/>
    <w:rsid w:val="00954D37"/>
    <w:rsid w:val="00962A0E"/>
    <w:rsid w:val="00965DC2"/>
    <w:rsid w:val="00975C6F"/>
    <w:rsid w:val="0099296B"/>
    <w:rsid w:val="009C400D"/>
    <w:rsid w:val="009D065D"/>
    <w:rsid w:val="009D19E5"/>
    <w:rsid w:val="009D5028"/>
    <w:rsid w:val="009E4527"/>
    <w:rsid w:val="009E7D04"/>
    <w:rsid w:val="00A462FF"/>
    <w:rsid w:val="00A539CB"/>
    <w:rsid w:val="00A6365C"/>
    <w:rsid w:val="00A66E2A"/>
    <w:rsid w:val="00A7748D"/>
    <w:rsid w:val="00A85618"/>
    <w:rsid w:val="00A91FD1"/>
    <w:rsid w:val="00A92B71"/>
    <w:rsid w:val="00A97DF5"/>
    <w:rsid w:val="00AB2099"/>
    <w:rsid w:val="00AB24E0"/>
    <w:rsid w:val="00AB6839"/>
    <w:rsid w:val="00AC5189"/>
    <w:rsid w:val="00AF7028"/>
    <w:rsid w:val="00AF70C6"/>
    <w:rsid w:val="00B17F9E"/>
    <w:rsid w:val="00B232D3"/>
    <w:rsid w:val="00B24E41"/>
    <w:rsid w:val="00B25CC3"/>
    <w:rsid w:val="00B30F76"/>
    <w:rsid w:val="00B405DC"/>
    <w:rsid w:val="00B40F86"/>
    <w:rsid w:val="00B505A8"/>
    <w:rsid w:val="00B716B4"/>
    <w:rsid w:val="00B85794"/>
    <w:rsid w:val="00B86E11"/>
    <w:rsid w:val="00B918F7"/>
    <w:rsid w:val="00B97EA7"/>
    <w:rsid w:val="00BC18ED"/>
    <w:rsid w:val="00BC58E2"/>
    <w:rsid w:val="00BE0F0E"/>
    <w:rsid w:val="00BE1314"/>
    <w:rsid w:val="00BF0DD6"/>
    <w:rsid w:val="00BF4210"/>
    <w:rsid w:val="00C200CF"/>
    <w:rsid w:val="00C42A25"/>
    <w:rsid w:val="00C57FDC"/>
    <w:rsid w:val="00C73B4E"/>
    <w:rsid w:val="00C807F0"/>
    <w:rsid w:val="00C909B0"/>
    <w:rsid w:val="00CB7ADD"/>
    <w:rsid w:val="00CD753B"/>
    <w:rsid w:val="00D00421"/>
    <w:rsid w:val="00D3497A"/>
    <w:rsid w:val="00D36394"/>
    <w:rsid w:val="00D62E43"/>
    <w:rsid w:val="00D64490"/>
    <w:rsid w:val="00D85EB4"/>
    <w:rsid w:val="00D93410"/>
    <w:rsid w:val="00DA5665"/>
    <w:rsid w:val="00DB6DA2"/>
    <w:rsid w:val="00DC53FD"/>
    <w:rsid w:val="00DC5CC4"/>
    <w:rsid w:val="00DD47D4"/>
    <w:rsid w:val="00DD527A"/>
    <w:rsid w:val="00DE4254"/>
    <w:rsid w:val="00DE4513"/>
    <w:rsid w:val="00DF402D"/>
    <w:rsid w:val="00DF6B51"/>
    <w:rsid w:val="00E00487"/>
    <w:rsid w:val="00E0154D"/>
    <w:rsid w:val="00E0191F"/>
    <w:rsid w:val="00E23A9F"/>
    <w:rsid w:val="00E34237"/>
    <w:rsid w:val="00E50263"/>
    <w:rsid w:val="00E7183E"/>
    <w:rsid w:val="00E7732F"/>
    <w:rsid w:val="00E9125D"/>
    <w:rsid w:val="00E9463F"/>
    <w:rsid w:val="00EB12EA"/>
    <w:rsid w:val="00EC3B32"/>
    <w:rsid w:val="00ED6136"/>
    <w:rsid w:val="00EF081D"/>
    <w:rsid w:val="00F020B6"/>
    <w:rsid w:val="00F11897"/>
    <w:rsid w:val="00F12B3D"/>
    <w:rsid w:val="00F26399"/>
    <w:rsid w:val="00F3760B"/>
    <w:rsid w:val="00F74CB4"/>
    <w:rsid w:val="00F82193"/>
    <w:rsid w:val="00F82BE7"/>
    <w:rsid w:val="00F97358"/>
    <w:rsid w:val="00FA6AFE"/>
    <w:rsid w:val="00FC17D6"/>
    <w:rsid w:val="00FD4521"/>
    <w:rsid w:val="00FD5613"/>
    <w:rsid w:val="00FE00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lsdException w:name="heading 4" w:uiPriority="9"/>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4743"/>
    <w:pPr>
      <w:spacing w:line="360" w:lineRule="auto"/>
      <w:jc w:val="both"/>
    </w:pPr>
    <w:rPr>
      <w:rFonts w:ascii="Times New Roman" w:hAnsi="Times New Roman"/>
      <w:sz w:val="24"/>
    </w:rPr>
  </w:style>
  <w:style w:type="paragraph" w:styleId="Heading1">
    <w:name w:val="heading 1"/>
    <w:basedOn w:val="Normal"/>
    <w:link w:val="Heading1Char"/>
    <w:uiPriority w:val="9"/>
    <w:qFormat/>
    <w:rsid w:val="00744C6B"/>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link w:val="Heading2Char"/>
    <w:uiPriority w:val="9"/>
    <w:unhideWhenUsed/>
    <w:qFormat/>
    <w:rsid w:val="00634743"/>
    <w:pPr>
      <w:keepNext/>
      <w:keepLines/>
      <w:spacing w:before="200" w:after="0"/>
      <w:outlineLvl w:val="1"/>
    </w:pPr>
    <w:rPr>
      <w:rFonts w:eastAsiaTheme="majorEastAsia" w:cstheme="majorBidi"/>
      <w:b/>
      <w:bCs/>
      <w:color w:val="4F81BD" w:themeColor="accent1"/>
      <w:sz w:val="28"/>
      <w:szCs w:val="26"/>
    </w:rPr>
  </w:style>
  <w:style w:type="paragraph" w:styleId="Heading3">
    <w:name w:val="heading 3"/>
    <w:basedOn w:val="Normal"/>
    <w:link w:val="Heading3Char"/>
    <w:uiPriority w:val="9"/>
    <w:unhideWhenUsed/>
    <w:rsid w:val="00634743"/>
    <w:pPr>
      <w:keepNext/>
      <w:keepLines/>
      <w:spacing w:before="200" w:after="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C6B"/>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634743"/>
    <w:rPr>
      <w:rFonts w:ascii="Times New Roman" w:eastAsiaTheme="majorEastAsia" w:hAnsi="Times New Roman" w:cstheme="majorBidi"/>
      <w:b/>
      <w:bCs/>
      <w:color w:val="4F81BD" w:themeColor="accent1"/>
      <w:sz w:val="28"/>
      <w:szCs w:val="26"/>
    </w:rPr>
  </w:style>
  <w:style w:type="character" w:customStyle="1" w:styleId="Heading3Char">
    <w:name w:val="Heading 3 Char"/>
    <w:basedOn w:val="DefaultParagraphFont"/>
    <w:link w:val="Heading3"/>
    <w:uiPriority w:val="9"/>
    <w:rsid w:val="00634743"/>
    <w:rPr>
      <w:rFonts w:ascii="Times New Roman" w:eastAsiaTheme="majorEastAsia" w:hAnsi="Times New Roman" w:cstheme="majorBidi"/>
      <w:b/>
      <w:bCs/>
      <w:color w:val="4F81BD" w:themeColor="accent1"/>
      <w:sz w:val="24"/>
    </w:rPr>
  </w:style>
  <w:style w:type="paragraph" w:customStyle="1" w:styleId="otherpara">
    <w:name w:val="otherpara"/>
    <w:basedOn w:val="Normal"/>
    <w:rsid w:val="00406F7D"/>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2A60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60CC"/>
    <w:rPr>
      <w:rFonts w:ascii="Times New Roman" w:hAnsi="Times New Roman"/>
      <w:sz w:val="24"/>
    </w:rPr>
  </w:style>
  <w:style w:type="paragraph" w:styleId="Footer">
    <w:name w:val="footer"/>
    <w:basedOn w:val="Normal"/>
    <w:link w:val="FooterChar"/>
    <w:uiPriority w:val="99"/>
    <w:unhideWhenUsed/>
    <w:rsid w:val="002A60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60CC"/>
    <w:rPr>
      <w:rFonts w:ascii="Times New Roman" w:hAnsi="Times New Roman"/>
      <w:sz w:val="24"/>
    </w:rPr>
  </w:style>
  <w:style w:type="character" w:styleId="Emphasis">
    <w:name w:val="Emphasis"/>
    <w:basedOn w:val="DefaultParagraphFont"/>
    <w:uiPriority w:val="20"/>
    <w:qFormat/>
    <w:rsid w:val="00BF0DD6"/>
    <w:rPr>
      <w:i/>
      <w:iCs/>
    </w:rPr>
  </w:style>
  <w:style w:type="character" w:styleId="Strong">
    <w:name w:val="Strong"/>
    <w:basedOn w:val="DefaultParagraphFont"/>
    <w:uiPriority w:val="22"/>
    <w:qFormat/>
    <w:rsid w:val="00192A83"/>
    <w:rPr>
      <w:b/>
      <w:bCs/>
    </w:rPr>
  </w:style>
  <w:style w:type="character" w:styleId="Hyperlink">
    <w:name w:val="Hyperlink"/>
    <w:basedOn w:val="DefaultParagraphFont"/>
    <w:uiPriority w:val="99"/>
    <w:unhideWhenUsed/>
    <w:rsid w:val="00E0154D"/>
    <w:rPr>
      <w:color w:val="0000FF"/>
      <w:u w:val="single"/>
    </w:rPr>
  </w:style>
  <w:style w:type="paragraph" w:styleId="NormalWeb">
    <w:name w:val="Normal (Web)"/>
    <w:basedOn w:val="Normal"/>
    <w:uiPriority w:val="99"/>
    <w:unhideWhenUsed/>
    <w:rsid w:val="007924BD"/>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0E1FA3"/>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0E1FA3"/>
    <w:pPr>
      <w:spacing w:after="100"/>
    </w:pPr>
  </w:style>
  <w:style w:type="paragraph" w:styleId="TOC2">
    <w:name w:val="toc 2"/>
    <w:basedOn w:val="Normal"/>
    <w:next w:val="Normal"/>
    <w:autoRedefine/>
    <w:uiPriority w:val="39"/>
    <w:unhideWhenUsed/>
    <w:rsid w:val="000E1FA3"/>
    <w:pPr>
      <w:spacing w:after="100"/>
      <w:ind w:left="240"/>
    </w:pPr>
  </w:style>
  <w:style w:type="paragraph" w:styleId="BalloonText">
    <w:name w:val="Balloon Text"/>
    <w:basedOn w:val="Normal"/>
    <w:link w:val="BalloonTextChar"/>
    <w:uiPriority w:val="99"/>
    <w:semiHidden/>
    <w:unhideWhenUsed/>
    <w:rsid w:val="000E1F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1FA3"/>
    <w:rPr>
      <w:rFonts w:ascii="Tahoma" w:hAnsi="Tahoma" w:cs="Tahoma"/>
      <w:sz w:val="16"/>
      <w:szCs w:val="16"/>
    </w:rPr>
  </w:style>
  <w:style w:type="paragraph" w:customStyle="1" w:styleId="whitespace-pre-wrap">
    <w:name w:val="whitespace-pre-wrap"/>
    <w:basedOn w:val="Normal"/>
    <w:rsid w:val="008D28F6"/>
    <w:pPr>
      <w:spacing w:before="100" w:beforeAutospacing="1" w:after="100" w:afterAutospacing="1" w:line="240" w:lineRule="auto"/>
      <w:jc w:val="left"/>
    </w:pPr>
    <w:rPr>
      <w:rFonts w:eastAsia="Times New Roman" w:cs="Times New Roman"/>
      <w:szCs w:val="24"/>
    </w:rPr>
  </w:style>
  <w:style w:type="paragraph" w:customStyle="1" w:styleId="whitespace-normal">
    <w:name w:val="whitespace-normal"/>
    <w:basedOn w:val="Normal"/>
    <w:rsid w:val="008D28F6"/>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390DAA"/>
    <w:pPr>
      <w:ind w:left="720"/>
      <w:contextualSpacing/>
    </w:pPr>
  </w:style>
  <w:style w:type="table" w:styleId="TableGrid">
    <w:name w:val="Table Grid"/>
    <w:basedOn w:val="TableNormal"/>
    <w:uiPriority w:val="39"/>
    <w:rsid w:val="00D93410"/>
    <w:pPr>
      <w:spacing w:after="0" w:line="240" w:lineRule="auto"/>
    </w:pPr>
    <w:rPr>
      <w:rFonts w:eastAsia="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1">
    <w:name w:val="Unresolved Mention1"/>
    <w:basedOn w:val="DefaultParagraphFont"/>
    <w:uiPriority w:val="99"/>
    <w:semiHidden/>
    <w:unhideWhenUsed/>
    <w:rsid w:val="00F82BE7"/>
    <w:rPr>
      <w:color w:val="605E5C"/>
      <w:shd w:val="clear" w:color="auto" w:fill="E1DFDD"/>
    </w:rPr>
  </w:style>
  <w:style w:type="paragraph" w:styleId="Caption">
    <w:name w:val="caption"/>
    <w:basedOn w:val="Normal"/>
    <w:next w:val="Normal"/>
    <w:uiPriority w:val="35"/>
    <w:unhideWhenUsed/>
    <w:qFormat/>
    <w:rsid w:val="003A77F8"/>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FD5613"/>
    <w:pPr>
      <w:spacing w:after="0"/>
    </w:pPr>
  </w:style>
  <w:style w:type="table" w:customStyle="1" w:styleId="GridTable5DarkAccent1">
    <w:name w:val="Grid Table 5 Dark Accent 1"/>
    <w:basedOn w:val="TableNormal"/>
    <w:uiPriority w:val="50"/>
    <w:rsid w:val="00524959"/>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customStyle="1" w:styleId="GridTable4Accent1">
    <w:name w:val="Grid Table 4 Accent 1"/>
    <w:basedOn w:val="TableNormal"/>
    <w:uiPriority w:val="49"/>
    <w:rsid w:val="003D3B12"/>
    <w:pPr>
      <w:spacing w:after="0" w:line="240" w:lineRule="auto"/>
    </w:pPr>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NoSpacing">
    <w:name w:val="No Spacing"/>
    <w:uiPriority w:val="1"/>
    <w:qFormat/>
    <w:rsid w:val="00965DC2"/>
    <w:pPr>
      <w:spacing w:after="0" w:line="240" w:lineRule="auto"/>
      <w:jc w:val="both"/>
    </w:pPr>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28771748">
      <w:bodyDiv w:val="1"/>
      <w:marLeft w:val="0"/>
      <w:marRight w:val="0"/>
      <w:marTop w:val="0"/>
      <w:marBottom w:val="0"/>
      <w:divBdr>
        <w:top w:val="none" w:sz="0" w:space="0" w:color="auto"/>
        <w:left w:val="none" w:sz="0" w:space="0" w:color="auto"/>
        <w:bottom w:val="none" w:sz="0" w:space="0" w:color="auto"/>
        <w:right w:val="none" w:sz="0" w:space="0" w:color="auto"/>
      </w:divBdr>
      <w:divsChild>
        <w:div w:id="477961521">
          <w:marLeft w:val="0"/>
          <w:marRight w:val="0"/>
          <w:marTop w:val="0"/>
          <w:marBottom w:val="0"/>
          <w:divBdr>
            <w:top w:val="none" w:sz="0" w:space="0" w:color="auto"/>
            <w:left w:val="none" w:sz="0" w:space="0" w:color="auto"/>
            <w:bottom w:val="none" w:sz="0" w:space="0" w:color="auto"/>
            <w:right w:val="none" w:sz="0" w:space="0" w:color="auto"/>
          </w:divBdr>
          <w:divsChild>
            <w:div w:id="1037467117">
              <w:marLeft w:val="0"/>
              <w:marRight w:val="0"/>
              <w:marTop w:val="0"/>
              <w:marBottom w:val="0"/>
              <w:divBdr>
                <w:top w:val="none" w:sz="0" w:space="0" w:color="auto"/>
                <w:left w:val="none" w:sz="0" w:space="0" w:color="auto"/>
                <w:bottom w:val="none" w:sz="0" w:space="0" w:color="auto"/>
                <w:right w:val="none" w:sz="0" w:space="0" w:color="auto"/>
              </w:divBdr>
              <w:divsChild>
                <w:div w:id="814563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02047">
      <w:bodyDiv w:val="1"/>
      <w:marLeft w:val="0"/>
      <w:marRight w:val="0"/>
      <w:marTop w:val="0"/>
      <w:marBottom w:val="0"/>
      <w:divBdr>
        <w:top w:val="none" w:sz="0" w:space="0" w:color="auto"/>
        <w:left w:val="none" w:sz="0" w:space="0" w:color="auto"/>
        <w:bottom w:val="none" w:sz="0" w:space="0" w:color="auto"/>
        <w:right w:val="none" w:sz="0" w:space="0" w:color="auto"/>
      </w:divBdr>
    </w:div>
    <w:div w:id="69619845">
      <w:bodyDiv w:val="1"/>
      <w:marLeft w:val="0"/>
      <w:marRight w:val="0"/>
      <w:marTop w:val="0"/>
      <w:marBottom w:val="0"/>
      <w:divBdr>
        <w:top w:val="none" w:sz="0" w:space="0" w:color="auto"/>
        <w:left w:val="none" w:sz="0" w:space="0" w:color="auto"/>
        <w:bottom w:val="none" w:sz="0" w:space="0" w:color="auto"/>
        <w:right w:val="none" w:sz="0" w:space="0" w:color="auto"/>
      </w:divBdr>
    </w:div>
    <w:div w:id="75981576">
      <w:bodyDiv w:val="1"/>
      <w:marLeft w:val="0"/>
      <w:marRight w:val="0"/>
      <w:marTop w:val="0"/>
      <w:marBottom w:val="0"/>
      <w:divBdr>
        <w:top w:val="none" w:sz="0" w:space="0" w:color="auto"/>
        <w:left w:val="none" w:sz="0" w:space="0" w:color="auto"/>
        <w:bottom w:val="none" w:sz="0" w:space="0" w:color="auto"/>
        <w:right w:val="none" w:sz="0" w:space="0" w:color="auto"/>
      </w:divBdr>
    </w:div>
    <w:div w:id="83765302">
      <w:bodyDiv w:val="1"/>
      <w:marLeft w:val="0"/>
      <w:marRight w:val="0"/>
      <w:marTop w:val="0"/>
      <w:marBottom w:val="0"/>
      <w:divBdr>
        <w:top w:val="none" w:sz="0" w:space="0" w:color="auto"/>
        <w:left w:val="none" w:sz="0" w:space="0" w:color="auto"/>
        <w:bottom w:val="none" w:sz="0" w:space="0" w:color="auto"/>
        <w:right w:val="none" w:sz="0" w:space="0" w:color="auto"/>
      </w:divBdr>
    </w:div>
    <w:div w:id="123230430">
      <w:bodyDiv w:val="1"/>
      <w:marLeft w:val="0"/>
      <w:marRight w:val="0"/>
      <w:marTop w:val="0"/>
      <w:marBottom w:val="0"/>
      <w:divBdr>
        <w:top w:val="none" w:sz="0" w:space="0" w:color="auto"/>
        <w:left w:val="none" w:sz="0" w:space="0" w:color="auto"/>
        <w:bottom w:val="none" w:sz="0" w:space="0" w:color="auto"/>
        <w:right w:val="none" w:sz="0" w:space="0" w:color="auto"/>
      </w:divBdr>
    </w:div>
    <w:div w:id="228228507">
      <w:bodyDiv w:val="1"/>
      <w:marLeft w:val="0"/>
      <w:marRight w:val="0"/>
      <w:marTop w:val="0"/>
      <w:marBottom w:val="0"/>
      <w:divBdr>
        <w:top w:val="none" w:sz="0" w:space="0" w:color="auto"/>
        <w:left w:val="none" w:sz="0" w:space="0" w:color="auto"/>
        <w:bottom w:val="none" w:sz="0" w:space="0" w:color="auto"/>
        <w:right w:val="none" w:sz="0" w:space="0" w:color="auto"/>
      </w:divBdr>
      <w:divsChild>
        <w:div w:id="530070659">
          <w:marLeft w:val="0"/>
          <w:marRight w:val="0"/>
          <w:marTop w:val="0"/>
          <w:marBottom w:val="0"/>
          <w:divBdr>
            <w:top w:val="none" w:sz="0" w:space="0" w:color="auto"/>
            <w:left w:val="none" w:sz="0" w:space="0" w:color="auto"/>
            <w:bottom w:val="none" w:sz="0" w:space="0" w:color="auto"/>
            <w:right w:val="none" w:sz="0" w:space="0" w:color="auto"/>
          </w:divBdr>
        </w:div>
      </w:divsChild>
    </w:div>
    <w:div w:id="257249480">
      <w:bodyDiv w:val="1"/>
      <w:marLeft w:val="0"/>
      <w:marRight w:val="0"/>
      <w:marTop w:val="0"/>
      <w:marBottom w:val="0"/>
      <w:divBdr>
        <w:top w:val="none" w:sz="0" w:space="0" w:color="auto"/>
        <w:left w:val="none" w:sz="0" w:space="0" w:color="auto"/>
        <w:bottom w:val="none" w:sz="0" w:space="0" w:color="auto"/>
        <w:right w:val="none" w:sz="0" w:space="0" w:color="auto"/>
      </w:divBdr>
    </w:div>
    <w:div w:id="290408849">
      <w:bodyDiv w:val="1"/>
      <w:marLeft w:val="0"/>
      <w:marRight w:val="0"/>
      <w:marTop w:val="0"/>
      <w:marBottom w:val="0"/>
      <w:divBdr>
        <w:top w:val="none" w:sz="0" w:space="0" w:color="auto"/>
        <w:left w:val="none" w:sz="0" w:space="0" w:color="auto"/>
        <w:bottom w:val="none" w:sz="0" w:space="0" w:color="auto"/>
        <w:right w:val="none" w:sz="0" w:space="0" w:color="auto"/>
      </w:divBdr>
    </w:div>
    <w:div w:id="327751242">
      <w:bodyDiv w:val="1"/>
      <w:marLeft w:val="0"/>
      <w:marRight w:val="0"/>
      <w:marTop w:val="0"/>
      <w:marBottom w:val="0"/>
      <w:divBdr>
        <w:top w:val="none" w:sz="0" w:space="0" w:color="auto"/>
        <w:left w:val="none" w:sz="0" w:space="0" w:color="auto"/>
        <w:bottom w:val="none" w:sz="0" w:space="0" w:color="auto"/>
        <w:right w:val="none" w:sz="0" w:space="0" w:color="auto"/>
      </w:divBdr>
    </w:div>
    <w:div w:id="377782263">
      <w:bodyDiv w:val="1"/>
      <w:marLeft w:val="0"/>
      <w:marRight w:val="0"/>
      <w:marTop w:val="0"/>
      <w:marBottom w:val="0"/>
      <w:divBdr>
        <w:top w:val="none" w:sz="0" w:space="0" w:color="auto"/>
        <w:left w:val="none" w:sz="0" w:space="0" w:color="auto"/>
        <w:bottom w:val="none" w:sz="0" w:space="0" w:color="auto"/>
        <w:right w:val="none" w:sz="0" w:space="0" w:color="auto"/>
      </w:divBdr>
    </w:div>
    <w:div w:id="395671200">
      <w:bodyDiv w:val="1"/>
      <w:marLeft w:val="0"/>
      <w:marRight w:val="0"/>
      <w:marTop w:val="0"/>
      <w:marBottom w:val="0"/>
      <w:divBdr>
        <w:top w:val="none" w:sz="0" w:space="0" w:color="auto"/>
        <w:left w:val="none" w:sz="0" w:space="0" w:color="auto"/>
        <w:bottom w:val="none" w:sz="0" w:space="0" w:color="auto"/>
        <w:right w:val="none" w:sz="0" w:space="0" w:color="auto"/>
      </w:divBdr>
    </w:div>
    <w:div w:id="524638310">
      <w:bodyDiv w:val="1"/>
      <w:marLeft w:val="0"/>
      <w:marRight w:val="0"/>
      <w:marTop w:val="0"/>
      <w:marBottom w:val="0"/>
      <w:divBdr>
        <w:top w:val="none" w:sz="0" w:space="0" w:color="auto"/>
        <w:left w:val="none" w:sz="0" w:space="0" w:color="auto"/>
        <w:bottom w:val="none" w:sz="0" w:space="0" w:color="auto"/>
        <w:right w:val="none" w:sz="0" w:space="0" w:color="auto"/>
      </w:divBdr>
    </w:div>
    <w:div w:id="560486550">
      <w:bodyDiv w:val="1"/>
      <w:marLeft w:val="0"/>
      <w:marRight w:val="0"/>
      <w:marTop w:val="0"/>
      <w:marBottom w:val="0"/>
      <w:divBdr>
        <w:top w:val="none" w:sz="0" w:space="0" w:color="auto"/>
        <w:left w:val="none" w:sz="0" w:space="0" w:color="auto"/>
        <w:bottom w:val="none" w:sz="0" w:space="0" w:color="auto"/>
        <w:right w:val="none" w:sz="0" w:space="0" w:color="auto"/>
      </w:divBdr>
    </w:div>
    <w:div w:id="665134610">
      <w:bodyDiv w:val="1"/>
      <w:marLeft w:val="0"/>
      <w:marRight w:val="0"/>
      <w:marTop w:val="0"/>
      <w:marBottom w:val="0"/>
      <w:divBdr>
        <w:top w:val="none" w:sz="0" w:space="0" w:color="auto"/>
        <w:left w:val="none" w:sz="0" w:space="0" w:color="auto"/>
        <w:bottom w:val="none" w:sz="0" w:space="0" w:color="auto"/>
        <w:right w:val="none" w:sz="0" w:space="0" w:color="auto"/>
      </w:divBdr>
    </w:div>
    <w:div w:id="698817899">
      <w:bodyDiv w:val="1"/>
      <w:marLeft w:val="0"/>
      <w:marRight w:val="0"/>
      <w:marTop w:val="0"/>
      <w:marBottom w:val="0"/>
      <w:divBdr>
        <w:top w:val="none" w:sz="0" w:space="0" w:color="auto"/>
        <w:left w:val="none" w:sz="0" w:space="0" w:color="auto"/>
        <w:bottom w:val="none" w:sz="0" w:space="0" w:color="auto"/>
        <w:right w:val="none" w:sz="0" w:space="0" w:color="auto"/>
      </w:divBdr>
    </w:div>
    <w:div w:id="763185089">
      <w:bodyDiv w:val="1"/>
      <w:marLeft w:val="0"/>
      <w:marRight w:val="0"/>
      <w:marTop w:val="0"/>
      <w:marBottom w:val="0"/>
      <w:divBdr>
        <w:top w:val="none" w:sz="0" w:space="0" w:color="auto"/>
        <w:left w:val="none" w:sz="0" w:space="0" w:color="auto"/>
        <w:bottom w:val="none" w:sz="0" w:space="0" w:color="auto"/>
        <w:right w:val="none" w:sz="0" w:space="0" w:color="auto"/>
      </w:divBdr>
    </w:div>
    <w:div w:id="796996531">
      <w:bodyDiv w:val="1"/>
      <w:marLeft w:val="0"/>
      <w:marRight w:val="0"/>
      <w:marTop w:val="0"/>
      <w:marBottom w:val="0"/>
      <w:divBdr>
        <w:top w:val="none" w:sz="0" w:space="0" w:color="auto"/>
        <w:left w:val="none" w:sz="0" w:space="0" w:color="auto"/>
        <w:bottom w:val="none" w:sz="0" w:space="0" w:color="auto"/>
        <w:right w:val="none" w:sz="0" w:space="0" w:color="auto"/>
      </w:divBdr>
      <w:divsChild>
        <w:div w:id="83694478">
          <w:marLeft w:val="0"/>
          <w:marRight w:val="0"/>
          <w:marTop w:val="0"/>
          <w:marBottom w:val="0"/>
          <w:divBdr>
            <w:top w:val="none" w:sz="0" w:space="0" w:color="auto"/>
            <w:left w:val="none" w:sz="0" w:space="0" w:color="auto"/>
            <w:bottom w:val="none" w:sz="0" w:space="0" w:color="auto"/>
            <w:right w:val="none" w:sz="0" w:space="0" w:color="auto"/>
          </w:divBdr>
        </w:div>
      </w:divsChild>
    </w:div>
    <w:div w:id="834496725">
      <w:bodyDiv w:val="1"/>
      <w:marLeft w:val="0"/>
      <w:marRight w:val="0"/>
      <w:marTop w:val="0"/>
      <w:marBottom w:val="0"/>
      <w:divBdr>
        <w:top w:val="none" w:sz="0" w:space="0" w:color="auto"/>
        <w:left w:val="none" w:sz="0" w:space="0" w:color="auto"/>
        <w:bottom w:val="none" w:sz="0" w:space="0" w:color="auto"/>
        <w:right w:val="none" w:sz="0" w:space="0" w:color="auto"/>
      </w:divBdr>
    </w:div>
    <w:div w:id="886911872">
      <w:bodyDiv w:val="1"/>
      <w:marLeft w:val="0"/>
      <w:marRight w:val="0"/>
      <w:marTop w:val="0"/>
      <w:marBottom w:val="0"/>
      <w:divBdr>
        <w:top w:val="none" w:sz="0" w:space="0" w:color="auto"/>
        <w:left w:val="none" w:sz="0" w:space="0" w:color="auto"/>
        <w:bottom w:val="none" w:sz="0" w:space="0" w:color="auto"/>
        <w:right w:val="none" w:sz="0" w:space="0" w:color="auto"/>
      </w:divBdr>
    </w:div>
    <w:div w:id="917981662">
      <w:bodyDiv w:val="1"/>
      <w:marLeft w:val="0"/>
      <w:marRight w:val="0"/>
      <w:marTop w:val="0"/>
      <w:marBottom w:val="0"/>
      <w:divBdr>
        <w:top w:val="none" w:sz="0" w:space="0" w:color="auto"/>
        <w:left w:val="none" w:sz="0" w:space="0" w:color="auto"/>
        <w:bottom w:val="none" w:sz="0" w:space="0" w:color="auto"/>
        <w:right w:val="none" w:sz="0" w:space="0" w:color="auto"/>
      </w:divBdr>
    </w:div>
    <w:div w:id="994144219">
      <w:bodyDiv w:val="1"/>
      <w:marLeft w:val="0"/>
      <w:marRight w:val="0"/>
      <w:marTop w:val="0"/>
      <w:marBottom w:val="0"/>
      <w:divBdr>
        <w:top w:val="none" w:sz="0" w:space="0" w:color="auto"/>
        <w:left w:val="none" w:sz="0" w:space="0" w:color="auto"/>
        <w:bottom w:val="none" w:sz="0" w:space="0" w:color="auto"/>
        <w:right w:val="none" w:sz="0" w:space="0" w:color="auto"/>
      </w:divBdr>
    </w:div>
    <w:div w:id="1054964774">
      <w:bodyDiv w:val="1"/>
      <w:marLeft w:val="0"/>
      <w:marRight w:val="0"/>
      <w:marTop w:val="0"/>
      <w:marBottom w:val="0"/>
      <w:divBdr>
        <w:top w:val="none" w:sz="0" w:space="0" w:color="auto"/>
        <w:left w:val="none" w:sz="0" w:space="0" w:color="auto"/>
        <w:bottom w:val="none" w:sz="0" w:space="0" w:color="auto"/>
        <w:right w:val="none" w:sz="0" w:space="0" w:color="auto"/>
      </w:divBdr>
    </w:div>
    <w:div w:id="1227299992">
      <w:bodyDiv w:val="1"/>
      <w:marLeft w:val="0"/>
      <w:marRight w:val="0"/>
      <w:marTop w:val="0"/>
      <w:marBottom w:val="0"/>
      <w:divBdr>
        <w:top w:val="none" w:sz="0" w:space="0" w:color="auto"/>
        <w:left w:val="none" w:sz="0" w:space="0" w:color="auto"/>
        <w:bottom w:val="none" w:sz="0" w:space="0" w:color="auto"/>
        <w:right w:val="none" w:sz="0" w:space="0" w:color="auto"/>
      </w:divBdr>
      <w:divsChild>
        <w:div w:id="2107383584">
          <w:marLeft w:val="0"/>
          <w:marRight w:val="0"/>
          <w:marTop w:val="0"/>
          <w:marBottom w:val="0"/>
          <w:divBdr>
            <w:top w:val="none" w:sz="0" w:space="0" w:color="auto"/>
            <w:left w:val="none" w:sz="0" w:space="0" w:color="auto"/>
            <w:bottom w:val="none" w:sz="0" w:space="0" w:color="auto"/>
            <w:right w:val="none" w:sz="0" w:space="0" w:color="auto"/>
          </w:divBdr>
        </w:div>
      </w:divsChild>
    </w:div>
    <w:div w:id="1255548850">
      <w:bodyDiv w:val="1"/>
      <w:marLeft w:val="0"/>
      <w:marRight w:val="0"/>
      <w:marTop w:val="0"/>
      <w:marBottom w:val="0"/>
      <w:divBdr>
        <w:top w:val="none" w:sz="0" w:space="0" w:color="auto"/>
        <w:left w:val="none" w:sz="0" w:space="0" w:color="auto"/>
        <w:bottom w:val="none" w:sz="0" w:space="0" w:color="auto"/>
        <w:right w:val="none" w:sz="0" w:space="0" w:color="auto"/>
      </w:divBdr>
    </w:div>
    <w:div w:id="1261378594">
      <w:bodyDiv w:val="1"/>
      <w:marLeft w:val="0"/>
      <w:marRight w:val="0"/>
      <w:marTop w:val="0"/>
      <w:marBottom w:val="0"/>
      <w:divBdr>
        <w:top w:val="none" w:sz="0" w:space="0" w:color="auto"/>
        <w:left w:val="none" w:sz="0" w:space="0" w:color="auto"/>
        <w:bottom w:val="none" w:sz="0" w:space="0" w:color="auto"/>
        <w:right w:val="none" w:sz="0" w:space="0" w:color="auto"/>
      </w:divBdr>
    </w:div>
    <w:div w:id="1283926055">
      <w:bodyDiv w:val="1"/>
      <w:marLeft w:val="0"/>
      <w:marRight w:val="0"/>
      <w:marTop w:val="0"/>
      <w:marBottom w:val="0"/>
      <w:divBdr>
        <w:top w:val="none" w:sz="0" w:space="0" w:color="auto"/>
        <w:left w:val="none" w:sz="0" w:space="0" w:color="auto"/>
        <w:bottom w:val="none" w:sz="0" w:space="0" w:color="auto"/>
        <w:right w:val="none" w:sz="0" w:space="0" w:color="auto"/>
      </w:divBdr>
    </w:div>
    <w:div w:id="1393190872">
      <w:bodyDiv w:val="1"/>
      <w:marLeft w:val="0"/>
      <w:marRight w:val="0"/>
      <w:marTop w:val="0"/>
      <w:marBottom w:val="0"/>
      <w:divBdr>
        <w:top w:val="none" w:sz="0" w:space="0" w:color="auto"/>
        <w:left w:val="none" w:sz="0" w:space="0" w:color="auto"/>
        <w:bottom w:val="none" w:sz="0" w:space="0" w:color="auto"/>
        <w:right w:val="none" w:sz="0" w:space="0" w:color="auto"/>
      </w:divBdr>
    </w:div>
    <w:div w:id="1447968589">
      <w:bodyDiv w:val="1"/>
      <w:marLeft w:val="0"/>
      <w:marRight w:val="0"/>
      <w:marTop w:val="0"/>
      <w:marBottom w:val="0"/>
      <w:divBdr>
        <w:top w:val="none" w:sz="0" w:space="0" w:color="auto"/>
        <w:left w:val="none" w:sz="0" w:space="0" w:color="auto"/>
        <w:bottom w:val="none" w:sz="0" w:space="0" w:color="auto"/>
        <w:right w:val="none" w:sz="0" w:space="0" w:color="auto"/>
      </w:divBdr>
    </w:div>
    <w:div w:id="1479111846">
      <w:bodyDiv w:val="1"/>
      <w:marLeft w:val="0"/>
      <w:marRight w:val="0"/>
      <w:marTop w:val="0"/>
      <w:marBottom w:val="0"/>
      <w:divBdr>
        <w:top w:val="none" w:sz="0" w:space="0" w:color="auto"/>
        <w:left w:val="none" w:sz="0" w:space="0" w:color="auto"/>
        <w:bottom w:val="none" w:sz="0" w:space="0" w:color="auto"/>
        <w:right w:val="none" w:sz="0" w:space="0" w:color="auto"/>
      </w:divBdr>
      <w:divsChild>
        <w:div w:id="1270505802">
          <w:marLeft w:val="0"/>
          <w:marRight w:val="0"/>
          <w:marTop w:val="0"/>
          <w:marBottom w:val="0"/>
          <w:divBdr>
            <w:top w:val="none" w:sz="0" w:space="0" w:color="auto"/>
            <w:left w:val="none" w:sz="0" w:space="0" w:color="auto"/>
            <w:bottom w:val="none" w:sz="0" w:space="0" w:color="auto"/>
            <w:right w:val="none" w:sz="0" w:space="0" w:color="auto"/>
          </w:divBdr>
        </w:div>
      </w:divsChild>
    </w:div>
    <w:div w:id="1583954557">
      <w:bodyDiv w:val="1"/>
      <w:marLeft w:val="0"/>
      <w:marRight w:val="0"/>
      <w:marTop w:val="0"/>
      <w:marBottom w:val="0"/>
      <w:divBdr>
        <w:top w:val="none" w:sz="0" w:space="0" w:color="auto"/>
        <w:left w:val="none" w:sz="0" w:space="0" w:color="auto"/>
        <w:bottom w:val="none" w:sz="0" w:space="0" w:color="auto"/>
        <w:right w:val="none" w:sz="0" w:space="0" w:color="auto"/>
      </w:divBdr>
    </w:div>
    <w:div w:id="1605965765">
      <w:bodyDiv w:val="1"/>
      <w:marLeft w:val="0"/>
      <w:marRight w:val="0"/>
      <w:marTop w:val="0"/>
      <w:marBottom w:val="0"/>
      <w:divBdr>
        <w:top w:val="none" w:sz="0" w:space="0" w:color="auto"/>
        <w:left w:val="none" w:sz="0" w:space="0" w:color="auto"/>
        <w:bottom w:val="none" w:sz="0" w:space="0" w:color="auto"/>
        <w:right w:val="none" w:sz="0" w:space="0" w:color="auto"/>
      </w:divBdr>
    </w:div>
    <w:div w:id="1619264346">
      <w:bodyDiv w:val="1"/>
      <w:marLeft w:val="0"/>
      <w:marRight w:val="0"/>
      <w:marTop w:val="0"/>
      <w:marBottom w:val="0"/>
      <w:divBdr>
        <w:top w:val="none" w:sz="0" w:space="0" w:color="auto"/>
        <w:left w:val="none" w:sz="0" w:space="0" w:color="auto"/>
        <w:bottom w:val="none" w:sz="0" w:space="0" w:color="auto"/>
        <w:right w:val="none" w:sz="0" w:space="0" w:color="auto"/>
      </w:divBdr>
      <w:divsChild>
        <w:div w:id="448014581">
          <w:marLeft w:val="0"/>
          <w:marRight w:val="0"/>
          <w:marTop w:val="0"/>
          <w:marBottom w:val="0"/>
          <w:divBdr>
            <w:top w:val="none" w:sz="0" w:space="0" w:color="auto"/>
            <w:left w:val="none" w:sz="0" w:space="0" w:color="auto"/>
            <w:bottom w:val="none" w:sz="0" w:space="0" w:color="auto"/>
            <w:right w:val="none" w:sz="0" w:space="0" w:color="auto"/>
          </w:divBdr>
        </w:div>
      </w:divsChild>
    </w:div>
    <w:div w:id="1678463132">
      <w:bodyDiv w:val="1"/>
      <w:marLeft w:val="0"/>
      <w:marRight w:val="0"/>
      <w:marTop w:val="0"/>
      <w:marBottom w:val="0"/>
      <w:divBdr>
        <w:top w:val="none" w:sz="0" w:space="0" w:color="auto"/>
        <w:left w:val="none" w:sz="0" w:space="0" w:color="auto"/>
        <w:bottom w:val="none" w:sz="0" w:space="0" w:color="auto"/>
        <w:right w:val="none" w:sz="0" w:space="0" w:color="auto"/>
      </w:divBdr>
    </w:div>
    <w:div w:id="1733309844">
      <w:bodyDiv w:val="1"/>
      <w:marLeft w:val="0"/>
      <w:marRight w:val="0"/>
      <w:marTop w:val="0"/>
      <w:marBottom w:val="0"/>
      <w:divBdr>
        <w:top w:val="none" w:sz="0" w:space="0" w:color="auto"/>
        <w:left w:val="none" w:sz="0" w:space="0" w:color="auto"/>
        <w:bottom w:val="none" w:sz="0" w:space="0" w:color="auto"/>
        <w:right w:val="none" w:sz="0" w:space="0" w:color="auto"/>
      </w:divBdr>
    </w:div>
    <w:div w:id="1751390839">
      <w:bodyDiv w:val="1"/>
      <w:marLeft w:val="0"/>
      <w:marRight w:val="0"/>
      <w:marTop w:val="0"/>
      <w:marBottom w:val="0"/>
      <w:divBdr>
        <w:top w:val="none" w:sz="0" w:space="0" w:color="auto"/>
        <w:left w:val="none" w:sz="0" w:space="0" w:color="auto"/>
        <w:bottom w:val="none" w:sz="0" w:space="0" w:color="auto"/>
        <w:right w:val="none" w:sz="0" w:space="0" w:color="auto"/>
      </w:divBdr>
    </w:div>
    <w:div w:id="1791507341">
      <w:bodyDiv w:val="1"/>
      <w:marLeft w:val="0"/>
      <w:marRight w:val="0"/>
      <w:marTop w:val="0"/>
      <w:marBottom w:val="0"/>
      <w:divBdr>
        <w:top w:val="none" w:sz="0" w:space="0" w:color="auto"/>
        <w:left w:val="none" w:sz="0" w:space="0" w:color="auto"/>
        <w:bottom w:val="none" w:sz="0" w:space="0" w:color="auto"/>
        <w:right w:val="none" w:sz="0" w:space="0" w:color="auto"/>
      </w:divBdr>
    </w:div>
    <w:div w:id="1886982508">
      <w:bodyDiv w:val="1"/>
      <w:marLeft w:val="0"/>
      <w:marRight w:val="0"/>
      <w:marTop w:val="0"/>
      <w:marBottom w:val="0"/>
      <w:divBdr>
        <w:top w:val="none" w:sz="0" w:space="0" w:color="auto"/>
        <w:left w:val="none" w:sz="0" w:space="0" w:color="auto"/>
        <w:bottom w:val="none" w:sz="0" w:space="0" w:color="auto"/>
        <w:right w:val="none" w:sz="0" w:space="0" w:color="auto"/>
      </w:divBdr>
    </w:div>
    <w:div w:id="1903785806">
      <w:bodyDiv w:val="1"/>
      <w:marLeft w:val="0"/>
      <w:marRight w:val="0"/>
      <w:marTop w:val="0"/>
      <w:marBottom w:val="0"/>
      <w:divBdr>
        <w:top w:val="none" w:sz="0" w:space="0" w:color="auto"/>
        <w:left w:val="none" w:sz="0" w:space="0" w:color="auto"/>
        <w:bottom w:val="none" w:sz="0" w:space="0" w:color="auto"/>
        <w:right w:val="none" w:sz="0" w:space="0" w:color="auto"/>
      </w:divBdr>
    </w:div>
    <w:div w:id="1975525989">
      <w:bodyDiv w:val="1"/>
      <w:marLeft w:val="0"/>
      <w:marRight w:val="0"/>
      <w:marTop w:val="0"/>
      <w:marBottom w:val="0"/>
      <w:divBdr>
        <w:top w:val="none" w:sz="0" w:space="0" w:color="auto"/>
        <w:left w:val="none" w:sz="0" w:space="0" w:color="auto"/>
        <w:bottom w:val="none" w:sz="0" w:space="0" w:color="auto"/>
        <w:right w:val="none" w:sz="0" w:space="0" w:color="auto"/>
      </w:divBdr>
    </w:div>
    <w:div w:id="2054882623">
      <w:bodyDiv w:val="1"/>
      <w:marLeft w:val="0"/>
      <w:marRight w:val="0"/>
      <w:marTop w:val="0"/>
      <w:marBottom w:val="0"/>
      <w:divBdr>
        <w:top w:val="none" w:sz="0" w:space="0" w:color="auto"/>
        <w:left w:val="none" w:sz="0" w:space="0" w:color="auto"/>
        <w:bottom w:val="none" w:sz="0" w:space="0" w:color="auto"/>
        <w:right w:val="none" w:sz="0" w:space="0" w:color="auto"/>
      </w:divBdr>
      <w:divsChild>
        <w:div w:id="673580432">
          <w:marLeft w:val="0"/>
          <w:marRight w:val="0"/>
          <w:marTop w:val="0"/>
          <w:marBottom w:val="0"/>
          <w:divBdr>
            <w:top w:val="none" w:sz="0" w:space="0" w:color="auto"/>
            <w:left w:val="none" w:sz="0" w:space="0" w:color="auto"/>
            <w:bottom w:val="none" w:sz="0" w:space="0" w:color="auto"/>
            <w:right w:val="none" w:sz="0" w:space="0" w:color="auto"/>
          </w:divBdr>
        </w:div>
      </w:divsChild>
    </w:div>
    <w:div w:id="2057048460">
      <w:bodyDiv w:val="1"/>
      <w:marLeft w:val="0"/>
      <w:marRight w:val="0"/>
      <w:marTop w:val="0"/>
      <w:marBottom w:val="0"/>
      <w:divBdr>
        <w:top w:val="none" w:sz="0" w:space="0" w:color="auto"/>
        <w:left w:val="none" w:sz="0" w:space="0" w:color="auto"/>
        <w:bottom w:val="none" w:sz="0" w:space="0" w:color="auto"/>
        <w:right w:val="none" w:sz="0" w:space="0" w:color="auto"/>
      </w:divBdr>
      <w:divsChild>
        <w:div w:id="1509829828">
          <w:marLeft w:val="0"/>
          <w:marRight w:val="0"/>
          <w:marTop w:val="0"/>
          <w:marBottom w:val="0"/>
          <w:divBdr>
            <w:top w:val="none" w:sz="0" w:space="0" w:color="auto"/>
            <w:left w:val="none" w:sz="0" w:space="0" w:color="auto"/>
            <w:bottom w:val="none" w:sz="0" w:space="0" w:color="auto"/>
            <w:right w:val="none" w:sz="0" w:space="0" w:color="auto"/>
          </w:divBdr>
          <w:divsChild>
            <w:div w:id="772242817">
              <w:marLeft w:val="0"/>
              <w:marRight w:val="0"/>
              <w:marTop w:val="0"/>
              <w:marBottom w:val="0"/>
              <w:divBdr>
                <w:top w:val="none" w:sz="0" w:space="0" w:color="auto"/>
                <w:left w:val="none" w:sz="0" w:space="0" w:color="auto"/>
                <w:bottom w:val="none" w:sz="0" w:space="0" w:color="auto"/>
                <w:right w:val="none" w:sz="0" w:space="0" w:color="auto"/>
              </w:divBdr>
              <w:divsChild>
                <w:div w:id="95174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214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2.xml"/><Relationship Id="rId18" Type="http://schemas.openxmlformats.org/officeDocument/2006/relationships/diagramLayout" Target="diagrams/layout3.xml"/><Relationship Id="rId26"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hyperlink" Target="https://www.grandviewresearch.com/industry-analysis/restaurant-management-software-market"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Data" Target="diagrams/data3.xml"/><Relationship Id="rId25"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QuickStyle" Target="diagrams/quickStyle3.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Layout" Target="diagrams/layout2.xml"/><Relationship Id="rId22" Type="http://schemas.openxmlformats.org/officeDocument/2006/relationships/footer" Target="footer1.xml"/><Relationship Id="rId27"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E8842D-011C-4271-BCFE-EA148B35D50A}" type="doc">
      <dgm:prSet loTypeId="urn:microsoft.com/office/officeart/2005/8/layout/cycle8" loCatId="cycle" qsTypeId="urn:microsoft.com/office/officeart/2005/8/quickstyle/simple1" qsCatId="simple" csTypeId="urn:microsoft.com/office/officeart/2005/8/colors/colorful3" csCatId="colorful" phldr="1"/>
      <dgm:spPr/>
    </dgm:pt>
    <dgm:pt modelId="{512BC4D5-25D3-456C-B72D-65972BDA9625}">
      <dgm:prSet phldrT="[Text]"/>
      <dgm:spPr/>
      <dgm:t>
        <a:bodyPr/>
        <a:lstStyle/>
        <a:p>
          <a:r>
            <a:rPr lang="en-US"/>
            <a:t>Delivery (On-Site)</a:t>
          </a:r>
        </a:p>
      </dgm:t>
    </dgm:pt>
    <dgm:pt modelId="{977EF4DC-4127-47CB-AC0C-066F9654096C}" type="parTrans" cxnId="{E509BF54-9206-4495-8588-640865910E0A}">
      <dgm:prSet/>
      <dgm:spPr/>
      <dgm:t>
        <a:bodyPr/>
        <a:lstStyle/>
        <a:p>
          <a:endParaRPr lang="en-US"/>
        </a:p>
      </dgm:t>
    </dgm:pt>
    <dgm:pt modelId="{57AABDE3-1D25-47DA-A545-6584EC585B4C}" type="sibTrans" cxnId="{E509BF54-9206-4495-8588-640865910E0A}">
      <dgm:prSet/>
      <dgm:spPr/>
      <dgm:t>
        <a:bodyPr/>
        <a:lstStyle/>
        <a:p>
          <a:endParaRPr lang="en-US"/>
        </a:p>
      </dgm:t>
    </dgm:pt>
    <dgm:pt modelId="{AA1E587B-F0D1-46E3-A810-98262BA4BB7D}">
      <dgm:prSet phldrT="[Text]"/>
      <dgm:spPr/>
      <dgm:t>
        <a:bodyPr/>
        <a:lstStyle/>
        <a:p>
          <a:r>
            <a:rPr lang="en-US"/>
            <a:t>Post event Evaluation</a:t>
          </a:r>
        </a:p>
      </dgm:t>
    </dgm:pt>
    <dgm:pt modelId="{18A094C7-B657-4741-9FA1-8108FE8AF7A0}" type="parTrans" cxnId="{152F983D-F301-4659-A0A0-7B6D0D6AA355}">
      <dgm:prSet/>
      <dgm:spPr/>
      <dgm:t>
        <a:bodyPr/>
        <a:lstStyle/>
        <a:p>
          <a:endParaRPr lang="en-US"/>
        </a:p>
      </dgm:t>
    </dgm:pt>
    <dgm:pt modelId="{9DB53A70-2B87-4DB1-B8BB-4D837E63BD96}" type="sibTrans" cxnId="{152F983D-F301-4659-A0A0-7B6D0D6AA355}">
      <dgm:prSet/>
      <dgm:spPr/>
      <dgm:t>
        <a:bodyPr/>
        <a:lstStyle/>
        <a:p>
          <a:endParaRPr lang="en-US"/>
        </a:p>
      </dgm:t>
    </dgm:pt>
    <dgm:pt modelId="{8CABA704-8D5A-43F8-A2F7-3D15A12D85B3}">
      <dgm:prSet phldrT="[Text]"/>
      <dgm:spPr/>
      <dgm:t>
        <a:bodyPr/>
        <a:lstStyle/>
        <a:p>
          <a:pPr algn="ctr"/>
          <a:r>
            <a:rPr lang="en-US"/>
            <a:t>Planning</a:t>
          </a:r>
        </a:p>
      </dgm:t>
    </dgm:pt>
    <dgm:pt modelId="{DED5F7A0-0757-4B4A-BAF6-0C70C7219AD4}" type="parTrans" cxnId="{95D77B65-A6A3-43D0-94DC-A7FA53AE2EAA}">
      <dgm:prSet/>
      <dgm:spPr/>
      <dgm:t>
        <a:bodyPr/>
        <a:lstStyle/>
        <a:p>
          <a:endParaRPr lang="en-US"/>
        </a:p>
      </dgm:t>
    </dgm:pt>
    <dgm:pt modelId="{C0FE4547-2CD9-4AB9-ABC6-B18A5C01640C}" type="sibTrans" cxnId="{95D77B65-A6A3-43D0-94DC-A7FA53AE2EAA}">
      <dgm:prSet/>
      <dgm:spPr/>
      <dgm:t>
        <a:bodyPr/>
        <a:lstStyle/>
        <a:p>
          <a:endParaRPr lang="en-US"/>
        </a:p>
      </dgm:t>
    </dgm:pt>
    <dgm:pt modelId="{95CF2608-CAC9-49E5-9669-6FB6D56F8940}" type="pres">
      <dgm:prSet presAssocID="{5DE8842D-011C-4271-BCFE-EA148B35D50A}" presName="compositeShape" presStyleCnt="0">
        <dgm:presLayoutVars>
          <dgm:chMax val="7"/>
          <dgm:dir/>
          <dgm:resizeHandles val="exact"/>
        </dgm:presLayoutVars>
      </dgm:prSet>
      <dgm:spPr/>
    </dgm:pt>
    <dgm:pt modelId="{B86CADEE-FAB5-4FD9-9FC9-CC6D33E1E7E8}" type="pres">
      <dgm:prSet presAssocID="{5DE8842D-011C-4271-BCFE-EA148B35D50A}" presName="wedge1" presStyleLbl="node1" presStyleIdx="0" presStyleCnt="3"/>
      <dgm:spPr/>
      <dgm:t>
        <a:bodyPr/>
        <a:lstStyle/>
        <a:p>
          <a:endParaRPr lang="en-US"/>
        </a:p>
      </dgm:t>
    </dgm:pt>
    <dgm:pt modelId="{EC5137E4-4847-49F8-B068-E9C02B5F7049}" type="pres">
      <dgm:prSet presAssocID="{5DE8842D-011C-4271-BCFE-EA148B35D50A}" presName="dummy1a" presStyleCnt="0"/>
      <dgm:spPr/>
    </dgm:pt>
    <dgm:pt modelId="{2AE98527-323C-4148-8726-D200C42AFEDB}" type="pres">
      <dgm:prSet presAssocID="{5DE8842D-011C-4271-BCFE-EA148B35D50A}" presName="dummy1b" presStyleCnt="0"/>
      <dgm:spPr/>
    </dgm:pt>
    <dgm:pt modelId="{111F0262-24FE-4487-8611-5C9ACE6990F6}" type="pres">
      <dgm:prSet presAssocID="{5DE8842D-011C-4271-BCFE-EA148B35D50A}" presName="wedge1Tx" presStyleLbl="node1" presStyleIdx="0" presStyleCnt="3">
        <dgm:presLayoutVars>
          <dgm:chMax val="0"/>
          <dgm:chPref val="0"/>
          <dgm:bulletEnabled val="1"/>
        </dgm:presLayoutVars>
      </dgm:prSet>
      <dgm:spPr/>
      <dgm:t>
        <a:bodyPr/>
        <a:lstStyle/>
        <a:p>
          <a:endParaRPr lang="en-US"/>
        </a:p>
      </dgm:t>
    </dgm:pt>
    <dgm:pt modelId="{BF299147-AF76-4A49-B317-6DF504A8EB64}" type="pres">
      <dgm:prSet presAssocID="{5DE8842D-011C-4271-BCFE-EA148B35D50A}" presName="wedge2" presStyleLbl="node1" presStyleIdx="1" presStyleCnt="3"/>
      <dgm:spPr/>
      <dgm:t>
        <a:bodyPr/>
        <a:lstStyle/>
        <a:p>
          <a:endParaRPr lang="en-US"/>
        </a:p>
      </dgm:t>
    </dgm:pt>
    <dgm:pt modelId="{535F8CA8-9D66-421E-9CCA-DBCB42FCEED8}" type="pres">
      <dgm:prSet presAssocID="{5DE8842D-011C-4271-BCFE-EA148B35D50A}" presName="dummy2a" presStyleCnt="0"/>
      <dgm:spPr/>
    </dgm:pt>
    <dgm:pt modelId="{23ABC106-C754-4E06-9008-D7D3F0A4D2AB}" type="pres">
      <dgm:prSet presAssocID="{5DE8842D-011C-4271-BCFE-EA148B35D50A}" presName="dummy2b" presStyleCnt="0"/>
      <dgm:spPr/>
    </dgm:pt>
    <dgm:pt modelId="{4FC6ABEB-DCCD-4686-B14D-A62E1DFD9811}" type="pres">
      <dgm:prSet presAssocID="{5DE8842D-011C-4271-BCFE-EA148B35D50A}" presName="wedge2Tx" presStyleLbl="node1" presStyleIdx="1" presStyleCnt="3">
        <dgm:presLayoutVars>
          <dgm:chMax val="0"/>
          <dgm:chPref val="0"/>
          <dgm:bulletEnabled val="1"/>
        </dgm:presLayoutVars>
      </dgm:prSet>
      <dgm:spPr/>
      <dgm:t>
        <a:bodyPr/>
        <a:lstStyle/>
        <a:p>
          <a:endParaRPr lang="en-US"/>
        </a:p>
      </dgm:t>
    </dgm:pt>
    <dgm:pt modelId="{4A7103CF-3FDA-4FF9-890F-707C9CE36334}" type="pres">
      <dgm:prSet presAssocID="{5DE8842D-011C-4271-BCFE-EA148B35D50A}" presName="wedge3" presStyleLbl="node1" presStyleIdx="2" presStyleCnt="3"/>
      <dgm:spPr/>
      <dgm:t>
        <a:bodyPr/>
        <a:lstStyle/>
        <a:p>
          <a:endParaRPr lang="en-US"/>
        </a:p>
      </dgm:t>
    </dgm:pt>
    <dgm:pt modelId="{E913DBFD-8111-454E-A3C0-212D5EEDA26B}" type="pres">
      <dgm:prSet presAssocID="{5DE8842D-011C-4271-BCFE-EA148B35D50A}" presName="dummy3a" presStyleCnt="0"/>
      <dgm:spPr/>
    </dgm:pt>
    <dgm:pt modelId="{6EFC433D-2A37-4A19-9A19-DA45775F9446}" type="pres">
      <dgm:prSet presAssocID="{5DE8842D-011C-4271-BCFE-EA148B35D50A}" presName="dummy3b" presStyleCnt="0"/>
      <dgm:spPr/>
    </dgm:pt>
    <dgm:pt modelId="{B2E486AC-764E-4372-B4B8-E13B0F67DD6C}" type="pres">
      <dgm:prSet presAssocID="{5DE8842D-011C-4271-BCFE-EA148B35D50A}" presName="wedge3Tx" presStyleLbl="node1" presStyleIdx="2" presStyleCnt="3">
        <dgm:presLayoutVars>
          <dgm:chMax val="0"/>
          <dgm:chPref val="0"/>
          <dgm:bulletEnabled val="1"/>
        </dgm:presLayoutVars>
      </dgm:prSet>
      <dgm:spPr/>
      <dgm:t>
        <a:bodyPr/>
        <a:lstStyle/>
        <a:p>
          <a:endParaRPr lang="en-US"/>
        </a:p>
      </dgm:t>
    </dgm:pt>
    <dgm:pt modelId="{EB143FC0-5660-4564-8C8A-82D557AD1000}" type="pres">
      <dgm:prSet presAssocID="{57AABDE3-1D25-47DA-A545-6584EC585B4C}" presName="arrowWedge1" presStyleLbl="fgSibTrans2D1" presStyleIdx="0" presStyleCnt="3"/>
      <dgm:spPr/>
    </dgm:pt>
    <dgm:pt modelId="{CFA168AC-79BD-4DBD-91B5-94BE315DCA07}" type="pres">
      <dgm:prSet presAssocID="{9DB53A70-2B87-4DB1-B8BB-4D837E63BD96}" presName="arrowWedge2" presStyleLbl="fgSibTrans2D1" presStyleIdx="1" presStyleCnt="3"/>
      <dgm:spPr/>
    </dgm:pt>
    <dgm:pt modelId="{74D7240C-2DF2-4D4C-A778-EC79626EFB63}" type="pres">
      <dgm:prSet presAssocID="{C0FE4547-2CD9-4AB9-ABC6-B18A5C01640C}" presName="arrowWedge3" presStyleLbl="fgSibTrans2D1" presStyleIdx="2" presStyleCnt="3"/>
      <dgm:spPr/>
    </dgm:pt>
  </dgm:ptLst>
  <dgm:cxnLst>
    <dgm:cxn modelId="{95D77B65-A6A3-43D0-94DC-A7FA53AE2EAA}" srcId="{5DE8842D-011C-4271-BCFE-EA148B35D50A}" destId="{8CABA704-8D5A-43F8-A2F7-3D15A12D85B3}" srcOrd="2" destOrd="0" parTransId="{DED5F7A0-0757-4B4A-BAF6-0C70C7219AD4}" sibTransId="{C0FE4547-2CD9-4AB9-ABC6-B18A5C01640C}"/>
    <dgm:cxn modelId="{F7B55513-4C3C-4556-A79B-64429D24F1C6}" type="presOf" srcId="{5DE8842D-011C-4271-BCFE-EA148B35D50A}" destId="{95CF2608-CAC9-49E5-9669-6FB6D56F8940}" srcOrd="0" destOrd="0" presId="urn:microsoft.com/office/officeart/2005/8/layout/cycle8"/>
    <dgm:cxn modelId="{EFA2E2C0-C6DD-441C-8DAF-472F738A8EFE}" type="presOf" srcId="{8CABA704-8D5A-43F8-A2F7-3D15A12D85B3}" destId="{4A7103CF-3FDA-4FF9-890F-707C9CE36334}" srcOrd="0" destOrd="0" presId="urn:microsoft.com/office/officeart/2005/8/layout/cycle8"/>
    <dgm:cxn modelId="{152F983D-F301-4659-A0A0-7B6D0D6AA355}" srcId="{5DE8842D-011C-4271-BCFE-EA148B35D50A}" destId="{AA1E587B-F0D1-46E3-A810-98262BA4BB7D}" srcOrd="1" destOrd="0" parTransId="{18A094C7-B657-4741-9FA1-8108FE8AF7A0}" sibTransId="{9DB53A70-2B87-4DB1-B8BB-4D837E63BD96}"/>
    <dgm:cxn modelId="{B4BAF6E5-EA85-4A79-8940-F6E8BDAFF5C1}" type="presOf" srcId="{8CABA704-8D5A-43F8-A2F7-3D15A12D85B3}" destId="{B2E486AC-764E-4372-B4B8-E13B0F67DD6C}" srcOrd="1" destOrd="0" presId="urn:microsoft.com/office/officeart/2005/8/layout/cycle8"/>
    <dgm:cxn modelId="{D9B2263C-69A8-4D05-BF60-B78D16EEA61F}" type="presOf" srcId="{512BC4D5-25D3-456C-B72D-65972BDA9625}" destId="{B86CADEE-FAB5-4FD9-9FC9-CC6D33E1E7E8}" srcOrd="0" destOrd="0" presId="urn:microsoft.com/office/officeart/2005/8/layout/cycle8"/>
    <dgm:cxn modelId="{BD0B0C7F-D680-4529-BD29-CAB0EBC2360C}" type="presOf" srcId="{AA1E587B-F0D1-46E3-A810-98262BA4BB7D}" destId="{BF299147-AF76-4A49-B317-6DF504A8EB64}" srcOrd="0" destOrd="0" presId="urn:microsoft.com/office/officeart/2005/8/layout/cycle8"/>
    <dgm:cxn modelId="{7067B09C-363C-4E8B-BF69-881B2DEDA001}" type="presOf" srcId="{AA1E587B-F0D1-46E3-A810-98262BA4BB7D}" destId="{4FC6ABEB-DCCD-4686-B14D-A62E1DFD9811}" srcOrd="1" destOrd="0" presId="urn:microsoft.com/office/officeart/2005/8/layout/cycle8"/>
    <dgm:cxn modelId="{674FF467-F34F-46FB-8B34-2FFB5DB36E6F}" type="presOf" srcId="{512BC4D5-25D3-456C-B72D-65972BDA9625}" destId="{111F0262-24FE-4487-8611-5C9ACE6990F6}" srcOrd="1" destOrd="0" presId="urn:microsoft.com/office/officeart/2005/8/layout/cycle8"/>
    <dgm:cxn modelId="{E509BF54-9206-4495-8588-640865910E0A}" srcId="{5DE8842D-011C-4271-BCFE-EA148B35D50A}" destId="{512BC4D5-25D3-456C-B72D-65972BDA9625}" srcOrd="0" destOrd="0" parTransId="{977EF4DC-4127-47CB-AC0C-066F9654096C}" sibTransId="{57AABDE3-1D25-47DA-A545-6584EC585B4C}"/>
    <dgm:cxn modelId="{5C18295F-700E-489E-86F1-0AAE2F527933}" type="presParOf" srcId="{95CF2608-CAC9-49E5-9669-6FB6D56F8940}" destId="{B86CADEE-FAB5-4FD9-9FC9-CC6D33E1E7E8}" srcOrd="0" destOrd="0" presId="urn:microsoft.com/office/officeart/2005/8/layout/cycle8"/>
    <dgm:cxn modelId="{F2AD4552-99EE-440A-8243-E0F17107B1A6}" type="presParOf" srcId="{95CF2608-CAC9-49E5-9669-6FB6D56F8940}" destId="{EC5137E4-4847-49F8-B068-E9C02B5F7049}" srcOrd="1" destOrd="0" presId="urn:microsoft.com/office/officeart/2005/8/layout/cycle8"/>
    <dgm:cxn modelId="{F33A6212-8059-4DCF-BB36-EB4013C45AD5}" type="presParOf" srcId="{95CF2608-CAC9-49E5-9669-6FB6D56F8940}" destId="{2AE98527-323C-4148-8726-D200C42AFEDB}" srcOrd="2" destOrd="0" presId="urn:microsoft.com/office/officeart/2005/8/layout/cycle8"/>
    <dgm:cxn modelId="{CEA666D5-6982-4001-AED7-0515BD025D80}" type="presParOf" srcId="{95CF2608-CAC9-49E5-9669-6FB6D56F8940}" destId="{111F0262-24FE-4487-8611-5C9ACE6990F6}" srcOrd="3" destOrd="0" presId="urn:microsoft.com/office/officeart/2005/8/layout/cycle8"/>
    <dgm:cxn modelId="{DB978319-E10C-4FC4-9D6E-A562F70A3C35}" type="presParOf" srcId="{95CF2608-CAC9-49E5-9669-6FB6D56F8940}" destId="{BF299147-AF76-4A49-B317-6DF504A8EB64}" srcOrd="4" destOrd="0" presId="urn:microsoft.com/office/officeart/2005/8/layout/cycle8"/>
    <dgm:cxn modelId="{D2C59DB8-7298-473D-95D8-E41529C9EE67}" type="presParOf" srcId="{95CF2608-CAC9-49E5-9669-6FB6D56F8940}" destId="{535F8CA8-9D66-421E-9CCA-DBCB42FCEED8}" srcOrd="5" destOrd="0" presId="urn:microsoft.com/office/officeart/2005/8/layout/cycle8"/>
    <dgm:cxn modelId="{5D944A5D-0041-48E6-B510-4FB7B5C30443}" type="presParOf" srcId="{95CF2608-CAC9-49E5-9669-6FB6D56F8940}" destId="{23ABC106-C754-4E06-9008-D7D3F0A4D2AB}" srcOrd="6" destOrd="0" presId="urn:microsoft.com/office/officeart/2005/8/layout/cycle8"/>
    <dgm:cxn modelId="{9EE8B034-6110-4E11-B409-3CC0C2865CC1}" type="presParOf" srcId="{95CF2608-CAC9-49E5-9669-6FB6D56F8940}" destId="{4FC6ABEB-DCCD-4686-B14D-A62E1DFD9811}" srcOrd="7" destOrd="0" presId="urn:microsoft.com/office/officeart/2005/8/layout/cycle8"/>
    <dgm:cxn modelId="{535A0CDB-D958-4A30-BC0C-E381DE9F58D9}" type="presParOf" srcId="{95CF2608-CAC9-49E5-9669-6FB6D56F8940}" destId="{4A7103CF-3FDA-4FF9-890F-707C9CE36334}" srcOrd="8" destOrd="0" presId="urn:microsoft.com/office/officeart/2005/8/layout/cycle8"/>
    <dgm:cxn modelId="{7CA32374-EACE-4588-A11F-DA4FB587FA8D}" type="presParOf" srcId="{95CF2608-CAC9-49E5-9669-6FB6D56F8940}" destId="{E913DBFD-8111-454E-A3C0-212D5EEDA26B}" srcOrd="9" destOrd="0" presId="urn:microsoft.com/office/officeart/2005/8/layout/cycle8"/>
    <dgm:cxn modelId="{376A6C67-8FF2-4C63-81F6-2FB76B44D004}" type="presParOf" srcId="{95CF2608-CAC9-49E5-9669-6FB6D56F8940}" destId="{6EFC433D-2A37-4A19-9A19-DA45775F9446}" srcOrd="10" destOrd="0" presId="urn:microsoft.com/office/officeart/2005/8/layout/cycle8"/>
    <dgm:cxn modelId="{B92DF170-4914-41BA-9804-B62676EFC045}" type="presParOf" srcId="{95CF2608-CAC9-49E5-9669-6FB6D56F8940}" destId="{B2E486AC-764E-4372-B4B8-E13B0F67DD6C}" srcOrd="11" destOrd="0" presId="urn:microsoft.com/office/officeart/2005/8/layout/cycle8"/>
    <dgm:cxn modelId="{59E0273D-6576-47D1-B771-AC5A5F1CF9D8}" type="presParOf" srcId="{95CF2608-CAC9-49E5-9669-6FB6D56F8940}" destId="{EB143FC0-5660-4564-8C8A-82D557AD1000}" srcOrd="12" destOrd="0" presId="urn:microsoft.com/office/officeart/2005/8/layout/cycle8"/>
    <dgm:cxn modelId="{880717B5-CC0D-480D-9992-0102973F495A}" type="presParOf" srcId="{95CF2608-CAC9-49E5-9669-6FB6D56F8940}" destId="{CFA168AC-79BD-4DBD-91B5-94BE315DCA07}" srcOrd="13" destOrd="0" presId="urn:microsoft.com/office/officeart/2005/8/layout/cycle8"/>
    <dgm:cxn modelId="{F90A79B8-5092-4D99-924F-F7AD491D83C2}" type="presParOf" srcId="{95CF2608-CAC9-49E5-9669-6FB6D56F8940}" destId="{74D7240C-2DF2-4D4C-A778-EC79626EFB63}" srcOrd="14" destOrd="0" presId="urn:microsoft.com/office/officeart/2005/8/layout/cycle8"/>
  </dgm:cxnLst>
  <dgm:bg/>
  <dgm:whole/>
</dgm:dataModel>
</file>

<file path=word/diagrams/data2.xml><?xml version="1.0" encoding="utf-8"?>
<dgm:dataModel xmlns:dgm="http://schemas.openxmlformats.org/drawingml/2006/diagram" xmlns:a="http://schemas.openxmlformats.org/drawingml/2006/main">
  <dgm:ptLst>
    <dgm:pt modelId="{9F2D8047-A0EF-4AC5-B812-5F60EE31BE91}" type="doc">
      <dgm:prSet loTypeId="urn:microsoft.com/office/officeart/2005/8/layout/radial1" loCatId="cycle" qsTypeId="urn:microsoft.com/office/officeart/2005/8/quickstyle/simple1" qsCatId="simple" csTypeId="urn:microsoft.com/office/officeart/2005/8/colors/colorful1#1" csCatId="colorful" phldr="1"/>
      <dgm:spPr/>
      <dgm:t>
        <a:bodyPr/>
        <a:lstStyle/>
        <a:p>
          <a:endParaRPr lang="en-US"/>
        </a:p>
      </dgm:t>
    </dgm:pt>
    <dgm:pt modelId="{5FAB0BD2-D3BA-494A-95EA-5D8E41837FE2}">
      <dgm:prSet phldrT="[Text]"/>
      <dgm:spPr/>
      <dgm:t>
        <a:bodyPr/>
        <a:lstStyle/>
        <a:p>
          <a:pPr algn="ctr"/>
          <a:r>
            <a:rPr lang="en-US"/>
            <a:t>SWOT</a:t>
          </a:r>
        </a:p>
      </dgm:t>
    </dgm:pt>
    <dgm:pt modelId="{021AF6E1-2DB0-4E6A-A815-6AA83BA47FDF}" type="parTrans" cxnId="{AED57C51-0B11-445A-AEC4-ACA16E702BC9}">
      <dgm:prSet/>
      <dgm:spPr/>
      <dgm:t>
        <a:bodyPr/>
        <a:lstStyle/>
        <a:p>
          <a:pPr algn="ctr"/>
          <a:endParaRPr lang="en-US"/>
        </a:p>
      </dgm:t>
    </dgm:pt>
    <dgm:pt modelId="{2339D341-11B2-43A9-85C4-34D90C662F16}" type="sibTrans" cxnId="{AED57C51-0B11-445A-AEC4-ACA16E702BC9}">
      <dgm:prSet/>
      <dgm:spPr/>
      <dgm:t>
        <a:bodyPr/>
        <a:lstStyle/>
        <a:p>
          <a:pPr algn="ctr"/>
          <a:endParaRPr lang="en-US"/>
        </a:p>
      </dgm:t>
    </dgm:pt>
    <dgm:pt modelId="{94A49CD2-25BB-4B6B-8944-F4EFE775F24B}">
      <dgm:prSet phldrT="[Text]" custT="1"/>
      <dgm:spPr/>
      <dgm:t>
        <a:bodyPr/>
        <a:lstStyle/>
        <a:p>
          <a:pPr algn="ctr"/>
          <a:r>
            <a:rPr lang="en-US" sz="1400"/>
            <a:t>Strength</a:t>
          </a:r>
        </a:p>
      </dgm:t>
    </dgm:pt>
    <dgm:pt modelId="{BA7CE9B7-C462-4AE9-BAD7-129E658B549E}" type="parTrans" cxnId="{1669F368-1285-46A6-8A9F-440EBC81C8E6}">
      <dgm:prSet/>
      <dgm:spPr/>
      <dgm:t>
        <a:bodyPr/>
        <a:lstStyle/>
        <a:p>
          <a:pPr algn="ctr"/>
          <a:endParaRPr lang="en-US"/>
        </a:p>
      </dgm:t>
    </dgm:pt>
    <dgm:pt modelId="{6A831AF3-4628-4419-8181-767A8A71E3E1}" type="sibTrans" cxnId="{1669F368-1285-46A6-8A9F-440EBC81C8E6}">
      <dgm:prSet/>
      <dgm:spPr/>
      <dgm:t>
        <a:bodyPr/>
        <a:lstStyle/>
        <a:p>
          <a:pPr algn="ctr"/>
          <a:endParaRPr lang="en-US"/>
        </a:p>
      </dgm:t>
    </dgm:pt>
    <dgm:pt modelId="{27F3A085-C16E-4DB2-9076-BF935628B6A4}">
      <dgm:prSet phldrT="[Text]" custT="1"/>
      <dgm:spPr/>
      <dgm:t>
        <a:bodyPr/>
        <a:lstStyle/>
        <a:p>
          <a:pPr algn="ctr"/>
          <a:r>
            <a:rPr lang="en-US" sz="1400"/>
            <a:t>Weakness</a:t>
          </a:r>
        </a:p>
      </dgm:t>
    </dgm:pt>
    <dgm:pt modelId="{00790CA0-6E52-4597-B5A1-517FC645AAEE}" type="parTrans" cxnId="{5AD46134-DE8A-4EA9-ACCF-BF5252FA3A3F}">
      <dgm:prSet/>
      <dgm:spPr/>
      <dgm:t>
        <a:bodyPr/>
        <a:lstStyle/>
        <a:p>
          <a:pPr algn="ctr"/>
          <a:endParaRPr lang="en-US"/>
        </a:p>
      </dgm:t>
    </dgm:pt>
    <dgm:pt modelId="{625BB500-AB27-4EB2-9D91-A5E00B6142F7}" type="sibTrans" cxnId="{5AD46134-DE8A-4EA9-ACCF-BF5252FA3A3F}">
      <dgm:prSet/>
      <dgm:spPr/>
      <dgm:t>
        <a:bodyPr/>
        <a:lstStyle/>
        <a:p>
          <a:pPr algn="ctr"/>
          <a:endParaRPr lang="en-US"/>
        </a:p>
      </dgm:t>
    </dgm:pt>
    <dgm:pt modelId="{0CC8345B-2B48-4845-8611-0210AC480091}">
      <dgm:prSet phldrT="[Text]" custT="1"/>
      <dgm:spPr/>
      <dgm:t>
        <a:bodyPr/>
        <a:lstStyle/>
        <a:p>
          <a:pPr algn="ctr"/>
          <a:r>
            <a:rPr lang="en-US" sz="1400"/>
            <a:t>Opportunity</a:t>
          </a:r>
        </a:p>
      </dgm:t>
    </dgm:pt>
    <dgm:pt modelId="{2BCFBCCC-47A2-4F6A-A58D-5FC8AA31CCB6}" type="parTrans" cxnId="{20CECCE9-6112-4431-B1F1-6890207F74FE}">
      <dgm:prSet/>
      <dgm:spPr/>
      <dgm:t>
        <a:bodyPr/>
        <a:lstStyle/>
        <a:p>
          <a:pPr algn="ctr"/>
          <a:endParaRPr lang="en-US"/>
        </a:p>
      </dgm:t>
    </dgm:pt>
    <dgm:pt modelId="{45BA5C44-7D17-42C2-82C5-C71DBF6A9D56}" type="sibTrans" cxnId="{20CECCE9-6112-4431-B1F1-6890207F74FE}">
      <dgm:prSet/>
      <dgm:spPr/>
      <dgm:t>
        <a:bodyPr/>
        <a:lstStyle/>
        <a:p>
          <a:pPr algn="ctr"/>
          <a:endParaRPr lang="en-US"/>
        </a:p>
      </dgm:t>
    </dgm:pt>
    <dgm:pt modelId="{818B091E-9E6B-4861-A571-BAD301DF3D0E}">
      <dgm:prSet phldrT="[Text]" custT="1"/>
      <dgm:spPr/>
      <dgm:t>
        <a:bodyPr/>
        <a:lstStyle/>
        <a:p>
          <a:pPr algn="ctr"/>
          <a:r>
            <a:rPr lang="en-US" sz="1400"/>
            <a:t>Threat</a:t>
          </a:r>
        </a:p>
      </dgm:t>
    </dgm:pt>
    <dgm:pt modelId="{21BA0608-915F-40AB-A57C-3956867BBCEA}" type="parTrans" cxnId="{D2D1A90B-4B1E-4D4F-84CD-FF6E1EAE7A59}">
      <dgm:prSet/>
      <dgm:spPr/>
      <dgm:t>
        <a:bodyPr/>
        <a:lstStyle/>
        <a:p>
          <a:pPr algn="ctr"/>
          <a:endParaRPr lang="en-US"/>
        </a:p>
      </dgm:t>
    </dgm:pt>
    <dgm:pt modelId="{EACEB699-82B9-4B8F-A7BA-20EB7542CDE6}" type="sibTrans" cxnId="{D2D1A90B-4B1E-4D4F-84CD-FF6E1EAE7A59}">
      <dgm:prSet/>
      <dgm:spPr/>
      <dgm:t>
        <a:bodyPr/>
        <a:lstStyle/>
        <a:p>
          <a:pPr algn="ctr"/>
          <a:endParaRPr lang="en-US"/>
        </a:p>
      </dgm:t>
    </dgm:pt>
    <dgm:pt modelId="{FF1D0344-F3CF-4755-A6D6-1CAFFDB01A94}" type="pres">
      <dgm:prSet presAssocID="{9F2D8047-A0EF-4AC5-B812-5F60EE31BE91}" presName="cycle" presStyleCnt="0">
        <dgm:presLayoutVars>
          <dgm:chMax val="1"/>
          <dgm:dir/>
          <dgm:animLvl val="ctr"/>
          <dgm:resizeHandles val="exact"/>
        </dgm:presLayoutVars>
      </dgm:prSet>
      <dgm:spPr/>
      <dgm:t>
        <a:bodyPr/>
        <a:lstStyle/>
        <a:p>
          <a:endParaRPr lang="en-US"/>
        </a:p>
      </dgm:t>
    </dgm:pt>
    <dgm:pt modelId="{51EF54CC-4E0E-4BA8-AE44-EEC44EDFB750}" type="pres">
      <dgm:prSet presAssocID="{5FAB0BD2-D3BA-494A-95EA-5D8E41837FE2}" presName="centerShape" presStyleLbl="node0" presStyleIdx="0" presStyleCnt="1" custScaleX="90909" custScaleY="82645"/>
      <dgm:spPr/>
      <dgm:t>
        <a:bodyPr/>
        <a:lstStyle/>
        <a:p>
          <a:endParaRPr lang="en-US"/>
        </a:p>
      </dgm:t>
    </dgm:pt>
    <dgm:pt modelId="{3A7F21B4-BA9F-456C-8F72-58235583D554}" type="pres">
      <dgm:prSet presAssocID="{BA7CE9B7-C462-4AE9-BAD7-129E658B549E}" presName="Name9" presStyleLbl="parChTrans1D2" presStyleIdx="0" presStyleCnt="4"/>
      <dgm:spPr/>
      <dgm:t>
        <a:bodyPr/>
        <a:lstStyle/>
        <a:p>
          <a:endParaRPr lang="en-US"/>
        </a:p>
      </dgm:t>
    </dgm:pt>
    <dgm:pt modelId="{AA99ED6C-9466-47AE-AFC6-B3CAB12FEEF6}" type="pres">
      <dgm:prSet presAssocID="{BA7CE9B7-C462-4AE9-BAD7-129E658B549E}" presName="connTx" presStyleLbl="parChTrans1D2" presStyleIdx="0" presStyleCnt="4"/>
      <dgm:spPr/>
      <dgm:t>
        <a:bodyPr/>
        <a:lstStyle/>
        <a:p>
          <a:endParaRPr lang="en-US"/>
        </a:p>
      </dgm:t>
    </dgm:pt>
    <dgm:pt modelId="{865ACAF6-C049-45B6-B38D-1872499E2AFD}" type="pres">
      <dgm:prSet presAssocID="{94A49CD2-25BB-4B6B-8944-F4EFE775F24B}" presName="node" presStyleLbl="node1" presStyleIdx="0" presStyleCnt="4" custScaleX="161051" custScaleY="90909" custRadScaleRad="88912">
        <dgm:presLayoutVars>
          <dgm:bulletEnabled val="1"/>
        </dgm:presLayoutVars>
      </dgm:prSet>
      <dgm:spPr/>
      <dgm:t>
        <a:bodyPr/>
        <a:lstStyle/>
        <a:p>
          <a:endParaRPr lang="en-US"/>
        </a:p>
      </dgm:t>
    </dgm:pt>
    <dgm:pt modelId="{25FA1BE9-69FC-443D-87DD-6C84887CEBCD}" type="pres">
      <dgm:prSet presAssocID="{00790CA0-6E52-4597-B5A1-517FC645AAEE}" presName="Name9" presStyleLbl="parChTrans1D2" presStyleIdx="1" presStyleCnt="4"/>
      <dgm:spPr/>
      <dgm:t>
        <a:bodyPr/>
        <a:lstStyle/>
        <a:p>
          <a:endParaRPr lang="en-US"/>
        </a:p>
      </dgm:t>
    </dgm:pt>
    <dgm:pt modelId="{867DC672-D424-4092-A2C6-8EC6B0E7A90C}" type="pres">
      <dgm:prSet presAssocID="{00790CA0-6E52-4597-B5A1-517FC645AAEE}" presName="connTx" presStyleLbl="parChTrans1D2" presStyleIdx="1" presStyleCnt="4"/>
      <dgm:spPr/>
      <dgm:t>
        <a:bodyPr/>
        <a:lstStyle/>
        <a:p>
          <a:endParaRPr lang="en-US"/>
        </a:p>
      </dgm:t>
    </dgm:pt>
    <dgm:pt modelId="{510C7726-4732-44B8-A07C-CA810E6EA291}" type="pres">
      <dgm:prSet presAssocID="{27F3A085-C16E-4DB2-9076-BF935628B6A4}" presName="node" presStyleLbl="node1" presStyleIdx="1" presStyleCnt="4" custScaleX="133100" custScaleY="90909">
        <dgm:presLayoutVars>
          <dgm:bulletEnabled val="1"/>
        </dgm:presLayoutVars>
      </dgm:prSet>
      <dgm:spPr/>
      <dgm:t>
        <a:bodyPr/>
        <a:lstStyle/>
        <a:p>
          <a:endParaRPr lang="en-US"/>
        </a:p>
      </dgm:t>
    </dgm:pt>
    <dgm:pt modelId="{16FB5D24-B065-48CF-AE47-48AAEC0AEE72}" type="pres">
      <dgm:prSet presAssocID="{2BCFBCCC-47A2-4F6A-A58D-5FC8AA31CCB6}" presName="Name9" presStyleLbl="parChTrans1D2" presStyleIdx="2" presStyleCnt="4"/>
      <dgm:spPr/>
      <dgm:t>
        <a:bodyPr/>
        <a:lstStyle/>
        <a:p>
          <a:endParaRPr lang="en-US"/>
        </a:p>
      </dgm:t>
    </dgm:pt>
    <dgm:pt modelId="{F00E90F9-4DFE-4B1B-8A58-DFC44458A191}" type="pres">
      <dgm:prSet presAssocID="{2BCFBCCC-47A2-4F6A-A58D-5FC8AA31CCB6}" presName="connTx" presStyleLbl="parChTrans1D2" presStyleIdx="2" presStyleCnt="4"/>
      <dgm:spPr/>
      <dgm:t>
        <a:bodyPr/>
        <a:lstStyle/>
        <a:p>
          <a:endParaRPr lang="en-US"/>
        </a:p>
      </dgm:t>
    </dgm:pt>
    <dgm:pt modelId="{DAA24158-0A25-4B7A-9776-521CA6888775}" type="pres">
      <dgm:prSet presAssocID="{0CC8345B-2B48-4845-8611-0210AC480091}" presName="node" presStyleLbl="node1" presStyleIdx="2" presStyleCnt="4" custScaleX="161051" custScaleY="90909" custRadScaleRad="84292">
        <dgm:presLayoutVars>
          <dgm:bulletEnabled val="1"/>
        </dgm:presLayoutVars>
      </dgm:prSet>
      <dgm:spPr/>
      <dgm:t>
        <a:bodyPr/>
        <a:lstStyle/>
        <a:p>
          <a:endParaRPr lang="en-US"/>
        </a:p>
      </dgm:t>
    </dgm:pt>
    <dgm:pt modelId="{B8A18C1D-D1CC-48F7-B6BC-5595169EC3A9}" type="pres">
      <dgm:prSet presAssocID="{21BA0608-915F-40AB-A57C-3956867BBCEA}" presName="Name9" presStyleLbl="parChTrans1D2" presStyleIdx="3" presStyleCnt="4"/>
      <dgm:spPr/>
      <dgm:t>
        <a:bodyPr/>
        <a:lstStyle/>
        <a:p>
          <a:endParaRPr lang="en-US"/>
        </a:p>
      </dgm:t>
    </dgm:pt>
    <dgm:pt modelId="{12AFD473-BCA0-4849-9746-A90A212BCCD2}" type="pres">
      <dgm:prSet presAssocID="{21BA0608-915F-40AB-A57C-3956867BBCEA}" presName="connTx" presStyleLbl="parChTrans1D2" presStyleIdx="3" presStyleCnt="4"/>
      <dgm:spPr/>
      <dgm:t>
        <a:bodyPr/>
        <a:lstStyle/>
        <a:p>
          <a:endParaRPr lang="en-US"/>
        </a:p>
      </dgm:t>
    </dgm:pt>
    <dgm:pt modelId="{EC9C4AE4-9596-42B8-A182-B404C6CCFA82}" type="pres">
      <dgm:prSet presAssocID="{818B091E-9E6B-4861-A571-BAD301DF3D0E}" presName="node" presStyleLbl="node1" presStyleIdx="3" presStyleCnt="4" custScaleX="133100" custScaleY="90909">
        <dgm:presLayoutVars>
          <dgm:bulletEnabled val="1"/>
        </dgm:presLayoutVars>
      </dgm:prSet>
      <dgm:spPr/>
      <dgm:t>
        <a:bodyPr/>
        <a:lstStyle/>
        <a:p>
          <a:endParaRPr lang="en-US"/>
        </a:p>
      </dgm:t>
    </dgm:pt>
  </dgm:ptLst>
  <dgm:cxnLst>
    <dgm:cxn modelId="{5F2056F2-4B12-4071-A8A2-34193B57AF95}" type="presOf" srcId="{5FAB0BD2-D3BA-494A-95EA-5D8E41837FE2}" destId="{51EF54CC-4E0E-4BA8-AE44-EEC44EDFB750}" srcOrd="0" destOrd="0" presId="urn:microsoft.com/office/officeart/2005/8/layout/radial1"/>
    <dgm:cxn modelId="{D5C70894-2A57-4F0E-9719-52D8384F45E7}" type="presOf" srcId="{BA7CE9B7-C462-4AE9-BAD7-129E658B549E}" destId="{3A7F21B4-BA9F-456C-8F72-58235583D554}" srcOrd="0" destOrd="0" presId="urn:microsoft.com/office/officeart/2005/8/layout/radial1"/>
    <dgm:cxn modelId="{2B87240B-8E3F-4FDC-9FFA-57436BEB3381}" type="presOf" srcId="{BA7CE9B7-C462-4AE9-BAD7-129E658B549E}" destId="{AA99ED6C-9466-47AE-AFC6-B3CAB12FEEF6}" srcOrd="1" destOrd="0" presId="urn:microsoft.com/office/officeart/2005/8/layout/radial1"/>
    <dgm:cxn modelId="{B1A7065C-181D-47FF-9FD0-0E4A46A13290}" type="presOf" srcId="{21BA0608-915F-40AB-A57C-3956867BBCEA}" destId="{B8A18C1D-D1CC-48F7-B6BC-5595169EC3A9}" srcOrd="0" destOrd="0" presId="urn:microsoft.com/office/officeart/2005/8/layout/radial1"/>
    <dgm:cxn modelId="{5AD46134-DE8A-4EA9-ACCF-BF5252FA3A3F}" srcId="{5FAB0BD2-D3BA-494A-95EA-5D8E41837FE2}" destId="{27F3A085-C16E-4DB2-9076-BF935628B6A4}" srcOrd="1" destOrd="0" parTransId="{00790CA0-6E52-4597-B5A1-517FC645AAEE}" sibTransId="{625BB500-AB27-4EB2-9D91-A5E00B6142F7}"/>
    <dgm:cxn modelId="{E9705FA0-D88B-4BA9-80DA-F1181A163B07}" type="presOf" srcId="{818B091E-9E6B-4861-A571-BAD301DF3D0E}" destId="{EC9C4AE4-9596-42B8-A182-B404C6CCFA82}" srcOrd="0" destOrd="0" presId="urn:microsoft.com/office/officeart/2005/8/layout/radial1"/>
    <dgm:cxn modelId="{D2D1A90B-4B1E-4D4F-84CD-FF6E1EAE7A59}" srcId="{5FAB0BD2-D3BA-494A-95EA-5D8E41837FE2}" destId="{818B091E-9E6B-4861-A571-BAD301DF3D0E}" srcOrd="3" destOrd="0" parTransId="{21BA0608-915F-40AB-A57C-3956867BBCEA}" sibTransId="{EACEB699-82B9-4B8F-A7BA-20EB7542CDE6}"/>
    <dgm:cxn modelId="{39DD65B3-A4DA-4758-8274-05D7F2A8557B}" type="presOf" srcId="{2BCFBCCC-47A2-4F6A-A58D-5FC8AA31CCB6}" destId="{16FB5D24-B065-48CF-AE47-48AAEC0AEE72}" srcOrd="0" destOrd="0" presId="urn:microsoft.com/office/officeart/2005/8/layout/radial1"/>
    <dgm:cxn modelId="{80A6344A-D726-4E31-B490-444881DD6E75}" type="presOf" srcId="{00790CA0-6E52-4597-B5A1-517FC645AAEE}" destId="{25FA1BE9-69FC-443D-87DD-6C84887CEBCD}" srcOrd="0" destOrd="0" presId="urn:microsoft.com/office/officeart/2005/8/layout/radial1"/>
    <dgm:cxn modelId="{F56D1A15-3846-4F71-8FDE-6C851B9DED0F}" type="presOf" srcId="{21BA0608-915F-40AB-A57C-3956867BBCEA}" destId="{12AFD473-BCA0-4849-9746-A90A212BCCD2}" srcOrd="1" destOrd="0" presId="urn:microsoft.com/office/officeart/2005/8/layout/radial1"/>
    <dgm:cxn modelId="{20CECCE9-6112-4431-B1F1-6890207F74FE}" srcId="{5FAB0BD2-D3BA-494A-95EA-5D8E41837FE2}" destId="{0CC8345B-2B48-4845-8611-0210AC480091}" srcOrd="2" destOrd="0" parTransId="{2BCFBCCC-47A2-4F6A-A58D-5FC8AA31CCB6}" sibTransId="{45BA5C44-7D17-42C2-82C5-C71DBF6A9D56}"/>
    <dgm:cxn modelId="{B1CB6F83-B9BE-4055-A88C-14E9D4B868B5}" type="presOf" srcId="{9F2D8047-A0EF-4AC5-B812-5F60EE31BE91}" destId="{FF1D0344-F3CF-4755-A6D6-1CAFFDB01A94}" srcOrd="0" destOrd="0" presId="urn:microsoft.com/office/officeart/2005/8/layout/radial1"/>
    <dgm:cxn modelId="{1669F368-1285-46A6-8A9F-440EBC81C8E6}" srcId="{5FAB0BD2-D3BA-494A-95EA-5D8E41837FE2}" destId="{94A49CD2-25BB-4B6B-8944-F4EFE775F24B}" srcOrd="0" destOrd="0" parTransId="{BA7CE9B7-C462-4AE9-BAD7-129E658B549E}" sibTransId="{6A831AF3-4628-4419-8181-767A8A71E3E1}"/>
    <dgm:cxn modelId="{D6160318-4AD8-464D-B788-164506B0A852}" type="presOf" srcId="{0CC8345B-2B48-4845-8611-0210AC480091}" destId="{DAA24158-0A25-4B7A-9776-521CA6888775}" srcOrd="0" destOrd="0" presId="urn:microsoft.com/office/officeart/2005/8/layout/radial1"/>
    <dgm:cxn modelId="{AED57C51-0B11-445A-AEC4-ACA16E702BC9}" srcId="{9F2D8047-A0EF-4AC5-B812-5F60EE31BE91}" destId="{5FAB0BD2-D3BA-494A-95EA-5D8E41837FE2}" srcOrd="0" destOrd="0" parTransId="{021AF6E1-2DB0-4E6A-A815-6AA83BA47FDF}" sibTransId="{2339D341-11B2-43A9-85C4-34D90C662F16}"/>
    <dgm:cxn modelId="{064D5A96-F75A-43A1-81AE-CD2721B242A5}" type="presOf" srcId="{27F3A085-C16E-4DB2-9076-BF935628B6A4}" destId="{510C7726-4732-44B8-A07C-CA810E6EA291}" srcOrd="0" destOrd="0" presId="urn:microsoft.com/office/officeart/2005/8/layout/radial1"/>
    <dgm:cxn modelId="{D90B401C-7D37-4231-AE20-400CD2CA8C24}" type="presOf" srcId="{94A49CD2-25BB-4B6B-8944-F4EFE775F24B}" destId="{865ACAF6-C049-45B6-B38D-1872499E2AFD}" srcOrd="0" destOrd="0" presId="urn:microsoft.com/office/officeart/2005/8/layout/radial1"/>
    <dgm:cxn modelId="{6271567C-56DF-4EEE-87BA-3985EEB45CDC}" type="presOf" srcId="{2BCFBCCC-47A2-4F6A-A58D-5FC8AA31CCB6}" destId="{F00E90F9-4DFE-4B1B-8A58-DFC44458A191}" srcOrd="1" destOrd="0" presId="urn:microsoft.com/office/officeart/2005/8/layout/radial1"/>
    <dgm:cxn modelId="{E3BA939F-B3D9-41C6-B692-720B674E7AF4}" type="presOf" srcId="{00790CA0-6E52-4597-B5A1-517FC645AAEE}" destId="{867DC672-D424-4092-A2C6-8EC6B0E7A90C}" srcOrd="1" destOrd="0" presId="urn:microsoft.com/office/officeart/2005/8/layout/radial1"/>
    <dgm:cxn modelId="{BB589065-015C-4F9E-9118-1F61110072EE}" type="presParOf" srcId="{FF1D0344-F3CF-4755-A6D6-1CAFFDB01A94}" destId="{51EF54CC-4E0E-4BA8-AE44-EEC44EDFB750}" srcOrd="0" destOrd="0" presId="urn:microsoft.com/office/officeart/2005/8/layout/radial1"/>
    <dgm:cxn modelId="{044BA06B-17CD-462F-A5A5-B149CFB9B5DF}" type="presParOf" srcId="{FF1D0344-F3CF-4755-A6D6-1CAFFDB01A94}" destId="{3A7F21B4-BA9F-456C-8F72-58235583D554}" srcOrd="1" destOrd="0" presId="urn:microsoft.com/office/officeart/2005/8/layout/radial1"/>
    <dgm:cxn modelId="{5065C502-2245-47DA-B0D0-A6EB3BEB678A}" type="presParOf" srcId="{3A7F21B4-BA9F-456C-8F72-58235583D554}" destId="{AA99ED6C-9466-47AE-AFC6-B3CAB12FEEF6}" srcOrd="0" destOrd="0" presId="urn:microsoft.com/office/officeart/2005/8/layout/radial1"/>
    <dgm:cxn modelId="{1275004B-A28C-4D31-99FA-E83E6994A376}" type="presParOf" srcId="{FF1D0344-F3CF-4755-A6D6-1CAFFDB01A94}" destId="{865ACAF6-C049-45B6-B38D-1872499E2AFD}" srcOrd="2" destOrd="0" presId="urn:microsoft.com/office/officeart/2005/8/layout/radial1"/>
    <dgm:cxn modelId="{94DC35F5-6A88-4FFB-A725-DFB73EF1B297}" type="presParOf" srcId="{FF1D0344-F3CF-4755-A6D6-1CAFFDB01A94}" destId="{25FA1BE9-69FC-443D-87DD-6C84887CEBCD}" srcOrd="3" destOrd="0" presId="urn:microsoft.com/office/officeart/2005/8/layout/radial1"/>
    <dgm:cxn modelId="{F6033701-B1F1-4415-95CA-3E612647BAAD}" type="presParOf" srcId="{25FA1BE9-69FC-443D-87DD-6C84887CEBCD}" destId="{867DC672-D424-4092-A2C6-8EC6B0E7A90C}" srcOrd="0" destOrd="0" presId="urn:microsoft.com/office/officeart/2005/8/layout/radial1"/>
    <dgm:cxn modelId="{D8F3B2FD-2EEA-4EE3-A982-B3BD90794DC9}" type="presParOf" srcId="{FF1D0344-F3CF-4755-A6D6-1CAFFDB01A94}" destId="{510C7726-4732-44B8-A07C-CA810E6EA291}" srcOrd="4" destOrd="0" presId="urn:microsoft.com/office/officeart/2005/8/layout/radial1"/>
    <dgm:cxn modelId="{72C3CEE1-EA01-4051-8349-8D598FAC993D}" type="presParOf" srcId="{FF1D0344-F3CF-4755-A6D6-1CAFFDB01A94}" destId="{16FB5D24-B065-48CF-AE47-48AAEC0AEE72}" srcOrd="5" destOrd="0" presId="urn:microsoft.com/office/officeart/2005/8/layout/radial1"/>
    <dgm:cxn modelId="{DCAB8CC9-D7E5-409C-BE84-49EAF4786B24}" type="presParOf" srcId="{16FB5D24-B065-48CF-AE47-48AAEC0AEE72}" destId="{F00E90F9-4DFE-4B1B-8A58-DFC44458A191}" srcOrd="0" destOrd="0" presId="urn:microsoft.com/office/officeart/2005/8/layout/radial1"/>
    <dgm:cxn modelId="{565F2439-0FD4-4E88-A6DC-49ED19F7F2A2}" type="presParOf" srcId="{FF1D0344-F3CF-4755-A6D6-1CAFFDB01A94}" destId="{DAA24158-0A25-4B7A-9776-521CA6888775}" srcOrd="6" destOrd="0" presId="urn:microsoft.com/office/officeart/2005/8/layout/radial1"/>
    <dgm:cxn modelId="{8E17B8C5-3EBD-4227-AA32-746149CB9D83}" type="presParOf" srcId="{FF1D0344-F3CF-4755-A6D6-1CAFFDB01A94}" destId="{B8A18C1D-D1CC-48F7-B6BC-5595169EC3A9}" srcOrd="7" destOrd="0" presId="urn:microsoft.com/office/officeart/2005/8/layout/radial1"/>
    <dgm:cxn modelId="{1456DB1A-340F-42F2-BED1-7CC98B497600}" type="presParOf" srcId="{B8A18C1D-D1CC-48F7-B6BC-5595169EC3A9}" destId="{12AFD473-BCA0-4849-9746-A90A212BCCD2}" srcOrd="0" destOrd="0" presId="urn:microsoft.com/office/officeart/2005/8/layout/radial1"/>
    <dgm:cxn modelId="{CFC94826-EE30-434F-91CE-B19CBDBDDCAA}" type="presParOf" srcId="{FF1D0344-F3CF-4755-A6D6-1CAFFDB01A94}" destId="{EC9C4AE4-9596-42B8-A182-B404C6CCFA82}" srcOrd="8" destOrd="0" presId="urn:microsoft.com/office/officeart/2005/8/layout/radial1"/>
  </dgm:cxnLst>
  <dgm:bg/>
  <dgm:whole/>
</dgm:dataModel>
</file>

<file path=word/diagrams/data3.xml><?xml version="1.0" encoding="utf-8"?>
<dgm:dataModel xmlns:dgm="http://schemas.openxmlformats.org/drawingml/2006/diagram" xmlns:a="http://schemas.openxmlformats.org/drawingml/2006/main">
  <dgm:ptLst>
    <dgm:pt modelId="{CA42930C-7408-4E49-82E7-C3FC3E7923EA}" type="doc">
      <dgm:prSet loTypeId="urn:microsoft.com/office/officeart/2011/layout/HexagonRadial" loCatId="cycle" qsTypeId="urn:microsoft.com/office/officeart/2005/8/quickstyle/simple1" qsCatId="simple" csTypeId="urn:microsoft.com/office/officeart/2005/8/colors/colorful1#2" csCatId="colorful" phldr="1"/>
      <dgm:spPr/>
      <dgm:t>
        <a:bodyPr/>
        <a:lstStyle/>
        <a:p>
          <a:endParaRPr lang="en-US"/>
        </a:p>
      </dgm:t>
    </dgm:pt>
    <dgm:pt modelId="{9C2C550F-5533-49A5-B47D-B250D59ACA90}">
      <dgm:prSet phldrT="[Text]" custT="1"/>
      <dgm:spPr/>
      <dgm:t>
        <a:bodyPr/>
        <a:lstStyle/>
        <a:p>
          <a:r>
            <a:rPr lang="en-US" sz="1800"/>
            <a:t>PESTLE</a:t>
          </a:r>
        </a:p>
      </dgm:t>
    </dgm:pt>
    <dgm:pt modelId="{0835799A-34A4-4439-AF8E-9B44273489B0}" type="parTrans" cxnId="{918FF91E-EC4A-4DEA-A095-02A7EA17249C}">
      <dgm:prSet/>
      <dgm:spPr/>
      <dgm:t>
        <a:bodyPr/>
        <a:lstStyle/>
        <a:p>
          <a:endParaRPr lang="en-US" sz="1200"/>
        </a:p>
      </dgm:t>
    </dgm:pt>
    <dgm:pt modelId="{C664AA29-F693-4DE8-896D-5B1F3722F3A8}" type="sibTrans" cxnId="{918FF91E-EC4A-4DEA-A095-02A7EA17249C}">
      <dgm:prSet/>
      <dgm:spPr/>
      <dgm:t>
        <a:bodyPr/>
        <a:lstStyle/>
        <a:p>
          <a:endParaRPr lang="en-US" sz="1200"/>
        </a:p>
      </dgm:t>
    </dgm:pt>
    <dgm:pt modelId="{0A59604D-FF68-429A-BC94-8004843F5D0A}">
      <dgm:prSet phldrT="[Text]" custT="1"/>
      <dgm:spPr/>
      <dgm:t>
        <a:bodyPr/>
        <a:lstStyle/>
        <a:p>
          <a:r>
            <a:rPr lang="en-US" sz="1200"/>
            <a:t>Political</a:t>
          </a:r>
        </a:p>
      </dgm:t>
    </dgm:pt>
    <dgm:pt modelId="{2E5941BA-D22C-451E-9E72-D51C333F1A04}" type="parTrans" cxnId="{D81DC6E4-6C8F-4974-9789-33D9E5F24501}">
      <dgm:prSet/>
      <dgm:spPr/>
      <dgm:t>
        <a:bodyPr/>
        <a:lstStyle/>
        <a:p>
          <a:endParaRPr lang="en-US" sz="1200"/>
        </a:p>
      </dgm:t>
    </dgm:pt>
    <dgm:pt modelId="{866F3928-9F92-4195-BEE4-A151AA09BD62}" type="sibTrans" cxnId="{D81DC6E4-6C8F-4974-9789-33D9E5F24501}">
      <dgm:prSet/>
      <dgm:spPr/>
      <dgm:t>
        <a:bodyPr/>
        <a:lstStyle/>
        <a:p>
          <a:endParaRPr lang="en-US" sz="1200"/>
        </a:p>
      </dgm:t>
    </dgm:pt>
    <dgm:pt modelId="{0135A6DC-2F48-4826-8208-A2516BB7513E}">
      <dgm:prSet phldrT="[Text]" custT="1"/>
      <dgm:spPr/>
      <dgm:t>
        <a:bodyPr/>
        <a:lstStyle/>
        <a:p>
          <a:r>
            <a:rPr lang="en-US" sz="1200"/>
            <a:t>Economic</a:t>
          </a:r>
        </a:p>
      </dgm:t>
    </dgm:pt>
    <dgm:pt modelId="{92158777-2334-4918-97C6-51731543F467}" type="parTrans" cxnId="{D3A314D5-887B-4B17-B6C0-90EF4A1F0B8F}">
      <dgm:prSet/>
      <dgm:spPr/>
      <dgm:t>
        <a:bodyPr/>
        <a:lstStyle/>
        <a:p>
          <a:endParaRPr lang="en-US" sz="1200"/>
        </a:p>
      </dgm:t>
    </dgm:pt>
    <dgm:pt modelId="{5D1FB51E-E441-4CCA-8EDC-FB466AEE99B3}" type="sibTrans" cxnId="{D3A314D5-887B-4B17-B6C0-90EF4A1F0B8F}">
      <dgm:prSet/>
      <dgm:spPr/>
      <dgm:t>
        <a:bodyPr/>
        <a:lstStyle/>
        <a:p>
          <a:endParaRPr lang="en-US" sz="1200"/>
        </a:p>
      </dgm:t>
    </dgm:pt>
    <dgm:pt modelId="{D3660639-2E67-4F16-8319-AE0451E850BC}">
      <dgm:prSet phldrT="[Text]" custT="1"/>
      <dgm:spPr/>
      <dgm:t>
        <a:bodyPr/>
        <a:lstStyle/>
        <a:p>
          <a:r>
            <a:rPr lang="en-US" sz="1200"/>
            <a:t>Social</a:t>
          </a:r>
        </a:p>
      </dgm:t>
    </dgm:pt>
    <dgm:pt modelId="{370AF998-AD12-44D0-AE0C-CC5BDF95B6D1}" type="parTrans" cxnId="{22EFC5CB-8572-46C7-94D3-E2A3B74A73F3}">
      <dgm:prSet/>
      <dgm:spPr/>
      <dgm:t>
        <a:bodyPr/>
        <a:lstStyle/>
        <a:p>
          <a:endParaRPr lang="en-US" sz="1200"/>
        </a:p>
      </dgm:t>
    </dgm:pt>
    <dgm:pt modelId="{FB240F9B-A6CC-419E-BBB7-A1C59C491B51}" type="sibTrans" cxnId="{22EFC5CB-8572-46C7-94D3-E2A3B74A73F3}">
      <dgm:prSet/>
      <dgm:spPr/>
      <dgm:t>
        <a:bodyPr/>
        <a:lstStyle/>
        <a:p>
          <a:endParaRPr lang="en-US" sz="1200"/>
        </a:p>
      </dgm:t>
    </dgm:pt>
    <dgm:pt modelId="{55226899-18D0-4535-A269-E946B6D25986}">
      <dgm:prSet phldrT="[Text]" custT="1"/>
      <dgm:spPr/>
      <dgm:t>
        <a:bodyPr/>
        <a:lstStyle/>
        <a:p>
          <a:r>
            <a:rPr lang="en-US" sz="1200"/>
            <a:t>Technological</a:t>
          </a:r>
        </a:p>
      </dgm:t>
    </dgm:pt>
    <dgm:pt modelId="{C4E36CBB-AE14-4915-AFE1-DAB3E0294C50}" type="parTrans" cxnId="{784A8C87-F21A-4A64-81B0-03A5BAFCBC70}">
      <dgm:prSet/>
      <dgm:spPr/>
      <dgm:t>
        <a:bodyPr/>
        <a:lstStyle/>
        <a:p>
          <a:endParaRPr lang="en-US" sz="1200"/>
        </a:p>
      </dgm:t>
    </dgm:pt>
    <dgm:pt modelId="{136AC075-F8CE-49F2-AB31-E56DA5E9D058}" type="sibTrans" cxnId="{784A8C87-F21A-4A64-81B0-03A5BAFCBC70}">
      <dgm:prSet/>
      <dgm:spPr/>
      <dgm:t>
        <a:bodyPr/>
        <a:lstStyle/>
        <a:p>
          <a:endParaRPr lang="en-US" sz="1200"/>
        </a:p>
      </dgm:t>
    </dgm:pt>
    <dgm:pt modelId="{242E1E98-F246-461E-B086-C00E7DDD4547}">
      <dgm:prSet phldrT="[Text]" custT="1"/>
      <dgm:spPr/>
      <dgm:t>
        <a:bodyPr/>
        <a:lstStyle/>
        <a:p>
          <a:r>
            <a:rPr lang="en-US" sz="1200"/>
            <a:t>Legal</a:t>
          </a:r>
        </a:p>
      </dgm:t>
    </dgm:pt>
    <dgm:pt modelId="{8F1272EE-7883-47B3-80BD-714428ED9DEC}" type="parTrans" cxnId="{21FF39F1-A489-41DE-A2E2-00E62C7B7C50}">
      <dgm:prSet/>
      <dgm:spPr/>
      <dgm:t>
        <a:bodyPr/>
        <a:lstStyle/>
        <a:p>
          <a:endParaRPr lang="en-US" sz="1200"/>
        </a:p>
      </dgm:t>
    </dgm:pt>
    <dgm:pt modelId="{13B384CE-E05B-4D99-BA8B-BC69DFF566A8}" type="sibTrans" cxnId="{21FF39F1-A489-41DE-A2E2-00E62C7B7C50}">
      <dgm:prSet/>
      <dgm:spPr/>
      <dgm:t>
        <a:bodyPr/>
        <a:lstStyle/>
        <a:p>
          <a:endParaRPr lang="en-US" sz="1200"/>
        </a:p>
      </dgm:t>
    </dgm:pt>
    <dgm:pt modelId="{27A5C97B-1233-43D5-93B8-7F5EC913164A}">
      <dgm:prSet phldrT="[Text]" custT="1"/>
      <dgm:spPr/>
      <dgm:t>
        <a:bodyPr/>
        <a:lstStyle/>
        <a:p>
          <a:r>
            <a:rPr lang="en-US" sz="1200" b="0"/>
            <a:t>Environmental</a:t>
          </a:r>
        </a:p>
      </dgm:t>
    </dgm:pt>
    <dgm:pt modelId="{6ED1E3B7-1EF0-4FDC-8171-039430A06FA9}" type="parTrans" cxnId="{611EE660-EF01-4BD9-B0C0-F57328EF13D1}">
      <dgm:prSet/>
      <dgm:spPr/>
      <dgm:t>
        <a:bodyPr/>
        <a:lstStyle/>
        <a:p>
          <a:endParaRPr lang="en-US" sz="1200"/>
        </a:p>
      </dgm:t>
    </dgm:pt>
    <dgm:pt modelId="{20213AF0-FAF1-4CD6-8782-979D1EFA94BD}" type="sibTrans" cxnId="{611EE660-EF01-4BD9-B0C0-F57328EF13D1}">
      <dgm:prSet/>
      <dgm:spPr/>
      <dgm:t>
        <a:bodyPr/>
        <a:lstStyle/>
        <a:p>
          <a:endParaRPr lang="en-US" sz="1200"/>
        </a:p>
      </dgm:t>
    </dgm:pt>
    <dgm:pt modelId="{6EB49164-D693-468F-8225-5C151A947A72}" type="pres">
      <dgm:prSet presAssocID="{CA42930C-7408-4E49-82E7-C3FC3E7923EA}" presName="Name0" presStyleCnt="0">
        <dgm:presLayoutVars>
          <dgm:chMax val="1"/>
          <dgm:chPref val="1"/>
          <dgm:dir/>
          <dgm:animOne val="branch"/>
          <dgm:animLvl val="lvl"/>
        </dgm:presLayoutVars>
      </dgm:prSet>
      <dgm:spPr/>
      <dgm:t>
        <a:bodyPr/>
        <a:lstStyle/>
        <a:p>
          <a:endParaRPr lang="en-US"/>
        </a:p>
      </dgm:t>
    </dgm:pt>
    <dgm:pt modelId="{F45AD205-7873-47F7-83CB-D7CDD2E04EF8}" type="pres">
      <dgm:prSet presAssocID="{9C2C550F-5533-49A5-B47D-B250D59ACA90}" presName="Parent" presStyleLbl="node0" presStyleIdx="0" presStyleCnt="1" custScaleX="133100" custLinFactNeighborX="7014">
        <dgm:presLayoutVars>
          <dgm:chMax val="6"/>
          <dgm:chPref val="6"/>
        </dgm:presLayoutVars>
      </dgm:prSet>
      <dgm:spPr/>
      <dgm:t>
        <a:bodyPr/>
        <a:lstStyle/>
        <a:p>
          <a:endParaRPr lang="en-US"/>
        </a:p>
      </dgm:t>
    </dgm:pt>
    <dgm:pt modelId="{8B53927B-6188-4A3B-89B8-262ACEDF28A2}" type="pres">
      <dgm:prSet presAssocID="{0A59604D-FF68-429A-BC94-8004843F5D0A}" presName="Accent1" presStyleCnt="0"/>
      <dgm:spPr/>
    </dgm:pt>
    <dgm:pt modelId="{2DC31507-24F3-4A74-A2EE-D4DBD8973786}" type="pres">
      <dgm:prSet presAssocID="{0A59604D-FF68-429A-BC94-8004843F5D0A}" presName="Accent" presStyleLbl="bgShp" presStyleIdx="0" presStyleCnt="6"/>
      <dgm:spPr/>
    </dgm:pt>
    <dgm:pt modelId="{61B84E7D-D137-4FE3-ADDC-94D0D258C7D7}" type="pres">
      <dgm:prSet presAssocID="{0A59604D-FF68-429A-BC94-8004843F5D0A}" presName="Child1" presStyleLbl="node1" presStyleIdx="0" presStyleCnt="6" custScaleX="133100" custLinFactNeighborX="9989">
        <dgm:presLayoutVars>
          <dgm:chMax val="0"/>
          <dgm:chPref val="0"/>
          <dgm:bulletEnabled val="1"/>
        </dgm:presLayoutVars>
      </dgm:prSet>
      <dgm:spPr/>
      <dgm:t>
        <a:bodyPr/>
        <a:lstStyle/>
        <a:p>
          <a:endParaRPr lang="en-US"/>
        </a:p>
      </dgm:t>
    </dgm:pt>
    <dgm:pt modelId="{77F31537-3003-47E3-A709-BC6EE93909B7}" type="pres">
      <dgm:prSet presAssocID="{0135A6DC-2F48-4826-8208-A2516BB7513E}" presName="Accent2" presStyleCnt="0"/>
      <dgm:spPr/>
    </dgm:pt>
    <dgm:pt modelId="{3A94D728-3ED0-4263-80B3-D6B7F0D167F6}" type="pres">
      <dgm:prSet presAssocID="{0135A6DC-2F48-4826-8208-A2516BB7513E}" presName="Accent" presStyleLbl="bgShp" presStyleIdx="1" presStyleCnt="6"/>
      <dgm:spPr/>
    </dgm:pt>
    <dgm:pt modelId="{EA4BE39A-8946-4032-A415-25DFCD8687CF}" type="pres">
      <dgm:prSet presAssocID="{0135A6DC-2F48-4826-8208-A2516BB7513E}" presName="Child2" presStyleLbl="node1" presStyleIdx="1" presStyleCnt="6" custScaleX="177156" custLinFactNeighborX="62678">
        <dgm:presLayoutVars>
          <dgm:chMax val="0"/>
          <dgm:chPref val="0"/>
          <dgm:bulletEnabled val="1"/>
        </dgm:presLayoutVars>
      </dgm:prSet>
      <dgm:spPr/>
      <dgm:t>
        <a:bodyPr/>
        <a:lstStyle/>
        <a:p>
          <a:endParaRPr lang="en-US"/>
        </a:p>
      </dgm:t>
    </dgm:pt>
    <dgm:pt modelId="{AFE3FF48-D3C9-4E92-95C6-626A06ED8005}" type="pres">
      <dgm:prSet presAssocID="{D3660639-2E67-4F16-8319-AE0451E850BC}" presName="Accent3" presStyleCnt="0"/>
      <dgm:spPr/>
    </dgm:pt>
    <dgm:pt modelId="{FD6A6D3B-2E85-44EC-B333-8E4233B8DD8C}" type="pres">
      <dgm:prSet presAssocID="{D3660639-2E67-4F16-8319-AE0451E850BC}" presName="Accent" presStyleLbl="bgShp" presStyleIdx="2" presStyleCnt="6"/>
      <dgm:spPr/>
    </dgm:pt>
    <dgm:pt modelId="{43DEA6EA-91DE-4E2F-88BD-993DB9428162}" type="pres">
      <dgm:prSet presAssocID="{D3660639-2E67-4F16-8319-AE0451E850BC}" presName="Child3" presStyleLbl="node1" presStyleIdx="2" presStyleCnt="6" custScaleX="121000" custLinFactNeighborX="35671">
        <dgm:presLayoutVars>
          <dgm:chMax val="0"/>
          <dgm:chPref val="0"/>
          <dgm:bulletEnabled val="1"/>
        </dgm:presLayoutVars>
      </dgm:prSet>
      <dgm:spPr/>
      <dgm:t>
        <a:bodyPr/>
        <a:lstStyle/>
        <a:p>
          <a:endParaRPr lang="en-US"/>
        </a:p>
      </dgm:t>
    </dgm:pt>
    <dgm:pt modelId="{6EF8148C-AE85-4A6B-B986-78721A16C029}" type="pres">
      <dgm:prSet presAssocID="{55226899-18D0-4535-A269-E946B6D25986}" presName="Accent4" presStyleCnt="0"/>
      <dgm:spPr/>
    </dgm:pt>
    <dgm:pt modelId="{86C5D0A4-63DF-4061-98EA-F3D6A12554BB}" type="pres">
      <dgm:prSet presAssocID="{55226899-18D0-4535-A269-E946B6D25986}" presName="Accent" presStyleLbl="bgShp" presStyleIdx="3" presStyleCnt="6"/>
      <dgm:spPr/>
    </dgm:pt>
    <dgm:pt modelId="{E7439F9F-AD2C-4739-B29C-B988CC0F832A}" type="pres">
      <dgm:prSet presAssocID="{55226899-18D0-4535-A269-E946B6D25986}" presName="Child4" presStyleLbl="node1" presStyleIdx="3" presStyleCnt="6" custScaleX="177156" custLinFactNeighborX="4281">
        <dgm:presLayoutVars>
          <dgm:chMax val="0"/>
          <dgm:chPref val="0"/>
          <dgm:bulletEnabled val="1"/>
        </dgm:presLayoutVars>
      </dgm:prSet>
      <dgm:spPr/>
      <dgm:t>
        <a:bodyPr/>
        <a:lstStyle/>
        <a:p>
          <a:endParaRPr lang="en-US"/>
        </a:p>
      </dgm:t>
    </dgm:pt>
    <dgm:pt modelId="{AE3E9778-6649-449E-89E5-02CDDC447755}" type="pres">
      <dgm:prSet presAssocID="{242E1E98-F246-461E-B086-C00E7DDD4547}" presName="Accent5" presStyleCnt="0"/>
      <dgm:spPr/>
    </dgm:pt>
    <dgm:pt modelId="{7A1131C8-440F-4A40-A58B-0394A8D6346A}" type="pres">
      <dgm:prSet presAssocID="{242E1E98-F246-461E-B086-C00E7DDD4547}" presName="Accent" presStyleLbl="bgShp" presStyleIdx="4" presStyleCnt="6"/>
      <dgm:spPr/>
    </dgm:pt>
    <dgm:pt modelId="{77B5B95C-ACE2-42AB-A0D9-C276AB8D1FC7}" type="pres">
      <dgm:prSet presAssocID="{242E1E98-F246-461E-B086-C00E7DDD4547}" presName="Child5" presStyleLbl="node1" presStyleIdx="4" presStyleCnt="6" custScaleX="146410" custLinFactNeighborX="-19770">
        <dgm:presLayoutVars>
          <dgm:chMax val="0"/>
          <dgm:chPref val="0"/>
          <dgm:bulletEnabled val="1"/>
        </dgm:presLayoutVars>
      </dgm:prSet>
      <dgm:spPr/>
      <dgm:t>
        <a:bodyPr/>
        <a:lstStyle/>
        <a:p>
          <a:endParaRPr lang="en-US"/>
        </a:p>
      </dgm:t>
    </dgm:pt>
    <dgm:pt modelId="{DE540406-3A92-4278-AD83-87D524923DF8}" type="pres">
      <dgm:prSet presAssocID="{27A5C97B-1233-43D5-93B8-7F5EC913164A}" presName="Accent6" presStyleCnt="0"/>
      <dgm:spPr/>
    </dgm:pt>
    <dgm:pt modelId="{657B5C87-C2C9-4759-81F1-1AC6C420AD97}" type="pres">
      <dgm:prSet presAssocID="{27A5C97B-1233-43D5-93B8-7F5EC913164A}" presName="Accent" presStyleLbl="bgShp" presStyleIdx="5" presStyleCnt="6"/>
      <dgm:spPr/>
    </dgm:pt>
    <dgm:pt modelId="{1FFA00A9-B9CD-4256-8C16-EA213876884D}" type="pres">
      <dgm:prSet presAssocID="{27A5C97B-1233-43D5-93B8-7F5EC913164A}" presName="Child6" presStyleLbl="node1" presStyleIdx="5" presStyleCnt="6" custScaleX="177156" custLinFactNeighborX="-39954">
        <dgm:presLayoutVars>
          <dgm:chMax val="0"/>
          <dgm:chPref val="0"/>
          <dgm:bulletEnabled val="1"/>
        </dgm:presLayoutVars>
      </dgm:prSet>
      <dgm:spPr/>
      <dgm:t>
        <a:bodyPr/>
        <a:lstStyle/>
        <a:p>
          <a:endParaRPr lang="en-US"/>
        </a:p>
      </dgm:t>
    </dgm:pt>
  </dgm:ptLst>
  <dgm:cxnLst>
    <dgm:cxn modelId="{7BB6D468-0B3F-4B84-B3ED-C2C935B95EEA}" type="presOf" srcId="{D3660639-2E67-4F16-8319-AE0451E850BC}" destId="{43DEA6EA-91DE-4E2F-88BD-993DB9428162}" srcOrd="0" destOrd="0" presId="urn:microsoft.com/office/officeart/2011/layout/HexagonRadial"/>
    <dgm:cxn modelId="{22EFC5CB-8572-46C7-94D3-E2A3B74A73F3}" srcId="{9C2C550F-5533-49A5-B47D-B250D59ACA90}" destId="{D3660639-2E67-4F16-8319-AE0451E850BC}" srcOrd="2" destOrd="0" parTransId="{370AF998-AD12-44D0-AE0C-CC5BDF95B6D1}" sibTransId="{FB240F9B-A6CC-419E-BBB7-A1C59C491B51}"/>
    <dgm:cxn modelId="{8A4D6836-9006-458F-B251-435F5A21D3B5}" type="presOf" srcId="{0A59604D-FF68-429A-BC94-8004843F5D0A}" destId="{61B84E7D-D137-4FE3-ADDC-94D0D258C7D7}" srcOrd="0" destOrd="0" presId="urn:microsoft.com/office/officeart/2011/layout/HexagonRadial"/>
    <dgm:cxn modelId="{694F268C-600F-44A1-A3E6-31B608A471AF}" type="presOf" srcId="{0135A6DC-2F48-4826-8208-A2516BB7513E}" destId="{EA4BE39A-8946-4032-A415-25DFCD8687CF}" srcOrd="0" destOrd="0" presId="urn:microsoft.com/office/officeart/2011/layout/HexagonRadial"/>
    <dgm:cxn modelId="{F31F31F6-0B14-46DA-8C04-3CA9D2D10055}" type="presOf" srcId="{9C2C550F-5533-49A5-B47D-B250D59ACA90}" destId="{F45AD205-7873-47F7-83CB-D7CDD2E04EF8}" srcOrd="0" destOrd="0" presId="urn:microsoft.com/office/officeart/2011/layout/HexagonRadial"/>
    <dgm:cxn modelId="{F8096A4A-3B74-4CFE-90D2-EB7A3E4DDF0F}" type="presOf" srcId="{242E1E98-F246-461E-B086-C00E7DDD4547}" destId="{77B5B95C-ACE2-42AB-A0D9-C276AB8D1FC7}" srcOrd="0" destOrd="0" presId="urn:microsoft.com/office/officeart/2011/layout/HexagonRadial"/>
    <dgm:cxn modelId="{611EE660-EF01-4BD9-B0C0-F57328EF13D1}" srcId="{9C2C550F-5533-49A5-B47D-B250D59ACA90}" destId="{27A5C97B-1233-43D5-93B8-7F5EC913164A}" srcOrd="5" destOrd="0" parTransId="{6ED1E3B7-1EF0-4FDC-8171-039430A06FA9}" sibTransId="{20213AF0-FAF1-4CD6-8782-979D1EFA94BD}"/>
    <dgm:cxn modelId="{21FF39F1-A489-41DE-A2E2-00E62C7B7C50}" srcId="{9C2C550F-5533-49A5-B47D-B250D59ACA90}" destId="{242E1E98-F246-461E-B086-C00E7DDD4547}" srcOrd="4" destOrd="0" parTransId="{8F1272EE-7883-47B3-80BD-714428ED9DEC}" sibTransId="{13B384CE-E05B-4D99-BA8B-BC69DFF566A8}"/>
    <dgm:cxn modelId="{5CD04B82-B62F-4582-87C4-FC8AA82F180A}" type="presOf" srcId="{55226899-18D0-4535-A269-E946B6D25986}" destId="{E7439F9F-AD2C-4739-B29C-B988CC0F832A}" srcOrd="0" destOrd="0" presId="urn:microsoft.com/office/officeart/2011/layout/HexagonRadial"/>
    <dgm:cxn modelId="{16ED1C5E-03A0-469C-B112-EA64C8830ED2}" type="presOf" srcId="{CA42930C-7408-4E49-82E7-C3FC3E7923EA}" destId="{6EB49164-D693-468F-8225-5C151A947A72}" srcOrd="0" destOrd="0" presId="urn:microsoft.com/office/officeart/2011/layout/HexagonRadial"/>
    <dgm:cxn modelId="{784A8C87-F21A-4A64-81B0-03A5BAFCBC70}" srcId="{9C2C550F-5533-49A5-B47D-B250D59ACA90}" destId="{55226899-18D0-4535-A269-E946B6D25986}" srcOrd="3" destOrd="0" parTransId="{C4E36CBB-AE14-4915-AFE1-DAB3E0294C50}" sibTransId="{136AC075-F8CE-49F2-AB31-E56DA5E9D058}"/>
    <dgm:cxn modelId="{918FF91E-EC4A-4DEA-A095-02A7EA17249C}" srcId="{CA42930C-7408-4E49-82E7-C3FC3E7923EA}" destId="{9C2C550F-5533-49A5-B47D-B250D59ACA90}" srcOrd="0" destOrd="0" parTransId="{0835799A-34A4-4439-AF8E-9B44273489B0}" sibTransId="{C664AA29-F693-4DE8-896D-5B1F3722F3A8}"/>
    <dgm:cxn modelId="{D81DC6E4-6C8F-4974-9789-33D9E5F24501}" srcId="{9C2C550F-5533-49A5-B47D-B250D59ACA90}" destId="{0A59604D-FF68-429A-BC94-8004843F5D0A}" srcOrd="0" destOrd="0" parTransId="{2E5941BA-D22C-451E-9E72-D51C333F1A04}" sibTransId="{866F3928-9F92-4195-BEE4-A151AA09BD62}"/>
    <dgm:cxn modelId="{29A656CE-C299-4E8E-9211-62E01C2480D5}" type="presOf" srcId="{27A5C97B-1233-43D5-93B8-7F5EC913164A}" destId="{1FFA00A9-B9CD-4256-8C16-EA213876884D}" srcOrd="0" destOrd="0" presId="urn:microsoft.com/office/officeart/2011/layout/HexagonRadial"/>
    <dgm:cxn modelId="{D3A314D5-887B-4B17-B6C0-90EF4A1F0B8F}" srcId="{9C2C550F-5533-49A5-B47D-B250D59ACA90}" destId="{0135A6DC-2F48-4826-8208-A2516BB7513E}" srcOrd="1" destOrd="0" parTransId="{92158777-2334-4918-97C6-51731543F467}" sibTransId="{5D1FB51E-E441-4CCA-8EDC-FB466AEE99B3}"/>
    <dgm:cxn modelId="{2980BD57-D7B9-48F5-830E-ECE37613C350}" type="presParOf" srcId="{6EB49164-D693-468F-8225-5C151A947A72}" destId="{F45AD205-7873-47F7-83CB-D7CDD2E04EF8}" srcOrd="0" destOrd="0" presId="urn:microsoft.com/office/officeart/2011/layout/HexagonRadial"/>
    <dgm:cxn modelId="{AA7CA265-B22E-4D56-B497-E68A901B2D4E}" type="presParOf" srcId="{6EB49164-D693-468F-8225-5C151A947A72}" destId="{8B53927B-6188-4A3B-89B8-262ACEDF28A2}" srcOrd="1" destOrd="0" presId="urn:microsoft.com/office/officeart/2011/layout/HexagonRadial"/>
    <dgm:cxn modelId="{D70AB56C-FB4C-4F83-B2AC-611B0267F704}" type="presParOf" srcId="{8B53927B-6188-4A3B-89B8-262ACEDF28A2}" destId="{2DC31507-24F3-4A74-A2EE-D4DBD8973786}" srcOrd="0" destOrd="0" presId="urn:microsoft.com/office/officeart/2011/layout/HexagonRadial"/>
    <dgm:cxn modelId="{9618BF08-5CC3-4CB7-9B9E-5791CBFD5FBA}" type="presParOf" srcId="{6EB49164-D693-468F-8225-5C151A947A72}" destId="{61B84E7D-D137-4FE3-ADDC-94D0D258C7D7}" srcOrd="2" destOrd="0" presId="urn:microsoft.com/office/officeart/2011/layout/HexagonRadial"/>
    <dgm:cxn modelId="{1FBD1F4A-AA46-4F4F-BFAC-FDCB50300156}" type="presParOf" srcId="{6EB49164-D693-468F-8225-5C151A947A72}" destId="{77F31537-3003-47E3-A709-BC6EE93909B7}" srcOrd="3" destOrd="0" presId="urn:microsoft.com/office/officeart/2011/layout/HexagonRadial"/>
    <dgm:cxn modelId="{0DE11B8D-E0B0-4FF3-91EA-B828CB86C38C}" type="presParOf" srcId="{77F31537-3003-47E3-A709-BC6EE93909B7}" destId="{3A94D728-3ED0-4263-80B3-D6B7F0D167F6}" srcOrd="0" destOrd="0" presId="urn:microsoft.com/office/officeart/2011/layout/HexagonRadial"/>
    <dgm:cxn modelId="{2B97BAB6-E327-4FF7-A01E-603831626E27}" type="presParOf" srcId="{6EB49164-D693-468F-8225-5C151A947A72}" destId="{EA4BE39A-8946-4032-A415-25DFCD8687CF}" srcOrd="4" destOrd="0" presId="urn:microsoft.com/office/officeart/2011/layout/HexagonRadial"/>
    <dgm:cxn modelId="{39C2FC24-70BF-4607-BD97-B2CE7C8EC2AD}" type="presParOf" srcId="{6EB49164-D693-468F-8225-5C151A947A72}" destId="{AFE3FF48-D3C9-4E92-95C6-626A06ED8005}" srcOrd="5" destOrd="0" presId="urn:microsoft.com/office/officeart/2011/layout/HexagonRadial"/>
    <dgm:cxn modelId="{4D1B78D0-05DC-4249-A9FA-035DE9590877}" type="presParOf" srcId="{AFE3FF48-D3C9-4E92-95C6-626A06ED8005}" destId="{FD6A6D3B-2E85-44EC-B333-8E4233B8DD8C}" srcOrd="0" destOrd="0" presId="urn:microsoft.com/office/officeart/2011/layout/HexagonRadial"/>
    <dgm:cxn modelId="{94E3BE7F-2AD5-4CE8-AADE-8B1938477EA5}" type="presParOf" srcId="{6EB49164-D693-468F-8225-5C151A947A72}" destId="{43DEA6EA-91DE-4E2F-88BD-993DB9428162}" srcOrd="6" destOrd="0" presId="urn:microsoft.com/office/officeart/2011/layout/HexagonRadial"/>
    <dgm:cxn modelId="{88D50222-D1BA-4BC9-B3FB-28544639C8D5}" type="presParOf" srcId="{6EB49164-D693-468F-8225-5C151A947A72}" destId="{6EF8148C-AE85-4A6B-B986-78721A16C029}" srcOrd="7" destOrd="0" presId="urn:microsoft.com/office/officeart/2011/layout/HexagonRadial"/>
    <dgm:cxn modelId="{B5F97704-8CEC-4E82-837E-071E0984B5C9}" type="presParOf" srcId="{6EF8148C-AE85-4A6B-B986-78721A16C029}" destId="{86C5D0A4-63DF-4061-98EA-F3D6A12554BB}" srcOrd="0" destOrd="0" presId="urn:microsoft.com/office/officeart/2011/layout/HexagonRadial"/>
    <dgm:cxn modelId="{8281ECA7-5C19-49AC-8871-50F05971EA05}" type="presParOf" srcId="{6EB49164-D693-468F-8225-5C151A947A72}" destId="{E7439F9F-AD2C-4739-B29C-B988CC0F832A}" srcOrd="8" destOrd="0" presId="urn:microsoft.com/office/officeart/2011/layout/HexagonRadial"/>
    <dgm:cxn modelId="{4AF0B3CD-8593-44E1-8674-7A0A9941717D}" type="presParOf" srcId="{6EB49164-D693-468F-8225-5C151A947A72}" destId="{AE3E9778-6649-449E-89E5-02CDDC447755}" srcOrd="9" destOrd="0" presId="urn:microsoft.com/office/officeart/2011/layout/HexagonRadial"/>
    <dgm:cxn modelId="{CD8539B5-C3F0-46E5-8AA3-DEABD0127A9A}" type="presParOf" srcId="{AE3E9778-6649-449E-89E5-02CDDC447755}" destId="{7A1131C8-440F-4A40-A58B-0394A8D6346A}" srcOrd="0" destOrd="0" presId="urn:microsoft.com/office/officeart/2011/layout/HexagonRadial"/>
    <dgm:cxn modelId="{1A54E497-FEB4-4C54-B400-E3BDC30E0533}" type="presParOf" srcId="{6EB49164-D693-468F-8225-5C151A947A72}" destId="{77B5B95C-ACE2-42AB-A0D9-C276AB8D1FC7}" srcOrd="10" destOrd="0" presId="urn:microsoft.com/office/officeart/2011/layout/HexagonRadial"/>
    <dgm:cxn modelId="{D2A6DBC0-E5FC-45BC-99B4-E2BB7A46DE9F}" type="presParOf" srcId="{6EB49164-D693-468F-8225-5C151A947A72}" destId="{DE540406-3A92-4278-AD83-87D524923DF8}" srcOrd="11" destOrd="0" presId="urn:microsoft.com/office/officeart/2011/layout/HexagonRadial"/>
    <dgm:cxn modelId="{EE92A0E8-6CEC-4989-AA1C-EE78B827D89D}" type="presParOf" srcId="{DE540406-3A92-4278-AD83-87D524923DF8}" destId="{657B5C87-C2C9-4759-81F1-1AC6C420AD97}" srcOrd="0" destOrd="0" presId="urn:microsoft.com/office/officeart/2011/layout/HexagonRadial"/>
    <dgm:cxn modelId="{505A7614-8660-423C-949F-56307AD68BA7}" type="presParOf" srcId="{6EB49164-D693-468F-8225-5C151A947A72}" destId="{1FFA00A9-B9CD-4256-8C16-EA213876884D}" srcOrd="12" destOrd="0" presId="urn:microsoft.com/office/officeart/2011/layout/HexagonRadial"/>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6CADEE-FAB5-4FD9-9FC9-CC6D33E1E7E8}">
      <dsp:nvSpPr>
        <dsp:cNvPr id="0" name=""/>
        <dsp:cNvSpPr/>
      </dsp:nvSpPr>
      <dsp:spPr>
        <a:xfrm>
          <a:off x="1898725" y="173974"/>
          <a:ext cx="2248281" cy="2248281"/>
        </a:xfrm>
        <a:prstGeom prst="pie">
          <a:avLst>
            <a:gd name="adj1" fmla="val 16200000"/>
            <a:gd name="adj2" fmla="val 180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Delivery (On-Site)</a:t>
          </a:r>
        </a:p>
      </dsp:txBody>
      <dsp:txXfrm>
        <a:off x="3083623" y="650395"/>
        <a:ext cx="802957" cy="669131"/>
      </dsp:txXfrm>
    </dsp:sp>
    <dsp:sp modelId="{BF299147-AF76-4A49-B317-6DF504A8EB64}">
      <dsp:nvSpPr>
        <dsp:cNvPr id="0" name=""/>
        <dsp:cNvSpPr/>
      </dsp:nvSpPr>
      <dsp:spPr>
        <a:xfrm>
          <a:off x="1852422" y="254269"/>
          <a:ext cx="2248281" cy="2248281"/>
        </a:xfrm>
        <a:prstGeom prst="pie">
          <a:avLst>
            <a:gd name="adj1" fmla="val 1800000"/>
            <a:gd name="adj2" fmla="val 9000000"/>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Post event Evaluation</a:t>
          </a:r>
        </a:p>
      </dsp:txBody>
      <dsp:txXfrm>
        <a:off x="2387727" y="1712976"/>
        <a:ext cx="1204436" cy="588835"/>
      </dsp:txXfrm>
    </dsp:sp>
    <dsp:sp modelId="{4A7103CF-3FDA-4FF9-890F-707C9CE36334}">
      <dsp:nvSpPr>
        <dsp:cNvPr id="0" name=""/>
        <dsp:cNvSpPr/>
      </dsp:nvSpPr>
      <dsp:spPr>
        <a:xfrm>
          <a:off x="1806118" y="173974"/>
          <a:ext cx="2248281" cy="2248281"/>
        </a:xfrm>
        <a:prstGeom prst="pie">
          <a:avLst>
            <a:gd name="adj1" fmla="val 9000000"/>
            <a:gd name="adj2" fmla="val 16200000"/>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Planning</a:t>
          </a:r>
        </a:p>
      </dsp:txBody>
      <dsp:txXfrm>
        <a:off x="2066544" y="650395"/>
        <a:ext cx="802957" cy="669131"/>
      </dsp:txXfrm>
    </dsp:sp>
    <dsp:sp modelId="{EB143FC0-5660-4564-8C8A-82D557AD1000}">
      <dsp:nvSpPr>
        <dsp:cNvPr id="0" name=""/>
        <dsp:cNvSpPr/>
      </dsp:nvSpPr>
      <dsp:spPr>
        <a:xfrm>
          <a:off x="1759732" y="34794"/>
          <a:ext cx="2526639" cy="2526639"/>
        </a:xfrm>
        <a:prstGeom prst="circularArrow">
          <a:avLst>
            <a:gd name="adj1" fmla="val 5085"/>
            <a:gd name="adj2" fmla="val 327528"/>
            <a:gd name="adj3" fmla="val 1472472"/>
            <a:gd name="adj4" fmla="val 16199432"/>
            <a:gd name="adj5" fmla="val 5932"/>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FA168AC-79BD-4DBD-91B5-94BE315DCA07}">
      <dsp:nvSpPr>
        <dsp:cNvPr id="0" name=""/>
        <dsp:cNvSpPr/>
      </dsp:nvSpPr>
      <dsp:spPr>
        <a:xfrm>
          <a:off x="1713242" y="114948"/>
          <a:ext cx="2526639" cy="2526639"/>
        </a:xfrm>
        <a:prstGeom prst="circularArrow">
          <a:avLst>
            <a:gd name="adj1" fmla="val 5085"/>
            <a:gd name="adj2" fmla="val 327528"/>
            <a:gd name="adj3" fmla="val 8671970"/>
            <a:gd name="adj4" fmla="val 1800502"/>
            <a:gd name="adj5" fmla="val 5932"/>
          </a:avLst>
        </a:prstGeom>
        <a:solidFill>
          <a:schemeClr val="accent3">
            <a:hueOff val="5625132"/>
            <a:satOff val="-8440"/>
            <a:lumOff val="-137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4D7240C-2DF2-4D4C-A778-EC79626EFB63}">
      <dsp:nvSpPr>
        <dsp:cNvPr id="0" name=""/>
        <dsp:cNvSpPr/>
      </dsp:nvSpPr>
      <dsp:spPr>
        <a:xfrm>
          <a:off x="1666753" y="34794"/>
          <a:ext cx="2526639" cy="2526639"/>
        </a:xfrm>
        <a:prstGeom prst="circularArrow">
          <a:avLst>
            <a:gd name="adj1" fmla="val 5085"/>
            <a:gd name="adj2" fmla="val 327528"/>
            <a:gd name="adj3" fmla="val 15873039"/>
            <a:gd name="adj4" fmla="val 9000000"/>
            <a:gd name="adj5" fmla="val 5932"/>
          </a:avLst>
        </a:prstGeom>
        <a:solidFill>
          <a:schemeClr val="accent3">
            <a:hueOff val="11250264"/>
            <a:satOff val="-16880"/>
            <a:lumOff val="-2745"/>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1EF54CC-4E0E-4BA8-AE44-EEC44EDFB750}">
      <dsp:nvSpPr>
        <dsp:cNvPr id="0" name=""/>
        <dsp:cNvSpPr/>
      </dsp:nvSpPr>
      <dsp:spPr>
        <a:xfrm>
          <a:off x="2453665" y="1279163"/>
          <a:ext cx="836244" cy="760226"/>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kern="1200"/>
            <a:t>SWOT</a:t>
          </a:r>
        </a:p>
      </dsp:txBody>
      <dsp:txXfrm>
        <a:off x="2576130" y="1390496"/>
        <a:ext cx="591314" cy="537560"/>
      </dsp:txXfrm>
    </dsp:sp>
    <dsp:sp modelId="{3A7F21B4-BA9F-456C-8F72-58235583D554}">
      <dsp:nvSpPr>
        <dsp:cNvPr id="0" name=""/>
        <dsp:cNvSpPr/>
      </dsp:nvSpPr>
      <dsp:spPr>
        <a:xfrm rot="16200000">
          <a:off x="2739000" y="1131962"/>
          <a:ext cx="265574" cy="28828"/>
        </a:xfrm>
        <a:custGeom>
          <a:avLst/>
          <a:gdLst/>
          <a:ahLst/>
          <a:cxnLst/>
          <a:rect l="0" t="0" r="0" b="0"/>
          <a:pathLst>
            <a:path>
              <a:moveTo>
                <a:pt x="0" y="14414"/>
              </a:moveTo>
              <a:lnTo>
                <a:pt x="265574" y="1441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65148" y="1139736"/>
        <a:ext cx="13278" cy="13278"/>
      </dsp:txXfrm>
    </dsp:sp>
    <dsp:sp modelId="{865ACAF6-C049-45B6-B38D-1872499E2AFD}">
      <dsp:nvSpPr>
        <dsp:cNvPr id="0" name=""/>
        <dsp:cNvSpPr/>
      </dsp:nvSpPr>
      <dsp:spPr>
        <a:xfrm>
          <a:off x="2131058" y="177344"/>
          <a:ext cx="1481458" cy="836244"/>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Strength</a:t>
          </a:r>
        </a:p>
      </dsp:txBody>
      <dsp:txXfrm>
        <a:off x="2348013" y="299809"/>
        <a:ext cx="1047548" cy="591314"/>
      </dsp:txXfrm>
    </dsp:sp>
    <dsp:sp modelId="{25FA1BE9-69FC-443D-87DD-6C84887CEBCD}">
      <dsp:nvSpPr>
        <dsp:cNvPr id="0" name=""/>
        <dsp:cNvSpPr/>
      </dsp:nvSpPr>
      <dsp:spPr>
        <a:xfrm>
          <a:off x="3289909" y="1644862"/>
          <a:ext cx="166179" cy="28828"/>
        </a:xfrm>
        <a:custGeom>
          <a:avLst/>
          <a:gdLst/>
          <a:ahLst/>
          <a:cxnLst/>
          <a:rect l="0" t="0" r="0" b="0"/>
          <a:pathLst>
            <a:path>
              <a:moveTo>
                <a:pt x="0" y="14414"/>
              </a:moveTo>
              <a:lnTo>
                <a:pt x="166179" y="1441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3368844" y="1655122"/>
        <a:ext cx="8308" cy="8308"/>
      </dsp:txXfrm>
    </dsp:sp>
    <dsp:sp modelId="{510C7726-4732-44B8-A07C-CA810E6EA291}">
      <dsp:nvSpPr>
        <dsp:cNvPr id="0" name=""/>
        <dsp:cNvSpPr/>
      </dsp:nvSpPr>
      <dsp:spPr>
        <a:xfrm>
          <a:off x="3456089" y="1241154"/>
          <a:ext cx="1224346" cy="836244"/>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Weakness</a:t>
          </a:r>
        </a:p>
      </dsp:txBody>
      <dsp:txXfrm>
        <a:off x="3635390" y="1363619"/>
        <a:ext cx="865744" cy="591314"/>
      </dsp:txXfrm>
    </dsp:sp>
    <dsp:sp modelId="{16FB5D24-B065-48CF-AE47-48AAEC0AEE72}">
      <dsp:nvSpPr>
        <dsp:cNvPr id="0" name=""/>
        <dsp:cNvSpPr/>
      </dsp:nvSpPr>
      <dsp:spPr>
        <a:xfrm rot="5400000">
          <a:off x="2766638" y="2130124"/>
          <a:ext cx="210297" cy="28828"/>
        </a:xfrm>
        <a:custGeom>
          <a:avLst/>
          <a:gdLst/>
          <a:ahLst/>
          <a:cxnLst/>
          <a:rect l="0" t="0" r="0" b="0"/>
          <a:pathLst>
            <a:path>
              <a:moveTo>
                <a:pt x="0" y="14414"/>
              </a:moveTo>
              <a:lnTo>
                <a:pt x="210297" y="1441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a:off x="2866530" y="2139280"/>
        <a:ext cx="10514" cy="10514"/>
      </dsp:txXfrm>
    </dsp:sp>
    <dsp:sp modelId="{DAA24158-0A25-4B7A-9776-521CA6888775}">
      <dsp:nvSpPr>
        <dsp:cNvPr id="0" name=""/>
        <dsp:cNvSpPr/>
      </dsp:nvSpPr>
      <dsp:spPr>
        <a:xfrm>
          <a:off x="2131058" y="2249686"/>
          <a:ext cx="1481458" cy="836244"/>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Opportunity</a:t>
          </a:r>
        </a:p>
      </dsp:txBody>
      <dsp:txXfrm>
        <a:off x="2348013" y="2372151"/>
        <a:ext cx="1047548" cy="591314"/>
      </dsp:txXfrm>
    </dsp:sp>
    <dsp:sp modelId="{B8A18C1D-D1CC-48F7-B6BC-5595169EC3A9}">
      <dsp:nvSpPr>
        <dsp:cNvPr id="0" name=""/>
        <dsp:cNvSpPr/>
      </dsp:nvSpPr>
      <dsp:spPr>
        <a:xfrm rot="10800000">
          <a:off x="2287485" y="1644862"/>
          <a:ext cx="166179" cy="28828"/>
        </a:xfrm>
        <a:custGeom>
          <a:avLst/>
          <a:gdLst/>
          <a:ahLst/>
          <a:cxnLst/>
          <a:rect l="0" t="0" r="0" b="0"/>
          <a:pathLst>
            <a:path>
              <a:moveTo>
                <a:pt x="0" y="14414"/>
              </a:moveTo>
              <a:lnTo>
                <a:pt x="166179" y="14414"/>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kern="1200"/>
        </a:p>
      </dsp:txBody>
      <dsp:txXfrm rot="10800000">
        <a:off x="2366421" y="1655122"/>
        <a:ext cx="8308" cy="8308"/>
      </dsp:txXfrm>
    </dsp:sp>
    <dsp:sp modelId="{EC9C4AE4-9596-42B8-A182-B404C6CCFA82}">
      <dsp:nvSpPr>
        <dsp:cNvPr id="0" name=""/>
        <dsp:cNvSpPr/>
      </dsp:nvSpPr>
      <dsp:spPr>
        <a:xfrm>
          <a:off x="1063139" y="1241154"/>
          <a:ext cx="1224346" cy="836244"/>
        </a:xfrm>
        <a:prstGeom prst="ellips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US" sz="1400" kern="1200"/>
            <a:t>Threat</a:t>
          </a:r>
        </a:p>
      </dsp:txBody>
      <dsp:txXfrm>
        <a:off x="1242440" y="1363619"/>
        <a:ext cx="865744" cy="59131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5AD205-7873-47F7-83CB-D7CDD2E04EF8}">
      <dsp:nvSpPr>
        <dsp:cNvPr id="0" name=""/>
        <dsp:cNvSpPr/>
      </dsp:nvSpPr>
      <dsp:spPr>
        <a:xfrm>
          <a:off x="2567579" y="691372"/>
          <a:ext cx="1169634" cy="760166"/>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US" sz="1800" kern="1200"/>
            <a:t>PESTLE</a:t>
          </a:r>
        </a:p>
      </dsp:txBody>
      <dsp:txXfrm>
        <a:off x="2737442" y="801769"/>
        <a:ext cx="829908" cy="539372"/>
      </dsp:txXfrm>
    </dsp:sp>
    <dsp:sp modelId="{3A94D728-3ED0-4263-80B3-D6B7F0D167F6}">
      <dsp:nvSpPr>
        <dsp:cNvPr id="0" name=""/>
        <dsp:cNvSpPr/>
      </dsp:nvSpPr>
      <dsp:spPr>
        <a:xfrm>
          <a:off x="3201653" y="327683"/>
          <a:ext cx="331555" cy="28567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1B84E7D-D137-4FE3-ADDC-94D0D258C7D7}">
      <dsp:nvSpPr>
        <dsp:cNvPr id="0" name=""/>
        <dsp:cNvSpPr/>
      </dsp:nvSpPr>
      <dsp:spPr>
        <a:xfrm>
          <a:off x="2685076" y="0"/>
          <a:ext cx="958507" cy="623006"/>
        </a:xfrm>
        <a:prstGeom prst="hexagon">
          <a:avLst>
            <a:gd name="adj" fmla="val 28570"/>
            <a:gd name="vf" fmla="val 11547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Political</a:t>
          </a:r>
        </a:p>
      </dsp:txBody>
      <dsp:txXfrm>
        <a:off x="2824283" y="90481"/>
        <a:ext cx="680093" cy="442044"/>
      </dsp:txXfrm>
    </dsp:sp>
    <dsp:sp modelId="{FD6A6D3B-2E85-44EC-B333-8E4233B8DD8C}">
      <dsp:nvSpPr>
        <dsp:cNvPr id="0" name=""/>
        <dsp:cNvSpPr/>
      </dsp:nvSpPr>
      <dsp:spPr>
        <a:xfrm>
          <a:off x="3588603" y="861750"/>
          <a:ext cx="331555" cy="28567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A4BE39A-8946-4032-A415-25DFCD8687CF}">
      <dsp:nvSpPr>
        <dsp:cNvPr id="0" name=""/>
        <dsp:cNvSpPr/>
      </dsp:nvSpPr>
      <dsp:spPr>
        <a:xfrm>
          <a:off x="3566331" y="383190"/>
          <a:ext cx="1275772" cy="623006"/>
        </a:xfrm>
        <a:prstGeom prst="hexagon">
          <a:avLst>
            <a:gd name="adj" fmla="val 28570"/>
            <a:gd name="vf" fmla="val 11547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Economic</a:t>
          </a:r>
        </a:p>
      </dsp:txBody>
      <dsp:txXfrm>
        <a:off x="3731976" y="464081"/>
        <a:ext cx="944482" cy="461224"/>
      </dsp:txXfrm>
    </dsp:sp>
    <dsp:sp modelId="{86C5D0A4-63DF-4061-98EA-F3D6A12554BB}">
      <dsp:nvSpPr>
        <dsp:cNvPr id="0" name=""/>
        <dsp:cNvSpPr/>
      </dsp:nvSpPr>
      <dsp:spPr>
        <a:xfrm>
          <a:off x="3319803" y="1464611"/>
          <a:ext cx="331555" cy="28567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3DEA6EA-91DE-4E2F-88BD-993DB9428162}">
      <dsp:nvSpPr>
        <dsp:cNvPr id="0" name=""/>
        <dsp:cNvSpPr/>
      </dsp:nvSpPr>
      <dsp:spPr>
        <a:xfrm>
          <a:off x="3574044" y="1136499"/>
          <a:ext cx="871370" cy="623006"/>
        </a:xfrm>
        <a:prstGeom prst="hexagon">
          <a:avLst>
            <a:gd name="adj" fmla="val 28570"/>
            <a:gd name="vf" fmla="val 11547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Social</a:t>
          </a:r>
        </a:p>
      </dsp:txBody>
      <dsp:txXfrm>
        <a:off x="3705989" y="1230836"/>
        <a:ext cx="607480" cy="434332"/>
      </dsp:txXfrm>
    </dsp:sp>
    <dsp:sp modelId="{7A1131C8-440F-4A40-A58B-0394A8D6346A}">
      <dsp:nvSpPr>
        <dsp:cNvPr id="0" name=""/>
        <dsp:cNvSpPr/>
      </dsp:nvSpPr>
      <dsp:spPr>
        <a:xfrm>
          <a:off x="2653013" y="1527190"/>
          <a:ext cx="331555" cy="28567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7439F9F-AD2C-4739-B29C-B988CC0F832A}">
      <dsp:nvSpPr>
        <dsp:cNvPr id="0" name=""/>
        <dsp:cNvSpPr/>
      </dsp:nvSpPr>
      <dsp:spPr>
        <a:xfrm>
          <a:off x="2485338" y="1520118"/>
          <a:ext cx="1275772" cy="623006"/>
        </a:xfrm>
        <a:prstGeom prst="hexagon">
          <a:avLst>
            <a:gd name="adj" fmla="val 28570"/>
            <a:gd name="vf" fmla="val 11547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Technological</a:t>
          </a:r>
        </a:p>
      </dsp:txBody>
      <dsp:txXfrm>
        <a:off x="2650983" y="1601009"/>
        <a:ext cx="944482" cy="461224"/>
      </dsp:txXfrm>
    </dsp:sp>
    <dsp:sp modelId="{657B5C87-C2C9-4759-81F1-1AC6C420AD97}">
      <dsp:nvSpPr>
        <dsp:cNvPr id="0" name=""/>
        <dsp:cNvSpPr/>
      </dsp:nvSpPr>
      <dsp:spPr>
        <a:xfrm>
          <a:off x="2259726" y="993338"/>
          <a:ext cx="331555" cy="285678"/>
        </a:xfrm>
        <a:prstGeom prst="hexagon">
          <a:avLst>
            <a:gd name="adj" fmla="val 28900"/>
            <a:gd name="vf" fmla="val 11547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77B5B95C-ACE2-42AB-A0D9-C276AB8D1FC7}">
      <dsp:nvSpPr>
        <dsp:cNvPr id="0" name=""/>
        <dsp:cNvSpPr/>
      </dsp:nvSpPr>
      <dsp:spPr>
        <a:xfrm>
          <a:off x="1759325" y="1136927"/>
          <a:ext cx="1054358" cy="623006"/>
        </a:xfrm>
        <a:prstGeom prst="hexagon">
          <a:avLst>
            <a:gd name="adj" fmla="val 28570"/>
            <a:gd name="vf" fmla="val 11547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Legal</a:t>
          </a:r>
        </a:p>
      </dsp:txBody>
      <dsp:txXfrm>
        <a:off x="1906519" y="1223902"/>
        <a:ext cx="759970" cy="449056"/>
      </dsp:txXfrm>
    </dsp:sp>
    <dsp:sp modelId="{1FFA00A9-B9CD-4256-8C16-EA213876884D}">
      <dsp:nvSpPr>
        <dsp:cNvPr id="0" name=""/>
        <dsp:cNvSpPr/>
      </dsp:nvSpPr>
      <dsp:spPr>
        <a:xfrm>
          <a:off x="1503265" y="382333"/>
          <a:ext cx="1275772" cy="623006"/>
        </a:xfrm>
        <a:prstGeom prst="hexagon">
          <a:avLst>
            <a:gd name="adj" fmla="val 28570"/>
            <a:gd name="vf" fmla="val 11547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kern="1200"/>
            <a:t>Environmental</a:t>
          </a:r>
        </a:p>
      </dsp:txBody>
      <dsp:txXfrm>
        <a:off x="1668910" y="463224"/>
        <a:ext cx="944482" cy="461224"/>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E58A83-3A03-40D2-8119-E7A2817A4A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3481</Words>
  <Characters>19842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2024-05-22T16:21:00Z</dcterms:created>
  <dcterms:modified xsi:type="dcterms:W3CDTF">2024-05-28T12:23:00Z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918aaf4d82d8a0ac129397fe017009b05c210024eff7ae4a0dd5752fa302d3ea</vt:lpwstr>
  </property>
</Properties>
</file>