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C95D" w14:textId="77777777" w:rsidR="004D0178" w:rsidRPr="004D0178" w:rsidRDefault="004D0178" w:rsidP="004D0178">
      <w:pPr>
        <w:spacing w:line="480" w:lineRule="auto"/>
        <w:contextualSpacing/>
        <w:rPr>
          <w:rFonts w:ascii="Times New Roman" w:hAnsi="Times New Roman" w:cs="Times New Roman"/>
          <w:sz w:val="24"/>
          <w:szCs w:val="24"/>
        </w:rPr>
      </w:pPr>
    </w:p>
    <w:p w14:paraId="0B2CC543" w14:textId="77777777" w:rsidR="004D0178" w:rsidRPr="004D0178" w:rsidRDefault="004D0178" w:rsidP="004D0178">
      <w:pPr>
        <w:spacing w:line="480" w:lineRule="auto"/>
        <w:contextualSpacing/>
        <w:rPr>
          <w:rFonts w:ascii="Times New Roman" w:hAnsi="Times New Roman" w:cs="Times New Roman"/>
          <w:sz w:val="24"/>
          <w:szCs w:val="24"/>
        </w:rPr>
      </w:pPr>
    </w:p>
    <w:p w14:paraId="4F9851F6" w14:textId="77777777" w:rsidR="004D0178" w:rsidRDefault="004D0178" w:rsidP="004D0178">
      <w:pPr>
        <w:spacing w:line="480" w:lineRule="auto"/>
        <w:contextualSpacing/>
        <w:rPr>
          <w:rFonts w:ascii="Times New Roman" w:hAnsi="Times New Roman" w:cs="Times New Roman"/>
          <w:sz w:val="24"/>
          <w:szCs w:val="24"/>
        </w:rPr>
      </w:pPr>
    </w:p>
    <w:p w14:paraId="218D342B" w14:textId="77777777" w:rsidR="00FB4F45" w:rsidRPr="004D0178" w:rsidRDefault="00FB4F45" w:rsidP="004D0178">
      <w:pPr>
        <w:spacing w:line="480" w:lineRule="auto"/>
        <w:contextualSpacing/>
        <w:rPr>
          <w:rFonts w:ascii="Times New Roman" w:hAnsi="Times New Roman" w:cs="Times New Roman"/>
          <w:sz w:val="24"/>
          <w:szCs w:val="24"/>
        </w:rPr>
      </w:pPr>
    </w:p>
    <w:p w14:paraId="41171B61" w14:textId="77777777" w:rsidR="003722DE" w:rsidRPr="00FB4F45" w:rsidRDefault="003722DE" w:rsidP="003722DE">
      <w:pPr>
        <w:spacing w:line="480" w:lineRule="auto"/>
        <w:contextualSpacing/>
        <w:jc w:val="center"/>
        <w:rPr>
          <w:rFonts w:ascii="Times New Roman" w:hAnsi="Times New Roman" w:cs="Times New Roman"/>
          <w:b/>
          <w:sz w:val="24"/>
          <w:szCs w:val="24"/>
        </w:rPr>
      </w:pPr>
      <w:r w:rsidRPr="00FB4F45">
        <w:rPr>
          <w:rFonts w:ascii="Times New Roman" w:hAnsi="Times New Roman" w:cs="Times New Roman"/>
          <w:b/>
          <w:sz w:val="24"/>
          <w:szCs w:val="24"/>
        </w:rPr>
        <w:t xml:space="preserve">THE </w:t>
      </w:r>
      <w:r>
        <w:rPr>
          <w:rFonts w:ascii="Times New Roman" w:hAnsi="Times New Roman" w:cs="Times New Roman"/>
          <w:b/>
          <w:sz w:val="24"/>
          <w:szCs w:val="24"/>
        </w:rPr>
        <w:t>LAW OF</w:t>
      </w:r>
      <w:r w:rsidRPr="00FB4F45">
        <w:rPr>
          <w:rFonts w:ascii="Times New Roman" w:hAnsi="Times New Roman" w:cs="Times New Roman"/>
          <w:b/>
          <w:sz w:val="24"/>
          <w:szCs w:val="24"/>
        </w:rPr>
        <w:t xml:space="preserve"> NEGLIGENCE</w:t>
      </w:r>
      <w:r>
        <w:rPr>
          <w:rFonts w:ascii="Times New Roman" w:hAnsi="Times New Roman" w:cs="Times New Roman"/>
          <w:b/>
          <w:sz w:val="24"/>
          <w:szCs w:val="24"/>
        </w:rPr>
        <w:t xml:space="preserve"> AND </w:t>
      </w:r>
      <w:r>
        <w:rPr>
          <w:rFonts w:ascii="Times New Roman" w:hAnsi="Times New Roman" w:cs="Times New Roman"/>
          <w:b/>
          <w:bCs/>
          <w:sz w:val="24"/>
          <w:szCs w:val="24"/>
        </w:rPr>
        <w:t>DUTY OF CARE</w:t>
      </w:r>
    </w:p>
    <w:p w14:paraId="2E823633" w14:textId="77777777" w:rsidR="004D0178" w:rsidRPr="004D0178" w:rsidRDefault="004D0178" w:rsidP="00FB4F45">
      <w:pPr>
        <w:spacing w:line="480" w:lineRule="auto"/>
        <w:contextualSpacing/>
        <w:jc w:val="center"/>
        <w:rPr>
          <w:rFonts w:ascii="Times New Roman" w:hAnsi="Times New Roman" w:cs="Times New Roman"/>
          <w:sz w:val="24"/>
          <w:szCs w:val="24"/>
        </w:rPr>
      </w:pPr>
    </w:p>
    <w:p w14:paraId="546613D3" w14:textId="27956451" w:rsidR="00FB4F45" w:rsidRPr="0020311B"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b</w:t>
      </w:r>
      <w:r w:rsidR="00FB4F45" w:rsidRPr="0020311B">
        <w:rPr>
          <w:rFonts w:ascii="Times New Roman" w:hAnsi="Times New Roman" w:cs="Times New Roman"/>
          <w:bCs/>
          <w:sz w:val="24"/>
          <w:szCs w:val="24"/>
        </w:rPr>
        <w:t>y</w:t>
      </w:r>
      <w:r>
        <w:rPr>
          <w:rFonts w:ascii="Times New Roman" w:hAnsi="Times New Roman" w:cs="Times New Roman"/>
          <w:bCs/>
          <w:sz w:val="24"/>
          <w:szCs w:val="24"/>
        </w:rPr>
        <w:t xml:space="preserve"> Adnan Faisal Shamsdin</w:t>
      </w:r>
    </w:p>
    <w:p w14:paraId="6B136290" w14:textId="77777777" w:rsidR="00FB4F45" w:rsidRPr="0020311B" w:rsidRDefault="00FB4F45" w:rsidP="00FB4F45">
      <w:pPr>
        <w:spacing w:after="0" w:line="480" w:lineRule="auto"/>
        <w:jc w:val="center"/>
        <w:rPr>
          <w:rFonts w:ascii="Times New Roman" w:hAnsi="Times New Roman" w:cs="Times New Roman"/>
          <w:bCs/>
          <w:sz w:val="24"/>
          <w:szCs w:val="24"/>
        </w:rPr>
      </w:pPr>
    </w:p>
    <w:p w14:paraId="61B91124" w14:textId="5DBBD990" w:rsidR="00FB4F45" w:rsidRPr="0020311B"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Tort Law</w:t>
      </w:r>
    </w:p>
    <w:p w14:paraId="13D38266" w14:textId="32DFB915" w:rsidR="00FB4F45" w:rsidRPr="0020311B"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for Laura Knight</w:t>
      </w:r>
    </w:p>
    <w:p w14:paraId="343E413F" w14:textId="64F0E221" w:rsidR="00FB4F45" w:rsidRPr="0020311B"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UWTSD</w:t>
      </w:r>
    </w:p>
    <w:p w14:paraId="5359DE95" w14:textId="3D4591F7" w:rsidR="00FB4F45"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Swansea, South Wales</w:t>
      </w:r>
    </w:p>
    <w:p w14:paraId="39BCEC05" w14:textId="77777777" w:rsidR="00FB4F45" w:rsidRPr="0020311B" w:rsidRDefault="00FB4F45" w:rsidP="00FB4F45">
      <w:pPr>
        <w:spacing w:after="0" w:line="480" w:lineRule="auto"/>
        <w:jc w:val="center"/>
        <w:rPr>
          <w:rFonts w:ascii="Times New Roman" w:hAnsi="Times New Roman" w:cs="Times New Roman"/>
          <w:bCs/>
          <w:sz w:val="24"/>
          <w:szCs w:val="24"/>
        </w:rPr>
      </w:pPr>
    </w:p>
    <w:p w14:paraId="1FB75941" w14:textId="0665CE9B" w:rsidR="00FB4F45" w:rsidRPr="0020311B" w:rsidRDefault="00893EF9" w:rsidP="00FB4F45">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1</w:t>
      </w:r>
      <w:r w:rsidRPr="00893EF9">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April 2022</w:t>
      </w:r>
    </w:p>
    <w:p w14:paraId="57E7D97F" w14:textId="77777777" w:rsidR="004D0178" w:rsidRPr="004D0178" w:rsidRDefault="004D0178" w:rsidP="004D0178">
      <w:pPr>
        <w:spacing w:line="480" w:lineRule="auto"/>
        <w:contextualSpacing/>
        <w:rPr>
          <w:rFonts w:ascii="Times New Roman" w:hAnsi="Times New Roman" w:cs="Times New Roman"/>
          <w:sz w:val="24"/>
          <w:szCs w:val="24"/>
        </w:rPr>
      </w:pPr>
    </w:p>
    <w:p w14:paraId="748FB087" w14:textId="77777777" w:rsidR="004D0178" w:rsidRPr="004D0178" w:rsidRDefault="004D0178" w:rsidP="004D0178">
      <w:pPr>
        <w:spacing w:line="480" w:lineRule="auto"/>
        <w:contextualSpacing/>
        <w:rPr>
          <w:rFonts w:ascii="Times New Roman" w:hAnsi="Times New Roman" w:cs="Times New Roman"/>
          <w:sz w:val="24"/>
          <w:szCs w:val="24"/>
        </w:rPr>
      </w:pPr>
    </w:p>
    <w:p w14:paraId="4774319D" w14:textId="77777777" w:rsidR="004D0178" w:rsidRPr="004D0178" w:rsidRDefault="004D0178" w:rsidP="004D0178">
      <w:pPr>
        <w:spacing w:line="480" w:lineRule="auto"/>
        <w:contextualSpacing/>
        <w:rPr>
          <w:rFonts w:ascii="Times New Roman" w:hAnsi="Times New Roman" w:cs="Times New Roman"/>
          <w:sz w:val="24"/>
          <w:szCs w:val="24"/>
        </w:rPr>
      </w:pPr>
    </w:p>
    <w:p w14:paraId="4FA03691" w14:textId="77777777" w:rsidR="004D0178" w:rsidRPr="004D0178" w:rsidRDefault="004D0178" w:rsidP="004D0178">
      <w:pPr>
        <w:spacing w:line="480" w:lineRule="auto"/>
        <w:contextualSpacing/>
        <w:rPr>
          <w:rFonts w:ascii="Times New Roman" w:hAnsi="Times New Roman" w:cs="Times New Roman"/>
          <w:sz w:val="24"/>
          <w:szCs w:val="24"/>
        </w:rPr>
      </w:pPr>
    </w:p>
    <w:p w14:paraId="505A2D0B" w14:textId="77777777" w:rsidR="004D0178" w:rsidRPr="004D0178" w:rsidRDefault="004D0178" w:rsidP="004D0178">
      <w:pPr>
        <w:spacing w:line="480" w:lineRule="auto"/>
        <w:contextualSpacing/>
        <w:rPr>
          <w:rFonts w:ascii="Times New Roman" w:hAnsi="Times New Roman" w:cs="Times New Roman"/>
          <w:sz w:val="24"/>
          <w:szCs w:val="24"/>
        </w:rPr>
      </w:pPr>
    </w:p>
    <w:p w14:paraId="2E7EED11" w14:textId="77777777" w:rsidR="004D0178" w:rsidRPr="004D0178" w:rsidRDefault="004D0178" w:rsidP="004D0178">
      <w:pPr>
        <w:spacing w:line="480" w:lineRule="auto"/>
        <w:contextualSpacing/>
        <w:rPr>
          <w:rFonts w:ascii="Times New Roman" w:hAnsi="Times New Roman" w:cs="Times New Roman"/>
          <w:sz w:val="24"/>
          <w:szCs w:val="24"/>
        </w:rPr>
      </w:pPr>
    </w:p>
    <w:p w14:paraId="5659787F" w14:textId="77777777" w:rsidR="004D0178" w:rsidRPr="004D0178" w:rsidRDefault="004D0178" w:rsidP="004D0178">
      <w:pPr>
        <w:spacing w:line="480" w:lineRule="auto"/>
        <w:contextualSpacing/>
        <w:rPr>
          <w:rFonts w:ascii="Times New Roman" w:hAnsi="Times New Roman" w:cs="Times New Roman"/>
          <w:sz w:val="24"/>
          <w:szCs w:val="24"/>
        </w:rPr>
      </w:pPr>
    </w:p>
    <w:p w14:paraId="41707960" w14:textId="77777777" w:rsidR="004D0178" w:rsidRPr="004D0178" w:rsidRDefault="004D0178" w:rsidP="004D0178">
      <w:pPr>
        <w:spacing w:line="480" w:lineRule="auto"/>
        <w:contextualSpacing/>
        <w:rPr>
          <w:rFonts w:ascii="Times New Roman" w:hAnsi="Times New Roman" w:cs="Times New Roman"/>
          <w:sz w:val="24"/>
          <w:szCs w:val="24"/>
        </w:rPr>
      </w:pPr>
    </w:p>
    <w:p w14:paraId="12ED3E88" w14:textId="77777777" w:rsidR="004D0178" w:rsidRDefault="004D0178" w:rsidP="004D0178">
      <w:pPr>
        <w:spacing w:line="480" w:lineRule="auto"/>
        <w:contextualSpacing/>
        <w:rPr>
          <w:rFonts w:ascii="Times New Roman" w:hAnsi="Times New Roman" w:cs="Times New Roman"/>
          <w:sz w:val="24"/>
          <w:szCs w:val="24"/>
        </w:rPr>
      </w:pPr>
    </w:p>
    <w:p w14:paraId="3284950A" w14:textId="77777777" w:rsidR="00FB4F45" w:rsidRPr="00FB4F45" w:rsidRDefault="00FB4F45" w:rsidP="003722DE">
      <w:pPr>
        <w:spacing w:line="480" w:lineRule="auto"/>
        <w:contextualSpacing/>
        <w:jc w:val="center"/>
        <w:rPr>
          <w:rFonts w:ascii="Times New Roman" w:hAnsi="Times New Roman" w:cs="Times New Roman"/>
          <w:b/>
          <w:sz w:val="24"/>
          <w:szCs w:val="24"/>
        </w:rPr>
      </w:pPr>
      <w:r w:rsidRPr="00FB4F45">
        <w:rPr>
          <w:rFonts w:ascii="Times New Roman" w:hAnsi="Times New Roman" w:cs="Times New Roman"/>
          <w:b/>
          <w:sz w:val="24"/>
          <w:szCs w:val="24"/>
        </w:rPr>
        <w:lastRenderedPageBreak/>
        <w:t xml:space="preserve">THE </w:t>
      </w:r>
      <w:r w:rsidR="003722DE">
        <w:rPr>
          <w:rFonts w:ascii="Times New Roman" w:hAnsi="Times New Roman" w:cs="Times New Roman"/>
          <w:b/>
          <w:sz w:val="24"/>
          <w:szCs w:val="24"/>
        </w:rPr>
        <w:t>LAW OF</w:t>
      </w:r>
      <w:r w:rsidRPr="00FB4F45">
        <w:rPr>
          <w:rFonts w:ascii="Times New Roman" w:hAnsi="Times New Roman" w:cs="Times New Roman"/>
          <w:b/>
          <w:sz w:val="24"/>
          <w:szCs w:val="24"/>
        </w:rPr>
        <w:t xml:space="preserve"> NEGLIGENCE</w:t>
      </w:r>
      <w:r w:rsidR="003722DE">
        <w:rPr>
          <w:rFonts w:ascii="Times New Roman" w:hAnsi="Times New Roman" w:cs="Times New Roman"/>
          <w:b/>
          <w:sz w:val="24"/>
          <w:szCs w:val="24"/>
        </w:rPr>
        <w:t xml:space="preserve"> AND </w:t>
      </w:r>
      <w:r w:rsidR="003722DE">
        <w:rPr>
          <w:rFonts w:ascii="Times New Roman" w:hAnsi="Times New Roman" w:cs="Times New Roman"/>
          <w:b/>
          <w:bCs/>
          <w:sz w:val="24"/>
          <w:szCs w:val="24"/>
        </w:rPr>
        <w:t>DUTY OF CARE</w:t>
      </w:r>
    </w:p>
    <w:p w14:paraId="23566BDD" w14:textId="77777777" w:rsidR="004D0178" w:rsidRPr="004D0178" w:rsidRDefault="004D0178" w:rsidP="003722DE">
      <w:pPr>
        <w:spacing w:line="480" w:lineRule="auto"/>
        <w:contextualSpacing/>
        <w:jc w:val="center"/>
        <w:rPr>
          <w:rFonts w:ascii="Times New Roman" w:hAnsi="Times New Roman" w:cs="Times New Roman"/>
          <w:b/>
          <w:sz w:val="24"/>
          <w:szCs w:val="24"/>
        </w:rPr>
      </w:pPr>
      <w:r w:rsidRPr="004D0178">
        <w:rPr>
          <w:rFonts w:ascii="Times New Roman" w:hAnsi="Times New Roman" w:cs="Times New Roman"/>
          <w:b/>
          <w:sz w:val="24"/>
          <w:szCs w:val="24"/>
        </w:rPr>
        <w:t>Introduction</w:t>
      </w:r>
    </w:p>
    <w:p w14:paraId="4574BED9" w14:textId="77777777" w:rsidR="003722DE" w:rsidRPr="00964165" w:rsidRDefault="00FB4F45" w:rsidP="003722DE">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tort law, t</w:t>
      </w:r>
      <w:r w:rsidR="004D0178" w:rsidRPr="004D0178">
        <w:rPr>
          <w:rFonts w:ascii="Times New Roman" w:hAnsi="Times New Roman" w:cs="Times New Roman"/>
          <w:sz w:val="24"/>
          <w:szCs w:val="24"/>
        </w:rPr>
        <w:t xml:space="preserve">orts are </w:t>
      </w:r>
      <w:r>
        <w:rPr>
          <w:rFonts w:ascii="Times New Roman" w:hAnsi="Times New Roman" w:cs="Times New Roman"/>
          <w:sz w:val="24"/>
          <w:szCs w:val="24"/>
        </w:rPr>
        <w:t>identified</w:t>
      </w:r>
      <w:r w:rsidR="004D0178" w:rsidRPr="004D0178">
        <w:rPr>
          <w:rFonts w:ascii="Times New Roman" w:hAnsi="Times New Roman" w:cs="Times New Roman"/>
          <w:sz w:val="24"/>
          <w:szCs w:val="24"/>
        </w:rPr>
        <w:t xml:space="preserve"> as civil wrongs, other than the breach of contracts, for which remedies are obtained, mostly in compensation for damages. Torts </w:t>
      </w:r>
      <w:r>
        <w:rPr>
          <w:rFonts w:ascii="Times New Roman" w:hAnsi="Times New Roman" w:cs="Times New Roman"/>
          <w:sz w:val="24"/>
          <w:szCs w:val="24"/>
        </w:rPr>
        <w:t>can be classified in three major categories namely</w:t>
      </w:r>
      <w:r w:rsidR="004D0178" w:rsidRPr="004D0178">
        <w:rPr>
          <w:rFonts w:ascii="Times New Roman" w:hAnsi="Times New Roman" w:cs="Times New Roman"/>
          <w:sz w:val="24"/>
          <w:szCs w:val="24"/>
        </w:rPr>
        <w:t xml:space="preserve">: intentional torts, the tort of negligence, and the tort of strict liability. However, this study will focus on the tort of negligence as observed in the case of </w:t>
      </w:r>
      <w:r w:rsidR="004D0178" w:rsidRPr="00FB4F45">
        <w:rPr>
          <w:rFonts w:ascii="Times New Roman" w:hAnsi="Times New Roman" w:cs="Times New Roman"/>
          <w:i/>
          <w:sz w:val="24"/>
          <w:szCs w:val="24"/>
        </w:rPr>
        <w:t>Michael v Chief Constable of South Wales</w:t>
      </w:r>
      <w:r>
        <w:rPr>
          <w:rFonts w:ascii="Times New Roman" w:hAnsi="Times New Roman" w:cs="Times New Roman"/>
          <w:i/>
          <w:sz w:val="24"/>
          <w:szCs w:val="24"/>
        </w:rPr>
        <w:t xml:space="preserve"> </w:t>
      </w:r>
      <w:r w:rsidR="003722DE">
        <w:rPr>
          <w:rFonts w:ascii="Times New Roman" w:hAnsi="Times New Roman" w:cs="Times New Roman"/>
          <w:i/>
          <w:sz w:val="24"/>
          <w:szCs w:val="24"/>
        </w:rPr>
        <w:t>[2015]</w:t>
      </w:r>
      <w:r w:rsidR="004D0178" w:rsidRPr="00FB4F45">
        <w:rPr>
          <w:rFonts w:ascii="Times New Roman" w:hAnsi="Times New Roman" w:cs="Times New Roman"/>
          <w:i/>
          <w:sz w:val="24"/>
          <w:szCs w:val="24"/>
        </w:rPr>
        <w:t>.</w:t>
      </w:r>
      <w:r>
        <w:rPr>
          <w:rFonts w:ascii="Times New Roman" w:hAnsi="Times New Roman" w:cs="Times New Roman"/>
          <w:sz w:val="24"/>
          <w:szCs w:val="24"/>
        </w:rPr>
        <w:t xml:space="preserve"> Arguably, t</w:t>
      </w:r>
      <w:r w:rsidR="004D0178" w:rsidRPr="004D0178">
        <w:rPr>
          <w:rFonts w:ascii="Times New Roman" w:hAnsi="Times New Roman" w:cs="Times New Roman"/>
          <w:sz w:val="24"/>
          <w:szCs w:val="24"/>
        </w:rPr>
        <w:t xml:space="preserve">he case of </w:t>
      </w:r>
      <w:r w:rsidR="004D0178" w:rsidRPr="00866326">
        <w:rPr>
          <w:rFonts w:ascii="Times New Roman" w:hAnsi="Times New Roman" w:cs="Times New Roman"/>
          <w:i/>
          <w:sz w:val="24"/>
          <w:szCs w:val="24"/>
        </w:rPr>
        <w:t>Michael v Chief Constab</w:t>
      </w:r>
      <w:r w:rsidR="003722DE">
        <w:rPr>
          <w:rFonts w:ascii="Times New Roman" w:hAnsi="Times New Roman" w:cs="Times New Roman"/>
          <w:i/>
          <w:sz w:val="24"/>
          <w:szCs w:val="24"/>
        </w:rPr>
        <w:t xml:space="preserve">le of South Wales [2015] </w:t>
      </w:r>
      <w:r w:rsidR="004D0178" w:rsidRPr="004D0178">
        <w:rPr>
          <w:rFonts w:ascii="Times New Roman" w:hAnsi="Times New Roman" w:cs="Times New Roman"/>
          <w:sz w:val="24"/>
          <w:szCs w:val="24"/>
        </w:rPr>
        <w:t xml:space="preserve">may be an awakening call for common law and still mark the start of a period of duty of care in the United Kingdom (McBride, 2015). </w:t>
      </w:r>
      <w:r w:rsidR="00C93612">
        <w:rPr>
          <w:rFonts w:ascii="Times New Roman" w:hAnsi="Times New Roman" w:cs="Times New Roman"/>
          <w:sz w:val="24"/>
          <w:szCs w:val="24"/>
        </w:rPr>
        <w:t xml:space="preserve">According to </w:t>
      </w:r>
      <w:r w:rsidR="00C93612" w:rsidRPr="004D0178">
        <w:rPr>
          <w:rFonts w:ascii="Times New Roman" w:hAnsi="Times New Roman" w:cs="Times New Roman"/>
          <w:sz w:val="24"/>
          <w:szCs w:val="24"/>
        </w:rPr>
        <w:t>McBride</w:t>
      </w:r>
      <w:r w:rsidR="00C93612">
        <w:rPr>
          <w:rFonts w:ascii="Times New Roman" w:hAnsi="Times New Roman" w:cs="Times New Roman"/>
          <w:sz w:val="24"/>
          <w:szCs w:val="24"/>
        </w:rPr>
        <w:t xml:space="preserve"> (</w:t>
      </w:r>
      <w:r w:rsidR="00C93612" w:rsidRPr="004D0178">
        <w:rPr>
          <w:rFonts w:ascii="Times New Roman" w:hAnsi="Times New Roman" w:cs="Times New Roman"/>
          <w:sz w:val="24"/>
          <w:szCs w:val="24"/>
        </w:rPr>
        <w:t>2015</w:t>
      </w:r>
      <w:r w:rsidR="00C93612">
        <w:rPr>
          <w:rFonts w:ascii="Times New Roman" w:hAnsi="Times New Roman" w:cs="Times New Roman"/>
          <w:sz w:val="24"/>
          <w:szCs w:val="24"/>
        </w:rPr>
        <w:t>), t</w:t>
      </w:r>
      <w:r w:rsidR="003722DE">
        <w:rPr>
          <w:rFonts w:ascii="Times New Roman" w:hAnsi="Times New Roman" w:cs="Times New Roman"/>
          <w:sz w:val="24"/>
          <w:szCs w:val="24"/>
        </w:rPr>
        <w:t>he case suggests the Supreme Court is willing to break the Caparo test. However, various courts still push</w:t>
      </w:r>
      <w:r w:rsidR="004D0178" w:rsidRPr="004D0178">
        <w:rPr>
          <w:rFonts w:ascii="Times New Roman" w:hAnsi="Times New Roman" w:cs="Times New Roman"/>
          <w:sz w:val="24"/>
          <w:szCs w:val="24"/>
        </w:rPr>
        <w:t xml:space="preserve"> </w:t>
      </w:r>
      <w:r w:rsidR="003722DE">
        <w:rPr>
          <w:rFonts w:ascii="Times New Roman" w:hAnsi="Times New Roman" w:cs="Times New Roman"/>
          <w:sz w:val="24"/>
          <w:szCs w:val="24"/>
        </w:rPr>
        <w:t xml:space="preserve">for </w:t>
      </w:r>
      <w:r w:rsidR="004D0178" w:rsidRPr="004D0178">
        <w:rPr>
          <w:rFonts w:ascii="Times New Roman" w:hAnsi="Times New Roman" w:cs="Times New Roman"/>
          <w:sz w:val="24"/>
          <w:szCs w:val="24"/>
        </w:rPr>
        <w:t>some policy considerations consistent with the hostilities expressed towards the test and out of the timeline</w:t>
      </w:r>
      <w:r w:rsidR="00C93612" w:rsidRPr="00C93612">
        <w:rPr>
          <w:rFonts w:ascii="Times New Roman" w:hAnsi="Times New Roman" w:cs="Times New Roman"/>
          <w:sz w:val="24"/>
          <w:szCs w:val="24"/>
        </w:rPr>
        <w:t xml:space="preserve"> </w:t>
      </w:r>
      <w:r w:rsidR="00C93612">
        <w:rPr>
          <w:rFonts w:ascii="Times New Roman" w:hAnsi="Times New Roman" w:cs="Times New Roman"/>
          <w:sz w:val="24"/>
          <w:szCs w:val="24"/>
        </w:rPr>
        <w:t>(</w:t>
      </w:r>
      <w:r w:rsidR="00C93612" w:rsidRPr="004D0178">
        <w:rPr>
          <w:rFonts w:ascii="Times New Roman" w:hAnsi="Times New Roman" w:cs="Times New Roman"/>
          <w:sz w:val="24"/>
          <w:szCs w:val="24"/>
        </w:rPr>
        <w:t>McBride, 2015</w:t>
      </w:r>
      <w:r w:rsidR="00CF4C3B">
        <w:rPr>
          <w:rFonts w:ascii="Times New Roman" w:hAnsi="Times New Roman" w:cs="Times New Roman"/>
          <w:sz w:val="24"/>
          <w:szCs w:val="24"/>
        </w:rPr>
        <w:t>)</w:t>
      </w:r>
      <w:r w:rsidR="004D0178" w:rsidRPr="004D0178">
        <w:rPr>
          <w:rFonts w:ascii="Times New Roman" w:hAnsi="Times New Roman" w:cs="Times New Roman"/>
          <w:sz w:val="24"/>
          <w:szCs w:val="24"/>
        </w:rPr>
        <w:t xml:space="preserve">. </w:t>
      </w:r>
      <w:r w:rsidR="003722DE">
        <w:rPr>
          <w:rFonts w:ascii="Times New Roman" w:hAnsi="Times New Roman" w:cs="Times New Roman"/>
          <w:sz w:val="24"/>
          <w:szCs w:val="24"/>
        </w:rPr>
        <w:t>There has been a notable</w:t>
      </w:r>
      <w:r w:rsidR="003722DE" w:rsidRPr="00964165">
        <w:rPr>
          <w:rFonts w:ascii="Times New Roman" w:hAnsi="Times New Roman" w:cs="Times New Roman"/>
          <w:sz w:val="24"/>
          <w:szCs w:val="24"/>
        </w:rPr>
        <w:t xml:space="preserve"> progress in various elements of negligence claim</w:t>
      </w:r>
      <w:r w:rsidR="003722DE">
        <w:rPr>
          <w:rFonts w:ascii="Times New Roman" w:hAnsi="Times New Roman" w:cs="Times New Roman"/>
          <w:sz w:val="24"/>
          <w:szCs w:val="24"/>
        </w:rPr>
        <w:t>s</w:t>
      </w:r>
      <w:r w:rsidR="003722DE" w:rsidRPr="00964165">
        <w:rPr>
          <w:rFonts w:ascii="Times New Roman" w:hAnsi="Times New Roman" w:cs="Times New Roman"/>
          <w:sz w:val="24"/>
          <w:szCs w:val="24"/>
        </w:rPr>
        <w:t xml:space="preserve"> and how the judges consider liability once a neglige</w:t>
      </w:r>
      <w:r w:rsidR="003722DE">
        <w:rPr>
          <w:rFonts w:ascii="Times New Roman" w:hAnsi="Times New Roman" w:cs="Times New Roman"/>
          <w:sz w:val="24"/>
          <w:szCs w:val="24"/>
        </w:rPr>
        <w:t>nce claim has been filed in court</w:t>
      </w:r>
      <w:r w:rsidR="003722DE" w:rsidRPr="00964165">
        <w:rPr>
          <w:rFonts w:ascii="Times New Roman" w:hAnsi="Times New Roman" w:cs="Times New Roman"/>
          <w:sz w:val="24"/>
          <w:szCs w:val="24"/>
        </w:rPr>
        <w:t xml:space="preserve">. This is the basis of the remark made in </w:t>
      </w:r>
      <w:r w:rsidR="00A81163" w:rsidRPr="00964165">
        <w:rPr>
          <w:rFonts w:ascii="Times New Roman" w:hAnsi="Times New Roman" w:cs="Times New Roman"/>
          <w:i/>
          <w:iCs/>
          <w:sz w:val="24"/>
          <w:szCs w:val="24"/>
        </w:rPr>
        <w:t>Michael</w:t>
      </w:r>
      <w:r w:rsidR="003722DE" w:rsidRPr="00964165">
        <w:rPr>
          <w:rFonts w:ascii="Times New Roman" w:hAnsi="Times New Roman" w:cs="Times New Roman"/>
          <w:i/>
          <w:iCs/>
          <w:sz w:val="24"/>
          <w:szCs w:val="24"/>
        </w:rPr>
        <w:t xml:space="preserve"> v Chief Constable of South Wales [2015]</w:t>
      </w:r>
      <w:r w:rsidR="003722DE" w:rsidRPr="00964165">
        <w:rPr>
          <w:rFonts w:ascii="Times New Roman" w:hAnsi="Times New Roman" w:cs="Times New Roman"/>
          <w:sz w:val="24"/>
          <w:szCs w:val="24"/>
        </w:rPr>
        <w:t xml:space="preserve"> that, the development of the law of negligence has been an incremental process than giant steps. </w:t>
      </w:r>
    </w:p>
    <w:p w14:paraId="2ACA6233" w14:textId="77777777" w:rsidR="003722DE" w:rsidRPr="003722DE" w:rsidRDefault="003722DE" w:rsidP="003722DE">
      <w:pPr>
        <w:spacing w:line="480" w:lineRule="auto"/>
        <w:contextualSpacing/>
        <w:jc w:val="center"/>
        <w:rPr>
          <w:rFonts w:ascii="Times New Roman" w:hAnsi="Times New Roman" w:cs="Times New Roman"/>
          <w:b/>
          <w:sz w:val="24"/>
          <w:szCs w:val="24"/>
        </w:rPr>
      </w:pPr>
      <w:r w:rsidRPr="003722DE">
        <w:rPr>
          <w:rFonts w:ascii="Times New Roman" w:hAnsi="Times New Roman" w:cs="Times New Roman"/>
          <w:b/>
          <w:sz w:val="24"/>
          <w:szCs w:val="24"/>
        </w:rPr>
        <w:t>The Duty of Care</w:t>
      </w:r>
    </w:p>
    <w:p w14:paraId="3126106D" w14:textId="77777777" w:rsidR="003722DE"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In the tort of law, the </w:t>
      </w:r>
      <w:r w:rsidR="003722DE" w:rsidRPr="00154891">
        <w:rPr>
          <w:rFonts w:ascii="Times New Roman" w:hAnsi="Times New Roman" w:cs="Times New Roman"/>
          <w:sz w:val="24"/>
          <w:szCs w:val="24"/>
        </w:rPr>
        <w:t>duty of care refers to the legal obligation that is imposed on a pa</w:t>
      </w:r>
      <w:r w:rsidR="003722DE">
        <w:rPr>
          <w:rFonts w:ascii="Times New Roman" w:hAnsi="Times New Roman" w:cs="Times New Roman"/>
          <w:sz w:val="24"/>
          <w:szCs w:val="24"/>
        </w:rPr>
        <w:t>rticular individual, requiring</w:t>
      </w:r>
      <w:r w:rsidR="003722DE" w:rsidRPr="00154891">
        <w:rPr>
          <w:rFonts w:ascii="Times New Roman" w:hAnsi="Times New Roman" w:cs="Times New Roman"/>
          <w:sz w:val="24"/>
          <w:szCs w:val="24"/>
        </w:rPr>
        <w:t xml:space="preserve"> </w:t>
      </w:r>
      <w:r w:rsidR="003722DE">
        <w:rPr>
          <w:rFonts w:ascii="Times New Roman" w:hAnsi="Times New Roman" w:cs="Times New Roman"/>
          <w:sz w:val="24"/>
          <w:szCs w:val="24"/>
        </w:rPr>
        <w:t>him or her to adhere to</w:t>
      </w:r>
      <w:r w:rsidR="003722DE" w:rsidRPr="00154891">
        <w:rPr>
          <w:rFonts w:ascii="Times New Roman" w:hAnsi="Times New Roman" w:cs="Times New Roman"/>
          <w:sz w:val="24"/>
          <w:szCs w:val="24"/>
        </w:rPr>
        <w:t xml:space="preserve"> the standards </w:t>
      </w:r>
      <w:r w:rsidR="003722DE">
        <w:rPr>
          <w:rFonts w:ascii="Times New Roman" w:hAnsi="Times New Roman" w:cs="Times New Roman"/>
          <w:sz w:val="24"/>
          <w:szCs w:val="24"/>
        </w:rPr>
        <w:t>of</w:t>
      </w:r>
      <w:r w:rsidR="003722DE" w:rsidRPr="00154891">
        <w:rPr>
          <w:rFonts w:ascii="Times New Roman" w:hAnsi="Times New Roman" w:cs="Times New Roman"/>
          <w:sz w:val="24"/>
          <w:szCs w:val="24"/>
        </w:rPr>
        <w:t xml:space="preserve"> reasonable care while </w:t>
      </w:r>
      <w:r w:rsidR="003722DE">
        <w:rPr>
          <w:rFonts w:ascii="Times New Roman" w:hAnsi="Times New Roman" w:cs="Times New Roman"/>
          <w:sz w:val="24"/>
          <w:szCs w:val="24"/>
        </w:rPr>
        <w:t>engaging in</w:t>
      </w:r>
      <w:r w:rsidR="003722DE" w:rsidRPr="00154891">
        <w:rPr>
          <w:rFonts w:ascii="Times New Roman" w:hAnsi="Times New Roman" w:cs="Times New Roman"/>
          <w:sz w:val="24"/>
          <w:szCs w:val="24"/>
        </w:rPr>
        <w:t xml:space="preserve"> acts that would</w:t>
      </w:r>
      <w:r w:rsidR="003722DE">
        <w:rPr>
          <w:rFonts w:ascii="Times New Roman" w:hAnsi="Times New Roman" w:cs="Times New Roman"/>
          <w:sz w:val="24"/>
          <w:szCs w:val="24"/>
        </w:rPr>
        <w:t xml:space="preserve"> in turn harm other people </w:t>
      </w:r>
      <w:r w:rsidR="003722DE" w:rsidRPr="00154891">
        <w:rPr>
          <w:rFonts w:ascii="Times New Roman" w:hAnsi="Times New Roman" w:cs="Times New Roman"/>
          <w:sz w:val="24"/>
          <w:szCs w:val="24"/>
        </w:rPr>
        <w:t>foreseeably</w:t>
      </w:r>
      <w:r w:rsidR="003722DE">
        <w:rPr>
          <w:rFonts w:ascii="Times New Roman" w:hAnsi="Times New Roman" w:cs="Times New Roman"/>
          <w:sz w:val="24"/>
          <w:szCs w:val="24"/>
        </w:rPr>
        <w:t xml:space="preserve">. </w:t>
      </w:r>
      <w:r w:rsidRPr="004D0178">
        <w:rPr>
          <w:rFonts w:ascii="Times New Roman" w:hAnsi="Times New Roman" w:cs="Times New Roman"/>
          <w:sz w:val="24"/>
          <w:szCs w:val="24"/>
        </w:rPr>
        <w:t>Suppose that duty is violated</w:t>
      </w:r>
      <w:r w:rsidR="003722DE">
        <w:rPr>
          <w:rFonts w:ascii="Times New Roman" w:hAnsi="Times New Roman" w:cs="Times New Roman"/>
          <w:sz w:val="24"/>
          <w:szCs w:val="24"/>
        </w:rPr>
        <w:t xml:space="preserve"> or breached by either party, a legal liability</w:t>
      </w:r>
      <w:r w:rsidRPr="004D0178">
        <w:rPr>
          <w:rFonts w:ascii="Times New Roman" w:hAnsi="Times New Roman" w:cs="Times New Roman"/>
          <w:sz w:val="24"/>
          <w:szCs w:val="24"/>
        </w:rPr>
        <w:t xml:space="preserve"> may be imposed on the tortfeasor to compensate the victim for any losses they </w:t>
      </w:r>
      <w:r w:rsidR="003722DE">
        <w:rPr>
          <w:rFonts w:ascii="Times New Roman" w:hAnsi="Times New Roman" w:cs="Times New Roman"/>
          <w:sz w:val="24"/>
          <w:szCs w:val="24"/>
        </w:rPr>
        <w:t>may incur</w:t>
      </w:r>
      <w:r w:rsidRPr="004D0178">
        <w:rPr>
          <w:rFonts w:ascii="Times New Roman" w:hAnsi="Times New Roman" w:cs="Times New Roman"/>
          <w:sz w:val="24"/>
          <w:szCs w:val="24"/>
        </w:rPr>
        <w:t xml:space="preserve">. There is </w:t>
      </w:r>
      <w:r w:rsidR="003722DE">
        <w:rPr>
          <w:rFonts w:ascii="Times New Roman" w:hAnsi="Times New Roman" w:cs="Times New Roman"/>
          <w:sz w:val="24"/>
          <w:szCs w:val="24"/>
        </w:rPr>
        <w:t>always this</w:t>
      </w:r>
      <w:r w:rsidRPr="004D0178">
        <w:rPr>
          <w:rFonts w:ascii="Times New Roman" w:hAnsi="Times New Roman" w:cs="Times New Roman"/>
          <w:sz w:val="24"/>
          <w:szCs w:val="24"/>
        </w:rPr>
        <w:t xml:space="preserve"> idea that individuals owe a duty of care to strangers</w:t>
      </w:r>
      <w:r w:rsidR="003722DE">
        <w:rPr>
          <w:rFonts w:ascii="Times New Roman" w:hAnsi="Times New Roman" w:cs="Times New Roman"/>
          <w:sz w:val="24"/>
          <w:szCs w:val="24"/>
        </w:rPr>
        <w:t>; however;</w:t>
      </w:r>
      <w:r w:rsidRPr="004D0178">
        <w:rPr>
          <w:rFonts w:ascii="Times New Roman" w:hAnsi="Times New Roman" w:cs="Times New Roman"/>
          <w:sz w:val="24"/>
          <w:szCs w:val="24"/>
        </w:rPr>
        <w:t xml:space="preserve"> beforehand, such responsibilities regarding the duty of care were </w:t>
      </w:r>
      <w:r w:rsidRPr="004D0178">
        <w:rPr>
          <w:rFonts w:ascii="Times New Roman" w:hAnsi="Times New Roman" w:cs="Times New Roman"/>
          <w:sz w:val="24"/>
          <w:szCs w:val="24"/>
        </w:rPr>
        <w:lastRenderedPageBreak/>
        <w:t>found in connection with contractual arrangements developed from common law during the 20th century (Ceil, 2019). Such a doctrine of the d</w:t>
      </w:r>
      <w:r w:rsidR="003722DE">
        <w:rPr>
          <w:rFonts w:ascii="Times New Roman" w:hAnsi="Times New Roman" w:cs="Times New Roman"/>
          <w:sz w:val="24"/>
          <w:szCs w:val="24"/>
        </w:rPr>
        <w:t>uty of care was developed in</w:t>
      </w:r>
      <w:r w:rsidRPr="004D0178">
        <w:rPr>
          <w:rFonts w:ascii="Times New Roman" w:hAnsi="Times New Roman" w:cs="Times New Roman"/>
          <w:sz w:val="24"/>
          <w:szCs w:val="24"/>
        </w:rPr>
        <w:t xml:space="preserve"> </w:t>
      </w:r>
      <w:r w:rsidRPr="00866326">
        <w:rPr>
          <w:rFonts w:ascii="Times New Roman" w:hAnsi="Times New Roman" w:cs="Times New Roman"/>
          <w:i/>
          <w:sz w:val="24"/>
          <w:szCs w:val="24"/>
        </w:rPr>
        <w:t>Donoghue v Stevenson's case</w:t>
      </w:r>
      <w:r w:rsidR="003722DE" w:rsidRPr="003722DE">
        <w:t xml:space="preserve"> </w:t>
      </w:r>
      <w:r w:rsidR="003722DE">
        <w:rPr>
          <w:rFonts w:ascii="Times New Roman" w:hAnsi="Times New Roman" w:cs="Times New Roman"/>
          <w:i/>
          <w:sz w:val="24"/>
          <w:szCs w:val="24"/>
        </w:rPr>
        <w:t>[1932]</w:t>
      </w:r>
      <w:r w:rsidRPr="004D0178">
        <w:rPr>
          <w:rFonts w:ascii="Times New Roman" w:hAnsi="Times New Roman" w:cs="Times New Roman"/>
          <w:sz w:val="24"/>
          <w:szCs w:val="24"/>
        </w:rPr>
        <w:t xml:space="preserve">, whereby a woman had succeeded in establishing a ginger beer manufacturing plant that owed her the duty of care after making a negligent production. </w:t>
      </w:r>
      <w:r w:rsidR="003722DE">
        <w:rPr>
          <w:rFonts w:ascii="Times New Roman" w:hAnsi="Times New Roman" w:cs="Times New Roman"/>
          <w:sz w:val="24"/>
          <w:szCs w:val="24"/>
        </w:rPr>
        <w:t>Based on</w:t>
      </w:r>
      <w:r w:rsidRPr="004D0178">
        <w:rPr>
          <w:rFonts w:ascii="Times New Roman" w:hAnsi="Times New Roman" w:cs="Times New Roman"/>
          <w:sz w:val="24"/>
          <w:szCs w:val="24"/>
        </w:rPr>
        <w:t xml:space="preserve"> this scenario, the concept of duty of care has since expanded and developed into a judicial test that is greatly coherent and which should be satisfied in a court of law to claim a violation of the tort of law. </w:t>
      </w:r>
    </w:p>
    <w:p w14:paraId="1C50ED88" w14:textId="77777777" w:rsidR="004D0178" w:rsidRPr="004D0178"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In general terms, the duty of care comes into play when an individual or a group of people undertakes to perform an activity that has a reasonable possibility of causing harm to another person or a group of people, either in a physical manner, economicall</w:t>
      </w:r>
      <w:r w:rsidR="00A81163">
        <w:rPr>
          <w:rFonts w:ascii="Times New Roman" w:hAnsi="Times New Roman" w:cs="Times New Roman"/>
          <w:sz w:val="24"/>
          <w:szCs w:val="24"/>
        </w:rPr>
        <w:t>y or even mentally (</w:t>
      </w:r>
      <w:proofErr w:type="spellStart"/>
      <w:r w:rsidR="00A81163">
        <w:rPr>
          <w:rFonts w:ascii="Times New Roman" w:hAnsi="Times New Roman" w:cs="Times New Roman"/>
          <w:sz w:val="24"/>
          <w:szCs w:val="24"/>
        </w:rPr>
        <w:t>Udemezue</w:t>
      </w:r>
      <w:proofErr w:type="spellEnd"/>
      <w:r w:rsidR="00A81163">
        <w:rPr>
          <w:rFonts w:ascii="Times New Roman" w:hAnsi="Times New Roman" w:cs="Times New Roman"/>
          <w:sz w:val="24"/>
          <w:szCs w:val="24"/>
        </w:rPr>
        <w:t xml:space="preserve"> &amp;</w:t>
      </w:r>
      <w:r w:rsidRPr="004D0178">
        <w:rPr>
          <w:rFonts w:ascii="Times New Roman" w:hAnsi="Times New Roman" w:cs="Times New Roman"/>
          <w:sz w:val="24"/>
          <w:szCs w:val="24"/>
        </w:rPr>
        <w:t xml:space="preserve"> </w:t>
      </w:r>
      <w:proofErr w:type="spellStart"/>
      <w:r w:rsidRPr="004D0178">
        <w:rPr>
          <w:rFonts w:ascii="Times New Roman" w:hAnsi="Times New Roman" w:cs="Times New Roman"/>
          <w:sz w:val="24"/>
          <w:szCs w:val="24"/>
        </w:rPr>
        <w:t>Ojeih</w:t>
      </w:r>
      <w:proofErr w:type="spellEnd"/>
      <w:r w:rsidRPr="004D0178">
        <w:rPr>
          <w:rFonts w:ascii="Times New Roman" w:hAnsi="Times New Roman" w:cs="Times New Roman"/>
          <w:sz w:val="24"/>
          <w:szCs w:val="24"/>
        </w:rPr>
        <w:t xml:space="preserve">, 2021). These activities may include common tasks like driving, where injuries may occur due to accidents, and </w:t>
      </w:r>
      <w:proofErr w:type="spellStart"/>
      <w:r w:rsidRPr="004D0178">
        <w:rPr>
          <w:rFonts w:ascii="Times New Roman" w:hAnsi="Times New Roman" w:cs="Times New Roman"/>
          <w:sz w:val="24"/>
          <w:szCs w:val="24"/>
        </w:rPr>
        <w:t>specialised</w:t>
      </w:r>
      <w:proofErr w:type="spellEnd"/>
      <w:r w:rsidRPr="004D0178">
        <w:rPr>
          <w:rFonts w:ascii="Times New Roman" w:hAnsi="Times New Roman" w:cs="Times New Roman"/>
          <w:sz w:val="24"/>
          <w:szCs w:val="24"/>
        </w:rPr>
        <w:t xml:space="preserve"> activities like dispensing economic devices, leading to economic losses. However, in situations where a person has not created situations capable of causing harm to another person, there is no obligation to provide the duty of care since there are no </w:t>
      </w:r>
      <w:r w:rsidR="003722DE" w:rsidRPr="004D0178">
        <w:rPr>
          <w:rFonts w:ascii="Times New Roman" w:hAnsi="Times New Roman" w:cs="Times New Roman"/>
          <w:sz w:val="24"/>
          <w:szCs w:val="24"/>
        </w:rPr>
        <w:t>risky</w:t>
      </w:r>
      <w:r w:rsidRPr="004D0178">
        <w:rPr>
          <w:rFonts w:ascii="Times New Roman" w:hAnsi="Times New Roman" w:cs="Times New Roman"/>
          <w:sz w:val="24"/>
          <w:szCs w:val="24"/>
        </w:rPr>
        <w:t xml:space="preserve"> situations that need preventive measures like pure omissions. </w:t>
      </w:r>
    </w:p>
    <w:p w14:paraId="67B53C44" w14:textId="77777777" w:rsidR="004D0178" w:rsidRPr="00866326" w:rsidRDefault="004D0178" w:rsidP="00FB4F45">
      <w:pPr>
        <w:spacing w:line="480" w:lineRule="auto"/>
        <w:contextualSpacing/>
        <w:jc w:val="center"/>
        <w:rPr>
          <w:rFonts w:ascii="Times New Roman" w:hAnsi="Times New Roman" w:cs="Times New Roman"/>
          <w:b/>
          <w:sz w:val="24"/>
          <w:szCs w:val="24"/>
        </w:rPr>
      </w:pPr>
      <w:r w:rsidRPr="00866326">
        <w:rPr>
          <w:rFonts w:ascii="Times New Roman" w:hAnsi="Times New Roman" w:cs="Times New Roman"/>
          <w:b/>
          <w:sz w:val="24"/>
          <w:szCs w:val="24"/>
        </w:rPr>
        <w:t>Testing of the Duty of Care</w:t>
      </w:r>
    </w:p>
    <w:p w14:paraId="2ED5EFF2" w14:textId="77777777" w:rsidR="003722DE"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The Caparo tests came along and brought the motion ignited by Lord Bridge during the case of </w:t>
      </w:r>
      <w:r w:rsidR="003722DE" w:rsidRPr="003722DE">
        <w:rPr>
          <w:rFonts w:ascii="Times New Roman" w:hAnsi="Times New Roman" w:cs="Times New Roman"/>
          <w:i/>
          <w:sz w:val="24"/>
          <w:szCs w:val="24"/>
        </w:rPr>
        <w:t>Caparo Indust</w:t>
      </w:r>
      <w:r w:rsidR="003722DE">
        <w:rPr>
          <w:rFonts w:ascii="Times New Roman" w:hAnsi="Times New Roman" w:cs="Times New Roman"/>
          <w:i/>
          <w:sz w:val="24"/>
          <w:szCs w:val="24"/>
        </w:rPr>
        <w:t xml:space="preserve">ries PLC v Dickman [1990] </w:t>
      </w:r>
      <w:r w:rsidRPr="004D0178">
        <w:rPr>
          <w:rFonts w:ascii="Times New Roman" w:hAnsi="Times New Roman" w:cs="Times New Roman"/>
          <w:sz w:val="24"/>
          <w:szCs w:val="24"/>
        </w:rPr>
        <w:t>which incorporated two approaches required for use by the courts and which the courts ought to adapt to while seeking the determination of whether the duty of care, based on all the facts presented in the case is owed (</w:t>
      </w:r>
      <w:proofErr w:type="spellStart"/>
      <w:r w:rsidRPr="004D0178">
        <w:rPr>
          <w:rFonts w:ascii="Times New Roman" w:hAnsi="Times New Roman" w:cs="Times New Roman"/>
          <w:sz w:val="24"/>
          <w:szCs w:val="24"/>
        </w:rPr>
        <w:t>Satyan</w:t>
      </w:r>
      <w:proofErr w:type="spellEnd"/>
      <w:r w:rsidRPr="004D0178">
        <w:rPr>
          <w:rFonts w:ascii="Times New Roman" w:hAnsi="Times New Roman" w:cs="Times New Roman"/>
          <w:sz w:val="24"/>
          <w:szCs w:val="24"/>
        </w:rPr>
        <w:t xml:space="preserve">, 2015). According to </w:t>
      </w:r>
      <w:proofErr w:type="spellStart"/>
      <w:r w:rsidRPr="004D0178">
        <w:rPr>
          <w:rFonts w:ascii="Times New Roman" w:hAnsi="Times New Roman" w:cs="Times New Roman"/>
          <w:sz w:val="24"/>
          <w:szCs w:val="24"/>
        </w:rPr>
        <w:t>Satyan</w:t>
      </w:r>
      <w:proofErr w:type="spellEnd"/>
      <w:r w:rsidRPr="004D0178">
        <w:rPr>
          <w:rFonts w:ascii="Times New Roman" w:hAnsi="Times New Roman" w:cs="Times New Roman"/>
          <w:sz w:val="24"/>
          <w:szCs w:val="24"/>
        </w:rPr>
        <w:t xml:space="preserve"> (2015), the initial approach was regarded as the "three-stage test", consisting of three various elements that attempt to determine if liabilities are owed, if the harm could have been reasonably foreseeable</w:t>
      </w:r>
      <w:r w:rsidR="003722DE">
        <w:rPr>
          <w:rFonts w:ascii="Times New Roman" w:hAnsi="Times New Roman" w:cs="Times New Roman"/>
          <w:sz w:val="24"/>
          <w:szCs w:val="24"/>
        </w:rPr>
        <w:t>,</w:t>
      </w:r>
      <w:r w:rsidRPr="004D0178">
        <w:rPr>
          <w:rFonts w:ascii="Times New Roman" w:hAnsi="Times New Roman" w:cs="Times New Roman"/>
          <w:sz w:val="24"/>
          <w:szCs w:val="24"/>
        </w:rPr>
        <w:t xml:space="preserve"> and if there was a genuine relationship concerning </w:t>
      </w:r>
      <w:r w:rsidRPr="004D0178">
        <w:rPr>
          <w:rFonts w:ascii="Times New Roman" w:hAnsi="Times New Roman" w:cs="Times New Roman"/>
          <w:sz w:val="24"/>
          <w:szCs w:val="24"/>
        </w:rPr>
        <w:lastRenderedPageBreak/>
        <w:t xml:space="preserve">proximity. Additionally, it looked like a 'fair, reasonable and required duty </w:t>
      </w:r>
      <w:r w:rsidR="003722DE">
        <w:rPr>
          <w:rFonts w:ascii="Times New Roman" w:hAnsi="Times New Roman" w:cs="Times New Roman"/>
          <w:sz w:val="24"/>
          <w:szCs w:val="24"/>
        </w:rPr>
        <w:t>of care upon the defendant. The second approach</w:t>
      </w:r>
      <w:r w:rsidRPr="004D0178">
        <w:rPr>
          <w:rFonts w:ascii="Times New Roman" w:hAnsi="Times New Roman" w:cs="Times New Roman"/>
          <w:sz w:val="24"/>
          <w:szCs w:val="24"/>
        </w:rPr>
        <w:t>, is called the '</w:t>
      </w:r>
      <w:r w:rsidR="00893D9A">
        <w:rPr>
          <w:rFonts w:ascii="Times New Roman" w:hAnsi="Times New Roman" w:cs="Times New Roman"/>
          <w:sz w:val="24"/>
          <w:szCs w:val="24"/>
        </w:rPr>
        <w:t>analogous incremental approach.’</w:t>
      </w:r>
      <w:r w:rsidRPr="004D0178">
        <w:rPr>
          <w:rFonts w:ascii="Times New Roman" w:hAnsi="Times New Roman" w:cs="Times New Roman"/>
          <w:sz w:val="24"/>
          <w:szCs w:val="24"/>
        </w:rPr>
        <w:t xml:space="preserve"> Under this approach, there is the determination of if principles were developed in precedent cases or in any other judgments, </w:t>
      </w:r>
      <w:r w:rsidR="003722DE">
        <w:rPr>
          <w:rFonts w:ascii="Times New Roman" w:hAnsi="Times New Roman" w:cs="Times New Roman"/>
          <w:sz w:val="24"/>
          <w:szCs w:val="24"/>
        </w:rPr>
        <w:t>and how influential</w:t>
      </w:r>
      <w:r w:rsidRPr="004D0178">
        <w:rPr>
          <w:rFonts w:ascii="Times New Roman" w:hAnsi="Times New Roman" w:cs="Times New Roman"/>
          <w:sz w:val="24"/>
          <w:szCs w:val="24"/>
        </w:rPr>
        <w:t xml:space="preserve"> such principles</w:t>
      </w:r>
      <w:r w:rsidR="003722DE">
        <w:rPr>
          <w:rFonts w:ascii="Times New Roman" w:hAnsi="Times New Roman" w:cs="Times New Roman"/>
          <w:sz w:val="24"/>
          <w:szCs w:val="24"/>
        </w:rPr>
        <w:t xml:space="preserve"> were</w:t>
      </w:r>
      <w:r w:rsidRPr="004D0178">
        <w:rPr>
          <w:rFonts w:ascii="Times New Roman" w:hAnsi="Times New Roman" w:cs="Times New Roman"/>
          <w:sz w:val="24"/>
          <w:szCs w:val="24"/>
        </w:rPr>
        <w:t xml:space="preserve">. However, the three-stage Caparo test does not need to be completely addressed in determining duty of care. </w:t>
      </w:r>
    </w:p>
    <w:p w14:paraId="6062D853" w14:textId="77777777" w:rsidR="004D0178" w:rsidRPr="004D0178"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The research relating to the universal test about the duty of care is still in an evolution path from the 'Neighbor principle' that Lord Atkin put forward </w:t>
      </w:r>
      <w:r w:rsidR="003722DE">
        <w:rPr>
          <w:rFonts w:ascii="Times New Roman" w:hAnsi="Times New Roman" w:cs="Times New Roman"/>
          <w:sz w:val="24"/>
          <w:szCs w:val="24"/>
        </w:rPr>
        <w:t>in</w:t>
      </w:r>
      <w:r w:rsidRPr="004D0178">
        <w:rPr>
          <w:rFonts w:ascii="Times New Roman" w:hAnsi="Times New Roman" w:cs="Times New Roman"/>
          <w:sz w:val="24"/>
          <w:szCs w:val="24"/>
        </w:rPr>
        <w:t xml:space="preserve"> </w:t>
      </w:r>
      <w:r w:rsidR="003722DE" w:rsidRPr="003722DE">
        <w:rPr>
          <w:rFonts w:ascii="Times New Roman" w:hAnsi="Times New Roman" w:cs="Times New Roman"/>
          <w:i/>
          <w:sz w:val="24"/>
          <w:szCs w:val="24"/>
        </w:rPr>
        <w:t xml:space="preserve">Donoghue v Stevenson [1932] </w:t>
      </w:r>
      <w:r w:rsidRPr="004D0178">
        <w:rPr>
          <w:rFonts w:ascii="Times New Roman" w:hAnsi="Times New Roman" w:cs="Times New Roman"/>
          <w:sz w:val="24"/>
          <w:szCs w:val="24"/>
        </w:rPr>
        <w:t xml:space="preserve">and to the second two-stage test that was established and forwarded by Lord Wilberforce during the examination and crosschecking of the case </w:t>
      </w:r>
      <w:r w:rsidR="003722DE">
        <w:rPr>
          <w:rFonts w:ascii="Times New Roman" w:hAnsi="Times New Roman" w:cs="Times New Roman"/>
          <w:sz w:val="24"/>
          <w:szCs w:val="24"/>
        </w:rPr>
        <w:t>of</w:t>
      </w:r>
      <w:r w:rsidRPr="004D0178">
        <w:rPr>
          <w:rFonts w:ascii="Times New Roman" w:hAnsi="Times New Roman" w:cs="Times New Roman"/>
          <w:sz w:val="24"/>
          <w:szCs w:val="24"/>
        </w:rPr>
        <w:t xml:space="preserve"> </w:t>
      </w:r>
      <w:proofErr w:type="spellStart"/>
      <w:r w:rsidR="003722DE" w:rsidRPr="003722DE">
        <w:rPr>
          <w:rFonts w:ascii="Times New Roman" w:hAnsi="Times New Roman" w:cs="Times New Roman"/>
          <w:i/>
          <w:sz w:val="24"/>
          <w:szCs w:val="24"/>
        </w:rPr>
        <w:t>Anns</w:t>
      </w:r>
      <w:proofErr w:type="spellEnd"/>
      <w:r w:rsidR="003722DE" w:rsidRPr="003722DE">
        <w:rPr>
          <w:rFonts w:ascii="Times New Roman" w:hAnsi="Times New Roman" w:cs="Times New Roman"/>
          <w:i/>
          <w:sz w:val="24"/>
          <w:szCs w:val="24"/>
        </w:rPr>
        <w:t xml:space="preserve"> v Merton London Borough Council [1977]</w:t>
      </w:r>
      <w:r w:rsidR="003722DE">
        <w:rPr>
          <w:rFonts w:ascii="Times New Roman" w:hAnsi="Times New Roman" w:cs="Times New Roman"/>
          <w:i/>
          <w:sz w:val="24"/>
          <w:szCs w:val="24"/>
        </w:rPr>
        <w:t>,</w:t>
      </w:r>
      <w:r w:rsidR="003722DE" w:rsidRPr="003722DE">
        <w:rPr>
          <w:rFonts w:ascii="Times New Roman" w:hAnsi="Times New Roman" w:cs="Times New Roman"/>
          <w:i/>
          <w:sz w:val="24"/>
          <w:szCs w:val="24"/>
        </w:rPr>
        <w:t xml:space="preserve"> </w:t>
      </w:r>
      <w:r w:rsidRPr="004D0178">
        <w:rPr>
          <w:rFonts w:ascii="Times New Roman" w:hAnsi="Times New Roman" w:cs="Times New Roman"/>
          <w:sz w:val="24"/>
          <w:szCs w:val="24"/>
        </w:rPr>
        <w:t>and then finally to the third-stage test invol</w:t>
      </w:r>
      <w:r w:rsidR="003722DE">
        <w:rPr>
          <w:rFonts w:ascii="Times New Roman" w:hAnsi="Times New Roman" w:cs="Times New Roman"/>
          <w:sz w:val="24"/>
          <w:szCs w:val="24"/>
        </w:rPr>
        <w:t>ving the Caparo tests (</w:t>
      </w:r>
      <w:proofErr w:type="spellStart"/>
      <w:r w:rsidR="003722DE">
        <w:rPr>
          <w:rFonts w:ascii="Times New Roman" w:hAnsi="Times New Roman" w:cs="Times New Roman"/>
          <w:sz w:val="24"/>
          <w:szCs w:val="24"/>
        </w:rPr>
        <w:t>Abhyuday</w:t>
      </w:r>
      <w:proofErr w:type="spellEnd"/>
      <w:r w:rsidR="003722DE">
        <w:rPr>
          <w:rFonts w:ascii="Times New Roman" w:hAnsi="Times New Roman" w:cs="Times New Roman"/>
          <w:sz w:val="24"/>
          <w:szCs w:val="24"/>
        </w:rPr>
        <w:t xml:space="preserve"> 2021</w:t>
      </w:r>
      <w:r w:rsidRPr="004D0178">
        <w:rPr>
          <w:rFonts w:ascii="Times New Roman" w:hAnsi="Times New Roman" w:cs="Times New Roman"/>
          <w:sz w:val="24"/>
          <w:szCs w:val="24"/>
        </w:rPr>
        <w:t>). Because the Neighbor principle was considered too broad and wide, which would allow liability of the tort of negligence in various situations, the second approach of the two-stage testing consisted of different policies related to the elements preventing floodgates. However, the test was also considered relatively wide to</w:t>
      </w:r>
      <w:r w:rsidR="003722DE">
        <w:rPr>
          <w:rFonts w:ascii="Times New Roman" w:hAnsi="Times New Roman" w:cs="Times New Roman"/>
          <w:sz w:val="24"/>
          <w:szCs w:val="24"/>
        </w:rPr>
        <w:t xml:space="preserve"> the extent that it needed to be narrowed</w:t>
      </w:r>
      <w:r w:rsidRPr="004D0178">
        <w:rPr>
          <w:rFonts w:ascii="Times New Roman" w:hAnsi="Times New Roman" w:cs="Times New Roman"/>
          <w:sz w:val="24"/>
          <w:szCs w:val="24"/>
        </w:rPr>
        <w:t xml:space="preserve"> down. Due to that reason, the courts decided to revert and embrace the incremental approach, which allowed the use of the three-stage test, leading to its creation for use. </w:t>
      </w:r>
    </w:p>
    <w:p w14:paraId="4B11D7F2" w14:textId="77777777" w:rsidR="004D0178" w:rsidRPr="004D0178"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The Caparo tests then set the stage for the three-stage tests, </w:t>
      </w:r>
      <w:r w:rsidR="003722DE" w:rsidRPr="004D0178">
        <w:rPr>
          <w:rFonts w:ascii="Times New Roman" w:hAnsi="Times New Roman" w:cs="Times New Roman"/>
          <w:sz w:val="24"/>
          <w:szCs w:val="24"/>
        </w:rPr>
        <w:t>even though</w:t>
      </w:r>
      <w:r w:rsidRPr="004D0178">
        <w:rPr>
          <w:rFonts w:ascii="Times New Roman" w:hAnsi="Times New Roman" w:cs="Times New Roman"/>
          <w:sz w:val="24"/>
          <w:szCs w:val="24"/>
        </w:rPr>
        <w:t xml:space="preserve"> through the approach of incremental process, they conveyed the message that the application of the tests cannot be rigid since the factors were mere labels. However, although the terms of the elements of the two and three-stage t</w:t>
      </w:r>
      <w:r w:rsidR="003722DE">
        <w:rPr>
          <w:rFonts w:ascii="Times New Roman" w:hAnsi="Times New Roman" w:cs="Times New Roman"/>
          <w:sz w:val="24"/>
          <w:szCs w:val="24"/>
        </w:rPr>
        <w:t xml:space="preserve">ests seem to be familiar, they are </w:t>
      </w:r>
      <w:r w:rsidRPr="004D0178">
        <w:rPr>
          <w:rFonts w:ascii="Times New Roman" w:hAnsi="Times New Roman" w:cs="Times New Roman"/>
          <w:sz w:val="24"/>
          <w:szCs w:val="24"/>
        </w:rPr>
        <w:t>di</w:t>
      </w:r>
      <w:r w:rsidR="003722DE">
        <w:rPr>
          <w:rFonts w:ascii="Times New Roman" w:hAnsi="Times New Roman" w:cs="Times New Roman"/>
          <w:sz w:val="24"/>
          <w:szCs w:val="24"/>
        </w:rPr>
        <w:t>fferent in some aspects.</w:t>
      </w:r>
      <w:r w:rsidRPr="004D0178">
        <w:rPr>
          <w:rFonts w:ascii="Times New Roman" w:hAnsi="Times New Roman" w:cs="Times New Roman"/>
          <w:sz w:val="24"/>
          <w:szCs w:val="24"/>
        </w:rPr>
        <w:t xml:space="preserve"> </w:t>
      </w:r>
      <w:r w:rsidR="003722DE">
        <w:rPr>
          <w:rFonts w:ascii="Times New Roman" w:hAnsi="Times New Roman" w:cs="Times New Roman"/>
          <w:sz w:val="24"/>
          <w:szCs w:val="24"/>
        </w:rPr>
        <w:t>One of the major difference between the two is when</w:t>
      </w:r>
      <w:r w:rsidRPr="004D0178">
        <w:rPr>
          <w:rFonts w:ascii="Times New Roman" w:hAnsi="Times New Roman" w:cs="Times New Roman"/>
          <w:sz w:val="24"/>
          <w:szCs w:val="24"/>
        </w:rPr>
        <w:t xml:space="preserve"> identify</w:t>
      </w:r>
      <w:r w:rsidR="003722DE">
        <w:rPr>
          <w:rFonts w:ascii="Times New Roman" w:hAnsi="Times New Roman" w:cs="Times New Roman"/>
          <w:sz w:val="24"/>
          <w:szCs w:val="24"/>
        </w:rPr>
        <w:t>ing</w:t>
      </w:r>
      <w:r w:rsidRPr="004D0178">
        <w:rPr>
          <w:rFonts w:ascii="Times New Roman" w:hAnsi="Times New Roman" w:cs="Times New Roman"/>
          <w:sz w:val="24"/>
          <w:szCs w:val="24"/>
        </w:rPr>
        <w:t xml:space="preserve"> which method or who should establish policies because, under the requirements of the two-stage tests, the accused or the defendant is obliged by law to show the policy factor in order to negate the liability attached to the same, </w:t>
      </w:r>
      <w:r w:rsidRPr="004D0178">
        <w:rPr>
          <w:rFonts w:ascii="Times New Roman" w:hAnsi="Times New Roman" w:cs="Times New Roman"/>
          <w:sz w:val="24"/>
          <w:szCs w:val="24"/>
        </w:rPr>
        <w:lastRenderedPageBreak/>
        <w:t xml:space="preserve">while under the circumstances of the three-stage test, it is the claimant who should show the policy reasons for attached to imposing a liability. From 1990, after the test landed into its initial application along to 2015, and until the case pitting Michael against the Chief of South Wales, the three-stage tests were the basis and standard means of the courts in the </w:t>
      </w:r>
      <w:r w:rsidR="00FB4F45" w:rsidRPr="004D0178">
        <w:rPr>
          <w:rFonts w:ascii="Times New Roman" w:hAnsi="Times New Roman" w:cs="Times New Roman"/>
          <w:sz w:val="24"/>
          <w:szCs w:val="24"/>
        </w:rPr>
        <w:t>United Kingdom</w:t>
      </w:r>
      <w:r w:rsidRPr="004D0178">
        <w:rPr>
          <w:rFonts w:ascii="Times New Roman" w:hAnsi="Times New Roman" w:cs="Times New Roman"/>
          <w:sz w:val="24"/>
          <w:szCs w:val="24"/>
        </w:rPr>
        <w:t xml:space="preserve"> to determine whether the duty of care existed and for the judges to make their court decisions. There are more signs that the courts in the United Kingdom are willing to re-invent and formulate the tests of the Caparo case to protect authorities and rename the process as 'policy consideration.' However, some questions still linger regarding whether such a process could be considered to be analogously incremental. </w:t>
      </w:r>
    </w:p>
    <w:p w14:paraId="0696390E" w14:textId="77777777" w:rsidR="004D0178" w:rsidRPr="004D0178" w:rsidRDefault="004D0178" w:rsidP="003722DE">
      <w:pPr>
        <w:spacing w:line="480" w:lineRule="auto"/>
        <w:contextualSpacing/>
        <w:jc w:val="center"/>
        <w:rPr>
          <w:rFonts w:ascii="Times New Roman" w:hAnsi="Times New Roman" w:cs="Times New Roman"/>
          <w:b/>
          <w:sz w:val="24"/>
          <w:szCs w:val="24"/>
        </w:rPr>
      </w:pPr>
      <w:r w:rsidRPr="004D0178">
        <w:rPr>
          <w:rFonts w:ascii="Times New Roman" w:hAnsi="Times New Roman" w:cs="Times New Roman"/>
          <w:b/>
          <w:sz w:val="24"/>
          <w:szCs w:val="24"/>
        </w:rPr>
        <w:t>The willingness of the Supreme Court to Break Up the Caparo Test</w:t>
      </w:r>
    </w:p>
    <w:p w14:paraId="4C179544" w14:textId="77777777" w:rsidR="003722DE" w:rsidRDefault="00CF4C3B" w:rsidP="004D017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According to </w:t>
      </w:r>
      <w:r w:rsidR="00A96BE0">
        <w:rPr>
          <w:rFonts w:ascii="Times New Roman" w:hAnsi="Times New Roman" w:cs="Times New Roman"/>
          <w:sz w:val="24"/>
          <w:szCs w:val="24"/>
        </w:rPr>
        <w:t>Tsang and Ng (</w:t>
      </w:r>
      <w:r w:rsidRPr="004D0178">
        <w:rPr>
          <w:rFonts w:ascii="Times New Roman" w:hAnsi="Times New Roman" w:cs="Times New Roman"/>
          <w:sz w:val="24"/>
          <w:szCs w:val="24"/>
        </w:rPr>
        <w:t>2022)</w:t>
      </w:r>
      <w:r w:rsidR="00A96BE0">
        <w:rPr>
          <w:rFonts w:ascii="Times New Roman" w:hAnsi="Times New Roman" w:cs="Times New Roman"/>
          <w:sz w:val="24"/>
          <w:szCs w:val="24"/>
        </w:rPr>
        <w:t>, d</w:t>
      </w:r>
      <w:r w:rsidR="004D0178" w:rsidRPr="004D0178">
        <w:rPr>
          <w:rFonts w:ascii="Times New Roman" w:hAnsi="Times New Roman" w:cs="Times New Roman"/>
          <w:sz w:val="24"/>
          <w:szCs w:val="24"/>
        </w:rPr>
        <w:t xml:space="preserve">uring the case of </w:t>
      </w:r>
      <w:r w:rsidR="003722DE" w:rsidRPr="003722DE">
        <w:rPr>
          <w:rFonts w:ascii="Times New Roman" w:hAnsi="Times New Roman" w:cs="Times New Roman"/>
          <w:i/>
          <w:sz w:val="24"/>
          <w:szCs w:val="24"/>
        </w:rPr>
        <w:t>Michael v Chief Constable of South Wales Police [2015]</w:t>
      </w:r>
      <w:r w:rsidR="003722DE">
        <w:rPr>
          <w:rFonts w:ascii="Times New Roman" w:hAnsi="Times New Roman" w:cs="Times New Roman"/>
          <w:i/>
          <w:sz w:val="24"/>
          <w:szCs w:val="24"/>
        </w:rPr>
        <w:t xml:space="preserve">. </w:t>
      </w:r>
      <w:r w:rsidR="004D0178" w:rsidRPr="004D0178">
        <w:rPr>
          <w:rFonts w:ascii="Times New Roman" w:hAnsi="Times New Roman" w:cs="Times New Roman"/>
          <w:sz w:val="24"/>
          <w:szCs w:val="24"/>
        </w:rPr>
        <w:t xml:space="preserve">Lord Neuberger, with whom others like Lord Toulson, Lord </w:t>
      </w:r>
      <w:proofErr w:type="spellStart"/>
      <w:r w:rsidR="004D0178" w:rsidRPr="004D0178">
        <w:rPr>
          <w:rFonts w:ascii="Times New Roman" w:hAnsi="Times New Roman" w:cs="Times New Roman"/>
          <w:sz w:val="24"/>
          <w:szCs w:val="24"/>
        </w:rPr>
        <w:t>Mance</w:t>
      </w:r>
      <w:proofErr w:type="spellEnd"/>
      <w:r w:rsidR="004D0178" w:rsidRPr="004D0178">
        <w:rPr>
          <w:rFonts w:ascii="Times New Roman" w:hAnsi="Times New Roman" w:cs="Times New Roman"/>
          <w:sz w:val="24"/>
          <w:szCs w:val="24"/>
        </w:rPr>
        <w:t xml:space="preserve">, Lord Hodge and Lord Reed all agreed, indicated the willingness of the supreme court of the United Kingdom in breaking the three-stage tests. It indicated that common law does not necessarily impose liabilities generally due to pure omissions. However, there are situations </w:t>
      </w:r>
      <w:r w:rsidR="003722DE">
        <w:rPr>
          <w:rFonts w:ascii="Times New Roman" w:hAnsi="Times New Roman" w:cs="Times New Roman"/>
          <w:sz w:val="24"/>
          <w:szCs w:val="24"/>
        </w:rPr>
        <w:t>under which</w:t>
      </w:r>
      <w:r w:rsidR="004D0178" w:rsidRPr="004D0178">
        <w:rPr>
          <w:rFonts w:ascii="Times New Roman" w:hAnsi="Times New Roman" w:cs="Times New Roman"/>
          <w:sz w:val="24"/>
          <w:szCs w:val="24"/>
        </w:rPr>
        <w:t xml:space="preserve"> common law does not impose liabilities for making careless omissions (Tsang and Ng, 2022). The judges agreed that the second scenario did not apply to the case out of this </w:t>
      </w:r>
      <w:proofErr w:type="spellStart"/>
      <w:r w:rsidR="004D0178" w:rsidRPr="004D0178">
        <w:rPr>
          <w:rFonts w:ascii="Times New Roman" w:hAnsi="Times New Roman" w:cs="Times New Roman"/>
          <w:sz w:val="24"/>
          <w:szCs w:val="24"/>
        </w:rPr>
        <w:t>realisation</w:t>
      </w:r>
      <w:proofErr w:type="spellEnd"/>
      <w:r w:rsidR="004D0178" w:rsidRPr="004D0178">
        <w:rPr>
          <w:rFonts w:ascii="Times New Roman" w:hAnsi="Times New Roman" w:cs="Times New Roman"/>
          <w:sz w:val="24"/>
          <w:szCs w:val="24"/>
        </w:rPr>
        <w:t>. However, such an exception occurs where the defendants of the case assume positive responsibilities towards safeguarding the claimant in circumstances where there are special relationships existing between the parties to the case, such as when the case's claimant is reliant on the skills of the defendant. Therefore, by assuming such responsibilities, the potential foreseeability towards protecting the claimant from harm is created by the relationship of proximity. For example, in the case of Michael, Ms</w:t>
      </w:r>
      <w:r w:rsidR="003722DE">
        <w:rPr>
          <w:rFonts w:ascii="Times New Roman" w:hAnsi="Times New Roman" w:cs="Times New Roman"/>
          <w:sz w:val="24"/>
          <w:szCs w:val="24"/>
        </w:rPr>
        <w:t>.</w:t>
      </w:r>
      <w:r w:rsidR="004D0178" w:rsidRPr="004D0178">
        <w:rPr>
          <w:rFonts w:ascii="Times New Roman" w:hAnsi="Times New Roman" w:cs="Times New Roman"/>
          <w:sz w:val="24"/>
          <w:szCs w:val="24"/>
        </w:rPr>
        <w:t xml:space="preserve"> Michael relied on her call handler to </w:t>
      </w:r>
      <w:proofErr w:type="spellStart"/>
      <w:r w:rsidR="004D0178" w:rsidRPr="004D0178">
        <w:rPr>
          <w:rFonts w:ascii="Times New Roman" w:hAnsi="Times New Roman" w:cs="Times New Roman"/>
          <w:sz w:val="24"/>
          <w:szCs w:val="24"/>
        </w:rPr>
        <w:t>utilise</w:t>
      </w:r>
      <w:proofErr w:type="spellEnd"/>
      <w:r w:rsidR="004D0178" w:rsidRPr="004D0178">
        <w:rPr>
          <w:rFonts w:ascii="Times New Roman" w:hAnsi="Times New Roman" w:cs="Times New Roman"/>
          <w:sz w:val="24"/>
          <w:szCs w:val="24"/>
        </w:rPr>
        <w:t xml:space="preserve"> </w:t>
      </w:r>
      <w:r w:rsidR="004D0178" w:rsidRPr="004D0178">
        <w:rPr>
          <w:rFonts w:ascii="Times New Roman" w:hAnsi="Times New Roman" w:cs="Times New Roman"/>
          <w:sz w:val="24"/>
          <w:szCs w:val="24"/>
        </w:rPr>
        <w:lastRenderedPageBreak/>
        <w:t>her skills of acting promptly and communicating all the relevant information in a forward direction, whereby the handler failed to do as was expected in terms of the level of her professional qualification and the required professional standards</w:t>
      </w:r>
      <w:r w:rsidR="004D0178">
        <w:rPr>
          <w:rFonts w:ascii="Times New Roman" w:hAnsi="Times New Roman" w:cs="Times New Roman"/>
          <w:sz w:val="24"/>
          <w:szCs w:val="24"/>
        </w:rPr>
        <w:t xml:space="preserve"> </w:t>
      </w:r>
      <w:r w:rsidR="003722DE">
        <w:rPr>
          <w:rFonts w:ascii="Times New Roman" w:hAnsi="Times New Roman" w:cs="Times New Roman"/>
          <w:sz w:val="24"/>
          <w:szCs w:val="24"/>
        </w:rPr>
        <w:t>(Tsang and Ng, 2022).</w:t>
      </w:r>
    </w:p>
    <w:p w14:paraId="3FC640F9" w14:textId="77777777" w:rsidR="004D0178" w:rsidRPr="004D0178" w:rsidRDefault="009F04BA" w:rsidP="004D017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According to </w:t>
      </w:r>
      <w:r w:rsidRPr="004D0178">
        <w:rPr>
          <w:rFonts w:ascii="Times New Roman" w:hAnsi="Times New Roman" w:cs="Times New Roman"/>
          <w:sz w:val="24"/>
          <w:szCs w:val="24"/>
        </w:rPr>
        <w:t>Tsang and Ng</w:t>
      </w:r>
      <w:r>
        <w:rPr>
          <w:rFonts w:ascii="Times New Roman" w:hAnsi="Times New Roman" w:cs="Times New Roman"/>
          <w:sz w:val="24"/>
          <w:szCs w:val="24"/>
        </w:rPr>
        <w:t xml:space="preserve"> (</w:t>
      </w:r>
      <w:r w:rsidRPr="004D0178">
        <w:rPr>
          <w:rFonts w:ascii="Times New Roman" w:hAnsi="Times New Roman" w:cs="Times New Roman"/>
          <w:sz w:val="24"/>
          <w:szCs w:val="24"/>
        </w:rPr>
        <w:t>2022)</w:t>
      </w:r>
      <w:r w:rsidR="004D0178" w:rsidRPr="004D0178">
        <w:rPr>
          <w:rFonts w:ascii="Times New Roman" w:hAnsi="Times New Roman" w:cs="Times New Roman"/>
          <w:sz w:val="24"/>
          <w:szCs w:val="24"/>
        </w:rPr>
        <w:t>, Lord Toulson stated that "there has sometimes been a tendency for courts to use the expression of 'assumption of responsibility when in truth the responsibility has been imposed by the court rather than assumed by D [the defendant]", whereby in the Michael case, her handler assumed responsibility by ensuring the message got rightly across but still failed to do it to an acceptable standard. In the official reports seen by the court, the handler wrote the word 'kill'. However, he denied having memory of this, making it clear that such information would have been well passed to the police in South Wales even if a level of certainty existed</w:t>
      </w:r>
      <w:r w:rsidR="004C54F2">
        <w:rPr>
          <w:rFonts w:ascii="Times New Roman" w:hAnsi="Times New Roman" w:cs="Times New Roman"/>
          <w:sz w:val="24"/>
          <w:szCs w:val="24"/>
        </w:rPr>
        <w:t xml:space="preserve"> </w:t>
      </w:r>
      <w:r w:rsidR="004C54F2" w:rsidRPr="004D0178">
        <w:rPr>
          <w:rFonts w:ascii="Times New Roman" w:hAnsi="Times New Roman" w:cs="Times New Roman"/>
          <w:sz w:val="24"/>
          <w:szCs w:val="24"/>
        </w:rPr>
        <w:t>(</w:t>
      </w:r>
      <w:proofErr w:type="spellStart"/>
      <w:r w:rsidR="004C54F2" w:rsidRPr="004D0178">
        <w:rPr>
          <w:rFonts w:ascii="Times New Roman" w:hAnsi="Times New Roman" w:cs="Times New Roman"/>
          <w:sz w:val="24"/>
          <w:szCs w:val="24"/>
        </w:rPr>
        <w:t>Satyan</w:t>
      </w:r>
      <w:proofErr w:type="spellEnd"/>
      <w:r w:rsidR="004C54F2" w:rsidRPr="004D0178">
        <w:rPr>
          <w:rFonts w:ascii="Times New Roman" w:hAnsi="Times New Roman" w:cs="Times New Roman"/>
          <w:sz w:val="24"/>
          <w:szCs w:val="24"/>
        </w:rPr>
        <w:t>, 2015)</w:t>
      </w:r>
      <w:r w:rsidR="004D0178" w:rsidRPr="004D0178">
        <w:rPr>
          <w:rFonts w:ascii="Times New Roman" w:hAnsi="Times New Roman" w:cs="Times New Roman"/>
          <w:sz w:val="24"/>
          <w:szCs w:val="24"/>
        </w:rPr>
        <w:t xml:space="preserve">. According to </w:t>
      </w:r>
      <w:proofErr w:type="spellStart"/>
      <w:r w:rsidR="004D0178" w:rsidRPr="004D0178">
        <w:rPr>
          <w:rFonts w:ascii="Times New Roman" w:hAnsi="Times New Roman" w:cs="Times New Roman"/>
          <w:sz w:val="24"/>
          <w:szCs w:val="24"/>
        </w:rPr>
        <w:t>Satyan</w:t>
      </w:r>
      <w:proofErr w:type="spellEnd"/>
      <w:r w:rsidR="004D0178" w:rsidRPr="004D0178">
        <w:rPr>
          <w:rFonts w:ascii="Times New Roman" w:hAnsi="Times New Roman" w:cs="Times New Roman"/>
          <w:sz w:val="24"/>
          <w:szCs w:val="24"/>
        </w:rPr>
        <w:t xml:space="preserve"> (2015), Lord Toulson stated further that "mere foreseeability was not enough" in the assumption of responsibility. However, he faile</w:t>
      </w:r>
      <w:r w:rsidR="003722DE">
        <w:rPr>
          <w:rFonts w:ascii="Times New Roman" w:hAnsi="Times New Roman" w:cs="Times New Roman"/>
          <w:sz w:val="24"/>
          <w:szCs w:val="24"/>
        </w:rPr>
        <w:t xml:space="preserve">d to address the various kinds </w:t>
      </w:r>
      <w:r w:rsidR="004D0178" w:rsidRPr="004D0178">
        <w:rPr>
          <w:rFonts w:ascii="Times New Roman" w:hAnsi="Times New Roman" w:cs="Times New Roman"/>
          <w:sz w:val="24"/>
          <w:szCs w:val="24"/>
        </w:rPr>
        <w:t>of the proximity existing between all the involved parties</w:t>
      </w:r>
      <w:r w:rsidR="003722DE">
        <w:rPr>
          <w:rFonts w:ascii="Times New Roman" w:hAnsi="Times New Roman" w:cs="Times New Roman"/>
          <w:sz w:val="24"/>
          <w:szCs w:val="24"/>
        </w:rPr>
        <w:t xml:space="preserve"> (if any)</w:t>
      </w:r>
      <w:r w:rsidR="004D0178" w:rsidRPr="004D0178">
        <w:rPr>
          <w:rFonts w:ascii="Times New Roman" w:hAnsi="Times New Roman" w:cs="Times New Roman"/>
          <w:sz w:val="24"/>
          <w:szCs w:val="24"/>
        </w:rPr>
        <w:t>. Under the duty of care related to the three stages, the case had many elements of proximity. It foresaw ability through the assumption of responsibility. However, there was fairness, justice and reasonability in imposing the duty of care for policy considerations. The court decided not to uphold these elements since it could result in "an unduly defensive attitude" by the administrative powers (</w:t>
      </w:r>
      <w:proofErr w:type="spellStart"/>
      <w:r w:rsidR="004D0178" w:rsidRPr="004D0178">
        <w:rPr>
          <w:rFonts w:ascii="Times New Roman" w:hAnsi="Times New Roman" w:cs="Times New Roman"/>
          <w:sz w:val="24"/>
          <w:szCs w:val="24"/>
        </w:rPr>
        <w:t>Satyan</w:t>
      </w:r>
      <w:proofErr w:type="spellEnd"/>
      <w:r w:rsidR="004D0178" w:rsidRPr="004D0178">
        <w:rPr>
          <w:rFonts w:ascii="Times New Roman" w:hAnsi="Times New Roman" w:cs="Times New Roman"/>
          <w:sz w:val="24"/>
          <w:szCs w:val="24"/>
        </w:rPr>
        <w:t xml:space="preserve">, 2015). According to </w:t>
      </w:r>
      <w:proofErr w:type="spellStart"/>
      <w:r w:rsidR="004D0178" w:rsidRPr="004D0178">
        <w:rPr>
          <w:rFonts w:ascii="Times New Roman" w:hAnsi="Times New Roman" w:cs="Times New Roman"/>
          <w:sz w:val="24"/>
          <w:szCs w:val="24"/>
        </w:rPr>
        <w:t>Satyan</w:t>
      </w:r>
      <w:proofErr w:type="spellEnd"/>
      <w:r w:rsidR="004D0178" w:rsidRPr="004D0178">
        <w:rPr>
          <w:rFonts w:ascii="Times New Roman" w:hAnsi="Times New Roman" w:cs="Times New Roman"/>
          <w:sz w:val="24"/>
          <w:szCs w:val="24"/>
        </w:rPr>
        <w:t xml:space="preserve"> (2015), the public would not consider it as either "fair, just or reasonable" because the authorities are meant to protect the public, more so in times of emergency. </w:t>
      </w:r>
    </w:p>
    <w:p w14:paraId="33B7602F" w14:textId="77777777" w:rsidR="004D0178" w:rsidRPr="004D0178" w:rsidRDefault="003722DE" w:rsidP="00FB4F45">
      <w:pPr>
        <w:spacing w:line="480" w:lineRule="auto"/>
        <w:contextualSpacing/>
        <w:jc w:val="center"/>
        <w:rPr>
          <w:rFonts w:ascii="Times New Roman" w:hAnsi="Times New Roman" w:cs="Times New Roman"/>
          <w:b/>
          <w:sz w:val="24"/>
          <w:szCs w:val="24"/>
        </w:rPr>
      </w:pPr>
      <w:r>
        <w:rPr>
          <w:rFonts w:ascii="Times New Roman" w:hAnsi="Times New Roman" w:cs="Times New Roman"/>
          <w:b/>
          <w:sz w:val="24"/>
          <w:szCs w:val="24"/>
        </w:rPr>
        <w:t>Court's Willingness to D</w:t>
      </w:r>
      <w:r w:rsidR="004D0178" w:rsidRPr="004D0178">
        <w:rPr>
          <w:rFonts w:ascii="Times New Roman" w:hAnsi="Times New Roman" w:cs="Times New Roman"/>
          <w:b/>
          <w:sz w:val="24"/>
          <w:szCs w:val="24"/>
        </w:rPr>
        <w:t xml:space="preserve">evelop </w:t>
      </w:r>
      <w:r>
        <w:rPr>
          <w:rFonts w:ascii="Times New Roman" w:hAnsi="Times New Roman" w:cs="Times New Roman"/>
          <w:b/>
          <w:sz w:val="24"/>
          <w:szCs w:val="24"/>
        </w:rPr>
        <w:t>Duty of Care in an Incremental M</w:t>
      </w:r>
      <w:r w:rsidR="004D0178" w:rsidRPr="004D0178">
        <w:rPr>
          <w:rFonts w:ascii="Times New Roman" w:hAnsi="Times New Roman" w:cs="Times New Roman"/>
          <w:b/>
          <w:sz w:val="24"/>
          <w:szCs w:val="24"/>
        </w:rPr>
        <w:t>anner</w:t>
      </w:r>
    </w:p>
    <w:p w14:paraId="1CF1A8BE" w14:textId="77777777" w:rsidR="004D0178" w:rsidRPr="004D0178"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Although the court's majority of the Lordship was in agreement with Toulson, both Lady Hale and Lord Kerr took their stand, which indicated that the Supreme Court was not willing to </w:t>
      </w:r>
      <w:r w:rsidRPr="004D0178">
        <w:rPr>
          <w:rFonts w:ascii="Times New Roman" w:hAnsi="Times New Roman" w:cs="Times New Roman"/>
          <w:sz w:val="24"/>
          <w:szCs w:val="24"/>
        </w:rPr>
        <w:lastRenderedPageBreak/>
        <w:t xml:space="preserve">break up the Caparo test and was geared towards incrementally developing the duty of care. According to Arnell (2018), after </w:t>
      </w:r>
      <w:proofErr w:type="spellStart"/>
      <w:r w:rsidRPr="004D0178">
        <w:rPr>
          <w:rFonts w:ascii="Times New Roman" w:hAnsi="Times New Roman" w:cs="Times New Roman"/>
          <w:sz w:val="24"/>
          <w:szCs w:val="24"/>
        </w:rPr>
        <w:t>analysing</w:t>
      </w:r>
      <w:proofErr w:type="spellEnd"/>
      <w:r w:rsidRPr="004D0178">
        <w:rPr>
          <w:rFonts w:ascii="Times New Roman" w:hAnsi="Times New Roman" w:cs="Times New Roman"/>
          <w:sz w:val="24"/>
          <w:szCs w:val="24"/>
        </w:rPr>
        <w:t xml:space="preserve"> the case of </w:t>
      </w:r>
      <w:r w:rsidR="003722DE" w:rsidRPr="003722DE">
        <w:rPr>
          <w:rFonts w:ascii="Times New Roman" w:hAnsi="Times New Roman" w:cs="Times New Roman"/>
          <w:i/>
          <w:sz w:val="24"/>
          <w:szCs w:val="24"/>
        </w:rPr>
        <w:t>Hill v Chief Constable of West Yorkshire [1987]</w:t>
      </w:r>
      <w:r w:rsidR="003722DE">
        <w:rPr>
          <w:rFonts w:ascii="Times New Roman" w:hAnsi="Times New Roman" w:cs="Times New Roman"/>
          <w:i/>
          <w:sz w:val="24"/>
          <w:szCs w:val="24"/>
        </w:rPr>
        <w:t xml:space="preserve">, </w:t>
      </w:r>
      <w:r w:rsidRPr="004D0178">
        <w:rPr>
          <w:rFonts w:ascii="Times New Roman" w:hAnsi="Times New Roman" w:cs="Times New Roman"/>
          <w:sz w:val="24"/>
          <w:szCs w:val="24"/>
        </w:rPr>
        <w:t xml:space="preserve">Lord Kerr compared it to that of </w:t>
      </w:r>
      <w:r w:rsidR="003722DE" w:rsidRPr="003722DE">
        <w:rPr>
          <w:rFonts w:ascii="Times New Roman" w:hAnsi="Times New Roman" w:cs="Times New Roman"/>
          <w:i/>
          <w:sz w:val="24"/>
          <w:szCs w:val="24"/>
        </w:rPr>
        <w:t>Home Office v Dorset Yacht Co Ltd [1970]</w:t>
      </w:r>
      <w:r w:rsidRPr="003722DE">
        <w:rPr>
          <w:rFonts w:ascii="Times New Roman" w:hAnsi="Times New Roman" w:cs="Times New Roman"/>
          <w:i/>
          <w:sz w:val="24"/>
          <w:szCs w:val="24"/>
        </w:rPr>
        <w:t>.</w:t>
      </w:r>
      <w:r w:rsidRPr="004D0178">
        <w:rPr>
          <w:rFonts w:ascii="Times New Roman" w:hAnsi="Times New Roman" w:cs="Times New Roman"/>
          <w:sz w:val="24"/>
          <w:szCs w:val="24"/>
        </w:rPr>
        <w:t xml:space="preserve"> He suggested an additional ingredient required to determine the "sufficiency of the proximity of a relationship", which carries from one case to another. According to Lord Kerr, "Proximity of relationship" would remain undefined, although it could still consist of certain elements like association closeness, an indication that serious harm could be more likely, a statement that Lady Hale a</w:t>
      </w:r>
      <w:r w:rsidR="003722DE">
        <w:rPr>
          <w:rFonts w:ascii="Times New Roman" w:hAnsi="Times New Roman" w:cs="Times New Roman"/>
          <w:sz w:val="24"/>
          <w:szCs w:val="24"/>
        </w:rPr>
        <w:t>greed to</w:t>
      </w:r>
      <w:r w:rsidRPr="004D0178">
        <w:rPr>
          <w:rFonts w:ascii="Times New Roman" w:hAnsi="Times New Roman" w:cs="Times New Roman"/>
          <w:sz w:val="24"/>
          <w:szCs w:val="24"/>
        </w:rPr>
        <w:t xml:space="preserve">, and that the defendant is an individual whose protection is expected to </w:t>
      </w:r>
      <w:r w:rsidR="003722DE">
        <w:rPr>
          <w:rFonts w:ascii="Times New Roman" w:hAnsi="Times New Roman" w:cs="Times New Roman"/>
          <w:sz w:val="24"/>
          <w:szCs w:val="24"/>
        </w:rPr>
        <w:t>bring forth (</w:t>
      </w:r>
      <w:proofErr w:type="spellStart"/>
      <w:r w:rsidR="003722DE">
        <w:rPr>
          <w:rFonts w:ascii="Times New Roman" w:hAnsi="Times New Roman" w:cs="Times New Roman"/>
          <w:sz w:val="24"/>
          <w:szCs w:val="24"/>
        </w:rPr>
        <w:t>Sahri</w:t>
      </w:r>
      <w:proofErr w:type="spellEnd"/>
      <w:r w:rsidR="003722DE">
        <w:rPr>
          <w:rFonts w:ascii="Times New Roman" w:hAnsi="Times New Roman" w:cs="Times New Roman"/>
          <w:sz w:val="24"/>
          <w:szCs w:val="24"/>
        </w:rPr>
        <w:t>, 2018</w:t>
      </w:r>
      <w:r w:rsidRPr="004D0178">
        <w:rPr>
          <w:rFonts w:ascii="Times New Roman" w:hAnsi="Times New Roman" w:cs="Times New Roman"/>
          <w:sz w:val="24"/>
          <w:szCs w:val="24"/>
        </w:rPr>
        <w:t xml:space="preserve">). Lastly, he held the opinion that the claimant's protection should not at any point render the defendant </w:t>
      </w:r>
      <w:proofErr w:type="spellStart"/>
      <w:r w:rsidRPr="004D0178">
        <w:rPr>
          <w:rFonts w:ascii="Times New Roman" w:hAnsi="Times New Roman" w:cs="Times New Roman"/>
          <w:sz w:val="24"/>
          <w:szCs w:val="24"/>
        </w:rPr>
        <w:t>defenceless</w:t>
      </w:r>
      <w:proofErr w:type="spellEnd"/>
      <w:r w:rsidRPr="004D0178">
        <w:rPr>
          <w:rFonts w:ascii="Times New Roman" w:hAnsi="Times New Roman" w:cs="Times New Roman"/>
          <w:sz w:val="24"/>
          <w:szCs w:val="24"/>
        </w:rPr>
        <w:t xml:space="preserve"> or still put the defendant in some danger. He claimed that all the elements had been fulfilled </w:t>
      </w:r>
      <w:r w:rsidR="003722DE">
        <w:rPr>
          <w:rFonts w:ascii="Times New Roman" w:hAnsi="Times New Roman" w:cs="Times New Roman"/>
          <w:sz w:val="24"/>
          <w:szCs w:val="24"/>
        </w:rPr>
        <w:t>in</w:t>
      </w:r>
      <w:r w:rsidRPr="004D0178">
        <w:rPr>
          <w:rFonts w:ascii="Times New Roman" w:hAnsi="Times New Roman" w:cs="Times New Roman"/>
          <w:sz w:val="24"/>
          <w:szCs w:val="24"/>
        </w:rPr>
        <w:t xml:space="preserve"> the case of Michael. Lord Kerr still addressed the factors of foreseeability by stating that "proximity may add to t</w:t>
      </w:r>
      <w:r w:rsidR="00901595">
        <w:rPr>
          <w:rFonts w:ascii="Times New Roman" w:hAnsi="Times New Roman" w:cs="Times New Roman"/>
          <w:sz w:val="24"/>
          <w:szCs w:val="24"/>
        </w:rPr>
        <w:t>he concept of foreseeability" (</w:t>
      </w:r>
      <w:proofErr w:type="spellStart"/>
      <w:r w:rsidR="00901595">
        <w:rPr>
          <w:rFonts w:ascii="Times New Roman" w:hAnsi="Times New Roman" w:cs="Times New Roman"/>
          <w:sz w:val="24"/>
          <w:szCs w:val="24"/>
        </w:rPr>
        <w:t>Sahri</w:t>
      </w:r>
      <w:proofErr w:type="spellEnd"/>
      <w:r w:rsidR="00901595">
        <w:rPr>
          <w:rFonts w:ascii="Times New Roman" w:hAnsi="Times New Roman" w:cs="Times New Roman"/>
          <w:sz w:val="24"/>
          <w:szCs w:val="24"/>
        </w:rPr>
        <w:t xml:space="preserve"> 2018</w:t>
      </w:r>
      <w:r w:rsidR="0065525B" w:rsidRPr="004D0178">
        <w:rPr>
          <w:rFonts w:ascii="Times New Roman" w:hAnsi="Times New Roman" w:cs="Times New Roman"/>
          <w:sz w:val="24"/>
          <w:szCs w:val="24"/>
        </w:rPr>
        <w:t>)</w:t>
      </w:r>
      <w:r w:rsidRPr="004D0178">
        <w:rPr>
          <w:rFonts w:ascii="Times New Roman" w:hAnsi="Times New Roman" w:cs="Times New Roman"/>
          <w:sz w:val="24"/>
          <w:szCs w:val="24"/>
        </w:rPr>
        <w:t>. During that case, Richardson attempted to "balance the moral claims of the plaintiff in order to compensate for the reason of avoidable harm, including the defendant's moral claim that ought to be guarded or be protected from all chances of being subjected to undue burdens of undergoin</w:t>
      </w:r>
      <w:r w:rsidR="003722DE">
        <w:rPr>
          <w:rFonts w:ascii="Times New Roman" w:hAnsi="Times New Roman" w:cs="Times New Roman"/>
          <w:sz w:val="24"/>
          <w:szCs w:val="24"/>
        </w:rPr>
        <w:t>g a legal responsibility", and this</w:t>
      </w:r>
      <w:r w:rsidRPr="004D0178">
        <w:rPr>
          <w:rFonts w:ascii="Times New Roman" w:hAnsi="Times New Roman" w:cs="Times New Roman"/>
          <w:sz w:val="24"/>
          <w:szCs w:val="24"/>
        </w:rPr>
        <w:t xml:space="preserve"> was what Lord Kerr attempted to do regarding the new test that was suggested</w:t>
      </w:r>
      <w:r w:rsidR="0065525B">
        <w:rPr>
          <w:rFonts w:ascii="Times New Roman" w:hAnsi="Times New Roman" w:cs="Times New Roman"/>
          <w:sz w:val="24"/>
          <w:szCs w:val="24"/>
        </w:rPr>
        <w:t xml:space="preserve"> </w:t>
      </w:r>
      <w:r w:rsidR="0065525B" w:rsidRPr="004D0178">
        <w:rPr>
          <w:rFonts w:ascii="Times New Roman" w:hAnsi="Times New Roman" w:cs="Times New Roman"/>
          <w:sz w:val="24"/>
          <w:szCs w:val="24"/>
        </w:rPr>
        <w:t>(</w:t>
      </w:r>
      <w:proofErr w:type="spellStart"/>
      <w:r w:rsidR="0065525B" w:rsidRPr="004D0178">
        <w:rPr>
          <w:rFonts w:ascii="Times New Roman" w:hAnsi="Times New Roman" w:cs="Times New Roman"/>
          <w:sz w:val="24"/>
          <w:szCs w:val="24"/>
        </w:rPr>
        <w:t>Sahri</w:t>
      </w:r>
      <w:proofErr w:type="spellEnd"/>
      <w:r w:rsidR="0065525B" w:rsidRPr="004D0178">
        <w:rPr>
          <w:rFonts w:ascii="Times New Roman" w:hAnsi="Times New Roman" w:cs="Times New Roman"/>
          <w:sz w:val="24"/>
          <w:szCs w:val="24"/>
        </w:rPr>
        <w:t>, 2018, p. 112)</w:t>
      </w:r>
      <w:r w:rsidRPr="004D0178">
        <w:rPr>
          <w:rFonts w:ascii="Times New Roman" w:hAnsi="Times New Roman" w:cs="Times New Roman"/>
          <w:sz w:val="24"/>
          <w:szCs w:val="24"/>
        </w:rPr>
        <w:t>.</w:t>
      </w:r>
    </w:p>
    <w:p w14:paraId="7DE3474D" w14:textId="77777777" w:rsidR="003722DE"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Additionally, by looking at all the outcomes of the case of </w:t>
      </w:r>
      <w:r w:rsidRPr="00661B27">
        <w:rPr>
          <w:rFonts w:ascii="Times New Roman" w:hAnsi="Times New Roman" w:cs="Times New Roman"/>
          <w:i/>
          <w:sz w:val="24"/>
          <w:szCs w:val="24"/>
        </w:rPr>
        <w:t xml:space="preserve">Brooks v Commissioner of Police of the Metropolis </w:t>
      </w:r>
      <w:r w:rsidRPr="003722DE">
        <w:rPr>
          <w:rFonts w:ascii="Times New Roman" w:hAnsi="Times New Roman" w:cs="Times New Roman"/>
          <w:i/>
          <w:sz w:val="24"/>
          <w:szCs w:val="24"/>
        </w:rPr>
        <w:t>Ltd,</w:t>
      </w:r>
      <w:r w:rsidR="003722DE" w:rsidRPr="003722DE">
        <w:rPr>
          <w:i/>
        </w:rPr>
        <w:t xml:space="preserve"> </w:t>
      </w:r>
      <w:r w:rsidR="003722DE" w:rsidRPr="003722DE">
        <w:rPr>
          <w:rFonts w:ascii="Times New Roman" w:hAnsi="Times New Roman" w:cs="Times New Roman"/>
          <w:i/>
          <w:sz w:val="24"/>
          <w:szCs w:val="24"/>
        </w:rPr>
        <w:t>[2005]</w:t>
      </w:r>
      <w:r w:rsidR="003722DE">
        <w:rPr>
          <w:rFonts w:ascii="Times New Roman" w:hAnsi="Times New Roman" w:cs="Times New Roman"/>
          <w:sz w:val="24"/>
          <w:szCs w:val="24"/>
        </w:rPr>
        <w:t xml:space="preserve">, </w:t>
      </w:r>
      <w:r w:rsidRPr="004D0178">
        <w:rPr>
          <w:rFonts w:ascii="Times New Roman" w:hAnsi="Times New Roman" w:cs="Times New Roman"/>
          <w:sz w:val="24"/>
          <w:szCs w:val="24"/>
        </w:rPr>
        <w:t>Lord Kerr portrayed his opinion in such a way that he did not "consider it particularly relevant whether the police should not be held liable because actions in negligence against them require to go further than conventional negligence claims or because they are immune from liability by dint of their status"</w:t>
      </w:r>
      <w:r w:rsidR="0065525B" w:rsidRPr="004D0178">
        <w:rPr>
          <w:rFonts w:ascii="Times New Roman" w:hAnsi="Times New Roman" w:cs="Times New Roman"/>
          <w:sz w:val="24"/>
          <w:szCs w:val="24"/>
        </w:rPr>
        <w:t>(</w:t>
      </w:r>
      <w:proofErr w:type="spellStart"/>
      <w:r w:rsidR="0065525B" w:rsidRPr="004D0178">
        <w:rPr>
          <w:rFonts w:ascii="Times New Roman" w:hAnsi="Times New Roman" w:cs="Times New Roman"/>
          <w:sz w:val="24"/>
          <w:szCs w:val="24"/>
        </w:rPr>
        <w:t>Sahri</w:t>
      </w:r>
      <w:proofErr w:type="spellEnd"/>
      <w:r w:rsidR="0065525B" w:rsidRPr="004D0178">
        <w:rPr>
          <w:rFonts w:ascii="Times New Roman" w:hAnsi="Times New Roman" w:cs="Times New Roman"/>
          <w:sz w:val="24"/>
          <w:szCs w:val="24"/>
        </w:rPr>
        <w:t>, 2018, p. 112)</w:t>
      </w:r>
      <w:r w:rsidRPr="004D0178">
        <w:rPr>
          <w:rFonts w:ascii="Times New Roman" w:hAnsi="Times New Roman" w:cs="Times New Roman"/>
          <w:sz w:val="24"/>
          <w:szCs w:val="24"/>
        </w:rPr>
        <w:t xml:space="preserve">. These statements by Lord Kerr indicate that he was unwilling to break Caparo's test and was looking at the Brooks v </w:t>
      </w:r>
      <w:r w:rsidRPr="004D0178">
        <w:rPr>
          <w:rFonts w:ascii="Times New Roman" w:hAnsi="Times New Roman" w:cs="Times New Roman"/>
          <w:sz w:val="24"/>
          <w:szCs w:val="24"/>
        </w:rPr>
        <w:lastRenderedPageBreak/>
        <w:t xml:space="preserve">Commissioner of Police of the Metropolis case from a public point of view through disagreeing with some elements of the blanket immunity concept, such as Lady Hale. </w:t>
      </w:r>
    </w:p>
    <w:p w14:paraId="133363B7" w14:textId="77777777" w:rsidR="004D0178" w:rsidRPr="004D0178" w:rsidRDefault="004D0178" w:rsidP="004D0178">
      <w:pPr>
        <w:spacing w:line="480" w:lineRule="auto"/>
        <w:ind w:firstLine="720"/>
        <w:contextualSpacing/>
        <w:rPr>
          <w:rFonts w:ascii="Times New Roman" w:hAnsi="Times New Roman" w:cs="Times New Roman"/>
          <w:sz w:val="24"/>
          <w:szCs w:val="24"/>
        </w:rPr>
      </w:pPr>
      <w:r w:rsidRPr="004D0178">
        <w:rPr>
          <w:rFonts w:ascii="Times New Roman" w:hAnsi="Times New Roman" w:cs="Times New Roman"/>
          <w:sz w:val="24"/>
          <w:szCs w:val="24"/>
        </w:rPr>
        <w:t xml:space="preserve">On the other hand, Lady Hale </w:t>
      </w:r>
      <w:proofErr w:type="spellStart"/>
      <w:r w:rsidRPr="004D0178">
        <w:rPr>
          <w:rFonts w:ascii="Times New Roman" w:hAnsi="Times New Roman" w:cs="Times New Roman"/>
          <w:sz w:val="24"/>
          <w:szCs w:val="24"/>
        </w:rPr>
        <w:t>analysed</w:t>
      </w:r>
      <w:proofErr w:type="spellEnd"/>
      <w:r w:rsidRPr="004D0178">
        <w:rPr>
          <w:rFonts w:ascii="Times New Roman" w:hAnsi="Times New Roman" w:cs="Times New Roman"/>
          <w:sz w:val="24"/>
          <w:szCs w:val="24"/>
        </w:rPr>
        <w:t xml:space="preserve"> the </w:t>
      </w:r>
      <w:r w:rsidR="003722DE" w:rsidRPr="003722DE">
        <w:rPr>
          <w:rFonts w:ascii="Times New Roman" w:hAnsi="Times New Roman" w:cs="Times New Roman"/>
          <w:i/>
          <w:sz w:val="24"/>
          <w:szCs w:val="24"/>
        </w:rPr>
        <w:t xml:space="preserve">Stovin v Wise [1996] </w:t>
      </w:r>
      <w:r w:rsidRPr="004D0178">
        <w:rPr>
          <w:rFonts w:ascii="Times New Roman" w:hAnsi="Times New Roman" w:cs="Times New Roman"/>
          <w:sz w:val="24"/>
          <w:szCs w:val="24"/>
        </w:rPr>
        <w:t xml:space="preserve">case and that of </w:t>
      </w:r>
      <w:r w:rsidRPr="00661B27">
        <w:rPr>
          <w:rFonts w:ascii="Times New Roman" w:hAnsi="Times New Roman" w:cs="Times New Roman"/>
          <w:i/>
          <w:sz w:val="24"/>
          <w:szCs w:val="24"/>
        </w:rPr>
        <w:t xml:space="preserve">Gorringe v </w:t>
      </w:r>
      <w:proofErr w:type="spellStart"/>
      <w:r w:rsidRPr="00661B27">
        <w:rPr>
          <w:rFonts w:ascii="Times New Roman" w:hAnsi="Times New Roman" w:cs="Times New Roman"/>
          <w:i/>
          <w:sz w:val="24"/>
          <w:szCs w:val="24"/>
        </w:rPr>
        <w:t>Calderdale</w:t>
      </w:r>
      <w:proofErr w:type="spellEnd"/>
      <w:r w:rsidRPr="00661B27">
        <w:rPr>
          <w:rFonts w:ascii="Times New Roman" w:hAnsi="Times New Roman" w:cs="Times New Roman"/>
          <w:i/>
          <w:sz w:val="24"/>
          <w:szCs w:val="24"/>
        </w:rPr>
        <w:t xml:space="preserve"> Metropolitan Borough Council</w:t>
      </w:r>
      <w:r w:rsidR="003722DE">
        <w:rPr>
          <w:rFonts w:ascii="Times New Roman" w:hAnsi="Times New Roman" w:cs="Times New Roman"/>
          <w:i/>
          <w:sz w:val="24"/>
          <w:szCs w:val="24"/>
        </w:rPr>
        <w:t xml:space="preserve"> [2004]</w:t>
      </w:r>
      <w:r w:rsidRPr="004D0178">
        <w:rPr>
          <w:rFonts w:ascii="Times New Roman" w:hAnsi="Times New Roman" w:cs="Times New Roman"/>
          <w:sz w:val="24"/>
          <w:szCs w:val="24"/>
        </w:rPr>
        <w:t xml:space="preserve">, which she intended to show the evidence regarding the fact that public administrative authorities did not owe the public the </w:t>
      </w:r>
      <w:r w:rsidR="003722DE">
        <w:rPr>
          <w:rFonts w:ascii="Times New Roman" w:hAnsi="Times New Roman" w:cs="Times New Roman"/>
          <w:sz w:val="24"/>
          <w:szCs w:val="24"/>
        </w:rPr>
        <w:t xml:space="preserve">duty </w:t>
      </w:r>
      <w:r w:rsidRPr="004D0178">
        <w:rPr>
          <w:rFonts w:ascii="Times New Roman" w:hAnsi="Times New Roman" w:cs="Times New Roman"/>
          <w:sz w:val="24"/>
          <w:szCs w:val="24"/>
        </w:rPr>
        <w:t xml:space="preserve">of </w:t>
      </w:r>
      <w:r w:rsidR="003722DE">
        <w:rPr>
          <w:rFonts w:ascii="Times New Roman" w:hAnsi="Times New Roman" w:cs="Times New Roman"/>
          <w:sz w:val="24"/>
          <w:szCs w:val="24"/>
        </w:rPr>
        <w:t xml:space="preserve">care </w:t>
      </w:r>
      <w:r w:rsidRPr="004D0178">
        <w:rPr>
          <w:rFonts w:ascii="Times New Roman" w:hAnsi="Times New Roman" w:cs="Times New Roman"/>
          <w:sz w:val="24"/>
          <w:szCs w:val="24"/>
        </w:rPr>
        <w:t>regarding the tort of negligence towards those individuals who may suffer harm if they fail in the performance of their duties, whereby Lady Hale believed that such an opinion was not correct. Since the cargo test was established, courts across the United Kingdom are beginning to exhibit unwillingness toward placing liabilities on the authorities</w:t>
      </w:r>
      <w:r w:rsidR="003722DE">
        <w:rPr>
          <w:rFonts w:ascii="Times New Roman" w:hAnsi="Times New Roman" w:cs="Times New Roman"/>
          <w:sz w:val="24"/>
          <w:szCs w:val="24"/>
        </w:rPr>
        <w:t xml:space="preserve"> (</w:t>
      </w:r>
      <w:proofErr w:type="spellStart"/>
      <w:r w:rsidR="003722DE">
        <w:rPr>
          <w:rFonts w:ascii="Times New Roman" w:hAnsi="Times New Roman" w:cs="Times New Roman"/>
          <w:sz w:val="24"/>
          <w:szCs w:val="24"/>
        </w:rPr>
        <w:t>Sahri</w:t>
      </w:r>
      <w:proofErr w:type="spellEnd"/>
      <w:r w:rsidR="003722DE">
        <w:rPr>
          <w:rFonts w:ascii="Times New Roman" w:hAnsi="Times New Roman" w:cs="Times New Roman"/>
          <w:sz w:val="24"/>
          <w:szCs w:val="24"/>
        </w:rPr>
        <w:t xml:space="preserve"> 2018</w:t>
      </w:r>
      <w:r w:rsidR="00BA4CC0" w:rsidRPr="004D0178">
        <w:rPr>
          <w:rFonts w:ascii="Times New Roman" w:hAnsi="Times New Roman" w:cs="Times New Roman"/>
          <w:sz w:val="24"/>
          <w:szCs w:val="24"/>
        </w:rPr>
        <w:t>)</w:t>
      </w:r>
      <w:r w:rsidRPr="004D0178">
        <w:rPr>
          <w:rFonts w:ascii="Times New Roman" w:hAnsi="Times New Roman" w:cs="Times New Roman"/>
          <w:sz w:val="24"/>
          <w:szCs w:val="24"/>
        </w:rPr>
        <w:t xml:space="preserve">. Although prior to the establishment of a duty of care, all the public authorities did owe some duty of care, as established in the case between </w:t>
      </w:r>
      <w:proofErr w:type="spellStart"/>
      <w:r w:rsidRPr="00661B27">
        <w:rPr>
          <w:rFonts w:ascii="Times New Roman" w:hAnsi="Times New Roman" w:cs="Times New Roman"/>
          <w:i/>
          <w:sz w:val="24"/>
          <w:szCs w:val="24"/>
        </w:rPr>
        <w:t>Glamorgan</w:t>
      </w:r>
      <w:proofErr w:type="spellEnd"/>
      <w:r w:rsidRPr="00661B27">
        <w:rPr>
          <w:rFonts w:ascii="Times New Roman" w:hAnsi="Times New Roman" w:cs="Times New Roman"/>
          <w:i/>
          <w:sz w:val="24"/>
          <w:szCs w:val="24"/>
        </w:rPr>
        <w:t xml:space="preserve"> Coal Co Ltd v Glamorganshire Standing Joint </w:t>
      </w:r>
      <w:r w:rsidRPr="003722DE">
        <w:rPr>
          <w:rFonts w:ascii="Times New Roman" w:hAnsi="Times New Roman" w:cs="Times New Roman"/>
          <w:i/>
          <w:sz w:val="24"/>
          <w:szCs w:val="24"/>
        </w:rPr>
        <w:t xml:space="preserve">Committee </w:t>
      </w:r>
      <w:r w:rsidR="003722DE" w:rsidRPr="003722DE">
        <w:rPr>
          <w:rFonts w:ascii="Times New Roman" w:hAnsi="Times New Roman" w:cs="Times New Roman"/>
          <w:i/>
          <w:sz w:val="24"/>
          <w:szCs w:val="24"/>
        </w:rPr>
        <w:t>[1916]</w:t>
      </w:r>
      <w:r w:rsidR="003722DE" w:rsidRPr="003722DE">
        <w:rPr>
          <w:rFonts w:ascii="Times New Roman" w:hAnsi="Times New Roman" w:cs="Times New Roman"/>
          <w:sz w:val="24"/>
          <w:szCs w:val="24"/>
        </w:rPr>
        <w:t xml:space="preserve"> </w:t>
      </w:r>
      <w:r w:rsidRPr="004D0178">
        <w:rPr>
          <w:rFonts w:ascii="Times New Roman" w:hAnsi="Times New Roman" w:cs="Times New Roman"/>
          <w:sz w:val="24"/>
          <w:szCs w:val="24"/>
        </w:rPr>
        <w:t xml:space="preserve">(Ashley, 2018). Lady Hale then believed that laws should have an incremental development through analogy with all the existing categories related to negligence. </w:t>
      </w:r>
    </w:p>
    <w:p w14:paraId="35851802" w14:textId="77777777" w:rsidR="004D0178" w:rsidRPr="004D0178" w:rsidRDefault="004D0178" w:rsidP="00FB4F45">
      <w:pPr>
        <w:spacing w:line="480" w:lineRule="auto"/>
        <w:contextualSpacing/>
        <w:jc w:val="center"/>
        <w:rPr>
          <w:rFonts w:ascii="Times New Roman" w:hAnsi="Times New Roman" w:cs="Times New Roman"/>
          <w:b/>
          <w:sz w:val="24"/>
          <w:szCs w:val="24"/>
        </w:rPr>
      </w:pPr>
      <w:r w:rsidRPr="004D0178">
        <w:rPr>
          <w:rFonts w:ascii="Times New Roman" w:hAnsi="Times New Roman" w:cs="Times New Roman"/>
          <w:b/>
          <w:sz w:val="24"/>
          <w:szCs w:val="24"/>
        </w:rPr>
        <w:t>The Incre</w:t>
      </w:r>
      <w:r w:rsidR="00776A02">
        <w:rPr>
          <w:rFonts w:ascii="Times New Roman" w:hAnsi="Times New Roman" w:cs="Times New Roman"/>
          <w:b/>
          <w:sz w:val="24"/>
          <w:szCs w:val="24"/>
        </w:rPr>
        <w:t>mental Approach Adopted by the C</w:t>
      </w:r>
      <w:r w:rsidRPr="004D0178">
        <w:rPr>
          <w:rFonts w:ascii="Times New Roman" w:hAnsi="Times New Roman" w:cs="Times New Roman"/>
          <w:b/>
          <w:sz w:val="24"/>
          <w:szCs w:val="24"/>
        </w:rPr>
        <w:t>ourt</w:t>
      </w:r>
    </w:p>
    <w:p w14:paraId="4DF6C4DD" w14:textId="77777777" w:rsidR="004D0178" w:rsidRPr="004D0178" w:rsidRDefault="007C7F28" w:rsidP="004D017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Pr="004D0178">
        <w:rPr>
          <w:rFonts w:ascii="Times New Roman" w:hAnsi="Times New Roman" w:cs="Times New Roman"/>
          <w:sz w:val="24"/>
          <w:szCs w:val="24"/>
        </w:rPr>
        <w:t>Allars</w:t>
      </w:r>
      <w:proofErr w:type="spellEnd"/>
      <w:r>
        <w:rPr>
          <w:rFonts w:ascii="Times New Roman" w:hAnsi="Times New Roman" w:cs="Times New Roman"/>
          <w:sz w:val="24"/>
          <w:szCs w:val="24"/>
        </w:rPr>
        <w:t xml:space="preserve"> (</w:t>
      </w:r>
      <w:r w:rsidRPr="004D0178">
        <w:rPr>
          <w:rFonts w:ascii="Times New Roman" w:hAnsi="Times New Roman" w:cs="Times New Roman"/>
          <w:sz w:val="24"/>
          <w:szCs w:val="24"/>
        </w:rPr>
        <w:t>2020)</w:t>
      </w:r>
      <w:r>
        <w:rPr>
          <w:rFonts w:ascii="Times New Roman" w:hAnsi="Times New Roman" w:cs="Times New Roman"/>
          <w:sz w:val="24"/>
          <w:szCs w:val="24"/>
        </w:rPr>
        <w:t>, i</w:t>
      </w:r>
      <w:r w:rsidR="004D0178" w:rsidRPr="004D0178">
        <w:rPr>
          <w:rFonts w:ascii="Times New Roman" w:hAnsi="Times New Roman" w:cs="Times New Roman"/>
          <w:sz w:val="24"/>
          <w:szCs w:val="24"/>
        </w:rPr>
        <w:t xml:space="preserve">n the process to rebut all the criticisms that the three-stage test would face, Lord Bridge made a proposal that the house of the Lords should not or ever have the intention of setting tests that could provide relatively concrete answers regarding future cases, such that the law has to </w:t>
      </w:r>
      <w:proofErr w:type="spellStart"/>
      <w:r w:rsidR="004D0178" w:rsidRPr="004D0178">
        <w:rPr>
          <w:rFonts w:ascii="Times New Roman" w:hAnsi="Times New Roman" w:cs="Times New Roman"/>
          <w:sz w:val="24"/>
          <w:szCs w:val="24"/>
        </w:rPr>
        <w:t>recognise</w:t>
      </w:r>
      <w:proofErr w:type="spellEnd"/>
      <w:r w:rsidR="004D0178" w:rsidRPr="004D0178">
        <w:rPr>
          <w:rFonts w:ascii="Times New Roman" w:hAnsi="Times New Roman" w:cs="Times New Roman"/>
          <w:sz w:val="24"/>
          <w:szCs w:val="24"/>
        </w:rPr>
        <w:t xml:space="preserve"> all the three factors pragmatically as these were mere labels. Their Lordships then adopted the approach that in the case of </w:t>
      </w:r>
      <w:r w:rsidR="004D0178" w:rsidRPr="007C0CF2">
        <w:rPr>
          <w:rFonts w:ascii="Times New Roman" w:hAnsi="Times New Roman" w:cs="Times New Roman"/>
          <w:i/>
          <w:sz w:val="24"/>
          <w:szCs w:val="24"/>
        </w:rPr>
        <w:t>Sutherland Shire Council v Heyman</w:t>
      </w:r>
      <w:r w:rsidR="003722DE">
        <w:rPr>
          <w:rFonts w:ascii="Times New Roman" w:hAnsi="Times New Roman" w:cs="Times New Roman"/>
          <w:sz w:val="24"/>
          <w:szCs w:val="24"/>
        </w:rPr>
        <w:t xml:space="preserve"> </w:t>
      </w:r>
      <w:r w:rsidR="003722DE" w:rsidRPr="003722DE">
        <w:rPr>
          <w:rFonts w:ascii="Times New Roman" w:hAnsi="Times New Roman" w:cs="Times New Roman"/>
          <w:i/>
          <w:sz w:val="24"/>
          <w:szCs w:val="24"/>
        </w:rPr>
        <w:t>[1985],</w:t>
      </w:r>
      <w:r w:rsidR="004D0178" w:rsidRPr="004D0178">
        <w:rPr>
          <w:rFonts w:ascii="Times New Roman" w:hAnsi="Times New Roman" w:cs="Times New Roman"/>
          <w:sz w:val="24"/>
          <w:szCs w:val="24"/>
        </w:rPr>
        <w:t xml:space="preserve"> Brennan indicated that "the law should develop novel categories of negligence incrementally and by analogy with established categories" (</w:t>
      </w:r>
      <w:proofErr w:type="spellStart"/>
      <w:r w:rsidR="004D0178" w:rsidRPr="004D0178">
        <w:rPr>
          <w:rFonts w:ascii="Times New Roman" w:hAnsi="Times New Roman" w:cs="Times New Roman"/>
          <w:sz w:val="24"/>
          <w:szCs w:val="24"/>
        </w:rPr>
        <w:t>Allars</w:t>
      </w:r>
      <w:proofErr w:type="spellEnd"/>
      <w:r w:rsidR="004D0178" w:rsidRPr="004D0178">
        <w:rPr>
          <w:rFonts w:ascii="Times New Roman" w:hAnsi="Times New Roman" w:cs="Times New Roman"/>
          <w:sz w:val="24"/>
          <w:szCs w:val="24"/>
        </w:rPr>
        <w:t xml:space="preserve">, 2020). This brings in the meaning that, by rejecting all the needs for general tests, </w:t>
      </w:r>
      <w:r w:rsidR="003722DE">
        <w:rPr>
          <w:rFonts w:ascii="Times New Roman" w:hAnsi="Times New Roman" w:cs="Times New Roman"/>
          <w:sz w:val="24"/>
          <w:szCs w:val="24"/>
        </w:rPr>
        <w:t xml:space="preserve">and </w:t>
      </w:r>
      <w:r w:rsidR="004D0178" w:rsidRPr="004D0178">
        <w:rPr>
          <w:rFonts w:ascii="Times New Roman" w:hAnsi="Times New Roman" w:cs="Times New Roman"/>
          <w:sz w:val="24"/>
          <w:szCs w:val="24"/>
        </w:rPr>
        <w:t xml:space="preserve">if all the laws develop incrementally based on a case-by-case basis, the duty of care will remain to exist if there is one </w:t>
      </w:r>
      <w:r w:rsidR="004D0178" w:rsidRPr="004D0178">
        <w:rPr>
          <w:rFonts w:ascii="Times New Roman" w:hAnsi="Times New Roman" w:cs="Times New Roman"/>
          <w:sz w:val="24"/>
          <w:szCs w:val="24"/>
        </w:rPr>
        <w:lastRenderedPageBreak/>
        <w:t xml:space="preserve">such duty of care that had already existed in the previous times or in situations which can also be classified and considered to be analogous to the one in the precedent case. </w:t>
      </w:r>
      <w:r w:rsidR="0065525B" w:rsidRPr="004D0178">
        <w:rPr>
          <w:rFonts w:ascii="Times New Roman" w:hAnsi="Times New Roman" w:cs="Times New Roman"/>
          <w:sz w:val="24"/>
          <w:szCs w:val="24"/>
        </w:rPr>
        <w:t>Such an approach relies on the ideology that the categories associated with negligence can never be extended overnight but embraces</w:t>
      </w:r>
      <w:r w:rsidR="004D0178" w:rsidRPr="004D0178">
        <w:rPr>
          <w:rFonts w:ascii="Times New Roman" w:hAnsi="Times New Roman" w:cs="Times New Roman"/>
          <w:sz w:val="24"/>
          <w:szCs w:val="24"/>
        </w:rPr>
        <w:t xml:space="preserve"> cautious approaches. In the case of Michael, the House of the Lords drifted from the use of conventional three-stage tests, with the closest test to be embraced as the incremental test; as </w:t>
      </w:r>
      <w:r w:rsidR="003722DE">
        <w:rPr>
          <w:rFonts w:ascii="Times New Roman" w:hAnsi="Times New Roman" w:cs="Times New Roman"/>
          <w:sz w:val="24"/>
          <w:szCs w:val="24"/>
        </w:rPr>
        <w:t>noted</w:t>
      </w:r>
      <w:r w:rsidR="004D0178" w:rsidRPr="004D0178">
        <w:rPr>
          <w:rFonts w:ascii="Times New Roman" w:hAnsi="Times New Roman" w:cs="Times New Roman"/>
          <w:sz w:val="24"/>
          <w:szCs w:val="24"/>
        </w:rPr>
        <w:t xml:space="preserve"> by Lord Toulson, "the development of the law of negligence has been by an incremental process rather than being in a giant step</w:t>
      </w:r>
      <w:r w:rsidR="0065525B">
        <w:rPr>
          <w:rFonts w:ascii="Times New Roman" w:hAnsi="Times New Roman" w:cs="Times New Roman"/>
          <w:sz w:val="24"/>
          <w:szCs w:val="24"/>
        </w:rPr>
        <w:t>”</w:t>
      </w:r>
      <w:r w:rsidR="0065525B" w:rsidRPr="0065525B">
        <w:rPr>
          <w:rFonts w:ascii="Times New Roman" w:hAnsi="Times New Roman" w:cs="Times New Roman"/>
          <w:sz w:val="24"/>
          <w:szCs w:val="24"/>
        </w:rPr>
        <w:t xml:space="preserve"> </w:t>
      </w:r>
      <w:r w:rsidR="0065525B" w:rsidRPr="004D0178">
        <w:rPr>
          <w:rFonts w:ascii="Times New Roman" w:hAnsi="Times New Roman" w:cs="Times New Roman"/>
          <w:sz w:val="24"/>
          <w:szCs w:val="24"/>
        </w:rPr>
        <w:t>(</w:t>
      </w:r>
      <w:proofErr w:type="spellStart"/>
      <w:r w:rsidR="0065525B" w:rsidRPr="004D0178">
        <w:rPr>
          <w:rFonts w:ascii="Times New Roman" w:hAnsi="Times New Roman" w:cs="Times New Roman"/>
          <w:sz w:val="24"/>
          <w:szCs w:val="24"/>
        </w:rPr>
        <w:t>Allars</w:t>
      </w:r>
      <w:proofErr w:type="spellEnd"/>
      <w:r w:rsidR="0065525B" w:rsidRPr="004D0178">
        <w:rPr>
          <w:rFonts w:ascii="Times New Roman" w:hAnsi="Times New Roman" w:cs="Times New Roman"/>
          <w:sz w:val="24"/>
          <w:szCs w:val="24"/>
        </w:rPr>
        <w:t>, 2020)</w:t>
      </w:r>
      <w:r w:rsidR="004D0178" w:rsidRPr="004D0178">
        <w:rPr>
          <w:rFonts w:ascii="Times New Roman" w:hAnsi="Times New Roman" w:cs="Times New Roman"/>
          <w:sz w:val="24"/>
          <w:szCs w:val="24"/>
        </w:rPr>
        <w:t xml:space="preserve">. </w:t>
      </w:r>
    </w:p>
    <w:p w14:paraId="0EEB3EB6" w14:textId="77777777" w:rsidR="004D0178" w:rsidRPr="004D0178" w:rsidRDefault="004D0178" w:rsidP="00FB4F45">
      <w:pPr>
        <w:spacing w:line="480" w:lineRule="auto"/>
        <w:contextualSpacing/>
        <w:jc w:val="center"/>
        <w:rPr>
          <w:rFonts w:ascii="Times New Roman" w:hAnsi="Times New Roman" w:cs="Times New Roman"/>
          <w:b/>
          <w:sz w:val="24"/>
          <w:szCs w:val="24"/>
        </w:rPr>
      </w:pPr>
      <w:r w:rsidRPr="004D0178">
        <w:rPr>
          <w:rFonts w:ascii="Times New Roman" w:hAnsi="Times New Roman" w:cs="Times New Roman"/>
          <w:b/>
          <w:sz w:val="24"/>
          <w:szCs w:val="24"/>
        </w:rPr>
        <w:t>Conclusion</w:t>
      </w:r>
    </w:p>
    <w:p w14:paraId="71D17939" w14:textId="77777777" w:rsidR="003936C2" w:rsidRDefault="002D3A6E" w:rsidP="0029074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Undoubtedly, t</w:t>
      </w:r>
      <w:r w:rsidR="003936C2">
        <w:rPr>
          <w:rFonts w:ascii="Times New Roman" w:hAnsi="Times New Roman" w:cs="Times New Roman"/>
          <w:sz w:val="24"/>
          <w:szCs w:val="24"/>
        </w:rPr>
        <w:t>he law of negligence</w:t>
      </w:r>
      <w:r w:rsidR="00A04412">
        <w:rPr>
          <w:rFonts w:ascii="Times New Roman" w:hAnsi="Times New Roman" w:cs="Times New Roman"/>
          <w:sz w:val="24"/>
          <w:szCs w:val="24"/>
        </w:rPr>
        <w:t xml:space="preserve"> has been effectively developed through an incremental process rather than by giant stems.</w:t>
      </w:r>
      <w:r w:rsidR="003936C2">
        <w:rPr>
          <w:rFonts w:ascii="Times New Roman" w:hAnsi="Times New Roman" w:cs="Times New Roman"/>
          <w:sz w:val="24"/>
          <w:szCs w:val="24"/>
        </w:rPr>
        <w:t xml:space="preserve"> </w:t>
      </w:r>
      <w:r w:rsidR="00A04412" w:rsidRPr="00A04412">
        <w:rPr>
          <w:rFonts w:ascii="Times New Roman" w:hAnsi="Times New Roman" w:cs="Times New Roman"/>
          <w:i/>
          <w:sz w:val="24"/>
          <w:szCs w:val="24"/>
        </w:rPr>
        <w:t xml:space="preserve">Michael v </w:t>
      </w:r>
      <w:r w:rsidR="00A04412">
        <w:rPr>
          <w:rFonts w:ascii="Times New Roman" w:hAnsi="Times New Roman" w:cs="Times New Roman"/>
          <w:i/>
          <w:sz w:val="24"/>
          <w:szCs w:val="24"/>
        </w:rPr>
        <w:t>Chief Constable of South Wales [2015]</w:t>
      </w:r>
      <w:r w:rsidR="00A04412">
        <w:rPr>
          <w:rFonts w:ascii="Times New Roman" w:hAnsi="Times New Roman" w:cs="Times New Roman"/>
          <w:sz w:val="24"/>
          <w:szCs w:val="24"/>
        </w:rPr>
        <w:t xml:space="preserve"> laid a perfect basis upon which the law of negligence and duty of care were incrementally developed to their current eminence. Moreover, t</w:t>
      </w:r>
      <w:r w:rsidR="004D0178" w:rsidRPr="004D0178">
        <w:rPr>
          <w:rFonts w:ascii="Times New Roman" w:hAnsi="Times New Roman" w:cs="Times New Roman"/>
          <w:sz w:val="24"/>
          <w:szCs w:val="24"/>
        </w:rPr>
        <w:t xml:space="preserve">he view of Lord Toulson that the laws governing the tort of negligence have made an incremental development is supported heavily by case laws. </w:t>
      </w:r>
      <w:r w:rsidR="003722DE">
        <w:rPr>
          <w:rFonts w:ascii="Times New Roman" w:hAnsi="Times New Roman" w:cs="Times New Roman"/>
          <w:sz w:val="24"/>
          <w:szCs w:val="24"/>
        </w:rPr>
        <w:t>After</w:t>
      </w:r>
      <w:r w:rsidR="004D0178" w:rsidRPr="004D0178">
        <w:rPr>
          <w:rFonts w:ascii="Times New Roman" w:hAnsi="Times New Roman" w:cs="Times New Roman"/>
          <w:sz w:val="24"/>
          <w:szCs w:val="24"/>
        </w:rPr>
        <w:t xml:space="preserve"> </w:t>
      </w:r>
      <w:r w:rsidR="003722DE">
        <w:rPr>
          <w:rFonts w:ascii="Times New Roman" w:hAnsi="Times New Roman" w:cs="Times New Roman"/>
          <w:sz w:val="24"/>
          <w:szCs w:val="24"/>
        </w:rPr>
        <w:t>going</w:t>
      </w:r>
      <w:r w:rsidR="004D0178" w:rsidRPr="004D0178">
        <w:rPr>
          <w:rFonts w:ascii="Times New Roman" w:hAnsi="Times New Roman" w:cs="Times New Roman"/>
          <w:sz w:val="24"/>
          <w:szCs w:val="24"/>
        </w:rPr>
        <w:t xml:space="preserve"> </w:t>
      </w:r>
      <w:r w:rsidR="003722DE">
        <w:rPr>
          <w:rFonts w:ascii="Times New Roman" w:hAnsi="Times New Roman" w:cs="Times New Roman"/>
          <w:sz w:val="24"/>
          <w:szCs w:val="24"/>
        </w:rPr>
        <w:t>deeper</w:t>
      </w:r>
      <w:r w:rsidR="004D0178" w:rsidRPr="004D0178">
        <w:rPr>
          <w:rFonts w:ascii="Times New Roman" w:hAnsi="Times New Roman" w:cs="Times New Roman"/>
          <w:sz w:val="24"/>
          <w:szCs w:val="24"/>
        </w:rPr>
        <w:t xml:space="preserve"> </w:t>
      </w:r>
      <w:r w:rsidR="003722DE">
        <w:rPr>
          <w:rFonts w:ascii="Times New Roman" w:hAnsi="Times New Roman" w:cs="Times New Roman"/>
          <w:sz w:val="24"/>
          <w:szCs w:val="24"/>
        </w:rPr>
        <w:t xml:space="preserve">into </w:t>
      </w:r>
      <w:r w:rsidR="004D0178" w:rsidRPr="004D0178">
        <w:rPr>
          <w:rFonts w:ascii="Times New Roman" w:hAnsi="Times New Roman" w:cs="Times New Roman"/>
          <w:sz w:val="24"/>
          <w:szCs w:val="24"/>
        </w:rPr>
        <w:t xml:space="preserve">analysis, it becomes clear that the beginning of the change in judicial rulings arose very early in response to the </w:t>
      </w:r>
      <w:r w:rsidR="00A04412" w:rsidRPr="004D0178">
        <w:rPr>
          <w:rFonts w:ascii="Times New Roman" w:hAnsi="Times New Roman" w:cs="Times New Roman"/>
          <w:sz w:val="24"/>
          <w:szCs w:val="24"/>
        </w:rPr>
        <w:t>modifications</w:t>
      </w:r>
      <w:r w:rsidR="004D0178" w:rsidRPr="004D0178">
        <w:rPr>
          <w:rFonts w:ascii="Times New Roman" w:hAnsi="Times New Roman" w:cs="Times New Roman"/>
          <w:sz w:val="24"/>
          <w:szCs w:val="24"/>
        </w:rPr>
        <w:t xml:space="preserve"> witnessed in society. This </w:t>
      </w:r>
      <w:proofErr w:type="spellStart"/>
      <w:r w:rsidR="004D0178" w:rsidRPr="004D0178">
        <w:rPr>
          <w:rFonts w:ascii="Times New Roman" w:hAnsi="Times New Roman" w:cs="Times New Roman"/>
          <w:sz w:val="24"/>
          <w:szCs w:val="24"/>
        </w:rPr>
        <w:t>realisation</w:t>
      </w:r>
      <w:proofErr w:type="spellEnd"/>
      <w:r w:rsidR="004D0178" w:rsidRPr="004D0178">
        <w:rPr>
          <w:rFonts w:ascii="Times New Roman" w:hAnsi="Times New Roman" w:cs="Times New Roman"/>
          <w:sz w:val="24"/>
          <w:szCs w:val="24"/>
        </w:rPr>
        <w:t xml:space="preserve"> then weakens all the extents regarding how these cases should be viewed as giant steps during the development of negligence laws. More so, I have immense support towards the views of </w:t>
      </w:r>
      <w:r w:rsidR="00A04412">
        <w:rPr>
          <w:rFonts w:ascii="Times New Roman" w:hAnsi="Times New Roman" w:cs="Times New Roman"/>
          <w:sz w:val="24"/>
          <w:szCs w:val="24"/>
        </w:rPr>
        <w:t xml:space="preserve">Lord </w:t>
      </w:r>
      <w:r w:rsidR="004D0178" w:rsidRPr="004D0178">
        <w:rPr>
          <w:rFonts w:ascii="Times New Roman" w:hAnsi="Times New Roman" w:cs="Times New Roman"/>
          <w:sz w:val="24"/>
          <w:szCs w:val="24"/>
        </w:rPr>
        <w:t xml:space="preserve">Toulson that the negligence law developed through an incremental manner and criticism and then through the eventual downfall of Ann's test, which highlights the restrictions that are innate within judicial systems across the </w:t>
      </w:r>
      <w:r w:rsidR="00FB4F45" w:rsidRPr="004D0178">
        <w:rPr>
          <w:rFonts w:ascii="Times New Roman" w:hAnsi="Times New Roman" w:cs="Times New Roman"/>
          <w:sz w:val="24"/>
          <w:szCs w:val="24"/>
        </w:rPr>
        <w:t>United Kingdom</w:t>
      </w:r>
      <w:r w:rsidR="004D0178" w:rsidRPr="004D0178">
        <w:rPr>
          <w:rFonts w:ascii="Times New Roman" w:hAnsi="Times New Roman" w:cs="Times New Roman"/>
          <w:sz w:val="24"/>
          <w:szCs w:val="24"/>
        </w:rPr>
        <w:t xml:space="preserve"> that aims at restricting the liability scope and also the speed and extent at which all the laws regarding the tort of</w:t>
      </w:r>
      <w:r w:rsidR="00290740">
        <w:rPr>
          <w:rFonts w:ascii="Times New Roman" w:hAnsi="Times New Roman" w:cs="Times New Roman"/>
          <w:sz w:val="24"/>
          <w:szCs w:val="24"/>
        </w:rPr>
        <w:t xml:space="preserve"> negligence slowly develops.   </w:t>
      </w:r>
    </w:p>
    <w:p w14:paraId="0C2466E3" w14:textId="77777777" w:rsidR="00290740" w:rsidRDefault="00290740" w:rsidP="00290740">
      <w:pPr>
        <w:spacing w:line="480" w:lineRule="auto"/>
        <w:contextualSpacing/>
        <w:rPr>
          <w:rFonts w:ascii="Times New Roman" w:hAnsi="Times New Roman" w:cs="Times New Roman"/>
          <w:sz w:val="24"/>
          <w:szCs w:val="24"/>
        </w:rPr>
      </w:pPr>
    </w:p>
    <w:p w14:paraId="6B8BCA95" w14:textId="77777777" w:rsidR="00A81163" w:rsidRDefault="004D0178" w:rsidP="004D0178">
      <w:pPr>
        <w:spacing w:line="480" w:lineRule="auto"/>
        <w:contextualSpacing/>
        <w:jc w:val="center"/>
      </w:pPr>
      <w:r w:rsidRPr="003722DE">
        <w:rPr>
          <w:rFonts w:ascii="Times New Roman" w:hAnsi="Times New Roman" w:cs="Times New Roman"/>
          <w:sz w:val="24"/>
          <w:szCs w:val="24"/>
        </w:rPr>
        <w:lastRenderedPageBreak/>
        <w:t>References</w:t>
      </w:r>
      <w:r w:rsidR="00A81163" w:rsidRPr="00A81163">
        <w:t xml:space="preserve"> </w:t>
      </w:r>
    </w:p>
    <w:p w14:paraId="6CE7B834" w14:textId="77777777" w:rsidR="004D0178" w:rsidRPr="00A81163" w:rsidRDefault="00A81163" w:rsidP="00A81163">
      <w:pPr>
        <w:spacing w:line="480" w:lineRule="auto"/>
        <w:contextualSpacing/>
        <w:rPr>
          <w:rFonts w:ascii="Times New Roman" w:hAnsi="Times New Roman" w:cs="Times New Roman"/>
          <w:i/>
          <w:sz w:val="24"/>
          <w:szCs w:val="24"/>
        </w:rPr>
      </w:pPr>
      <w:proofErr w:type="spellStart"/>
      <w:r w:rsidRPr="00A81163">
        <w:rPr>
          <w:rFonts w:ascii="Times New Roman" w:hAnsi="Times New Roman" w:cs="Times New Roman"/>
          <w:i/>
          <w:sz w:val="24"/>
          <w:szCs w:val="24"/>
        </w:rPr>
        <w:t>Anns</w:t>
      </w:r>
      <w:proofErr w:type="spellEnd"/>
      <w:r w:rsidRPr="00A81163">
        <w:rPr>
          <w:rFonts w:ascii="Times New Roman" w:hAnsi="Times New Roman" w:cs="Times New Roman"/>
          <w:i/>
          <w:sz w:val="24"/>
          <w:szCs w:val="24"/>
        </w:rPr>
        <w:t xml:space="preserve"> v Merton London Borough Council [1977] UKHL 4, [1978] AC 728</w:t>
      </w:r>
    </w:p>
    <w:p w14:paraId="10928952"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proofErr w:type="spellStart"/>
      <w:r w:rsidRPr="004D0178">
        <w:rPr>
          <w:rFonts w:ascii="Times New Roman" w:hAnsi="Times New Roman" w:cs="Times New Roman"/>
          <w:sz w:val="24"/>
          <w:szCs w:val="24"/>
        </w:rPr>
        <w:t>Abhyuday</w:t>
      </w:r>
      <w:proofErr w:type="spellEnd"/>
      <w:r w:rsidRPr="004D0178">
        <w:rPr>
          <w:rFonts w:ascii="Times New Roman" w:hAnsi="Times New Roman" w:cs="Times New Roman"/>
          <w:sz w:val="24"/>
          <w:szCs w:val="24"/>
        </w:rPr>
        <w:t xml:space="preserve">, 2021. </w:t>
      </w:r>
      <w:r w:rsidRPr="003722DE">
        <w:rPr>
          <w:rFonts w:ascii="Times New Roman" w:hAnsi="Times New Roman" w:cs="Times New Roman"/>
          <w:i/>
          <w:sz w:val="24"/>
          <w:szCs w:val="24"/>
        </w:rPr>
        <w:t>Donoghue vs Stevenson. Jus Corpus LJ, 2, p.97.</w:t>
      </w:r>
    </w:p>
    <w:p w14:paraId="60AACDF4" w14:textId="77777777" w:rsidR="004D0178" w:rsidRPr="004D0178" w:rsidRDefault="003722DE" w:rsidP="004D0178">
      <w:pPr>
        <w:spacing w:line="480" w:lineRule="auto"/>
        <w:ind w:left="720" w:hanging="720"/>
        <w:contextualSpacing/>
        <w:rPr>
          <w:rFonts w:ascii="Times New Roman" w:hAnsi="Times New Roman" w:cs="Times New Roman"/>
          <w:sz w:val="24"/>
          <w:szCs w:val="24"/>
        </w:rPr>
      </w:pPr>
      <w:proofErr w:type="spellStart"/>
      <w:r>
        <w:rPr>
          <w:rFonts w:ascii="Times New Roman" w:hAnsi="Times New Roman" w:cs="Times New Roman"/>
          <w:sz w:val="24"/>
          <w:szCs w:val="24"/>
        </w:rPr>
        <w:t>Allars</w:t>
      </w:r>
      <w:proofErr w:type="spellEnd"/>
      <w:r>
        <w:rPr>
          <w:rFonts w:ascii="Times New Roman" w:hAnsi="Times New Roman" w:cs="Times New Roman"/>
          <w:sz w:val="24"/>
          <w:szCs w:val="24"/>
        </w:rPr>
        <w:t>, M., 2020. Private Law R</w:t>
      </w:r>
      <w:r w:rsidR="004D0178" w:rsidRPr="004D0178">
        <w:rPr>
          <w:rFonts w:ascii="Times New Roman" w:hAnsi="Times New Roman" w:cs="Times New Roman"/>
          <w:sz w:val="24"/>
          <w:szCs w:val="24"/>
        </w:rPr>
        <w:t xml:space="preserve">emedies and Public Law Standards: An Awkward Statutory Intrusion into Tort Liability of Public Authorities. </w:t>
      </w:r>
      <w:r w:rsidR="004D0178" w:rsidRPr="003722DE">
        <w:rPr>
          <w:rFonts w:ascii="Times New Roman" w:hAnsi="Times New Roman" w:cs="Times New Roman"/>
          <w:i/>
          <w:sz w:val="24"/>
          <w:szCs w:val="24"/>
        </w:rPr>
        <w:t>FIU L. Rev.,</w:t>
      </w:r>
      <w:r w:rsidR="004D0178" w:rsidRPr="004D0178">
        <w:rPr>
          <w:rFonts w:ascii="Times New Roman" w:hAnsi="Times New Roman" w:cs="Times New Roman"/>
          <w:sz w:val="24"/>
          <w:szCs w:val="24"/>
        </w:rPr>
        <w:t xml:space="preserve"> 14, p.5.</w:t>
      </w:r>
    </w:p>
    <w:p w14:paraId="13ABE834" w14:textId="77777777" w:rsidR="00901595" w:rsidRDefault="004D0178" w:rsidP="004D0178">
      <w:pPr>
        <w:spacing w:line="480" w:lineRule="auto"/>
        <w:ind w:left="720" w:hanging="720"/>
        <w:contextualSpacing/>
      </w:pPr>
      <w:r w:rsidRPr="004D0178">
        <w:rPr>
          <w:rFonts w:ascii="Times New Roman" w:hAnsi="Times New Roman" w:cs="Times New Roman"/>
          <w:sz w:val="24"/>
          <w:szCs w:val="24"/>
        </w:rPr>
        <w:t xml:space="preserve">Ashley, R., 2018. Phillip Davies, Californian Sluicing and Kiandra. </w:t>
      </w:r>
      <w:r w:rsidRPr="003722DE">
        <w:rPr>
          <w:rFonts w:ascii="Times New Roman" w:hAnsi="Times New Roman" w:cs="Times New Roman"/>
          <w:i/>
          <w:sz w:val="24"/>
          <w:szCs w:val="24"/>
        </w:rPr>
        <w:t xml:space="preserve">Journal of Australasian Mining History, </w:t>
      </w:r>
      <w:r w:rsidRPr="004D0178">
        <w:rPr>
          <w:rFonts w:ascii="Times New Roman" w:hAnsi="Times New Roman" w:cs="Times New Roman"/>
          <w:sz w:val="24"/>
          <w:szCs w:val="24"/>
        </w:rPr>
        <w:t>16, pp.1-16.</w:t>
      </w:r>
      <w:r w:rsidR="00901595" w:rsidRPr="00901595">
        <w:t xml:space="preserve"> </w:t>
      </w:r>
    </w:p>
    <w:p w14:paraId="44F7CF35" w14:textId="77777777" w:rsidR="004D0178" w:rsidRPr="00901595" w:rsidRDefault="00901595" w:rsidP="004D0178">
      <w:pPr>
        <w:spacing w:line="480" w:lineRule="auto"/>
        <w:ind w:left="720" w:hanging="720"/>
        <w:contextualSpacing/>
        <w:rPr>
          <w:rFonts w:ascii="Times New Roman" w:hAnsi="Times New Roman" w:cs="Times New Roman"/>
          <w:i/>
          <w:sz w:val="24"/>
          <w:szCs w:val="24"/>
        </w:rPr>
      </w:pPr>
      <w:r w:rsidRPr="00901595">
        <w:rPr>
          <w:rFonts w:ascii="Times New Roman" w:hAnsi="Times New Roman" w:cs="Times New Roman"/>
          <w:i/>
          <w:sz w:val="24"/>
          <w:szCs w:val="24"/>
        </w:rPr>
        <w:t>Brooks v. Commissioner of Police for the Metropolis et al., (2005) 338 N.R. 1 (HL).</w:t>
      </w:r>
    </w:p>
    <w:p w14:paraId="71D5068F" w14:textId="77777777" w:rsidR="00A81163" w:rsidRPr="00A81163" w:rsidRDefault="00A81163" w:rsidP="004D0178">
      <w:pPr>
        <w:spacing w:line="480" w:lineRule="auto"/>
        <w:ind w:left="720" w:hanging="720"/>
        <w:contextualSpacing/>
        <w:rPr>
          <w:rFonts w:ascii="Times New Roman" w:hAnsi="Times New Roman" w:cs="Times New Roman"/>
          <w:i/>
          <w:sz w:val="24"/>
          <w:szCs w:val="24"/>
        </w:rPr>
      </w:pPr>
      <w:r w:rsidRPr="00A81163">
        <w:rPr>
          <w:rFonts w:ascii="Times New Roman" w:hAnsi="Times New Roman" w:cs="Times New Roman"/>
          <w:i/>
          <w:sz w:val="24"/>
          <w:szCs w:val="24"/>
        </w:rPr>
        <w:t>Caparo Industries PLC v Dickman [1990] UKHL 2.</w:t>
      </w:r>
    </w:p>
    <w:p w14:paraId="146981C8"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r w:rsidRPr="004D0178">
        <w:rPr>
          <w:rFonts w:ascii="Times New Roman" w:hAnsi="Times New Roman" w:cs="Times New Roman"/>
          <w:sz w:val="24"/>
          <w:szCs w:val="24"/>
        </w:rPr>
        <w:t xml:space="preserve">Ceil, C., 2019. The tort of negligence, the Caparo Test and Alternative Dispute Resolution. </w:t>
      </w:r>
      <w:r w:rsidRPr="003722DE">
        <w:rPr>
          <w:rFonts w:ascii="Times New Roman" w:hAnsi="Times New Roman" w:cs="Times New Roman"/>
          <w:i/>
          <w:sz w:val="24"/>
          <w:szCs w:val="24"/>
        </w:rPr>
        <w:t>Caparo Test and Alternative Dispute Resolution</w:t>
      </w:r>
      <w:r w:rsidRPr="004D0178">
        <w:rPr>
          <w:rFonts w:ascii="Times New Roman" w:hAnsi="Times New Roman" w:cs="Times New Roman"/>
          <w:sz w:val="24"/>
          <w:szCs w:val="24"/>
        </w:rPr>
        <w:t xml:space="preserve"> (September 17, 2019).</w:t>
      </w:r>
    </w:p>
    <w:p w14:paraId="2EA48370" w14:textId="77777777" w:rsidR="00A81163" w:rsidRPr="00A81163" w:rsidRDefault="00A81163" w:rsidP="00A81163">
      <w:pPr>
        <w:spacing w:line="480" w:lineRule="auto"/>
        <w:ind w:left="720" w:hanging="720"/>
        <w:contextualSpacing/>
        <w:rPr>
          <w:rFonts w:ascii="Times New Roman" w:hAnsi="Times New Roman" w:cs="Times New Roman"/>
          <w:i/>
          <w:sz w:val="24"/>
          <w:szCs w:val="24"/>
        </w:rPr>
      </w:pPr>
      <w:r w:rsidRPr="00A81163">
        <w:rPr>
          <w:rFonts w:ascii="Times New Roman" w:hAnsi="Times New Roman" w:cs="Times New Roman"/>
          <w:i/>
          <w:sz w:val="24"/>
          <w:szCs w:val="24"/>
        </w:rPr>
        <w:t xml:space="preserve">Donoghue v Stevenson [1932] UKHL 100. </w:t>
      </w:r>
    </w:p>
    <w:p w14:paraId="785338D9" w14:textId="77777777" w:rsidR="003936C2" w:rsidRDefault="003936C2" w:rsidP="00A81163">
      <w:pPr>
        <w:spacing w:line="480" w:lineRule="auto"/>
        <w:ind w:left="720" w:hanging="720"/>
        <w:contextualSpacing/>
        <w:rPr>
          <w:rFonts w:ascii="Times New Roman" w:hAnsi="Times New Roman" w:cs="Times New Roman"/>
          <w:i/>
          <w:sz w:val="24"/>
          <w:szCs w:val="24"/>
        </w:rPr>
      </w:pPr>
      <w:proofErr w:type="spellStart"/>
      <w:r w:rsidRPr="003936C2">
        <w:rPr>
          <w:rFonts w:ascii="Times New Roman" w:hAnsi="Times New Roman" w:cs="Times New Roman"/>
          <w:i/>
          <w:sz w:val="24"/>
          <w:szCs w:val="24"/>
        </w:rPr>
        <w:t>Glamorgan</w:t>
      </w:r>
      <w:proofErr w:type="spellEnd"/>
      <w:r w:rsidRPr="003936C2">
        <w:rPr>
          <w:rFonts w:ascii="Times New Roman" w:hAnsi="Times New Roman" w:cs="Times New Roman"/>
          <w:i/>
          <w:sz w:val="24"/>
          <w:szCs w:val="24"/>
        </w:rPr>
        <w:t xml:space="preserve"> Coal Co Ltd v Glamorganshire </w:t>
      </w:r>
      <w:r>
        <w:rPr>
          <w:rFonts w:ascii="Times New Roman" w:hAnsi="Times New Roman" w:cs="Times New Roman"/>
          <w:i/>
          <w:sz w:val="24"/>
          <w:szCs w:val="24"/>
        </w:rPr>
        <w:t>Standing Joint Committee [1916].</w:t>
      </w:r>
    </w:p>
    <w:p w14:paraId="2BB8E2E1" w14:textId="77777777" w:rsidR="00734D53" w:rsidRPr="00734D53" w:rsidRDefault="00734D53" w:rsidP="00A81163">
      <w:pPr>
        <w:spacing w:line="480" w:lineRule="auto"/>
        <w:ind w:left="720" w:hanging="720"/>
        <w:contextualSpacing/>
        <w:rPr>
          <w:rFonts w:ascii="Times New Roman" w:hAnsi="Times New Roman" w:cs="Times New Roman"/>
          <w:i/>
          <w:sz w:val="24"/>
          <w:szCs w:val="24"/>
        </w:rPr>
      </w:pPr>
      <w:r w:rsidRPr="00734D53">
        <w:rPr>
          <w:rFonts w:ascii="Times New Roman" w:hAnsi="Times New Roman" w:cs="Times New Roman"/>
          <w:i/>
          <w:sz w:val="24"/>
          <w:szCs w:val="24"/>
        </w:rPr>
        <w:t>Hill v Chief Constable of West Yorkshire [1987] UKHL 12, [1989] AC 53.</w:t>
      </w:r>
    </w:p>
    <w:p w14:paraId="6EE4A9ED" w14:textId="77777777" w:rsidR="00734D53" w:rsidRPr="00734D53" w:rsidRDefault="00734D53" w:rsidP="00A81163">
      <w:pPr>
        <w:spacing w:line="480" w:lineRule="auto"/>
        <w:ind w:left="720" w:hanging="720"/>
        <w:contextualSpacing/>
        <w:rPr>
          <w:rFonts w:ascii="Times New Roman" w:hAnsi="Times New Roman" w:cs="Times New Roman"/>
          <w:i/>
          <w:sz w:val="24"/>
          <w:szCs w:val="24"/>
        </w:rPr>
      </w:pPr>
      <w:r w:rsidRPr="00734D53">
        <w:rPr>
          <w:rFonts w:ascii="Times New Roman" w:hAnsi="Times New Roman" w:cs="Times New Roman"/>
          <w:i/>
          <w:sz w:val="24"/>
          <w:szCs w:val="24"/>
        </w:rPr>
        <w:t>Home Office v Dorset Yacht Co Ltd [1970] UKHL 2, [1970] AC 1004.</w:t>
      </w:r>
    </w:p>
    <w:p w14:paraId="5557E148" w14:textId="77777777" w:rsidR="00A81163" w:rsidRDefault="004D0178" w:rsidP="00A81163">
      <w:pPr>
        <w:spacing w:line="480" w:lineRule="auto"/>
        <w:ind w:left="720" w:hanging="720"/>
        <w:contextualSpacing/>
        <w:rPr>
          <w:rFonts w:ascii="Times New Roman" w:hAnsi="Times New Roman" w:cs="Times New Roman"/>
          <w:sz w:val="24"/>
          <w:szCs w:val="24"/>
        </w:rPr>
      </w:pPr>
      <w:r w:rsidRPr="004D0178">
        <w:rPr>
          <w:rFonts w:ascii="Times New Roman" w:hAnsi="Times New Roman" w:cs="Times New Roman"/>
          <w:sz w:val="24"/>
          <w:szCs w:val="24"/>
        </w:rPr>
        <w:t xml:space="preserve">McBride, N., 2015. Michael v Chief Constable of South Wales Police [2015] UKSC 2. </w:t>
      </w:r>
      <w:r w:rsidRPr="003722DE">
        <w:rPr>
          <w:rFonts w:ascii="Times New Roman" w:hAnsi="Times New Roman" w:cs="Times New Roman"/>
          <w:i/>
          <w:sz w:val="24"/>
          <w:szCs w:val="24"/>
        </w:rPr>
        <w:t>University of Cambridge Faculty of Law Research Paper,</w:t>
      </w:r>
      <w:r w:rsidRPr="004D0178">
        <w:rPr>
          <w:rFonts w:ascii="Times New Roman" w:hAnsi="Times New Roman" w:cs="Times New Roman"/>
          <w:sz w:val="24"/>
          <w:szCs w:val="24"/>
        </w:rPr>
        <w:t xml:space="preserve"> (21).</w:t>
      </w:r>
      <w:r w:rsidR="00A81163">
        <w:rPr>
          <w:rFonts w:ascii="Times New Roman" w:hAnsi="Times New Roman" w:cs="Times New Roman"/>
          <w:sz w:val="24"/>
          <w:szCs w:val="24"/>
        </w:rPr>
        <w:t xml:space="preserve"> </w:t>
      </w:r>
    </w:p>
    <w:p w14:paraId="276A6E7C" w14:textId="77777777" w:rsidR="00A81163" w:rsidRPr="00A81163" w:rsidRDefault="00A81163" w:rsidP="00A81163">
      <w:pPr>
        <w:spacing w:line="480" w:lineRule="auto"/>
        <w:ind w:left="720" w:hanging="720"/>
        <w:contextualSpacing/>
        <w:rPr>
          <w:rFonts w:ascii="Times New Roman" w:hAnsi="Times New Roman" w:cs="Times New Roman"/>
          <w:i/>
          <w:sz w:val="24"/>
          <w:szCs w:val="24"/>
        </w:rPr>
      </w:pPr>
      <w:r w:rsidRPr="00A81163">
        <w:rPr>
          <w:rFonts w:ascii="Times New Roman" w:hAnsi="Times New Roman" w:cs="Times New Roman"/>
          <w:i/>
          <w:sz w:val="24"/>
          <w:szCs w:val="24"/>
        </w:rPr>
        <w:t>Michael v Chief Constable of South Wales Police [2015] UKSC 2.</w:t>
      </w:r>
    </w:p>
    <w:p w14:paraId="391D5108"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proofErr w:type="spellStart"/>
      <w:r w:rsidRPr="004D0178">
        <w:rPr>
          <w:rFonts w:ascii="Times New Roman" w:hAnsi="Times New Roman" w:cs="Times New Roman"/>
          <w:sz w:val="24"/>
          <w:szCs w:val="24"/>
        </w:rPr>
        <w:t>Satyan</w:t>
      </w:r>
      <w:proofErr w:type="spellEnd"/>
      <w:r w:rsidRPr="004D0178">
        <w:rPr>
          <w:rFonts w:ascii="Times New Roman" w:hAnsi="Times New Roman" w:cs="Times New Roman"/>
          <w:sz w:val="24"/>
          <w:szCs w:val="24"/>
        </w:rPr>
        <w:t xml:space="preserve">, K., 2015. </w:t>
      </w:r>
      <w:r w:rsidRPr="003722DE">
        <w:rPr>
          <w:rFonts w:ascii="Times New Roman" w:hAnsi="Times New Roman" w:cs="Times New Roman"/>
          <w:i/>
          <w:sz w:val="24"/>
          <w:szCs w:val="24"/>
        </w:rPr>
        <w:t>Case Analysis: Caparo Industries Plc v. Dickman. Dickman</w:t>
      </w:r>
      <w:r w:rsidRPr="004D0178">
        <w:rPr>
          <w:rFonts w:ascii="Times New Roman" w:hAnsi="Times New Roman" w:cs="Times New Roman"/>
          <w:sz w:val="24"/>
          <w:szCs w:val="24"/>
        </w:rPr>
        <w:t xml:space="preserve"> (July 5, 2015).</w:t>
      </w:r>
    </w:p>
    <w:p w14:paraId="34BA6C69"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r w:rsidRPr="004D0178">
        <w:rPr>
          <w:rFonts w:ascii="Times New Roman" w:hAnsi="Times New Roman" w:cs="Times New Roman"/>
          <w:sz w:val="24"/>
          <w:szCs w:val="24"/>
        </w:rPr>
        <w:t xml:space="preserve">Shari, M.B., 2018, March. A Critical Analysis of Duty between Strangers in Duty to Rescue. </w:t>
      </w:r>
      <w:r w:rsidRPr="003722DE">
        <w:rPr>
          <w:rFonts w:ascii="Times New Roman" w:hAnsi="Times New Roman" w:cs="Times New Roman"/>
          <w:sz w:val="24"/>
          <w:szCs w:val="24"/>
        </w:rPr>
        <w:t>In</w:t>
      </w:r>
      <w:r w:rsidRPr="003722DE">
        <w:rPr>
          <w:rFonts w:ascii="Times New Roman" w:hAnsi="Times New Roman" w:cs="Times New Roman"/>
          <w:i/>
          <w:sz w:val="24"/>
          <w:szCs w:val="24"/>
        </w:rPr>
        <w:t xml:space="preserve"> Oxford Conference Series</w:t>
      </w:r>
      <w:r w:rsidRPr="004D0178">
        <w:rPr>
          <w:rFonts w:ascii="Times New Roman" w:hAnsi="Times New Roman" w:cs="Times New Roman"/>
          <w:sz w:val="24"/>
          <w:szCs w:val="24"/>
        </w:rPr>
        <w:t>| March 2018 (p. 112).</w:t>
      </w:r>
    </w:p>
    <w:p w14:paraId="6EDDBD13" w14:textId="77777777" w:rsidR="003936C2" w:rsidRPr="003936C2" w:rsidRDefault="003936C2" w:rsidP="004D0178">
      <w:pPr>
        <w:spacing w:line="480" w:lineRule="auto"/>
        <w:ind w:left="720" w:hanging="720"/>
        <w:contextualSpacing/>
        <w:rPr>
          <w:rFonts w:ascii="Times New Roman" w:hAnsi="Times New Roman" w:cs="Times New Roman"/>
          <w:i/>
          <w:sz w:val="24"/>
          <w:szCs w:val="24"/>
        </w:rPr>
      </w:pPr>
      <w:r w:rsidRPr="003936C2">
        <w:rPr>
          <w:rFonts w:ascii="Times New Roman" w:hAnsi="Times New Roman" w:cs="Times New Roman"/>
          <w:i/>
          <w:sz w:val="24"/>
          <w:szCs w:val="24"/>
        </w:rPr>
        <w:t>Stovin v Wise [1996] UKHL 15.</w:t>
      </w:r>
    </w:p>
    <w:p w14:paraId="4BAB864D" w14:textId="77777777" w:rsidR="003936C2" w:rsidRPr="003936C2" w:rsidRDefault="003936C2" w:rsidP="004D0178">
      <w:pPr>
        <w:spacing w:line="480" w:lineRule="auto"/>
        <w:ind w:left="720" w:hanging="720"/>
        <w:contextualSpacing/>
        <w:rPr>
          <w:rFonts w:ascii="Times New Roman" w:hAnsi="Times New Roman" w:cs="Times New Roman"/>
          <w:i/>
          <w:sz w:val="24"/>
          <w:szCs w:val="24"/>
        </w:rPr>
      </w:pPr>
      <w:r w:rsidRPr="003936C2">
        <w:rPr>
          <w:rFonts w:ascii="Times New Roman" w:hAnsi="Times New Roman" w:cs="Times New Roman"/>
          <w:i/>
          <w:sz w:val="24"/>
          <w:szCs w:val="24"/>
        </w:rPr>
        <w:t>Sutherland Shire Council v Heyman [1985], 157 C.L.R. 424.</w:t>
      </w:r>
    </w:p>
    <w:p w14:paraId="0E4C1051"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r w:rsidRPr="004D0178">
        <w:rPr>
          <w:rFonts w:ascii="Times New Roman" w:hAnsi="Times New Roman" w:cs="Times New Roman"/>
          <w:sz w:val="24"/>
          <w:szCs w:val="24"/>
        </w:rPr>
        <w:lastRenderedPageBreak/>
        <w:t xml:space="preserve">Tsang, K.F. and Ng, K., 2022. Direct Liability and Veil-Piercing: When One Door Closes, Another Opens. </w:t>
      </w:r>
      <w:r w:rsidRPr="003722DE">
        <w:rPr>
          <w:rFonts w:ascii="Times New Roman" w:hAnsi="Times New Roman" w:cs="Times New Roman"/>
          <w:i/>
          <w:sz w:val="24"/>
          <w:szCs w:val="24"/>
        </w:rPr>
        <w:t>Fordham Journal of Corporate &amp; Financial Law,</w:t>
      </w:r>
      <w:r w:rsidRPr="004D0178">
        <w:rPr>
          <w:rFonts w:ascii="Times New Roman" w:hAnsi="Times New Roman" w:cs="Times New Roman"/>
          <w:sz w:val="24"/>
          <w:szCs w:val="24"/>
        </w:rPr>
        <w:t xml:space="preserve"> 27(1), p.141.</w:t>
      </w:r>
    </w:p>
    <w:p w14:paraId="171AACD3" w14:textId="77777777" w:rsidR="004D0178" w:rsidRPr="004D0178" w:rsidRDefault="004D0178" w:rsidP="004D0178">
      <w:pPr>
        <w:spacing w:line="480" w:lineRule="auto"/>
        <w:ind w:left="720" w:hanging="720"/>
        <w:contextualSpacing/>
        <w:rPr>
          <w:rFonts w:ascii="Times New Roman" w:hAnsi="Times New Roman" w:cs="Times New Roman"/>
          <w:sz w:val="24"/>
          <w:szCs w:val="24"/>
        </w:rPr>
      </w:pPr>
      <w:proofErr w:type="spellStart"/>
      <w:r w:rsidRPr="004D0178">
        <w:rPr>
          <w:rFonts w:ascii="Times New Roman" w:hAnsi="Times New Roman" w:cs="Times New Roman"/>
          <w:sz w:val="24"/>
          <w:szCs w:val="24"/>
        </w:rPr>
        <w:t>Udemezue</w:t>
      </w:r>
      <w:proofErr w:type="spellEnd"/>
      <w:r w:rsidRPr="004D0178">
        <w:rPr>
          <w:rFonts w:ascii="Times New Roman" w:hAnsi="Times New Roman" w:cs="Times New Roman"/>
          <w:sz w:val="24"/>
          <w:szCs w:val="24"/>
        </w:rPr>
        <w:t xml:space="preserve">, S. and </w:t>
      </w:r>
      <w:proofErr w:type="spellStart"/>
      <w:r w:rsidRPr="004D0178">
        <w:rPr>
          <w:rFonts w:ascii="Times New Roman" w:hAnsi="Times New Roman" w:cs="Times New Roman"/>
          <w:sz w:val="24"/>
          <w:szCs w:val="24"/>
        </w:rPr>
        <w:t>Ojeih</w:t>
      </w:r>
      <w:proofErr w:type="spellEnd"/>
      <w:r w:rsidRPr="004D0178">
        <w:rPr>
          <w:rFonts w:ascii="Times New Roman" w:hAnsi="Times New Roman" w:cs="Times New Roman"/>
          <w:sz w:val="24"/>
          <w:szCs w:val="24"/>
        </w:rPr>
        <w:t xml:space="preserve">, C.A., 2021. </w:t>
      </w:r>
      <w:r w:rsidRPr="003722DE">
        <w:rPr>
          <w:rFonts w:ascii="Times New Roman" w:hAnsi="Times New Roman" w:cs="Times New Roman"/>
          <w:i/>
          <w:sz w:val="24"/>
          <w:szCs w:val="24"/>
        </w:rPr>
        <w:t>A Critical Analysis of the Role of Courts in Determining Breach of Duty of Care in the Law of Torts.</w:t>
      </w:r>
      <w:r w:rsidRPr="004D0178">
        <w:rPr>
          <w:rFonts w:ascii="Times New Roman" w:hAnsi="Times New Roman" w:cs="Times New Roman"/>
          <w:sz w:val="24"/>
          <w:szCs w:val="24"/>
        </w:rPr>
        <w:t xml:space="preserve"> Available at SSRN 3840080.</w:t>
      </w:r>
    </w:p>
    <w:p w14:paraId="7564D35F" w14:textId="77777777" w:rsidR="004D0178" w:rsidRPr="004D0178" w:rsidRDefault="004D0178" w:rsidP="004D0178">
      <w:pPr>
        <w:spacing w:line="480" w:lineRule="auto"/>
        <w:contextualSpacing/>
        <w:rPr>
          <w:rFonts w:ascii="Times New Roman" w:hAnsi="Times New Roman" w:cs="Times New Roman"/>
          <w:sz w:val="24"/>
          <w:szCs w:val="24"/>
        </w:rPr>
      </w:pPr>
    </w:p>
    <w:p w14:paraId="380DD09C" w14:textId="77777777" w:rsidR="004D0178" w:rsidRPr="004D0178" w:rsidRDefault="004D0178" w:rsidP="004D0178">
      <w:pPr>
        <w:spacing w:line="480" w:lineRule="auto"/>
        <w:contextualSpacing/>
        <w:rPr>
          <w:rFonts w:ascii="Times New Roman" w:hAnsi="Times New Roman" w:cs="Times New Roman"/>
          <w:sz w:val="24"/>
          <w:szCs w:val="24"/>
        </w:rPr>
      </w:pPr>
    </w:p>
    <w:p w14:paraId="0508B622" w14:textId="77777777" w:rsidR="004D0178" w:rsidRPr="004D0178" w:rsidRDefault="004D0178" w:rsidP="004D0178">
      <w:pPr>
        <w:spacing w:line="480" w:lineRule="auto"/>
        <w:contextualSpacing/>
        <w:rPr>
          <w:rFonts w:ascii="Times New Roman" w:hAnsi="Times New Roman" w:cs="Times New Roman"/>
          <w:sz w:val="24"/>
          <w:szCs w:val="24"/>
        </w:rPr>
      </w:pPr>
    </w:p>
    <w:p w14:paraId="3A3FF870" w14:textId="77777777" w:rsidR="00053591" w:rsidRPr="004D0178" w:rsidRDefault="004D0178" w:rsidP="004D0178">
      <w:pPr>
        <w:spacing w:line="480" w:lineRule="auto"/>
        <w:contextualSpacing/>
        <w:rPr>
          <w:rFonts w:ascii="Times New Roman" w:hAnsi="Times New Roman" w:cs="Times New Roman"/>
          <w:sz w:val="24"/>
          <w:szCs w:val="24"/>
        </w:rPr>
      </w:pPr>
      <w:r w:rsidRPr="004D0178">
        <w:rPr>
          <w:rFonts w:ascii="Times New Roman" w:hAnsi="Times New Roman" w:cs="Times New Roman"/>
          <w:sz w:val="24"/>
          <w:szCs w:val="24"/>
        </w:rPr>
        <w:t xml:space="preserve">    </w:t>
      </w:r>
    </w:p>
    <w:sectPr w:rsidR="00053591" w:rsidRPr="004D0178" w:rsidSect="00CC334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4520F" w14:textId="77777777" w:rsidR="00DD4F2E" w:rsidRDefault="00DD4F2E" w:rsidP="009C186A">
      <w:pPr>
        <w:spacing w:after="0" w:line="240" w:lineRule="auto"/>
      </w:pPr>
      <w:r>
        <w:separator/>
      </w:r>
    </w:p>
  </w:endnote>
  <w:endnote w:type="continuationSeparator" w:id="0">
    <w:p w14:paraId="2F80DE10" w14:textId="77777777" w:rsidR="00DD4F2E" w:rsidRDefault="00DD4F2E" w:rsidP="009C1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A104" w14:textId="77777777" w:rsidR="00DD4F2E" w:rsidRDefault="00DD4F2E" w:rsidP="009C186A">
      <w:pPr>
        <w:spacing w:after="0" w:line="240" w:lineRule="auto"/>
      </w:pPr>
      <w:r>
        <w:separator/>
      </w:r>
    </w:p>
  </w:footnote>
  <w:footnote w:type="continuationSeparator" w:id="0">
    <w:p w14:paraId="7A804C6C" w14:textId="77777777" w:rsidR="00DD4F2E" w:rsidRDefault="00DD4F2E" w:rsidP="009C1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E721A" w14:textId="77777777" w:rsidR="00A73C71" w:rsidRPr="00FB4F45" w:rsidRDefault="00FB4F45">
    <w:pPr>
      <w:pStyle w:val="Header"/>
      <w:jc w:val="right"/>
      <w:rPr>
        <w:rFonts w:ascii="Times New Roman" w:hAnsi="Times New Roman" w:cs="Times New Roman"/>
        <w:sz w:val="24"/>
        <w:szCs w:val="24"/>
      </w:rPr>
    </w:pPr>
    <w:r w:rsidRPr="00FB4F45">
      <w:rPr>
        <w:rFonts w:ascii="Times New Roman" w:hAnsi="Times New Roman" w:cs="Times New Roman"/>
        <w:sz w:val="24"/>
        <w:szCs w:val="24"/>
      </w:rPr>
      <w:t>Tort Law</w:t>
    </w:r>
    <w:r w:rsidR="00A73C71" w:rsidRPr="00FB4F45">
      <w:rPr>
        <w:rFonts w:ascii="Times New Roman" w:hAnsi="Times New Roman" w:cs="Times New Roman"/>
        <w:sz w:val="24"/>
        <w:szCs w:val="24"/>
      </w:rPr>
      <w:t xml:space="preserve"> </w:t>
    </w:r>
    <w:sdt>
      <w:sdtPr>
        <w:rPr>
          <w:rFonts w:ascii="Times New Roman" w:hAnsi="Times New Roman" w:cs="Times New Roman"/>
          <w:sz w:val="24"/>
          <w:szCs w:val="24"/>
        </w:rPr>
        <w:id w:val="38735345"/>
        <w:docPartObj>
          <w:docPartGallery w:val="Page Numbers (Top of Page)"/>
          <w:docPartUnique/>
        </w:docPartObj>
      </w:sdtPr>
      <w:sdtEndPr/>
      <w:sdtContent>
        <w:r w:rsidR="00A73C71" w:rsidRPr="00FB4F45">
          <w:rPr>
            <w:rFonts w:ascii="Times New Roman" w:hAnsi="Times New Roman" w:cs="Times New Roman"/>
            <w:sz w:val="24"/>
            <w:szCs w:val="24"/>
          </w:rPr>
          <w:fldChar w:fldCharType="begin"/>
        </w:r>
        <w:r w:rsidR="00A73C71" w:rsidRPr="00FB4F45">
          <w:rPr>
            <w:rFonts w:ascii="Times New Roman" w:hAnsi="Times New Roman" w:cs="Times New Roman"/>
            <w:sz w:val="24"/>
            <w:szCs w:val="24"/>
          </w:rPr>
          <w:instrText xml:space="preserve"> PAGE   \* MERGEFORMAT </w:instrText>
        </w:r>
        <w:r w:rsidR="00A73C71" w:rsidRPr="00FB4F45">
          <w:rPr>
            <w:rFonts w:ascii="Times New Roman" w:hAnsi="Times New Roman" w:cs="Times New Roman"/>
            <w:sz w:val="24"/>
            <w:szCs w:val="24"/>
          </w:rPr>
          <w:fldChar w:fldCharType="separate"/>
        </w:r>
        <w:r w:rsidR="00290740">
          <w:rPr>
            <w:rFonts w:ascii="Times New Roman" w:hAnsi="Times New Roman" w:cs="Times New Roman"/>
            <w:noProof/>
            <w:sz w:val="24"/>
            <w:szCs w:val="24"/>
          </w:rPr>
          <w:t>11</w:t>
        </w:r>
        <w:r w:rsidR="00A73C71" w:rsidRPr="00FB4F45">
          <w:rPr>
            <w:rFonts w:ascii="Times New Roman" w:hAnsi="Times New Roman" w:cs="Times New Roman"/>
            <w:sz w:val="24"/>
            <w:szCs w:val="24"/>
          </w:rPr>
          <w:fldChar w:fldCharType="end"/>
        </w:r>
      </w:sdtContent>
    </w:sdt>
  </w:p>
  <w:p w14:paraId="306C1282" w14:textId="77777777" w:rsidR="00A73C71" w:rsidRDefault="00A73C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1EE"/>
    <w:rsid w:val="00014113"/>
    <w:rsid w:val="000217A3"/>
    <w:rsid w:val="00033353"/>
    <w:rsid w:val="00034AFE"/>
    <w:rsid w:val="000468FD"/>
    <w:rsid w:val="00053591"/>
    <w:rsid w:val="00066397"/>
    <w:rsid w:val="000977AC"/>
    <w:rsid w:val="000B0281"/>
    <w:rsid w:val="000C2089"/>
    <w:rsid w:val="000E1DA2"/>
    <w:rsid w:val="000E38BF"/>
    <w:rsid w:val="00112AB1"/>
    <w:rsid w:val="00135FD9"/>
    <w:rsid w:val="00143A5C"/>
    <w:rsid w:val="0015041D"/>
    <w:rsid w:val="0018301C"/>
    <w:rsid w:val="001834E0"/>
    <w:rsid w:val="00191B52"/>
    <w:rsid w:val="0019279C"/>
    <w:rsid w:val="001A5768"/>
    <w:rsid w:val="001C0145"/>
    <w:rsid w:val="001D3659"/>
    <w:rsid w:val="001E0B94"/>
    <w:rsid w:val="001F5A47"/>
    <w:rsid w:val="001F7192"/>
    <w:rsid w:val="00216073"/>
    <w:rsid w:val="002164A2"/>
    <w:rsid w:val="00240D8C"/>
    <w:rsid w:val="0024655E"/>
    <w:rsid w:val="0025185C"/>
    <w:rsid w:val="00261B34"/>
    <w:rsid w:val="00290740"/>
    <w:rsid w:val="00296D70"/>
    <w:rsid w:val="002A466C"/>
    <w:rsid w:val="002B1BA1"/>
    <w:rsid w:val="002D3A6E"/>
    <w:rsid w:val="002E01DD"/>
    <w:rsid w:val="0030632E"/>
    <w:rsid w:val="00323A94"/>
    <w:rsid w:val="00327064"/>
    <w:rsid w:val="00346044"/>
    <w:rsid w:val="00351206"/>
    <w:rsid w:val="003513A2"/>
    <w:rsid w:val="003722DE"/>
    <w:rsid w:val="0037241A"/>
    <w:rsid w:val="003742A7"/>
    <w:rsid w:val="00382FB6"/>
    <w:rsid w:val="00383582"/>
    <w:rsid w:val="003935E5"/>
    <w:rsid w:val="003936C2"/>
    <w:rsid w:val="0039543E"/>
    <w:rsid w:val="003A2DC9"/>
    <w:rsid w:val="003B1506"/>
    <w:rsid w:val="003B4C8C"/>
    <w:rsid w:val="003D04F7"/>
    <w:rsid w:val="003F70D1"/>
    <w:rsid w:val="00411E82"/>
    <w:rsid w:val="00421F8D"/>
    <w:rsid w:val="00426F75"/>
    <w:rsid w:val="004341EE"/>
    <w:rsid w:val="00435980"/>
    <w:rsid w:val="00444C3D"/>
    <w:rsid w:val="00445159"/>
    <w:rsid w:val="004452FC"/>
    <w:rsid w:val="00455E0E"/>
    <w:rsid w:val="0046131F"/>
    <w:rsid w:val="004911AF"/>
    <w:rsid w:val="004A1DBC"/>
    <w:rsid w:val="004B2D4F"/>
    <w:rsid w:val="004C4E68"/>
    <w:rsid w:val="004C54F2"/>
    <w:rsid w:val="004D0178"/>
    <w:rsid w:val="004E46D5"/>
    <w:rsid w:val="004E7118"/>
    <w:rsid w:val="004F1D0C"/>
    <w:rsid w:val="00500B3F"/>
    <w:rsid w:val="0050387E"/>
    <w:rsid w:val="00504994"/>
    <w:rsid w:val="00512850"/>
    <w:rsid w:val="00526019"/>
    <w:rsid w:val="00542463"/>
    <w:rsid w:val="0054340D"/>
    <w:rsid w:val="005464D8"/>
    <w:rsid w:val="0055372B"/>
    <w:rsid w:val="00555D73"/>
    <w:rsid w:val="00566F57"/>
    <w:rsid w:val="00571FBB"/>
    <w:rsid w:val="00585681"/>
    <w:rsid w:val="00591F78"/>
    <w:rsid w:val="005A6B67"/>
    <w:rsid w:val="005B0C16"/>
    <w:rsid w:val="005D66DB"/>
    <w:rsid w:val="005E4377"/>
    <w:rsid w:val="005E6092"/>
    <w:rsid w:val="005F5344"/>
    <w:rsid w:val="006145AA"/>
    <w:rsid w:val="00615B48"/>
    <w:rsid w:val="00624027"/>
    <w:rsid w:val="00631C62"/>
    <w:rsid w:val="006338F5"/>
    <w:rsid w:val="006536CF"/>
    <w:rsid w:val="0065525B"/>
    <w:rsid w:val="00661B27"/>
    <w:rsid w:val="00677657"/>
    <w:rsid w:val="006B1EFA"/>
    <w:rsid w:val="006D20E5"/>
    <w:rsid w:val="006D6477"/>
    <w:rsid w:val="006E4C22"/>
    <w:rsid w:val="006F160F"/>
    <w:rsid w:val="00705708"/>
    <w:rsid w:val="00706A35"/>
    <w:rsid w:val="0071362C"/>
    <w:rsid w:val="0072344E"/>
    <w:rsid w:val="0072617D"/>
    <w:rsid w:val="00734D53"/>
    <w:rsid w:val="00737859"/>
    <w:rsid w:val="0075132E"/>
    <w:rsid w:val="007573E8"/>
    <w:rsid w:val="00766CF8"/>
    <w:rsid w:val="00770E04"/>
    <w:rsid w:val="00776A02"/>
    <w:rsid w:val="00783839"/>
    <w:rsid w:val="007870AD"/>
    <w:rsid w:val="007A37DB"/>
    <w:rsid w:val="007A454B"/>
    <w:rsid w:val="007C0CF2"/>
    <w:rsid w:val="007C41D2"/>
    <w:rsid w:val="007C7F28"/>
    <w:rsid w:val="007E78AD"/>
    <w:rsid w:val="008259D0"/>
    <w:rsid w:val="008319CE"/>
    <w:rsid w:val="00847087"/>
    <w:rsid w:val="00852E4B"/>
    <w:rsid w:val="00855F2F"/>
    <w:rsid w:val="00864724"/>
    <w:rsid w:val="00864AE3"/>
    <w:rsid w:val="00866326"/>
    <w:rsid w:val="008742FF"/>
    <w:rsid w:val="00885D0F"/>
    <w:rsid w:val="00891F2B"/>
    <w:rsid w:val="00893D9A"/>
    <w:rsid w:val="00893EF9"/>
    <w:rsid w:val="008B44B3"/>
    <w:rsid w:val="008C53E8"/>
    <w:rsid w:val="008F35BF"/>
    <w:rsid w:val="00901487"/>
    <w:rsid w:val="00901595"/>
    <w:rsid w:val="00917A83"/>
    <w:rsid w:val="00921095"/>
    <w:rsid w:val="0092516C"/>
    <w:rsid w:val="00945EE4"/>
    <w:rsid w:val="00983702"/>
    <w:rsid w:val="009877EE"/>
    <w:rsid w:val="009A1819"/>
    <w:rsid w:val="009A6F94"/>
    <w:rsid w:val="009C1036"/>
    <w:rsid w:val="009C186A"/>
    <w:rsid w:val="009D1017"/>
    <w:rsid w:val="009D4178"/>
    <w:rsid w:val="009D6E72"/>
    <w:rsid w:val="009E0697"/>
    <w:rsid w:val="009E23F2"/>
    <w:rsid w:val="009E431A"/>
    <w:rsid w:val="009E596A"/>
    <w:rsid w:val="009E6902"/>
    <w:rsid w:val="009E7EB1"/>
    <w:rsid w:val="009F04BA"/>
    <w:rsid w:val="00A04412"/>
    <w:rsid w:val="00A116EC"/>
    <w:rsid w:val="00A11838"/>
    <w:rsid w:val="00A1572A"/>
    <w:rsid w:val="00A216BE"/>
    <w:rsid w:val="00A34B91"/>
    <w:rsid w:val="00A42D90"/>
    <w:rsid w:val="00A561CC"/>
    <w:rsid w:val="00A67454"/>
    <w:rsid w:val="00A73C71"/>
    <w:rsid w:val="00A74AC1"/>
    <w:rsid w:val="00A81163"/>
    <w:rsid w:val="00A94EDF"/>
    <w:rsid w:val="00A96BE0"/>
    <w:rsid w:val="00A9798E"/>
    <w:rsid w:val="00AB55A3"/>
    <w:rsid w:val="00AB735F"/>
    <w:rsid w:val="00AB7ACB"/>
    <w:rsid w:val="00AC0E0D"/>
    <w:rsid w:val="00AC68A6"/>
    <w:rsid w:val="00AF03D4"/>
    <w:rsid w:val="00AF35E7"/>
    <w:rsid w:val="00AF726F"/>
    <w:rsid w:val="00B13220"/>
    <w:rsid w:val="00B22349"/>
    <w:rsid w:val="00B41B2D"/>
    <w:rsid w:val="00B4630E"/>
    <w:rsid w:val="00B46BFD"/>
    <w:rsid w:val="00B668D3"/>
    <w:rsid w:val="00B71FED"/>
    <w:rsid w:val="00B73CD3"/>
    <w:rsid w:val="00B770A2"/>
    <w:rsid w:val="00B9609F"/>
    <w:rsid w:val="00BA4CC0"/>
    <w:rsid w:val="00BC30D3"/>
    <w:rsid w:val="00BD2DEE"/>
    <w:rsid w:val="00C405A6"/>
    <w:rsid w:val="00C53098"/>
    <w:rsid w:val="00C64C5E"/>
    <w:rsid w:val="00C80771"/>
    <w:rsid w:val="00C8442A"/>
    <w:rsid w:val="00C93612"/>
    <w:rsid w:val="00CB1969"/>
    <w:rsid w:val="00CC3341"/>
    <w:rsid w:val="00CC3B97"/>
    <w:rsid w:val="00CE3EA0"/>
    <w:rsid w:val="00CF3F06"/>
    <w:rsid w:val="00CF4C3B"/>
    <w:rsid w:val="00D0202F"/>
    <w:rsid w:val="00D02A24"/>
    <w:rsid w:val="00D02EAB"/>
    <w:rsid w:val="00D15C3F"/>
    <w:rsid w:val="00D416A9"/>
    <w:rsid w:val="00D6252F"/>
    <w:rsid w:val="00D638BA"/>
    <w:rsid w:val="00D77401"/>
    <w:rsid w:val="00D80005"/>
    <w:rsid w:val="00D858B9"/>
    <w:rsid w:val="00D97BF4"/>
    <w:rsid w:val="00DC1421"/>
    <w:rsid w:val="00DC4684"/>
    <w:rsid w:val="00DD4F2E"/>
    <w:rsid w:val="00DD7826"/>
    <w:rsid w:val="00DE4567"/>
    <w:rsid w:val="00DF5928"/>
    <w:rsid w:val="00DF6DEC"/>
    <w:rsid w:val="00DF7B36"/>
    <w:rsid w:val="00E007B6"/>
    <w:rsid w:val="00E319AA"/>
    <w:rsid w:val="00E37908"/>
    <w:rsid w:val="00E37BD5"/>
    <w:rsid w:val="00E40D50"/>
    <w:rsid w:val="00E472D8"/>
    <w:rsid w:val="00E56B84"/>
    <w:rsid w:val="00E57275"/>
    <w:rsid w:val="00E656F1"/>
    <w:rsid w:val="00E8122B"/>
    <w:rsid w:val="00E8589E"/>
    <w:rsid w:val="00E94240"/>
    <w:rsid w:val="00EA197E"/>
    <w:rsid w:val="00EA415A"/>
    <w:rsid w:val="00EB2235"/>
    <w:rsid w:val="00EC135E"/>
    <w:rsid w:val="00ED3382"/>
    <w:rsid w:val="00EF56D3"/>
    <w:rsid w:val="00EF5CC0"/>
    <w:rsid w:val="00F0070E"/>
    <w:rsid w:val="00F10033"/>
    <w:rsid w:val="00F22C6F"/>
    <w:rsid w:val="00F32487"/>
    <w:rsid w:val="00F36A53"/>
    <w:rsid w:val="00F467FA"/>
    <w:rsid w:val="00F62B9C"/>
    <w:rsid w:val="00F701D9"/>
    <w:rsid w:val="00F73FB4"/>
    <w:rsid w:val="00F80518"/>
    <w:rsid w:val="00F8675F"/>
    <w:rsid w:val="00F91238"/>
    <w:rsid w:val="00F967CC"/>
    <w:rsid w:val="00FB4F45"/>
    <w:rsid w:val="00FB69A8"/>
    <w:rsid w:val="00FC74F7"/>
    <w:rsid w:val="00FD49F8"/>
    <w:rsid w:val="00FD7A55"/>
    <w:rsid w:val="00FD7EF9"/>
    <w:rsid w:val="00FE3971"/>
    <w:rsid w:val="00FF22C4"/>
    <w:rsid w:val="00FF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A21E"/>
  <w15:docId w15:val="{13338820-F1E4-4C61-A280-294A1BF7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86A"/>
  </w:style>
  <w:style w:type="paragraph" w:styleId="Footer">
    <w:name w:val="footer"/>
    <w:basedOn w:val="Normal"/>
    <w:link w:val="FooterChar"/>
    <w:uiPriority w:val="99"/>
    <w:unhideWhenUsed/>
    <w:rsid w:val="009C18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2713</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Faisal Shamsdin</cp:lastModifiedBy>
  <cp:revision>2</cp:revision>
  <dcterms:created xsi:type="dcterms:W3CDTF">2022-04-01T20:52:00Z</dcterms:created>
  <dcterms:modified xsi:type="dcterms:W3CDTF">2022-04-01T20:52:00Z</dcterms:modified>
</cp:coreProperties>
</file>