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B8B5A0" w14:textId="77777777" w:rsidR="00703F4F" w:rsidRDefault="00000000">
      <w:r>
        <w:t xml:space="preserve">The use of the term Celts can be dated back to as far as the 500 BC, titled back to </w:t>
      </w:r>
      <w:proofErr w:type="spellStart"/>
      <w:r>
        <w:t>Hecateus</w:t>
      </w:r>
      <w:proofErr w:type="spellEnd"/>
      <w:r>
        <w:t xml:space="preserve"> himself who wrote “The Celts live just beyond the Pillars of Hercules and border on the </w:t>
      </w:r>
      <w:proofErr w:type="spellStart"/>
      <w:r>
        <w:t>Cygnetes</w:t>
      </w:r>
      <w:proofErr w:type="spellEnd"/>
      <w:r>
        <w:t>, who are the westernmost inhabitants of Europe”</w:t>
      </w:r>
      <w:r>
        <w:rPr>
          <w:rStyle w:val="FootnoteReference"/>
        </w:rPr>
        <w:footnoteReference w:id="1"/>
      </w:r>
      <w:r>
        <w:t xml:space="preserve">, giving historians a rough idea that the Celts lived around Italy and France, though not yet settled in Britain or Ireland. This is commonly understood to be the first reference to Celts in an ancient historical source, prior to their migration to what was then referred to as Britannica, in the </w:t>
      </w:r>
      <w:proofErr w:type="gramStart"/>
      <w:r>
        <w:t>modern day</w:t>
      </w:r>
      <w:proofErr w:type="gramEnd"/>
      <w:r>
        <w:t xml:space="preserve"> Britain and Ireland. Although the use of this label in today’s Celtic nations seems to be inaccurate, considering the historical, geographical and linguistic evidence over the course of many years, it is only fair to say that the usage of the term Celts can and should refer to the current inhabitants of Britain and Ireland as is historically suitable.</w:t>
      </w:r>
    </w:p>
    <w:p w14:paraId="0B1C8D06" w14:textId="55674288" w:rsidR="00703F4F" w:rsidRDefault="00000000">
      <w:r>
        <w:t>Ancient historical sources used the term Celt to refer to certain tribes that were stationed elsewhere in Europe; between the 500 BC and the 5</w:t>
      </w:r>
      <w:r>
        <w:rPr>
          <w:vertAlign w:val="superscript"/>
        </w:rPr>
        <w:t>th</w:t>
      </w:r>
      <w:r>
        <w:t xml:space="preserve"> century AD, Celts were stationed between Anatolia, Gaul and around the Carpathian Basin, along the Danube. Polybius noted that the </w:t>
      </w:r>
      <w:proofErr w:type="spellStart"/>
      <w:r>
        <w:t>Gaesatae</w:t>
      </w:r>
      <w:proofErr w:type="spellEnd"/>
      <w:r>
        <w:t xml:space="preserve"> led a Celtic army into the Battle of Telamon (225 BCE) “from conceit and daring threw their clothing off and went out to the front of their army naked, having nothing but their weapons”</w:t>
      </w:r>
      <w:r>
        <w:rPr>
          <w:rStyle w:val="FootnoteReference"/>
        </w:rPr>
        <w:footnoteReference w:id="2"/>
      </w:r>
      <w:r>
        <w:t>. Diodorus noted that they were quick-tempered and violent, and “they did not fear death”</w:t>
      </w:r>
      <w:r>
        <w:rPr>
          <w:rStyle w:val="FootnoteReference"/>
        </w:rPr>
        <w:footnoteReference w:id="3"/>
      </w:r>
      <w:r>
        <w:t>, as well as preserving their enemies heads in oil; this is supported by Posidonius’ notes, who studied the Celts firsthand and wrote “They preserve the heads of their most distinguished enemies in cedar oil and store them carefully in chests”</w:t>
      </w:r>
      <w:r>
        <w:rPr>
          <w:rStyle w:val="FootnoteReference"/>
        </w:rPr>
        <w:footnoteReference w:id="4"/>
      </w:r>
      <w:r>
        <w:t xml:space="preserve"> and also noted that “they decapitate their slain enemies and attach the heads to their horses’ necks”</w:t>
      </w:r>
      <w:r>
        <w:rPr>
          <w:rStyle w:val="FootnoteReference"/>
        </w:rPr>
        <w:footnoteReference w:id="5"/>
      </w:r>
      <w:r>
        <w:t>.</w:t>
      </w:r>
      <w:r w:rsidR="00063A6E">
        <w:t xml:space="preserve"> </w:t>
      </w:r>
      <w:r>
        <w:t>Diodorus</w:t>
      </w:r>
      <w:r w:rsidR="00063A6E">
        <w:t xml:space="preserve"> also</w:t>
      </w:r>
      <w:r>
        <w:t xml:space="preserve"> noted that “those that live inland from Massalia as well as those around the Alps and on the eastern side of the Pyrenees are called Celts”</w:t>
      </w:r>
      <w:r>
        <w:rPr>
          <w:rStyle w:val="FootnoteReference"/>
        </w:rPr>
        <w:footnoteReference w:id="6"/>
      </w:r>
      <w:r>
        <w:t xml:space="preserve">, however specified there was an important distinction between Celts and another tribe noted as the </w:t>
      </w:r>
      <w:proofErr w:type="spellStart"/>
      <w:r>
        <w:t>Galatae</w:t>
      </w:r>
      <w:proofErr w:type="spellEnd"/>
      <w:r>
        <w:t>, who lived “near the Hercynian mountain and those beyond as far as Scythia”</w:t>
      </w:r>
      <w:r>
        <w:rPr>
          <w:rStyle w:val="FootnoteReference"/>
        </w:rPr>
        <w:footnoteReference w:id="7"/>
      </w:r>
      <w:r>
        <w:t xml:space="preserve">, </w:t>
      </w:r>
      <w:r w:rsidR="00063A6E">
        <w:t>and</w:t>
      </w:r>
      <w:r>
        <w:t xml:space="preserve"> said that the “Romans, however, include all these nations together, calling them one and all Gauls”</w:t>
      </w:r>
      <w:r>
        <w:rPr>
          <w:rStyle w:val="FootnoteReference"/>
        </w:rPr>
        <w:footnoteReference w:id="8"/>
      </w:r>
      <w:r>
        <w:t xml:space="preserve">. This suggests that a modern day interpretation in which grouping all inhabitants of Britain and Ireland as Celts is inaccurate, as it was significant enough for Diodorus Siculus to note the difference; however, both the tribes must have migrated over time to Britannic due to the geographical patterns of such; understandably, this does not inherently define the modern day interpretation, but rather make an important distinction that the past was made up of tribes that then came together to define what </w:t>
      </w:r>
      <w:r>
        <w:lastRenderedPageBreak/>
        <w:t xml:space="preserve">we mean by the Celts today. There is also archaeological evidence in Anatolia and La Tene that tells modern day historians that they buried their dead with a lot of honour, such as the </w:t>
      </w:r>
      <w:proofErr w:type="spellStart"/>
      <w:r>
        <w:t>Hofdorf</w:t>
      </w:r>
      <w:proofErr w:type="spellEnd"/>
      <w:r>
        <w:t xml:space="preserve"> Prince’s tomb; buried with drinking and feasting instruments, though lacking in war related objects, proving they held him in quite high esteem as somebody who enjoyed and made the most of life. Religious figures such as Druids were mentioned by many and held in high esteem in Celtic society, Caesar himself writing “sacrifice human victims […] employing the Druids as ministers for such sacrifices.”</w:t>
      </w:r>
      <w:r>
        <w:rPr>
          <w:rStyle w:val="FootnoteReference"/>
        </w:rPr>
        <w:footnoteReference w:id="9"/>
      </w:r>
      <w:r>
        <w:t xml:space="preserve"> Despite only being referred to in Gaul or Britain, they are mentioned in Irish literatures proving they were found there too, by the name “</w:t>
      </w:r>
      <w:proofErr w:type="spellStart"/>
      <w:r>
        <w:t>Drui</w:t>
      </w:r>
      <w:proofErr w:type="spellEnd"/>
      <w:r>
        <w:t>”. Therefore, even though they were not referred to directly as living in Ireland by ancient historical sources, Druids were still found there through the use of historical literatures – this suggests that, although the inhabitants of Britain and Ireland are not referred to as Celts in ancient historical sources, there is perhaps external evidence provid</w:t>
      </w:r>
      <w:r w:rsidR="005D4F06">
        <w:t>ed</w:t>
      </w:r>
      <w:r>
        <w:t xml:space="preserve"> that the modern day inhabitants have a right to be referred to as such. In reference to today’s language, the inhabitants of Britain and Ireland descended from these Celts, making the term not inaccurate as a reference to </w:t>
      </w:r>
      <w:proofErr w:type="gramStart"/>
      <w:r>
        <w:t>them as a whole</w:t>
      </w:r>
      <w:proofErr w:type="gramEnd"/>
      <w:r>
        <w:t>. Regardless of whether modern inhabitants follow the same characteristics; beliefs in religion, barbaric nature, fearlessness; the ancestors of them did, ergo those who descended from Britons can be named Celtic in their right.</w:t>
      </w:r>
    </w:p>
    <w:p w14:paraId="615AE71C" w14:textId="75702EF3" w:rsidR="00703F4F" w:rsidRDefault="00000000">
      <w:r>
        <w:t>Alternatively, linguistically it can be argued that the inhabitants of Britain and Ireland are Celtic because they descended from the Celtic nations that spoke their same language; the tribes built the bases of the languages spoken today, such as Scottish Gaelic or Welsh. Brittonic is the earliest known language from the island of Britain, whereas Goidelic is the earliest from Ireland; we can see that this is the basis for English and Gaelic today. George Buchanan</w:t>
      </w:r>
      <w:r>
        <w:rPr>
          <w:rStyle w:val="FootnoteReference"/>
        </w:rPr>
        <w:footnoteReference w:id="10"/>
      </w:r>
      <w:r>
        <w:t xml:space="preserve"> believed Celts migrated from Spain to Ireland and thence to Scotland, however he did not refer to the Ancient Britons as Celts, focusing instead on the languages of Irish and Scottish Gaelic; this parallels the idea that those who speak the languages are also Celtic, likely arguing that while the languages themselves are Celtic, the speakers are whatever country they belong to, e.g. Irish if they speak Irish Gaelic, Welsh if they speak Welsh. Celts themselves also disliked being grouped in with each other, the tribes having terms of abuse for each other according to Patrick Sims-Williams; “Medieval and early modern Welsh and Irish had absolutely no idea that they were fellow ‘Celts’”</w:t>
      </w:r>
      <w:r>
        <w:rPr>
          <w:rStyle w:val="FootnoteReference"/>
        </w:rPr>
        <w:footnoteReference w:id="11"/>
      </w:r>
      <w:r>
        <w:t xml:space="preserve">, implying that the grouping of these countries as Celtic is a modern historian ideology that we are conforming to, and the implication of such erases their individual histories as tribes and languages. While this is indeed a valid argument, as the unification of people often devalues their own histories, it should still be noted that they do fit under the umbrella of Celtic and therefore it is not a </w:t>
      </w:r>
      <w:r>
        <w:lastRenderedPageBreak/>
        <w:t>pejorative term, rather a word used to describe the ancient characteristics of tribes that build up Britain today. The term ‘Celtic’ used to refer to the modern inhabitants of Britain and Ireland is not erasure; it is rather an acknowledgement and appreciation of the history of Celts as a whole. Paul-Yves Pezron, a 17</w:t>
      </w:r>
      <w:r>
        <w:rPr>
          <w:vertAlign w:val="superscript"/>
        </w:rPr>
        <w:t>th</w:t>
      </w:r>
      <w:r>
        <w:t xml:space="preserve"> century Cistercian, believed that Breton and Welsh shared a common origin that stemmed from the language of the Celts, “otherwise called Gauls”</w:t>
      </w:r>
      <w:r>
        <w:rPr>
          <w:rStyle w:val="FootnoteReference"/>
        </w:rPr>
        <w:footnoteReference w:id="12"/>
      </w:r>
      <w:r>
        <w:t>, and claimed his Celts “descended from Noah… spread across Europe, conquering Romans and Greeks, and eventually ended up in Armorica”</w:t>
      </w:r>
      <w:r>
        <w:rPr>
          <w:rStyle w:val="FootnoteReference"/>
        </w:rPr>
        <w:footnoteReference w:id="13"/>
      </w:r>
      <w:r>
        <w:t xml:space="preserve">. This suggests a lenient view of the term Celt, as he defined them as Celts even despite the fact they originated from many other places and ended up in Armorica – later to be known as Brittany, and currently Britain. Thus, it is possible to assume </w:t>
      </w:r>
      <w:proofErr w:type="spellStart"/>
      <w:r>
        <w:t>Pezron’s</w:t>
      </w:r>
      <w:proofErr w:type="spellEnd"/>
      <w:r>
        <w:t xml:space="preserve"> stance supports the usage of the term Celt to define countries in the modern day, with the previous understanding that it is an appreciation of history rather than an erasure. In further support, Edward Lhuyd, who wrote the </w:t>
      </w:r>
      <w:proofErr w:type="spellStart"/>
      <w:r>
        <w:t>Archaeologica</w:t>
      </w:r>
      <w:proofErr w:type="spellEnd"/>
      <w:r>
        <w:t xml:space="preserve"> Brittanica</w:t>
      </w:r>
      <w:r>
        <w:rPr>
          <w:rStyle w:val="FootnoteReference"/>
        </w:rPr>
        <w:footnoteReference w:id="14"/>
      </w:r>
      <w:r>
        <w:t>, used the term ‘British’ as the name for the ancient language of the Britons, that modern historians now label Brittonic – the parent language to Welsh, Cornish and Breton. Lhuyd is accused by modern historians of calling the languages collectively Celtic, but Barry Cunliffe’s response to this writes that “it is clear from his preface that he felt the term Celtic should properly only be used on the continent for the ancient inhabitation of Gaul”</w:t>
      </w:r>
      <w:r>
        <w:rPr>
          <w:rStyle w:val="FootnoteReference"/>
        </w:rPr>
        <w:footnoteReference w:id="15"/>
      </w:r>
      <w:r>
        <w:t xml:space="preserve"> – both scholars seem to suggest that, at least linguistically, unifying the languages as Celtic together does in fact erase their individual history – in comparison, it could be argued that the languages merely act as a veil and support for the countries themselves, and that there is a marked difference between referring to countries as Celtic and referring to languages as such. Countries can be summarised in an all-encompassing umbrella term of Celtic, as Britain and Ireland are the final stands for the tribes that migrated there – alternatively, the languages of Gaelic, Welsh and Breton are different languages with different rules, spoken by people coming from other areas of the world. Therefore, it can still be argued that the use of Celtic can still be used for the modern inhabitants of Britain and Ireland, </w:t>
      </w:r>
      <w:proofErr w:type="gramStart"/>
      <w:r>
        <w:t>as long as</w:t>
      </w:r>
      <w:proofErr w:type="gramEnd"/>
      <w:r>
        <w:t xml:space="preserve"> there is a distinction between the languages themselves.</w:t>
      </w:r>
    </w:p>
    <w:p w14:paraId="77610565" w14:textId="33718574" w:rsidR="00703F4F" w:rsidRDefault="00000000">
      <w:r>
        <w:t>To refer to the modern day inhabitants of Britain and Ireland as Celts we must also look at the geographical migration of Celts from where they were identified by Hecateus and Caesar to their final landing place of Britain and Ireland – Barry Cunliffe identified the Celtic culture as binding parts of Europe together; “It is evident that the concept of an ethnically distinguishable entity known as Celts existed a century or more before the historic migrations, and that they were though to occupy a swath of western Europe from Iberia to the Upper Danube”</w:t>
      </w:r>
      <w:r>
        <w:rPr>
          <w:rStyle w:val="FootnoteReference"/>
        </w:rPr>
        <w:footnoteReference w:id="16"/>
      </w:r>
      <w:r>
        <w:t xml:space="preserve">. Malcolm Chapman identified the Celts as migrating </w:t>
      </w:r>
      <w:r>
        <w:lastRenderedPageBreak/>
        <w:t>after the collapse of the Roman Empire; “the Celts faded from the scene as a major European force, being thereafter confined to the far north-west – to the areas that came to be known as Wales, Brittany, Ireland and Scotland”</w:t>
      </w:r>
      <w:r>
        <w:rPr>
          <w:rStyle w:val="FootnoteReference"/>
        </w:rPr>
        <w:footnoteReference w:id="17"/>
      </w:r>
      <w:r>
        <w:t>. During this time, the geographical migration brought together the surviving tribes, and Chapman evidences that perhaps it is not the individual tribes that are identified as Celtic, but rather the unification of all the cultures is what makes them the Celts; “The continuity in the characteristics of this culture-meeting gives us continuity in the Celts”</w:t>
      </w:r>
      <w:r w:rsidR="00006820">
        <w:rPr>
          <w:rStyle w:val="FootnoteReference"/>
        </w:rPr>
        <w:footnoteReference w:id="18"/>
      </w:r>
      <w:r>
        <w:t xml:space="preserve">. This in tandem with their linguistic parallels and archaeological evidence proves that we should be able to refer to the </w:t>
      </w:r>
      <w:proofErr w:type="gramStart"/>
      <w:r>
        <w:t>modern day</w:t>
      </w:r>
      <w:proofErr w:type="gramEnd"/>
      <w:r>
        <w:t xml:space="preserve"> inhabitants as Celts. Especially despite their origins in various countries, as this boils back down to the ‘pots equals people’ mentality, defining culture as the one language that brings it together – it should instead be argued that Celts are made up of the several languages they speak and that they are a whole that is not defined by one specific tribe or language, and that the term ‘Celt’ is an acknowledgement of that. Much as modern day Britain is not only comprised of the English, but rather also exists besides the Scottish, Welsh and Irish that all come together to unite, it does not feel unrealistic to think that today’s Celtic nations can be defined as such as a term that encompasses them all while detailing their individual histories.</w:t>
      </w:r>
    </w:p>
    <w:p w14:paraId="6018E6EE" w14:textId="77777777" w:rsidR="00703F4F" w:rsidRDefault="00000000">
      <w:r>
        <w:t xml:space="preserve">Ultimately, the term ‘Celt’ remains to be highly debated, especially in the modern day but even in the context of ancient texts, and the answer offered would be different depending on linguists, geographers, archaeologists and ancient historians. Whilst it is possible that the </w:t>
      </w:r>
      <w:proofErr w:type="gramStart"/>
      <w:r>
        <w:t>modern day</w:t>
      </w:r>
      <w:proofErr w:type="gramEnd"/>
      <w:r>
        <w:t xml:space="preserve"> inhabitants of Britain and Ireland can be called Celts, it is equally possible that the impact of it would be more erasure than inclusivity, and therefore a solid conclusion can never quite be earned.</w:t>
      </w:r>
    </w:p>
    <w:p w14:paraId="1A872BB8" w14:textId="77777777" w:rsidR="003E1468" w:rsidRDefault="003E1468"/>
    <w:p w14:paraId="18EE87C7" w14:textId="4EA4FFFE" w:rsidR="00703F4F" w:rsidRPr="003E1468" w:rsidRDefault="00000000">
      <w:pPr>
        <w:rPr>
          <w:u w:val="single"/>
        </w:rPr>
      </w:pPr>
      <w:r w:rsidRPr="003E1468">
        <w:rPr>
          <w:u w:val="single"/>
        </w:rPr>
        <w:t>Bibliography</w:t>
      </w:r>
    </w:p>
    <w:p w14:paraId="11DBA53A" w14:textId="77777777" w:rsidR="00703F4F" w:rsidRDefault="00000000">
      <w:pPr>
        <w:spacing w:line="240" w:lineRule="auto"/>
      </w:pPr>
      <w:r>
        <w:t xml:space="preserve">Chadwick, Nora K, and Barry W Cunliffe, </w:t>
      </w:r>
      <w:r>
        <w:rPr>
          <w:i/>
          <w:iCs/>
        </w:rPr>
        <w:t>The Celts</w:t>
      </w:r>
      <w:r>
        <w:t>, [Revised edition]. (Penguin Books, 1997)</w:t>
      </w:r>
    </w:p>
    <w:p w14:paraId="325E63EF" w14:textId="77777777" w:rsidR="00703F4F" w:rsidRDefault="00000000">
      <w:pPr>
        <w:spacing w:line="240" w:lineRule="auto"/>
      </w:pPr>
      <w:r>
        <w:t xml:space="preserve">Chapman, Malcolm, </w:t>
      </w:r>
      <w:r>
        <w:rPr>
          <w:i/>
          <w:iCs/>
        </w:rPr>
        <w:t xml:space="preserve">The </w:t>
      </w:r>
      <w:proofErr w:type="gramStart"/>
      <w:r>
        <w:rPr>
          <w:i/>
          <w:iCs/>
        </w:rPr>
        <w:t>Celts</w:t>
      </w:r>
      <w:r>
        <w:rPr>
          <w:rFonts w:ascii="Arial" w:hAnsi="Arial" w:cs="Arial"/>
          <w:i/>
          <w:iCs/>
        </w:rPr>
        <w:t> </w:t>
      </w:r>
      <w:r>
        <w:rPr>
          <w:i/>
          <w:iCs/>
        </w:rPr>
        <w:t>:</w:t>
      </w:r>
      <w:proofErr w:type="gramEnd"/>
      <w:r>
        <w:rPr>
          <w:i/>
          <w:iCs/>
        </w:rPr>
        <w:t xml:space="preserve"> The Construction of a Myth</w:t>
      </w:r>
      <w:r>
        <w:t>, 1st ed. 1992. (Palgrave Macmillan UK, 1992)</w:t>
      </w:r>
    </w:p>
    <w:p w14:paraId="6A2C94B3" w14:textId="77777777" w:rsidR="00703F4F" w:rsidRDefault="00000000">
      <w:pPr>
        <w:spacing w:line="240" w:lineRule="auto"/>
      </w:pPr>
      <w:r>
        <w:t xml:space="preserve">Cunliffe, Barry, </w:t>
      </w:r>
      <w:r>
        <w:rPr>
          <w:i/>
          <w:iCs/>
        </w:rPr>
        <w:t>The Ancient Celts</w:t>
      </w:r>
      <w:r>
        <w:t>, Second edition. (Oxford University Press, 2018)</w:t>
      </w:r>
    </w:p>
    <w:p w14:paraId="4B517ECD" w14:textId="77777777" w:rsidR="00703F4F" w:rsidRDefault="00000000">
      <w:pPr>
        <w:spacing w:line="240" w:lineRule="auto"/>
      </w:pPr>
      <w:r>
        <w:t xml:space="preserve">Cunliffe, Barry, </w:t>
      </w:r>
      <w:r>
        <w:rPr>
          <w:i/>
          <w:iCs/>
        </w:rPr>
        <w:t>The Celts: A Very Short Introduction</w:t>
      </w:r>
      <w:r>
        <w:t xml:space="preserve"> (Oxford, 2003)</w:t>
      </w:r>
    </w:p>
    <w:p w14:paraId="107A6E45" w14:textId="77777777" w:rsidR="00703F4F" w:rsidRDefault="00000000">
      <w:pPr>
        <w:spacing w:line="240" w:lineRule="auto"/>
      </w:pPr>
      <w:r>
        <w:lastRenderedPageBreak/>
        <w:t xml:space="preserve">Browning, Robert, Stephanus of Byzantium, in </w:t>
      </w:r>
      <w:r>
        <w:rPr>
          <w:i/>
          <w:iCs/>
        </w:rPr>
        <w:t>Oxford Classical Dictionary,</w:t>
      </w:r>
      <w:r>
        <w:t xml:space="preserve"> </w:t>
      </w:r>
      <w:hyperlink r:id="rId7" w:history="1">
        <w:r>
          <w:rPr>
            <w:rStyle w:val="Hyperlink"/>
          </w:rPr>
          <w:t>https://oxfordre.com/classics/display/10.1093/acrefore/9780199381135.001.0001/acrefore-9780199381135-e-6074</w:t>
        </w:r>
      </w:hyperlink>
      <w:r>
        <w:t xml:space="preserve"> </w:t>
      </w:r>
    </w:p>
    <w:p w14:paraId="43E500D8" w14:textId="77777777" w:rsidR="00703F4F" w:rsidRDefault="00000000">
      <w:pPr>
        <w:spacing w:line="240" w:lineRule="auto"/>
      </w:pPr>
      <w:r>
        <w:t xml:space="preserve">Edwards, H.J., </w:t>
      </w:r>
      <w:r>
        <w:rPr>
          <w:i/>
          <w:iCs/>
        </w:rPr>
        <w:t xml:space="preserve">Caesar: The Gallic War, An English Translation </w:t>
      </w:r>
      <w:r>
        <w:t>(London: Heinemann, 1986)</w:t>
      </w:r>
    </w:p>
    <w:p w14:paraId="435E25A7" w14:textId="77777777" w:rsidR="00703F4F" w:rsidRDefault="00000000">
      <w:pPr>
        <w:spacing w:line="240" w:lineRule="auto"/>
      </w:pPr>
      <w:r>
        <w:t xml:space="preserve">West, Stephanie, Hecateus (1), in </w:t>
      </w:r>
      <w:r>
        <w:rPr>
          <w:i/>
          <w:iCs/>
        </w:rPr>
        <w:t xml:space="preserve">Oxford Classical Dictionary, </w:t>
      </w:r>
      <w:hyperlink r:id="rId8" w:history="1">
        <w:r>
          <w:rPr>
            <w:rStyle w:val="Hyperlink"/>
          </w:rPr>
          <w:t>https://oxfordre.com/classics/display/10.1093/acrefore/9780199381135.001.0001/acrefore-9780199381135-e-2955</w:t>
        </w:r>
      </w:hyperlink>
      <w:r>
        <w:t xml:space="preserve"> </w:t>
      </w:r>
    </w:p>
    <w:p w14:paraId="0DD74094" w14:textId="77777777" w:rsidR="00703F4F" w:rsidRDefault="00000000">
      <w:pPr>
        <w:spacing w:line="240" w:lineRule="auto"/>
      </w:pPr>
      <w:r>
        <w:t xml:space="preserve">Koch, John T and John Carey (eds), </w:t>
      </w:r>
      <w:r>
        <w:rPr>
          <w:i/>
          <w:iCs/>
        </w:rPr>
        <w:t xml:space="preserve">The Celtic Heroic Age: Literary Sources for Ancient Celtic Europe and Early Ireland and Wales, </w:t>
      </w:r>
      <w:r>
        <w:t>4</w:t>
      </w:r>
      <w:r>
        <w:rPr>
          <w:vertAlign w:val="superscript"/>
        </w:rPr>
        <w:t>th</w:t>
      </w:r>
      <w:r>
        <w:t xml:space="preserve"> </w:t>
      </w:r>
      <w:proofErr w:type="spellStart"/>
      <w:r>
        <w:t>edn</w:t>
      </w:r>
      <w:proofErr w:type="spellEnd"/>
      <w:r>
        <w:t xml:space="preserve"> (Aberystwyth: Celtic Studies Publications, 2003)</w:t>
      </w:r>
    </w:p>
    <w:p w14:paraId="15D51721" w14:textId="77777777" w:rsidR="00703F4F" w:rsidRDefault="00000000">
      <w:pPr>
        <w:spacing w:line="240" w:lineRule="auto"/>
      </w:pPr>
      <w:r>
        <w:t xml:space="preserve">Polybius, </w:t>
      </w:r>
      <w:r>
        <w:rPr>
          <w:i/>
          <w:iCs/>
        </w:rPr>
        <w:t xml:space="preserve">The Histories. Volume </w:t>
      </w:r>
      <w:proofErr w:type="gramStart"/>
      <w:r>
        <w:rPr>
          <w:i/>
          <w:iCs/>
        </w:rPr>
        <w:t>I,  Books</w:t>
      </w:r>
      <w:proofErr w:type="gramEnd"/>
      <w:r>
        <w:rPr>
          <w:i/>
          <w:iCs/>
        </w:rPr>
        <w:t xml:space="preserve"> 1-2</w:t>
      </w:r>
      <w:r>
        <w:t>, ed. by F. W. Walbank and Christian Habicht, trans. by W. R. Paton (Harvard University Press, 2010)</w:t>
      </w:r>
    </w:p>
    <w:p w14:paraId="2AE50AA8" w14:textId="77777777" w:rsidR="00703F4F" w:rsidRDefault="00000000">
      <w:pPr>
        <w:spacing w:line="240" w:lineRule="auto"/>
      </w:pPr>
      <w:r>
        <w:rPr>
          <w:rFonts w:eastAsia="Times New Roman"/>
          <w:kern w:val="0"/>
          <w:lang w:eastAsia="en-GB"/>
        </w:rPr>
        <w:t xml:space="preserve">Diodorus, </w:t>
      </w:r>
      <w:r>
        <w:rPr>
          <w:rFonts w:eastAsia="Times New Roman"/>
          <w:i/>
          <w:iCs/>
          <w:kern w:val="0"/>
          <w:lang w:eastAsia="en-GB"/>
        </w:rPr>
        <w:t>Library of History. Volume III</w:t>
      </w:r>
      <w:r>
        <w:rPr>
          <w:rFonts w:eastAsia="Times New Roman"/>
          <w:kern w:val="0"/>
          <w:lang w:eastAsia="en-GB"/>
        </w:rPr>
        <w:t xml:space="preserve"> (Harvard University Press, 1933)</w:t>
      </w:r>
    </w:p>
    <w:p w14:paraId="2FD69551" w14:textId="77777777" w:rsidR="00703F4F" w:rsidRDefault="00000000">
      <w:pPr>
        <w:spacing w:line="240" w:lineRule="auto"/>
      </w:pPr>
      <w:r>
        <w:t xml:space="preserve">Caesar, Julius, </w:t>
      </w:r>
      <w:r>
        <w:rPr>
          <w:i/>
          <w:iCs/>
        </w:rPr>
        <w:t>The Gallic War</w:t>
      </w:r>
      <w:r>
        <w:t>, trans. by H. J. Edwards (Harvard University Press, 1917)</w:t>
      </w:r>
    </w:p>
    <w:p w14:paraId="562B0670" w14:textId="77777777" w:rsidR="00703F4F" w:rsidRDefault="00000000">
      <w:pPr>
        <w:spacing w:line="240" w:lineRule="auto"/>
      </w:pPr>
      <w:r>
        <w:t>Patrick Sims-Williams, </w:t>
      </w:r>
      <w:proofErr w:type="spellStart"/>
      <w:r>
        <w:rPr>
          <w:i/>
          <w:iCs/>
        </w:rPr>
        <w:t>Celtomania</w:t>
      </w:r>
      <w:proofErr w:type="spellEnd"/>
      <w:r>
        <w:rPr>
          <w:i/>
          <w:iCs/>
        </w:rPr>
        <w:t xml:space="preserve"> and </w:t>
      </w:r>
      <w:proofErr w:type="spellStart"/>
      <w:r>
        <w:rPr>
          <w:i/>
          <w:iCs/>
        </w:rPr>
        <w:t>Celtoscepticism</w:t>
      </w:r>
      <w:proofErr w:type="spellEnd"/>
      <w:r>
        <w:rPr>
          <w:i/>
          <w:iCs/>
        </w:rPr>
        <w:t>,</w:t>
      </w:r>
      <w:r>
        <w:t xml:space="preserve"> (Article, Cambrian Medieval Celtic Studies, 1998), page 13</w:t>
      </w:r>
    </w:p>
    <w:p w14:paraId="4BA2D180" w14:textId="77777777" w:rsidR="00703F4F" w:rsidRDefault="00000000">
      <w:pPr>
        <w:spacing w:line="240" w:lineRule="auto"/>
      </w:pPr>
      <w:r>
        <w:t xml:space="preserve">Ian Stewart, </w:t>
      </w:r>
      <w:r>
        <w:rPr>
          <w:i/>
          <w:iCs/>
        </w:rPr>
        <w:t xml:space="preserve">The Celts: A Modern History </w:t>
      </w:r>
      <w:r>
        <w:t>(Princeton and Oxford: Princeton University Press, 2025)</w:t>
      </w:r>
    </w:p>
    <w:sectPr w:rsidR="00703F4F">
      <w:headerReference w:type="default" r:id="rI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2989D" w14:textId="77777777" w:rsidR="00070DED" w:rsidRDefault="00070DED">
      <w:pPr>
        <w:spacing w:after="0" w:line="240" w:lineRule="auto"/>
      </w:pPr>
      <w:r>
        <w:separator/>
      </w:r>
    </w:p>
  </w:endnote>
  <w:endnote w:type="continuationSeparator" w:id="0">
    <w:p w14:paraId="67FF9C14" w14:textId="77777777" w:rsidR="00070DED" w:rsidRDefault="00070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7956F5" w14:textId="77777777" w:rsidR="00070DED" w:rsidRDefault="00070DED">
      <w:pPr>
        <w:spacing w:after="0" w:line="240" w:lineRule="auto"/>
      </w:pPr>
      <w:r>
        <w:rPr>
          <w:color w:val="000000"/>
        </w:rPr>
        <w:separator/>
      </w:r>
    </w:p>
  </w:footnote>
  <w:footnote w:type="continuationSeparator" w:id="0">
    <w:p w14:paraId="0F22033A" w14:textId="77777777" w:rsidR="00070DED" w:rsidRDefault="00070DED">
      <w:pPr>
        <w:spacing w:after="0" w:line="240" w:lineRule="auto"/>
      </w:pPr>
      <w:r>
        <w:continuationSeparator/>
      </w:r>
    </w:p>
  </w:footnote>
  <w:footnote w:id="1">
    <w:p w14:paraId="66B15A61" w14:textId="02D05536" w:rsidR="00000000" w:rsidRDefault="00000000" w:rsidP="00C02242">
      <w:pPr>
        <w:pStyle w:val="FootnoteText"/>
      </w:pPr>
      <w:r>
        <w:rPr>
          <w:rStyle w:val="FootnoteReference"/>
        </w:rPr>
        <w:footnoteRef/>
      </w:r>
      <w:r>
        <w:t xml:space="preserve"> Robert Browning, Stephanus of Byzantium, in </w:t>
      </w:r>
      <w:r>
        <w:rPr>
          <w:i/>
          <w:iCs/>
        </w:rPr>
        <w:t>Oxford Classical Dictionary</w:t>
      </w:r>
    </w:p>
  </w:footnote>
  <w:footnote w:id="2">
    <w:p w14:paraId="3D075630" w14:textId="4CE4DBC8" w:rsidR="00000000" w:rsidRDefault="00000000" w:rsidP="00C02242">
      <w:pPr>
        <w:pStyle w:val="FootnoteText"/>
      </w:pPr>
      <w:r>
        <w:rPr>
          <w:rStyle w:val="FootnoteReference"/>
        </w:rPr>
        <w:footnoteRef/>
      </w:r>
      <w:r>
        <w:rPr>
          <w:sz w:val="24"/>
          <w:szCs w:val="24"/>
        </w:rPr>
        <w:t xml:space="preserve"> </w:t>
      </w:r>
      <w:r>
        <w:t xml:space="preserve">Polybius, </w:t>
      </w:r>
      <w:r>
        <w:rPr>
          <w:i/>
          <w:iCs/>
        </w:rPr>
        <w:t xml:space="preserve">The Histories. Volume </w:t>
      </w:r>
      <w:proofErr w:type="gramStart"/>
      <w:r>
        <w:rPr>
          <w:i/>
          <w:iCs/>
        </w:rPr>
        <w:t>I,  Books</w:t>
      </w:r>
      <w:proofErr w:type="gramEnd"/>
      <w:r>
        <w:rPr>
          <w:i/>
          <w:iCs/>
        </w:rPr>
        <w:t xml:space="preserve"> 1-2</w:t>
      </w:r>
      <w:r>
        <w:t>, ed. by F. W. Walbank and Christian Habicht, trans. by W. R. Paton (Harvard University Press, 2010)</w:t>
      </w:r>
    </w:p>
  </w:footnote>
  <w:footnote w:id="3">
    <w:p w14:paraId="6B44AED3" w14:textId="7735254C" w:rsidR="00000000" w:rsidRDefault="00000000" w:rsidP="00C02242">
      <w:pPr>
        <w:pStyle w:val="FootnoteText"/>
      </w:pPr>
      <w:r>
        <w:rPr>
          <w:rStyle w:val="FootnoteReference"/>
        </w:rPr>
        <w:footnoteRef/>
      </w:r>
      <w:r>
        <w:t xml:space="preserve"> Diodorus, </w:t>
      </w:r>
      <w:r>
        <w:rPr>
          <w:i/>
          <w:iCs/>
        </w:rPr>
        <w:t>Library of History. Volume III</w:t>
      </w:r>
      <w:r>
        <w:t xml:space="preserve"> (Harvard University Press, 1933)</w:t>
      </w:r>
    </w:p>
  </w:footnote>
  <w:footnote w:id="4">
    <w:p w14:paraId="5551544F" w14:textId="4F833280" w:rsidR="00000000" w:rsidRDefault="00000000" w:rsidP="00C02242">
      <w:pPr>
        <w:pStyle w:val="FootnoteText"/>
      </w:pPr>
      <w:r>
        <w:rPr>
          <w:rStyle w:val="FootnoteReference"/>
        </w:rPr>
        <w:footnoteRef/>
      </w:r>
      <w:r>
        <w:t xml:space="preserve"> Posidonius, </w:t>
      </w:r>
      <w:r>
        <w:rPr>
          <w:i/>
          <w:iCs/>
        </w:rPr>
        <w:t>The Histories, Book 23</w:t>
      </w:r>
    </w:p>
  </w:footnote>
  <w:footnote w:id="5">
    <w:p w14:paraId="5445DF34" w14:textId="29AF9210" w:rsidR="00000000" w:rsidRDefault="00000000" w:rsidP="00C02242">
      <w:pPr>
        <w:pStyle w:val="FootnoteText"/>
      </w:pPr>
      <w:r>
        <w:rPr>
          <w:rStyle w:val="FootnoteReference"/>
        </w:rPr>
        <w:footnoteRef/>
      </w:r>
      <w:r>
        <w:t xml:space="preserve"> Ibid.</w:t>
      </w:r>
    </w:p>
  </w:footnote>
  <w:footnote w:id="6">
    <w:p w14:paraId="26E0BBAE" w14:textId="671848D9" w:rsidR="00000000" w:rsidRDefault="00000000" w:rsidP="00C02242">
      <w:pPr>
        <w:suppressAutoHyphens w:val="0"/>
        <w:spacing w:after="0" w:line="240" w:lineRule="auto"/>
      </w:pPr>
      <w:r>
        <w:rPr>
          <w:rStyle w:val="FootnoteReference"/>
        </w:rPr>
        <w:footnoteRef/>
      </w:r>
      <w:r>
        <w:rPr>
          <w:sz w:val="20"/>
          <w:szCs w:val="20"/>
        </w:rPr>
        <w:t xml:space="preserve"> </w:t>
      </w:r>
      <w:r>
        <w:rPr>
          <w:rFonts w:eastAsia="Times New Roman"/>
          <w:kern w:val="0"/>
          <w:sz w:val="20"/>
          <w:szCs w:val="20"/>
          <w:lang w:eastAsia="en-GB"/>
        </w:rPr>
        <w:t xml:space="preserve">Diodorus, </w:t>
      </w:r>
      <w:r>
        <w:rPr>
          <w:rFonts w:eastAsia="Times New Roman"/>
          <w:i/>
          <w:iCs/>
          <w:kern w:val="0"/>
          <w:sz w:val="20"/>
          <w:szCs w:val="20"/>
          <w:lang w:eastAsia="en-GB"/>
        </w:rPr>
        <w:t>Library of History. Volume III</w:t>
      </w:r>
      <w:r>
        <w:rPr>
          <w:rFonts w:eastAsia="Times New Roman"/>
          <w:kern w:val="0"/>
          <w:sz w:val="20"/>
          <w:szCs w:val="20"/>
          <w:lang w:eastAsia="en-GB"/>
        </w:rPr>
        <w:t xml:space="preserve"> (Harvard University Press, 1933), page 181</w:t>
      </w:r>
    </w:p>
  </w:footnote>
  <w:footnote w:id="7">
    <w:p w14:paraId="32E5E749" w14:textId="6FF6B8B1" w:rsidR="00000000" w:rsidRDefault="00000000" w:rsidP="00C02242">
      <w:pPr>
        <w:pStyle w:val="FootnoteText"/>
      </w:pPr>
      <w:r>
        <w:rPr>
          <w:rStyle w:val="FootnoteReference"/>
        </w:rPr>
        <w:footnoteRef/>
      </w:r>
      <w:r>
        <w:t xml:space="preserve"> Ibid.</w:t>
      </w:r>
    </w:p>
  </w:footnote>
  <w:footnote w:id="8">
    <w:p w14:paraId="05CB3BF8" w14:textId="4F32EE8F" w:rsidR="00000000" w:rsidRDefault="00000000" w:rsidP="00C02242">
      <w:pPr>
        <w:pStyle w:val="FootnoteText"/>
      </w:pPr>
      <w:r>
        <w:rPr>
          <w:rStyle w:val="FootnoteReference"/>
        </w:rPr>
        <w:footnoteRef/>
      </w:r>
      <w:r>
        <w:t xml:space="preserve"> Ibid.</w:t>
      </w:r>
    </w:p>
  </w:footnote>
  <w:footnote w:id="9">
    <w:p w14:paraId="7E7EF699" w14:textId="089C2295" w:rsidR="00000000" w:rsidRDefault="00000000" w:rsidP="00C02242">
      <w:pPr>
        <w:pStyle w:val="FootnoteText"/>
      </w:pPr>
      <w:r>
        <w:rPr>
          <w:rStyle w:val="FootnoteReference"/>
        </w:rPr>
        <w:footnoteRef/>
      </w:r>
      <w:r>
        <w:t xml:space="preserve"> Julius</w:t>
      </w:r>
      <w:r w:rsidR="00097C15">
        <w:t xml:space="preserve"> Caesar</w:t>
      </w:r>
      <w:r>
        <w:t xml:space="preserve">, </w:t>
      </w:r>
      <w:r>
        <w:rPr>
          <w:i/>
          <w:iCs/>
        </w:rPr>
        <w:t>The Gallic War</w:t>
      </w:r>
      <w:r>
        <w:t>, trans. by H. J. Edwards (Harvard University Press, 1917), page 341</w:t>
      </w:r>
    </w:p>
  </w:footnote>
  <w:footnote w:id="10">
    <w:p w14:paraId="610FAE15" w14:textId="1E4492E6" w:rsidR="00000000" w:rsidRDefault="00000000" w:rsidP="00C02242">
      <w:pPr>
        <w:pStyle w:val="FootnoteText"/>
      </w:pPr>
      <w:r>
        <w:rPr>
          <w:rStyle w:val="FootnoteReference"/>
        </w:rPr>
        <w:footnoteRef/>
      </w:r>
      <w:r>
        <w:t xml:space="preserve"> George Buchanan (1506-1582) – Author of Rerum </w:t>
      </w:r>
      <w:proofErr w:type="spellStart"/>
      <w:r>
        <w:t>Scoticarum</w:t>
      </w:r>
      <w:proofErr w:type="spellEnd"/>
      <w:r>
        <w:t xml:space="preserve"> Historia (1582)</w:t>
      </w:r>
    </w:p>
  </w:footnote>
  <w:footnote w:id="11">
    <w:p w14:paraId="6BE41EE0" w14:textId="4A684C51" w:rsidR="00000000" w:rsidRDefault="00000000" w:rsidP="00C02242">
      <w:pPr>
        <w:pStyle w:val="FootnoteText"/>
      </w:pPr>
      <w:r>
        <w:rPr>
          <w:rStyle w:val="FootnoteReference"/>
        </w:rPr>
        <w:footnoteRef/>
      </w:r>
      <w:r>
        <w:t xml:space="preserve"> Patrick Sims-Williams, </w:t>
      </w:r>
      <w:proofErr w:type="spellStart"/>
      <w:r>
        <w:rPr>
          <w:i/>
          <w:iCs/>
        </w:rPr>
        <w:t>Celtomania</w:t>
      </w:r>
      <w:proofErr w:type="spellEnd"/>
      <w:r>
        <w:rPr>
          <w:i/>
          <w:iCs/>
        </w:rPr>
        <w:t xml:space="preserve"> and </w:t>
      </w:r>
      <w:proofErr w:type="spellStart"/>
      <w:r>
        <w:rPr>
          <w:i/>
          <w:iCs/>
        </w:rPr>
        <w:t>Celtoscepticism</w:t>
      </w:r>
      <w:proofErr w:type="spellEnd"/>
      <w:r>
        <w:rPr>
          <w:i/>
          <w:iCs/>
        </w:rPr>
        <w:t>,</w:t>
      </w:r>
      <w:r>
        <w:t xml:space="preserve"> (Article, Cambrian Medieval Celtic Studies, 1998), page 13</w:t>
      </w:r>
    </w:p>
  </w:footnote>
  <w:footnote w:id="12">
    <w:p w14:paraId="62434F12" w14:textId="3B80772A" w:rsidR="00000000" w:rsidRDefault="00000000" w:rsidP="00C02242">
      <w:pPr>
        <w:pStyle w:val="FootnoteText"/>
      </w:pPr>
      <w:r>
        <w:rPr>
          <w:rStyle w:val="FootnoteReference"/>
        </w:rPr>
        <w:footnoteRef/>
      </w:r>
      <w:r>
        <w:t xml:space="preserve"> Ian Stewart, </w:t>
      </w:r>
      <w:r>
        <w:rPr>
          <w:i/>
          <w:iCs/>
        </w:rPr>
        <w:t xml:space="preserve">The Celts: A Modern History </w:t>
      </w:r>
      <w:r>
        <w:t>(Princeton and Oxford: Princeton University Press, 2025)</w:t>
      </w:r>
    </w:p>
  </w:footnote>
  <w:footnote w:id="13">
    <w:p w14:paraId="0BC8AEF8" w14:textId="7BB074DF" w:rsidR="00000000" w:rsidRDefault="00000000" w:rsidP="00C02242">
      <w:pPr>
        <w:pStyle w:val="FootnoteText"/>
      </w:pPr>
      <w:r>
        <w:rPr>
          <w:rStyle w:val="FootnoteReference"/>
        </w:rPr>
        <w:footnoteRef/>
      </w:r>
      <w:r w:rsidRPr="00063A6E">
        <w:t xml:space="preserve"> Ibid.</w:t>
      </w:r>
    </w:p>
  </w:footnote>
  <w:footnote w:id="14">
    <w:p w14:paraId="1E0BFA1A" w14:textId="48979EB6" w:rsidR="00000000" w:rsidRDefault="00000000" w:rsidP="00C02242">
      <w:pPr>
        <w:pStyle w:val="FootnoteText"/>
      </w:pPr>
      <w:r>
        <w:rPr>
          <w:rStyle w:val="FootnoteReference"/>
        </w:rPr>
        <w:footnoteRef/>
      </w:r>
      <w:r>
        <w:t xml:space="preserve"> </w:t>
      </w:r>
      <w:proofErr w:type="spellStart"/>
      <w:r>
        <w:t>Archaeologica</w:t>
      </w:r>
      <w:proofErr w:type="spellEnd"/>
      <w:r>
        <w:t xml:space="preserve"> </w:t>
      </w:r>
      <w:proofErr w:type="spellStart"/>
      <w:r>
        <w:t>Brittannica</w:t>
      </w:r>
      <w:proofErr w:type="spellEnd"/>
      <w:r>
        <w:t>,</w:t>
      </w:r>
      <w:r>
        <w:rPr>
          <w:i/>
          <w:iCs/>
        </w:rPr>
        <w:t xml:space="preserve"> </w:t>
      </w:r>
      <w:r>
        <w:t>by Edward Lhuyd, published in 1707</w:t>
      </w:r>
    </w:p>
  </w:footnote>
  <w:footnote w:id="15">
    <w:p w14:paraId="5D89BCD8" w14:textId="5E42ED54" w:rsidR="00000000" w:rsidRDefault="00000000" w:rsidP="00C02242">
      <w:pPr>
        <w:pStyle w:val="FootnoteText"/>
      </w:pPr>
      <w:r>
        <w:rPr>
          <w:rStyle w:val="FootnoteReference"/>
        </w:rPr>
        <w:footnoteRef/>
      </w:r>
      <w:r>
        <w:t xml:space="preserve"> Barry Cunliffe, </w:t>
      </w:r>
      <w:r>
        <w:rPr>
          <w:i/>
          <w:iCs/>
        </w:rPr>
        <w:t xml:space="preserve">The Celts: A Very Short Introduction </w:t>
      </w:r>
      <w:r>
        <w:t>(Oxford, 2003)</w:t>
      </w:r>
    </w:p>
  </w:footnote>
  <w:footnote w:id="16">
    <w:p w14:paraId="153F8274" w14:textId="47FD5F6E" w:rsidR="00000000" w:rsidRDefault="00000000" w:rsidP="00C02242">
      <w:pPr>
        <w:pStyle w:val="FootnoteText"/>
      </w:pPr>
      <w:r>
        <w:rPr>
          <w:rStyle w:val="FootnoteReference"/>
        </w:rPr>
        <w:footnoteRef/>
      </w:r>
      <w:r>
        <w:t xml:space="preserve"> Nora K Chadwick, and Barry W Cunliffe, </w:t>
      </w:r>
      <w:r>
        <w:rPr>
          <w:i/>
          <w:iCs/>
        </w:rPr>
        <w:t xml:space="preserve">The Celts, </w:t>
      </w:r>
      <w:r>
        <w:t>[Revised edition]. (Penguin Books, 1997), page 13</w:t>
      </w:r>
    </w:p>
  </w:footnote>
  <w:footnote w:id="17">
    <w:p w14:paraId="7C3DCF9C" w14:textId="7CCFB91C" w:rsidR="00000000" w:rsidRDefault="00000000" w:rsidP="00C02242">
      <w:pPr>
        <w:pStyle w:val="FootnoteText"/>
        <w:ind w:left="720" w:hanging="720"/>
      </w:pPr>
      <w:r>
        <w:rPr>
          <w:rStyle w:val="FootnoteReference"/>
        </w:rPr>
        <w:footnoteRef/>
      </w:r>
      <w:r>
        <w:t xml:space="preserve"> Malcolm Chapman, </w:t>
      </w:r>
      <w:r>
        <w:rPr>
          <w:i/>
          <w:iCs/>
        </w:rPr>
        <w:t>The Celts: The Construction of a Myth</w:t>
      </w:r>
      <w:r>
        <w:t>¸1</w:t>
      </w:r>
      <w:r>
        <w:rPr>
          <w:vertAlign w:val="superscript"/>
        </w:rPr>
        <w:t>st</w:t>
      </w:r>
      <w:r>
        <w:t xml:space="preserve"> ed. 1992. (Palgrave Macmillan, UK, 1992), page 1.</w:t>
      </w:r>
    </w:p>
  </w:footnote>
  <w:footnote w:id="18">
    <w:p w14:paraId="25197980" w14:textId="6A736A56" w:rsidR="00006820" w:rsidRDefault="00006820">
      <w:pPr>
        <w:pStyle w:val="FootnoteText"/>
      </w:pPr>
      <w:r>
        <w:rPr>
          <w:rStyle w:val="FootnoteReference"/>
        </w:rPr>
        <w:footnoteRef/>
      </w:r>
      <w:r>
        <w:t xml:space="preserve"> </w:t>
      </w:r>
      <w:r>
        <w:t xml:space="preserve">Malcolm Chapman, </w:t>
      </w:r>
      <w:r>
        <w:rPr>
          <w:i/>
          <w:iCs/>
        </w:rPr>
        <w:t>The Celts: The Construction of a Myth</w:t>
      </w:r>
      <w:r>
        <w:t>¸1</w:t>
      </w:r>
      <w:r>
        <w:rPr>
          <w:vertAlign w:val="superscript"/>
        </w:rPr>
        <w:t>st</w:t>
      </w:r>
      <w:r>
        <w:t xml:space="preserve"> ed. 1992. (Palgrave Macmillan, UK, 1992), page </w:t>
      </w:r>
      <w:r>
        <w:t>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BFB23" w14:textId="4DC5F31B" w:rsidR="00D4349D" w:rsidRDefault="00D4349D">
    <w:pPr>
      <w:pStyle w:val="Header"/>
    </w:pPr>
    <w:r>
      <w:t>Flynn Theisler</w:t>
    </w:r>
  </w:p>
  <w:p w14:paraId="76139736" w14:textId="615EE7E3" w:rsidR="00D4349D" w:rsidRDefault="00D4349D">
    <w:pPr>
      <w:pStyle w:val="Header"/>
    </w:pPr>
    <w:r>
      <w:t>2503772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703F4F"/>
    <w:rsid w:val="00006820"/>
    <w:rsid w:val="00063A6E"/>
    <w:rsid w:val="00070DED"/>
    <w:rsid w:val="00097C15"/>
    <w:rsid w:val="003E1468"/>
    <w:rsid w:val="005D4F06"/>
    <w:rsid w:val="00703F4F"/>
    <w:rsid w:val="00AF4F7D"/>
    <w:rsid w:val="00C02242"/>
    <w:rsid w:val="00D4349D"/>
    <w:rsid w:val="00FE2D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9DCB3"/>
  <w15:docId w15:val="{1712F1CC-98B8-4BCB-B6F1-211069C73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character" w:styleId="Hyperlink">
    <w:name w:val="Hyperlink"/>
    <w:basedOn w:val="DefaultParagraphFont"/>
    <w:rPr>
      <w:color w:val="467886"/>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oxfordre.com/classics/display/10.1093/acrefore/9780199381135.001.0001/acrefore-9780199381135-e-2955" TargetMode="External"/><Relationship Id="rId3" Type="http://schemas.openxmlformats.org/officeDocument/2006/relationships/settings" Target="settings.xml"/><Relationship Id="rId7" Type="http://schemas.openxmlformats.org/officeDocument/2006/relationships/hyperlink" Target="https://oxfordre.com/classics/display/10.1093/acrefore/9780199381135.001.0001/acrefore-9780199381135-e-607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432664-D1D1-4151-859D-8F2B3865A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1892</Words>
  <Characters>10791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Flynn Theisler (2503772)</dc:creator>
  <dc:description/>
  <cp:lastModifiedBy>Flynn Theisler (2503772)</cp:lastModifiedBy>
  <cp:revision>8</cp:revision>
  <dcterms:created xsi:type="dcterms:W3CDTF">2025-11-06T21:21:00Z</dcterms:created>
  <dcterms:modified xsi:type="dcterms:W3CDTF">2025-11-06T21:23:00Z</dcterms:modified>
</cp:coreProperties>
</file>