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widowControl w:val="0"/>
        <w:rPr/>
      </w:pPr>
      <w:r w:rsidDel="00000000" w:rsidR="00000000" w:rsidRPr="00000000">
        <w:rPr>
          <w:rtl w:val="0"/>
        </w:rPr>
      </w:r>
    </w:p>
    <w:tbl>
      <w:tblPr>
        <w:tblStyle w:val="Table1"/>
        <w:tblpPr w:leftFromText="180" w:rightFromText="180" w:topFromText="0" w:bottomFromText="0" w:vertAnchor="page" w:horzAnchor="margin" w:tblpX="0" w:tblpY="0"/>
        <w:tblW w:w="901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547"/>
        <w:gridCol w:w="6469"/>
        <w:tblGridChange w:id="0">
          <w:tblGrid>
            <w:gridCol w:w="2547"/>
            <w:gridCol w:w="6469"/>
          </w:tblGrid>
        </w:tblGridChange>
      </w:tblGrid>
      <w:tr>
        <w:trPr>
          <w:cantSplit w:val="0"/>
          <w:tblHeader w:val="0"/>
        </w:trPr>
        <w:tc>
          <w:tcPr/>
          <w:p w:rsidR="00000000" w:rsidDel="00000000" w:rsidP="00000000" w:rsidRDefault="00000000" w:rsidRPr="00000000" w14:paraId="00000002">
            <w:pPr>
              <w:tabs>
                <w:tab w:val="center" w:leader="none" w:pos="2146"/>
              </w:tabs>
              <w:rPr>
                <w:rFonts w:ascii="Calibri" w:cs="Calibri" w:eastAsia="Calibri" w:hAnsi="Calibri"/>
                <w:b w:val="1"/>
              </w:rPr>
            </w:pPr>
            <w:r w:rsidDel="00000000" w:rsidR="00000000" w:rsidRPr="00000000">
              <w:rPr>
                <w:rFonts w:ascii="Calibri" w:cs="Calibri" w:eastAsia="Calibri" w:hAnsi="Calibri"/>
                <w:b w:val="1"/>
                <w:rtl w:val="0"/>
              </w:rPr>
              <w:t xml:space="preserve">Student Number</w:t>
              <w:tab/>
            </w:r>
          </w:p>
        </w:tc>
        <w:tc>
          <w:tcPr/>
          <w:p w:rsidR="00000000" w:rsidDel="00000000" w:rsidP="00000000" w:rsidRDefault="00000000" w:rsidRPr="00000000" w14:paraId="00000003">
            <w:pPr>
              <w:rPr>
                <w:rFonts w:ascii="Calibri" w:cs="Calibri" w:eastAsia="Calibri" w:hAnsi="Calibri"/>
              </w:rPr>
            </w:pPr>
            <w:r w:rsidDel="00000000" w:rsidR="00000000" w:rsidRPr="00000000">
              <w:rPr>
                <w:rFonts w:ascii="Calibri" w:cs="Calibri" w:eastAsia="Calibri" w:hAnsi="Calibri"/>
                <w:rtl w:val="0"/>
              </w:rPr>
              <w:t xml:space="preserve">2300756</w:t>
            </w:r>
          </w:p>
        </w:tc>
      </w:tr>
      <w:tr>
        <w:trPr>
          <w:cantSplit w:val="0"/>
          <w:tblHeader w:val="0"/>
        </w:trPr>
        <w:tc>
          <w:tcPr/>
          <w:p w:rsidR="00000000" w:rsidDel="00000000" w:rsidP="00000000" w:rsidRDefault="00000000" w:rsidRPr="00000000" w14:paraId="00000004">
            <w:pPr>
              <w:tabs>
                <w:tab w:val="center" w:leader="none" w:pos="2146"/>
              </w:tabs>
              <w:rPr>
                <w:rFonts w:ascii="Calibri" w:cs="Calibri" w:eastAsia="Calibri" w:hAnsi="Calibri"/>
                <w:b w:val="1"/>
              </w:rPr>
            </w:pPr>
            <w:r w:rsidDel="00000000" w:rsidR="00000000" w:rsidRPr="00000000">
              <w:rPr>
                <w:rFonts w:ascii="Calibri" w:cs="Calibri" w:eastAsia="Calibri" w:hAnsi="Calibri"/>
                <w:b w:val="1"/>
                <w:rtl w:val="0"/>
              </w:rPr>
              <w:t xml:space="preserve">Module Code</w:t>
            </w:r>
          </w:p>
        </w:tc>
        <w:tc>
          <w:tcPr/>
          <w:p w:rsidR="00000000" w:rsidDel="00000000" w:rsidP="00000000" w:rsidRDefault="00000000" w:rsidRPr="00000000" w14:paraId="00000005">
            <w:pPr>
              <w:rPr>
                <w:rFonts w:ascii="Calibri" w:cs="Calibri" w:eastAsia="Calibri" w:hAnsi="Calibri"/>
              </w:rPr>
            </w:pPr>
            <w:r w:rsidDel="00000000" w:rsidR="00000000" w:rsidRPr="00000000">
              <w:rPr>
                <w:rFonts w:ascii="Calibri" w:cs="Calibri" w:eastAsia="Calibri" w:hAnsi="Calibri"/>
                <w:rtl w:val="0"/>
              </w:rPr>
              <w:t xml:space="preserve">BMOE5006</w:t>
            </w:r>
            <w:r w:rsidDel="00000000" w:rsidR="00000000" w:rsidRPr="00000000">
              <w:rPr>
                <w:rtl w:val="0"/>
              </w:rPr>
            </w:r>
          </w:p>
        </w:tc>
      </w:tr>
      <w:tr>
        <w:trPr>
          <w:cantSplit w:val="0"/>
          <w:tblHeader w:val="0"/>
        </w:trPr>
        <w:tc>
          <w:tcPr/>
          <w:p w:rsidR="00000000" w:rsidDel="00000000" w:rsidP="00000000" w:rsidRDefault="00000000" w:rsidRPr="00000000" w14:paraId="00000006">
            <w:pPr>
              <w:rPr>
                <w:rFonts w:ascii="Calibri" w:cs="Calibri" w:eastAsia="Calibri" w:hAnsi="Calibri"/>
                <w:b w:val="1"/>
              </w:rPr>
            </w:pPr>
            <w:r w:rsidDel="00000000" w:rsidR="00000000" w:rsidRPr="00000000">
              <w:rPr>
                <w:rFonts w:ascii="Calibri" w:cs="Calibri" w:eastAsia="Calibri" w:hAnsi="Calibri"/>
                <w:b w:val="1"/>
                <w:rtl w:val="0"/>
              </w:rPr>
              <w:t xml:space="preserve">Assessment Number</w:t>
            </w:r>
          </w:p>
        </w:tc>
        <w:tc>
          <w:tcPr/>
          <w:p w:rsidR="00000000" w:rsidDel="00000000" w:rsidP="00000000" w:rsidRDefault="00000000" w:rsidRPr="00000000" w14:paraId="00000007">
            <w:pPr>
              <w:rPr>
                <w:rFonts w:ascii="Calibri" w:cs="Calibri" w:eastAsia="Calibri" w:hAnsi="Calibri"/>
              </w:rPr>
            </w:pPr>
            <w:r w:rsidDel="00000000" w:rsidR="00000000" w:rsidRPr="00000000">
              <w:rPr>
                <w:rFonts w:ascii="Calibri" w:cs="Calibri" w:eastAsia="Calibri" w:hAnsi="Calibri"/>
                <w:rtl w:val="0"/>
              </w:rPr>
              <w:t xml:space="preserve">1</w:t>
            </w:r>
          </w:p>
        </w:tc>
      </w:tr>
    </w:tbl>
    <w:p w:rsidR="00000000" w:rsidDel="00000000" w:rsidP="00000000" w:rsidRDefault="00000000" w:rsidRPr="00000000" w14:paraId="00000008">
      <w:pPr>
        <w:rPr>
          <w:sz w:val="24"/>
          <w:szCs w:val="24"/>
          <w:u w:val="single"/>
        </w:rPr>
      </w:pPr>
      <w:r w:rsidDel="00000000" w:rsidR="00000000" w:rsidRPr="00000000">
        <w:rPr>
          <w:sz w:val="24"/>
          <w:szCs w:val="24"/>
          <w:u w:val="single"/>
          <w:rtl w:val="0"/>
        </w:rPr>
        <w:t xml:space="preserve">Microadventures: A Critical Evaluation</w:t>
      </w:r>
    </w:p>
    <w:p w:rsidR="00000000" w:rsidDel="00000000" w:rsidP="00000000" w:rsidRDefault="00000000" w:rsidRPr="00000000" w14:paraId="00000009">
      <w:pPr>
        <w:rPr/>
      </w:pPr>
      <w:r w:rsidDel="00000000" w:rsidR="00000000" w:rsidRPr="00000000">
        <w:rPr>
          <w:rtl w:val="0"/>
        </w:rPr>
      </w:r>
    </w:p>
    <w:p w:rsidR="00000000" w:rsidDel="00000000" w:rsidP="00000000" w:rsidRDefault="00000000" w:rsidRPr="00000000" w14:paraId="0000000A">
      <w:pPr>
        <w:spacing w:line="360" w:lineRule="auto"/>
        <w:rPr>
          <w:sz w:val="24"/>
          <w:szCs w:val="24"/>
        </w:rPr>
      </w:pPr>
      <w:r w:rsidDel="00000000" w:rsidR="00000000" w:rsidRPr="00000000">
        <w:rPr>
          <w:sz w:val="24"/>
          <w:szCs w:val="24"/>
          <w:rtl w:val="0"/>
        </w:rPr>
        <w:t xml:space="preserve">According to Mackenzie and Goodnow (2020, p.3), “In the age of COVID-19, traditional adventure travel is not only more difficult, but unethical given the imminent threat it poses to humanity” Due to this, microadventures have taken on new significance in the context of global disruptions to traditional travel during the COVID-19 pandemic. British adventurer Alastair Humphreys coined the term microadventure to refer to “</w:t>
      </w:r>
      <w:r w:rsidDel="00000000" w:rsidR="00000000" w:rsidRPr="00000000">
        <w:rPr>
          <w:sz w:val="24"/>
          <w:szCs w:val="24"/>
          <w:rtl w:val="0"/>
        </w:rPr>
        <w:t xml:space="preserve">an</w:t>
      </w:r>
      <w:r w:rsidDel="00000000" w:rsidR="00000000" w:rsidRPr="00000000">
        <w:rPr>
          <w:sz w:val="24"/>
          <w:szCs w:val="24"/>
          <w:rtl w:val="0"/>
        </w:rPr>
        <w:t xml:space="preserve"> adventure that is short, simple, local, cheap – yet still fun, exciting, challenging, refreshing and rewarding” (Humphreys, 2012). Building on this idea, Mackenzie and Goodnow (2020, p.1) explore how microadventures emerged as “an enticing alternative for both current and post-pandemic conditions,” prompting broader discussions about their viability in a post-pandemic world. Microadventures were positioned as an alternative to traditional forms of travel, both during and after the COVID-19 pandemic, by Goodnow and Mackenzie. This essay will explore the </w:t>
      </w:r>
      <w:r w:rsidDel="00000000" w:rsidR="00000000" w:rsidRPr="00000000">
        <w:rPr>
          <w:sz w:val="24"/>
          <w:szCs w:val="24"/>
          <w:rtl w:val="0"/>
        </w:rPr>
        <w:t xml:space="preserve">benefits that made microadventures popular during the pandemic</w:t>
      </w:r>
      <w:r w:rsidDel="00000000" w:rsidR="00000000" w:rsidRPr="00000000">
        <w:rPr>
          <w:sz w:val="24"/>
          <w:szCs w:val="24"/>
          <w:rtl w:val="0"/>
        </w:rPr>
        <w:t xml:space="preserve">, consider their</w:t>
      </w:r>
      <w:r w:rsidDel="00000000" w:rsidR="00000000" w:rsidRPr="00000000">
        <w:rPr>
          <w:sz w:val="24"/>
          <w:szCs w:val="24"/>
          <w:rtl w:val="0"/>
        </w:rPr>
        <w:t xml:space="preserve"> place in a post-pandemic world</w:t>
      </w:r>
      <w:r w:rsidDel="00000000" w:rsidR="00000000" w:rsidRPr="00000000">
        <w:rPr>
          <w:sz w:val="24"/>
          <w:szCs w:val="24"/>
          <w:rtl w:val="0"/>
        </w:rPr>
        <w:t xml:space="preserve">, and critically assess their long-term sustainability regarding long-term retention and </w:t>
      </w:r>
      <w:r w:rsidDel="00000000" w:rsidR="00000000" w:rsidRPr="00000000">
        <w:rPr>
          <w:sz w:val="24"/>
          <w:szCs w:val="24"/>
          <w:rtl w:val="0"/>
        </w:rPr>
        <w:t xml:space="preserve">socioeconomic </w:t>
      </w:r>
      <w:r w:rsidDel="00000000" w:rsidR="00000000" w:rsidRPr="00000000">
        <w:rPr>
          <w:sz w:val="24"/>
          <w:szCs w:val="24"/>
          <w:rtl w:val="0"/>
        </w:rPr>
        <w:t xml:space="preserve">accessibility. </w:t>
      </w:r>
    </w:p>
    <w:p w:rsidR="00000000" w:rsidDel="00000000" w:rsidP="00000000" w:rsidRDefault="00000000" w:rsidRPr="00000000" w14:paraId="0000000B">
      <w:pPr>
        <w:spacing w:line="360" w:lineRule="auto"/>
        <w:rPr>
          <w:sz w:val="24"/>
          <w:szCs w:val="24"/>
        </w:rPr>
      </w:pPr>
      <w:r w:rsidDel="00000000" w:rsidR="00000000" w:rsidRPr="00000000">
        <w:rPr>
          <w:rtl w:val="0"/>
        </w:rPr>
      </w:r>
    </w:p>
    <w:p w:rsidR="00000000" w:rsidDel="00000000" w:rsidP="00000000" w:rsidRDefault="00000000" w:rsidRPr="00000000" w14:paraId="0000000C">
      <w:pPr>
        <w:spacing w:line="360" w:lineRule="auto"/>
        <w:rPr>
          <w:sz w:val="24"/>
          <w:szCs w:val="24"/>
        </w:rPr>
      </w:pPr>
      <w:r w:rsidDel="00000000" w:rsidR="00000000" w:rsidRPr="00000000">
        <w:rPr>
          <w:sz w:val="24"/>
          <w:szCs w:val="24"/>
          <w:rtl w:val="0"/>
        </w:rPr>
        <w:t xml:space="preserve">According to Pew Research, “Globally, 91% of the population has experienced restricted movement” (cited in Mackenzie and Goodnow, 2020, p.3). Travel restrictions made local, low-cost adventures more accessible by shifting attention to nearby experiences. This shift towards localism made adventures more affordable, eliminating costs such as accommodation, transport, and equipment, and reducing </w:t>
      </w:r>
      <w:r w:rsidDel="00000000" w:rsidR="00000000" w:rsidRPr="00000000">
        <w:rPr>
          <w:sz w:val="24"/>
          <w:szCs w:val="24"/>
          <w:rtl w:val="0"/>
        </w:rPr>
        <w:t xml:space="preserve">environmental </w:t>
      </w:r>
      <w:r w:rsidDel="00000000" w:rsidR="00000000" w:rsidRPr="00000000">
        <w:rPr>
          <w:sz w:val="24"/>
          <w:szCs w:val="24"/>
          <w:rtl w:val="0"/>
        </w:rPr>
        <w:t xml:space="preserve">impact by minimising the amount of long-distance transportation needed. “Locavism was proposed as a climate-friendly antidote to fast, high-carbon travel predicated on superficial experiences in long-haul destinations” (Mackenzie and Goodnow, 2020, p.3). This reorientation towards localised travel contributed to a more environmentally conscious model of tourism and made microadventures align with the experience economy, or slow tourism. Noy (2004, 2007) suggests the notion that “the experience of place or self in place may drive and shape the tourist quest” (cited in Taylor, 2013, p.67). This idea of people seeking meaningful, personal experiences </w:t>
      </w:r>
      <w:r w:rsidDel="00000000" w:rsidR="00000000" w:rsidRPr="00000000">
        <w:rPr>
          <w:sz w:val="24"/>
          <w:szCs w:val="24"/>
          <w:rtl w:val="0"/>
        </w:rPr>
        <w:t xml:space="preserve">close to home worked well during the pandemic.</w:t>
      </w:r>
      <w:r w:rsidDel="00000000" w:rsidR="00000000" w:rsidRPr="00000000">
        <w:rPr>
          <w:sz w:val="24"/>
          <w:szCs w:val="24"/>
          <w:rtl w:val="0"/>
        </w:rPr>
        <w:t xml:space="preserve"> Instead of focusing on geographical distance, people focused on the experiential depth of the adventure. A heightened appreciation of local landscapes and environments became a valid escape into adventure during the lockdowns out of necessity. </w:t>
      </w:r>
    </w:p>
    <w:p w:rsidR="00000000" w:rsidDel="00000000" w:rsidP="00000000" w:rsidRDefault="00000000" w:rsidRPr="00000000" w14:paraId="0000000D">
      <w:pPr>
        <w:spacing w:line="360" w:lineRule="auto"/>
        <w:rPr>
          <w:sz w:val="24"/>
          <w:szCs w:val="24"/>
        </w:rPr>
      </w:pPr>
      <w:r w:rsidDel="00000000" w:rsidR="00000000" w:rsidRPr="00000000">
        <w:rPr>
          <w:rtl w:val="0"/>
        </w:rPr>
      </w:r>
    </w:p>
    <w:p w:rsidR="00000000" w:rsidDel="00000000" w:rsidP="00000000" w:rsidRDefault="00000000" w:rsidRPr="00000000" w14:paraId="0000000E">
      <w:pPr>
        <w:spacing w:line="360" w:lineRule="auto"/>
        <w:rPr>
          <w:sz w:val="24"/>
          <w:szCs w:val="24"/>
        </w:rPr>
      </w:pPr>
      <w:r w:rsidDel="00000000" w:rsidR="00000000" w:rsidRPr="00000000">
        <w:rPr>
          <w:sz w:val="24"/>
          <w:szCs w:val="24"/>
          <w:rtl w:val="0"/>
        </w:rPr>
        <w:t xml:space="preserve">Research from Natural England (2022) found that nearly half of adults in England (45%) reported spending more time in the outdoors after the pandemic, and around four in ten (39%) said that nature and wildlife had become more critical to their wellbeing. These statistics suggest microadventures were effective during lockdown, not just as a temporary solution, but as a habit that encouraged people to continue engaging with the outdoors even after restrictions were lifted. The same research found that in 2023, only 12% of adults were travelling more than 10 miles to visit a green space, which further supports the idea that microadventures have continued after lockdowns.  “Short-term nature exposure can promote greater feelings of connectedness to nature and increased desire to live sustainably” (Zelenski &amp; Nisbet, 2015, cited in </w:t>
      </w:r>
      <w:r w:rsidDel="00000000" w:rsidR="00000000" w:rsidRPr="00000000">
        <w:rPr>
          <w:sz w:val="24"/>
          <w:szCs w:val="24"/>
          <w:rtl w:val="0"/>
        </w:rPr>
        <w:t xml:space="preserve">Young</w:t>
      </w:r>
      <w:r w:rsidDel="00000000" w:rsidR="00000000" w:rsidRPr="00000000">
        <w:rPr>
          <w:sz w:val="24"/>
          <w:szCs w:val="24"/>
          <w:rtl w:val="0"/>
        </w:rPr>
        <w:t xml:space="preserve">, 2018, p.22). It is well known that spending time in nature can boost mental and physical health. Research by Ambrose-Oji (2013, cited in Young, 2018,p.22) found, “The Japanese practice of shinrin-yoko (or forest bathing) has shown that time spent in nature, even short term, has a positive effect on all five of the human senses”, highlighting that even a microadventure serves as a sustainable replacement for those who can not embark on bigger, complexer adventures but still desire these benefits.</w:t>
      </w:r>
    </w:p>
    <w:p w:rsidR="00000000" w:rsidDel="00000000" w:rsidP="00000000" w:rsidRDefault="00000000" w:rsidRPr="00000000" w14:paraId="0000000F">
      <w:pPr>
        <w:rPr/>
      </w:pPr>
      <w:r w:rsidDel="00000000" w:rsidR="00000000" w:rsidRPr="00000000">
        <w:rPr>
          <w:rtl w:val="0"/>
        </w:rPr>
      </w:r>
    </w:p>
    <w:p w:rsidR="00000000" w:rsidDel="00000000" w:rsidP="00000000" w:rsidRDefault="00000000" w:rsidRPr="00000000" w14:paraId="00000010">
      <w:pPr>
        <w:spacing w:line="360" w:lineRule="auto"/>
        <w:rPr>
          <w:sz w:val="24"/>
          <w:szCs w:val="24"/>
        </w:rPr>
      </w:pPr>
      <w:r w:rsidDel="00000000" w:rsidR="00000000" w:rsidRPr="00000000">
        <w:rPr>
          <w:sz w:val="24"/>
          <w:szCs w:val="24"/>
          <w:rtl w:val="0"/>
        </w:rPr>
        <w:t xml:space="preserve">However, there are downsides to microadventures that Mackenzie and Goodnow address. While microadventures are meant to be simple and accessible, not everyone has equal access to safe or appealing local green areas. Friends of the Earth (2020) identified that 1 in 5 people in the UK struggle to access a green space. “Urban planning in low-income areas frequently overlooks the importance of recreational areas, leaving residents with fewer options for safe and inviting natural spaces” (British Ecological Society, 2024). People living in urban or lower-income areas may lack nearby green spaces or feel unsafe exploring them, which limits their ability to take part in these types of experiences. People living in more affluent areas will have better access to safer and maintained greener spaces. This poses the question of whether microadventures are a middle-class phenomenon. </w:t>
      </w:r>
    </w:p>
    <w:p w:rsidR="00000000" w:rsidDel="00000000" w:rsidP="00000000" w:rsidRDefault="00000000" w:rsidRPr="00000000" w14:paraId="00000011">
      <w:pPr>
        <w:spacing w:line="360" w:lineRule="auto"/>
        <w:rPr>
          <w:sz w:val="24"/>
          <w:szCs w:val="24"/>
        </w:rPr>
      </w:pPr>
      <w:r w:rsidDel="00000000" w:rsidR="00000000" w:rsidRPr="00000000">
        <w:rPr>
          <w:sz w:val="24"/>
          <w:szCs w:val="24"/>
          <w:rtl w:val="0"/>
        </w:rPr>
        <w:t xml:space="preserve">Additionally, the shift in focus to adventures close to home led to the exacerbation of social divides. Research carried out by Duncan, McIntyre, and Cutler (2020, cited in Dashper and King 2021) highlighted this issue;</w:t>
      </w:r>
    </w:p>
    <w:p w:rsidR="00000000" w:rsidDel="00000000" w:rsidP="00000000" w:rsidRDefault="00000000" w:rsidRPr="00000000" w14:paraId="00000012">
      <w:pPr>
        <w:spacing w:line="240" w:lineRule="auto"/>
        <w:ind w:left="720" w:firstLine="0"/>
        <w:rPr>
          <w:sz w:val="24"/>
          <w:szCs w:val="24"/>
        </w:rPr>
      </w:pPr>
      <w:r w:rsidDel="00000000" w:rsidR="00000000" w:rsidRPr="00000000">
        <w:rPr>
          <w:sz w:val="24"/>
          <w:szCs w:val="24"/>
          <w:rtl w:val="0"/>
        </w:rPr>
        <w:t xml:space="preserve">“Densely populated areas, such as parts of London, suffered from increased pressure on limited green spaces, with closures and restrictions disproportionately affecting deprived areas and consequently poorer residents and Black, Asian and Minoritised Ethnic (BAME) communities.”</w:t>
      </w:r>
    </w:p>
    <w:p w:rsidR="00000000" w:rsidDel="00000000" w:rsidP="00000000" w:rsidRDefault="00000000" w:rsidRPr="00000000" w14:paraId="00000013">
      <w:pPr>
        <w:spacing w:line="360" w:lineRule="auto"/>
        <w:rPr>
          <w:sz w:val="24"/>
          <w:szCs w:val="24"/>
        </w:rPr>
      </w:pPr>
      <w:r w:rsidDel="00000000" w:rsidR="00000000" w:rsidRPr="00000000">
        <w:rPr>
          <w:sz w:val="24"/>
          <w:szCs w:val="24"/>
          <w:rtl w:val="0"/>
        </w:rPr>
        <w:t xml:space="preserve">Due to increased foot traffic in local areas, the government had to close many parks. This led to already deprived lower-income areas becoming more restricted, as more green areas became shut off. Densely populated areas (predominantly BAME communities) were hit the hardest by these closures, as a larger number of people had to share a limited number of green spaces. In contrast, middle-class communities with more green spaces were able to participate in micro-adventures more freely. Mackenzie and Goodnow (2020, p. 5) address this in their paper, </w:t>
      </w:r>
    </w:p>
    <w:p w:rsidR="00000000" w:rsidDel="00000000" w:rsidP="00000000" w:rsidRDefault="00000000" w:rsidRPr="00000000" w14:paraId="00000014">
      <w:pPr>
        <w:spacing w:line="240" w:lineRule="auto"/>
        <w:ind w:left="720" w:firstLine="0"/>
        <w:rPr>
          <w:sz w:val="24"/>
          <w:szCs w:val="24"/>
        </w:rPr>
      </w:pPr>
      <w:r w:rsidDel="00000000" w:rsidR="00000000" w:rsidRPr="00000000">
        <w:rPr>
          <w:sz w:val="24"/>
          <w:szCs w:val="24"/>
          <w:rtl w:val="0"/>
        </w:rPr>
        <w:t xml:space="preserve">“Rather than romanticizing this creativity born of inequity, these endeavors highlight the importance of ensuring equal access to nature via urban planning and conservation in lower-income and highly urbanized areas. The current crisis underlines the need for greater social, psychological and financial investment in local places, particularly for disadvantaged nieghborhoods, in a post-pandemic world.” </w:t>
      </w:r>
    </w:p>
    <w:p w:rsidR="00000000" w:rsidDel="00000000" w:rsidP="00000000" w:rsidRDefault="00000000" w:rsidRPr="00000000" w14:paraId="00000015">
      <w:pPr>
        <w:spacing w:line="360" w:lineRule="auto"/>
        <w:ind w:left="0" w:firstLine="0"/>
        <w:rPr>
          <w:sz w:val="24"/>
          <w:szCs w:val="24"/>
        </w:rPr>
      </w:pPr>
      <w:r w:rsidDel="00000000" w:rsidR="00000000" w:rsidRPr="00000000">
        <w:rPr>
          <w:sz w:val="24"/>
          <w:szCs w:val="24"/>
          <w:rtl w:val="0"/>
        </w:rPr>
        <w:t xml:space="preserve">With increased funding, people in disadvantaged areas would be able to have access to green spaces, offering them a connection to nature, a place to escape, and an opportunity for physical exercise. The Green and Fair Covid-19 Recovery Plan, supported by environmental groups, calls on the UK government to commit £4bn a year to help increase green spaces in the most deprived neighbourhoods. </w:t>
      </w:r>
    </w:p>
    <w:p w:rsidR="00000000" w:rsidDel="00000000" w:rsidP="00000000" w:rsidRDefault="00000000" w:rsidRPr="00000000" w14:paraId="00000016">
      <w:pPr>
        <w:spacing w:line="240" w:lineRule="auto"/>
        <w:ind w:left="720" w:firstLine="0"/>
        <w:rPr>
          <w:sz w:val="24"/>
          <w:szCs w:val="24"/>
        </w:rPr>
      </w:pPr>
      <w:r w:rsidDel="00000000" w:rsidR="00000000" w:rsidRPr="00000000">
        <w:rPr>
          <w:rtl w:val="0"/>
        </w:rPr>
      </w:r>
    </w:p>
    <w:p w:rsidR="00000000" w:rsidDel="00000000" w:rsidP="00000000" w:rsidRDefault="00000000" w:rsidRPr="00000000" w14:paraId="00000017">
      <w:pPr>
        <w:spacing w:line="240" w:lineRule="auto"/>
        <w:ind w:left="0" w:firstLine="0"/>
        <w:rPr>
          <w:sz w:val="24"/>
          <w:szCs w:val="24"/>
        </w:rPr>
      </w:pPr>
      <w:r w:rsidDel="00000000" w:rsidR="00000000" w:rsidRPr="00000000">
        <w:rPr>
          <w:rtl w:val="0"/>
        </w:rPr>
      </w:r>
    </w:p>
    <w:p w:rsidR="00000000" w:rsidDel="00000000" w:rsidP="00000000" w:rsidRDefault="00000000" w:rsidRPr="00000000" w14:paraId="00000018">
      <w:pPr>
        <w:spacing w:line="360" w:lineRule="auto"/>
        <w:ind w:left="0" w:firstLine="0"/>
        <w:rPr>
          <w:sz w:val="24"/>
          <w:szCs w:val="24"/>
        </w:rPr>
      </w:pPr>
      <w:r w:rsidDel="00000000" w:rsidR="00000000" w:rsidRPr="00000000">
        <w:rPr>
          <w:sz w:val="24"/>
          <w:szCs w:val="24"/>
          <w:rtl w:val="0"/>
        </w:rPr>
        <w:t xml:space="preserve">The novelty of local experiences can wear off when the options are limited, and in smaller urban areas, there may simply not be enough variety in natural spaces or activities to maintain long-term engagement. This highlights one of the key challenges of microadventures: while they offer a temporary escape, they may not provide the diverse, immersive experiences that many individuals seek in more traditional adventures. Young (2018, p.67) presents,</w:t>
      </w:r>
    </w:p>
    <w:p w:rsidR="00000000" w:rsidDel="00000000" w:rsidP="00000000" w:rsidRDefault="00000000" w:rsidRPr="00000000" w14:paraId="00000019">
      <w:pPr>
        <w:spacing w:line="240" w:lineRule="auto"/>
        <w:ind w:left="720" w:firstLine="0"/>
        <w:rPr>
          <w:sz w:val="24"/>
          <w:szCs w:val="24"/>
        </w:rPr>
      </w:pPr>
      <w:r w:rsidDel="00000000" w:rsidR="00000000" w:rsidRPr="00000000">
        <w:rPr>
          <w:sz w:val="24"/>
          <w:szCs w:val="24"/>
          <w:rtl w:val="0"/>
        </w:rPr>
        <w:t xml:space="preserve"> “They will go to similar places but with less gear, or at a different time of year, or with a different person than in previous times, or attempt to get there faster. They are continually placing constraints on themselves and enjoy navigating through the challenges.”</w:t>
      </w:r>
    </w:p>
    <w:p w:rsidR="00000000" w:rsidDel="00000000" w:rsidP="00000000" w:rsidRDefault="00000000" w:rsidRPr="00000000" w14:paraId="0000001A">
      <w:pPr>
        <w:spacing w:line="360" w:lineRule="auto"/>
        <w:ind w:left="0" w:firstLine="0"/>
        <w:rPr>
          <w:sz w:val="24"/>
          <w:szCs w:val="24"/>
        </w:rPr>
      </w:pPr>
      <w:r w:rsidDel="00000000" w:rsidR="00000000" w:rsidRPr="00000000">
        <w:rPr>
          <w:sz w:val="24"/>
          <w:szCs w:val="24"/>
          <w:rtl w:val="0"/>
        </w:rPr>
        <w:t xml:space="preserve">But what happens when they exhaust these variations? Traditional adventurers may disagree that “attempting to brew an acceptable cup of coffee or even reading a book in the outdoors” (Young, 2018, p.68) is enough of an adventure to retain their interest. Consequently, while microadventures serve a purpose in times of restriction, their long-term appeal is questionable if they cannot offer sustained novelty or depth. </w:t>
      </w:r>
    </w:p>
    <w:p w:rsidR="00000000" w:rsidDel="00000000" w:rsidP="00000000" w:rsidRDefault="00000000" w:rsidRPr="00000000" w14:paraId="0000001B">
      <w:pPr>
        <w:spacing w:line="240" w:lineRule="auto"/>
        <w:ind w:left="0" w:firstLine="0"/>
        <w:rPr>
          <w:sz w:val="24"/>
          <w:szCs w:val="24"/>
        </w:rPr>
      </w:pPr>
      <w:r w:rsidDel="00000000" w:rsidR="00000000" w:rsidRPr="00000000">
        <w:rPr>
          <w:rtl w:val="0"/>
        </w:rPr>
      </w:r>
    </w:p>
    <w:p w:rsidR="00000000" w:rsidDel="00000000" w:rsidP="00000000" w:rsidRDefault="00000000" w:rsidRPr="00000000" w14:paraId="0000001C">
      <w:pPr>
        <w:spacing w:line="360" w:lineRule="auto"/>
        <w:rPr>
          <w:sz w:val="24"/>
          <w:szCs w:val="24"/>
        </w:rPr>
      </w:pPr>
      <w:r w:rsidDel="00000000" w:rsidR="00000000" w:rsidRPr="00000000">
        <w:rPr>
          <w:sz w:val="24"/>
          <w:szCs w:val="24"/>
          <w:rtl w:val="0"/>
        </w:rPr>
        <w:t xml:space="preserve">Writing during the pandemic meant that the authors would be limited to their current conditions (lockdowns) and could only guess what the future would look like. Additionally, Mackenzie works in New Zealand and Goodnow in Washington, meaning worldwide knowledge would have been limited. This being said, Mackenzie and Goodnow (2020, p.5) hope that Microadventures will continue to </w:t>
      </w:r>
    </w:p>
    <w:p w:rsidR="00000000" w:rsidDel="00000000" w:rsidP="00000000" w:rsidRDefault="00000000" w:rsidRPr="00000000" w14:paraId="0000001D">
      <w:pPr>
        <w:spacing w:line="240" w:lineRule="auto"/>
        <w:ind w:left="720" w:firstLine="0"/>
        <w:rPr>
          <w:sz w:val="24"/>
          <w:szCs w:val="24"/>
        </w:rPr>
      </w:pPr>
      <w:r w:rsidDel="00000000" w:rsidR="00000000" w:rsidRPr="00000000">
        <w:rPr>
          <w:sz w:val="24"/>
          <w:szCs w:val="24"/>
          <w:rtl w:val="0"/>
        </w:rPr>
        <w:t xml:space="preserve">“[have] an emphasis on simplicity, personal skill development, immersion in nature, curiosity, and personal insight will facilitate a return to the core of what adventure is about, elements increasingly lost in modern day adventure travel.” </w:t>
      </w:r>
    </w:p>
    <w:p w:rsidR="00000000" w:rsidDel="00000000" w:rsidP="00000000" w:rsidRDefault="00000000" w:rsidRPr="00000000" w14:paraId="0000001E">
      <w:pPr>
        <w:spacing w:line="360" w:lineRule="auto"/>
        <w:ind w:left="0" w:firstLine="0"/>
        <w:rPr>
          <w:sz w:val="24"/>
          <w:szCs w:val="24"/>
        </w:rPr>
      </w:pPr>
      <w:r w:rsidDel="00000000" w:rsidR="00000000" w:rsidRPr="00000000">
        <w:rPr>
          <w:sz w:val="24"/>
          <w:szCs w:val="24"/>
          <w:rtl w:val="0"/>
        </w:rPr>
        <w:t xml:space="preserve">While I agree that microadventures were a good alternative to remote adventures during the pandemic, and adventure should focus on the previously mentioned factors, I do not believe they have been sustainable in the long run. Accessibility and retention still stand as a threat to microadventures. To remedy this, the UK government should support the Green and Fair Covid-19 Recovery Plan to allow for public green spaces to be made more inclusive through regular maintenance, increased funding and providing possibilities for more diverse adventures. Additionally, more attention could be drawn to ways of making traditional adventure as sustainable for the environment as a microadventure; this could be through carbon offsetting or enforcing leave no trace principles. While microadventures were optimistically “an enticing alternative for both current and post-pandemic conditions” (Mackenzie and Goodnow, 2020, p.1) in 2020, I do not believe they are as sustainable as the authors hoped post-pandemic. </w:t>
      </w:r>
    </w:p>
    <w:p w:rsidR="00000000" w:rsidDel="00000000" w:rsidP="00000000" w:rsidRDefault="00000000" w:rsidRPr="00000000" w14:paraId="0000001F">
      <w:pPr>
        <w:spacing w:line="360" w:lineRule="auto"/>
        <w:ind w:left="0" w:firstLine="0"/>
        <w:rPr>
          <w:sz w:val="24"/>
          <w:szCs w:val="24"/>
        </w:rPr>
      </w:pPr>
      <w:r w:rsidDel="00000000" w:rsidR="00000000" w:rsidRPr="00000000">
        <w:rPr>
          <w:rtl w:val="0"/>
        </w:rPr>
      </w:r>
    </w:p>
    <w:p w:rsidR="00000000" w:rsidDel="00000000" w:rsidP="00000000" w:rsidRDefault="00000000" w:rsidRPr="00000000" w14:paraId="00000020">
      <w:pPr>
        <w:spacing w:line="360" w:lineRule="auto"/>
        <w:ind w:left="0" w:firstLine="0"/>
        <w:rPr>
          <w:sz w:val="24"/>
          <w:szCs w:val="24"/>
          <w:u w:val="single"/>
        </w:rPr>
      </w:pPr>
      <w:r w:rsidDel="00000000" w:rsidR="00000000" w:rsidRPr="00000000">
        <w:rPr>
          <w:sz w:val="24"/>
          <w:szCs w:val="24"/>
          <w:u w:val="single"/>
          <w:rtl w:val="0"/>
        </w:rPr>
        <w:t xml:space="preserve">Reference list: </w:t>
      </w:r>
    </w:p>
    <w:p w:rsidR="00000000" w:rsidDel="00000000" w:rsidP="00000000" w:rsidRDefault="00000000" w:rsidRPr="00000000" w14:paraId="00000021">
      <w:pPr>
        <w:spacing w:line="360" w:lineRule="auto"/>
        <w:ind w:left="0" w:firstLine="0"/>
        <w:rPr>
          <w:sz w:val="24"/>
          <w:szCs w:val="24"/>
          <w:u w:val="single"/>
        </w:rPr>
      </w:pPr>
      <w:r w:rsidDel="00000000" w:rsidR="00000000" w:rsidRPr="00000000">
        <w:rPr>
          <w:rtl w:val="0"/>
        </w:rPr>
      </w:r>
    </w:p>
    <w:p w:rsidR="00000000" w:rsidDel="00000000" w:rsidP="00000000" w:rsidRDefault="00000000" w:rsidRPr="00000000" w14:paraId="00000022">
      <w:pPr>
        <w:spacing w:line="240" w:lineRule="auto"/>
        <w:ind w:left="0" w:firstLine="0"/>
        <w:rPr>
          <w:sz w:val="24"/>
          <w:szCs w:val="24"/>
        </w:rPr>
      </w:pPr>
      <w:r w:rsidDel="00000000" w:rsidR="00000000" w:rsidRPr="00000000">
        <w:rPr>
          <w:sz w:val="24"/>
          <w:szCs w:val="24"/>
          <w:rtl w:val="0"/>
        </w:rPr>
        <w:t xml:space="preserve">British Ecological Society (2024) Are green spaces accessible to people living in low-income areas? here’s what’s how to improve access., British Ecological Society. Available at: https://www.britishecologicalsociety.org/content/are-green-spaces-accessible-to-people-living-in-low-income-areas-heres-whats-how-to-improve-access/ (Accessed: 08 April 2025). </w:t>
      </w:r>
    </w:p>
    <w:p w:rsidR="00000000" w:rsidDel="00000000" w:rsidP="00000000" w:rsidRDefault="00000000" w:rsidRPr="00000000" w14:paraId="00000023">
      <w:pPr>
        <w:spacing w:line="240" w:lineRule="auto"/>
        <w:ind w:left="0" w:firstLine="0"/>
        <w:rPr>
          <w:sz w:val="24"/>
          <w:szCs w:val="24"/>
        </w:rPr>
      </w:pPr>
      <w:r w:rsidDel="00000000" w:rsidR="00000000" w:rsidRPr="00000000">
        <w:rPr>
          <w:rtl w:val="0"/>
        </w:rPr>
      </w:r>
    </w:p>
    <w:p w:rsidR="00000000" w:rsidDel="00000000" w:rsidP="00000000" w:rsidRDefault="00000000" w:rsidRPr="00000000" w14:paraId="00000024">
      <w:pPr>
        <w:spacing w:line="240" w:lineRule="auto"/>
        <w:rPr>
          <w:sz w:val="24"/>
          <w:szCs w:val="24"/>
        </w:rPr>
      </w:pPr>
      <w:r w:rsidDel="00000000" w:rsidR="00000000" w:rsidRPr="00000000">
        <w:rPr>
          <w:sz w:val="24"/>
          <w:szCs w:val="24"/>
          <w:rtl w:val="0"/>
        </w:rPr>
        <w:t xml:space="preserve">Friends of the Earth (2020) England’s not so green and pleasant land: millions can only access green space size of garden shed. Available at: https://friendsoftheearth.uk/nature/englands-not-so-green-and-pleasant-land-millions-can-only-access-green-space-size-garden#:~:text=of%20the%20Earth-,England's%20not%20so%20green%20and%20pleasant%20land%3A%20millions%20can%20only,Share%3A&amp;text=Friends%20of%20the%20Earth%20identifies,list%20here%20and%20map%20here. (Accessed: 15 April 2025). </w:t>
      </w:r>
    </w:p>
    <w:p w:rsidR="00000000" w:rsidDel="00000000" w:rsidP="00000000" w:rsidRDefault="00000000" w:rsidRPr="00000000" w14:paraId="00000025">
      <w:pPr>
        <w:spacing w:line="240" w:lineRule="auto"/>
        <w:rPr>
          <w:sz w:val="24"/>
          <w:szCs w:val="24"/>
        </w:rPr>
      </w:pPr>
      <w:r w:rsidDel="00000000" w:rsidR="00000000" w:rsidRPr="00000000">
        <w:rPr>
          <w:rtl w:val="0"/>
        </w:rPr>
      </w:r>
    </w:p>
    <w:p w:rsidR="00000000" w:rsidDel="00000000" w:rsidP="00000000" w:rsidRDefault="00000000" w:rsidRPr="00000000" w14:paraId="00000026">
      <w:pPr>
        <w:spacing w:line="240" w:lineRule="auto"/>
        <w:ind w:left="0" w:firstLine="0"/>
        <w:rPr>
          <w:sz w:val="24"/>
          <w:szCs w:val="24"/>
        </w:rPr>
      </w:pPr>
      <w:r w:rsidDel="00000000" w:rsidR="00000000" w:rsidRPr="00000000">
        <w:rPr>
          <w:sz w:val="24"/>
          <w:szCs w:val="24"/>
          <w:rtl w:val="0"/>
        </w:rPr>
        <w:t xml:space="preserve">Dashper, K. and King, J. (2021) ‘The outdoors as a contested leisure terrain’, Annals of Leisure Research, 25(3), pp. 435–443. doi:10.1080/11745398.2021.1899832. </w:t>
      </w:r>
    </w:p>
    <w:p w:rsidR="00000000" w:rsidDel="00000000" w:rsidP="00000000" w:rsidRDefault="00000000" w:rsidRPr="00000000" w14:paraId="00000027">
      <w:pPr>
        <w:spacing w:line="240" w:lineRule="auto"/>
        <w:ind w:left="0" w:firstLine="0"/>
        <w:rPr>
          <w:sz w:val="24"/>
          <w:szCs w:val="24"/>
        </w:rPr>
      </w:pPr>
      <w:r w:rsidDel="00000000" w:rsidR="00000000" w:rsidRPr="00000000">
        <w:rPr>
          <w:sz w:val="24"/>
          <w:szCs w:val="24"/>
          <w:rtl w:val="0"/>
        </w:rPr>
        <w:t xml:space="preserve">Natural England (2022) People and Nature Survey: How has COVID-19 changed the way we engage with nature? Gov.UK, 18 May. Available at: https://naturalengland.blog.gov.uk/2022/05/18/people-and-nature-survey-how-has-covid-19-changed-the-way-we-engage-with-nature/ (Accessed: 13 April 2025). </w:t>
      </w:r>
    </w:p>
    <w:p w:rsidR="00000000" w:rsidDel="00000000" w:rsidP="00000000" w:rsidRDefault="00000000" w:rsidRPr="00000000" w14:paraId="00000028">
      <w:pPr>
        <w:spacing w:line="240" w:lineRule="auto"/>
        <w:ind w:left="0" w:firstLine="0"/>
        <w:rPr>
          <w:sz w:val="24"/>
          <w:szCs w:val="24"/>
        </w:rPr>
      </w:pPr>
      <w:r w:rsidDel="00000000" w:rsidR="00000000" w:rsidRPr="00000000">
        <w:rPr>
          <w:rtl w:val="0"/>
        </w:rPr>
      </w:r>
    </w:p>
    <w:p w:rsidR="00000000" w:rsidDel="00000000" w:rsidP="00000000" w:rsidRDefault="00000000" w:rsidRPr="00000000" w14:paraId="00000029">
      <w:pPr>
        <w:spacing w:line="240" w:lineRule="auto"/>
        <w:ind w:left="0" w:firstLine="0"/>
        <w:rPr>
          <w:sz w:val="24"/>
          <w:szCs w:val="24"/>
        </w:rPr>
      </w:pPr>
      <w:r w:rsidDel="00000000" w:rsidR="00000000" w:rsidRPr="00000000">
        <w:rPr>
          <w:sz w:val="24"/>
          <w:szCs w:val="24"/>
          <w:rtl w:val="0"/>
        </w:rPr>
        <w:t xml:space="preserve">GOV.UK (2024) Adults’ Year 3 Annual Report (April 2022 - March 2023) (official statistics), GOV.UK. Available at: https://www.gov.uk/government/statistics/the-people-and-nature-survey-for-england-data-tables-and-publications-from-adults-survey-year-3-april-2022-march-2023-official-statistics/adults-year-3-annual-report-april-2022-march-2023-official-statistics (Accessed: 18 April 2025).</w:t>
      </w:r>
    </w:p>
    <w:p w:rsidR="00000000" w:rsidDel="00000000" w:rsidP="00000000" w:rsidRDefault="00000000" w:rsidRPr="00000000" w14:paraId="0000002A">
      <w:pPr>
        <w:spacing w:line="240" w:lineRule="auto"/>
        <w:ind w:left="0" w:firstLine="0"/>
        <w:rPr>
          <w:sz w:val="24"/>
          <w:szCs w:val="24"/>
        </w:rPr>
      </w:pPr>
      <w:r w:rsidDel="00000000" w:rsidR="00000000" w:rsidRPr="00000000">
        <w:rPr>
          <w:rtl w:val="0"/>
        </w:rPr>
      </w:r>
    </w:p>
    <w:p w:rsidR="00000000" w:rsidDel="00000000" w:rsidP="00000000" w:rsidRDefault="00000000" w:rsidRPr="00000000" w14:paraId="0000002B">
      <w:pPr>
        <w:spacing w:line="240" w:lineRule="auto"/>
        <w:ind w:left="0" w:firstLine="0"/>
        <w:rPr>
          <w:sz w:val="24"/>
          <w:szCs w:val="24"/>
        </w:rPr>
      </w:pPr>
      <w:r w:rsidDel="00000000" w:rsidR="00000000" w:rsidRPr="00000000">
        <w:rPr>
          <w:sz w:val="24"/>
          <w:szCs w:val="24"/>
          <w:rtl w:val="0"/>
        </w:rPr>
        <w:t xml:space="preserve">Humphreys, A. (2016) Microadventures, Alastair Humphreys. Available at: https://alastairhumphreys.com/microadventures/ (Accessed: 03 March 2025).</w:t>
      </w:r>
    </w:p>
    <w:p w:rsidR="00000000" w:rsidDel="00000000" w:rsidP="00000000" w:rsidRDefault="00000000" w:rsidRPr="00000000" w14:paraId="0000002C">
      <w:pPr>
        <w:spacing w:line="240" w:lineRule="auto"/>
        <w:ind w:left="0" w:firstLine="0"/>
        <w:rPr>
          <w:sz w:val="24"/>
          <w:szCs w:val="24"/>
        </w:rPr>
      </w:pPr>
      <w:r w:rsidDel="00000000" w:rsidR="00000000" w:rsidRPr="00000000">
        <w:rPr>
          <w:rtl w:val="0"/>
        </w:rPr>
      </w:r>
    </w:p>
    <w:p w:rsidR="00000000" w:rsidDel="00000000" w:rsidP="00000000" w:rsidRDefault="00000000" w:rsidRPr="00000000" w14:paraId="0000002D">
      <w:pPr>
        <w:spacing w:line="240" w:lineRule="auto"/>
        <w:ind w:left="0" w:firstLine="0"/>
        <w:rPr>
          <w:sz w:val="24"/>
          <w:szCs w:val="24"/>
        </w:rPr>
      </w:pPr>
      <w:r w:rsidDel="00000000" w:rsidR="00000000" w:rsidRPr="00000000">
        <w:rPr>
          <w:sz w:val="24"/>
          <w:szCs w:val="24"/>
          <w:rtl w:val="0"/>
        </w:rPr>
        <w:t xml:space="preserve">Natural England (2022) People and Nature Survey: How has COVID-19 changed the way we engage with nature? Gov.UK, 18 May. Available at: https://naturalengland.blog.gov.uk/2022/05/18/people-and-nature-survey-how-has-covid-19-changed-the-way-we-engage-with-nature/ (Accessed: 13 April 2025).</w:t>
      </w:r>
    </w:p>
    <w:p w:rsidR="00000000" w:rsidDel="00000000" w:rsidP="00000000" w:rsidRDefault="00000000" w:rsidRPr="00000000" w14:paraId="0000002E">
      <w:pPr>
        <w:spacing w:line="240" w:lineRule="auto"/>
        <w:ind w:left="0" w:firstLine="0"/>
        <w:rPr>
          <w:sz w:val="24"/>
          <w:szCs w:val="24"/>
        </w:rPr>
      </w:pPr>
      <w:r w:rsidDel="00000000" w:rsidR="00000000" w:rsidRPr="00000000">
        <w:rPr>
          <w:rtl w:val="0"/>
        </w:rPr>
      </w:r>
    </w:p>
    <w:p w:rsidR="00000000" w:rsidDel="00000000" w:rsidP="00000000" w:rsidRDefault="00000000" w:rsidRPr="00000000" w14:paraId="0000002F">
      <w:pPr>
        <w:spacing w:line="240" w:lineRule="auto"/>
        <w:rPr>
          <w:sz w:val="24"/>
          <w:szCs w:val="24"/>
        </w:rPr>
      </w:pPr>
      <w:r w:rsidDel="00000000" w:rsidR="00000000" w:rsidRPr="00000000">
        <w:rPr>
          <w:sz w:val="24"/>
          <w:szCs w:val="24"/>
          <w:rtl w:val="0"/>
        </w:rPr>
        <w:t xml:space="preserve">Mackenzie, S. and Goodnow, J (2020): Adventure in the Age of COVID-19: Embracing Microadventures and Locavism in a Post-Pandemic World, Leisure Sciences, DOI: 10.1080/01490400.2020.1773984</w:t>
      </w:r>
    </w:p>
    <w:p w:rsidR="00000000" w:rsidDel="00000000" w:rsidP="00000000" w:rsidRDefault="00000000" w:rsidRPr="00000000" w14:paraId="00000030">
      <w:pPr>
        <w:spacing w:line="240" w:lineRule="auto"/>
        <w:rPr>
          <w:sz w:val="24"/>
          <w:szCs w:val="24"/>
        </w:rPr>
      </w:pPr>
      <w:r w:rsidDel="00000000" w:rsidR="00000000" w:rsidRPr="00000000">
        <w:rPr>
          <w:rtl w:val="0"/>
        </w:rPr>
      </w:r>
    </w:p>
    <w:p w:rsidR="00000000" w:rsidDel="00000000" w:rsidP="00000000" w:rsidRDefault="00000000" w:rsidRPr="00000000" w14:paraId="00000031">
      <w:pPr>
        <w:spacing w:line="240" w:lineRule="auto"/>
        <w:rPr>
          <w:sz w:val="24"/>
          <w:szCs w:val="24"/>
        </w:rPr>
      </w:pPr>
      <w:r w:rsidDel="00000000" w:rsidR="00000000" w:rsidRPr="00000000">
        <w:rPr>
          <w:sz w:val="24"/>
          <w:szCs w:val="24"/>
          <w:rtl w:val="0"/>
        </w:rPr>
        <w:t xml:space="preserve">Young, R. (2010) Discovering the essence of a microadventure, Discovering the Essence of a Microadventure. thesis. School of Exercise, Physical and Health Education. Available at: https://dspace.library.uvic.ca/server/api/core/bitstreams/277f9206-3f6d-44b5-b073-f1dfbe3a6cdf/content (Accessed: 13 April 2025).</w:t>
      </w:r>
    </w:p>
    <w:p w:rsidR="00000000" w:rsidDel="00000000" w:rsidP="00000000" w:rsidRDefault="00000000" w:rsidRPr="00000000" w14:paraId="00000032">
      <w:pPr>
        <w:spacing w:line="240" w:lineRule="auto"/>
        <w:rPr>
          <w:sz w:val="24"/>
          <w:szCs w:val="24"/>
        </w:rPr>
      </w:pPr>
      <w:r w:rsidDel="00000000" w:rsidR="00000000" w:rsidRPr="00000000">
        <w:rPr>
          <w:rtl w:val="0"/>
        </w:rPr>
      </w:r>
    </w:p>
    <w:p w:rsidR="00000000" w:rsidDel="00000000" w:rsidP="00000000" w:rsidRDefault="00000000" w:rsidRPr="00000000" w14:paraId="00000033">
      <w:pPr>
        <w:spacing w:line="240" w:lineRule="auto"/>
        <w:ind w:left="0" w:firstLine="0"/>
        <w:rPr>
          <w:sz w:val="24"/>
          <w:szCs w:val="24"/>
        </w:rPr>
      </w:pPr>
      <w:r w:rsidDel="00000000" w:rsidR="00000000" w:rsidRPr="00000000">
        <w:rPr>
          <w:sz w:val="24"/>
          <w:szCs w:val="24"/>
          <w:rtl w:val="0"/>
        </w:rPr>
        <w:t xml:space="preserve">Taylor, S. (2013) ‘Delivering the Adventure Experience ’, in Adventure Tourism: Meaning, Experience and Learning. Abingdon, Oxon: Routeledge, pp. 67. </w:t>
      </w:r>
    </w:p>
    <w:p w:rsidR="00000000" w:rsidDel="00000000" w:rsidP="00000000" w:rsidRDefault="00000000" w:rsidRPr="00000000" w14:paraId="00000034">
      <w:pPr>
        <w:spacing w:line="360" w:lineRule="auto"/>
        <w:ind w:left="0" w:firstLine="0"/>
        <w:rPr>
          <w:sz w:val="24"/>
          <w:szCs w:val="24"/>
        </w:rPr>
      </w:pPr>
      <w:r w:rsidDel="00000000" w:rsidR="00000000" w:rsidRPr="00000000">
        <w:rPr>
          <w:rtl w:val="0"/>
        </w:rPr>
      </w:r>
    </w:p>
    <w:p w:rsidR="00000000" w:rsidDel="00000000" w:rsidP="00000000" w:rsidRDefault="00000000" w:rsidRPr="00000000" w14:paraId="00000035">
      <w:pPr>
        <w:spacing w:line="360" w:lineRule="auto"/>
        <w:ind w:left="0" w:firstLine="0"/>
        <w:rPr>
          <w:sz w:val="24"/>
          <w:szCs w:val="24"/>
        </w:rPr>
      </w:pPr>
      <w:r w:rsidDel="00000000" w:rsidR="00000000" w:rsidRPr="00000000">
        <w:rPr>
          <w:rtl w:val="0"/>
        </w:rPr>
      </w:r>
    </w:p>
    <w:p w:rsidR="00000000" w:rsidDel="00000000" w:rsidP="00000000" w:rsidRDefault="00000000" w:rsidRPr="00000000" w14:paraId="00000036">
      <w:pPr>
        <w:spacing w:line="360" w:lineRule="auto"/>
        <w:ind w:left="0" w:firstLine="0"/>
        <w:rPr>
          <w:sz w:val="24"/>
          <w:szCs w:val="24"/>
        </w:rPr>
      </w:pPr>
      <w:r w:rsidDel="00000000" w:rsidR="00000000" w:rsidRPr="00000000">
        <w:rPr>
          <w:rtl w:val="0"/>
        </w:rPr>
      </w:r>
    </w:p>
    <w:p w:rsidR="00000000" w:rsidDel="00000000" w:rsidP="00000000" w:rsidRDefault="00000000" w:rsidRPr="00000000" w14:paraId="00000037">
      <w:pPr>
        <w:rPr/>
      </w:pPr>
      <w:r w:rsidDel="00000000" w:rsidR="00000000" w:rsidRPr="00000000">
        <w:rPr>
          <w:rtl w:val="0"/>
        </w:rPr>
      </w:r>
    </w:p>
    <w:sectPr>
      <w:headerReference r:id="rId6" w:type="default"/>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alibri"/>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38">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