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489666294"/>
        <w:docPartObj>
          <w:docPartGallery w:val="Cover Pages"/>
          <w:docPartUnique/>
        </w:docPartObj>
      </w:sdtPr>
      <w:sdtEndPr>
        <w:rPr>
          <w:color w:val="FFFFFF" w:themeColor="background1"/>
        </w:rPr>
      </w:sdtEndPr>
      <w:sdtContent>
        <w:p w:rsidR="00A27AED" w:rsidRDefault="005D3D06" w:rsidP="00F13C2A">
          <w:pPr>
            <w:pStyle w:val="NoSpacing"/>
            <w:spacing w:before="1540" w:after="240"/>
            <w:jc w:val="center"/>
            <w:rPr>
              <w:color w:val="4472C4" w:themeColor="accent1"/>
            </w:rPr>
          </w:pPr>
          <w:r>
            <w:rPr>
              <w:noProof/>
            </w:rPr>
            <w:drawing>
              <wp:anchor distT="0" distB="0" distL="114300" distR="114300" simplePos="0" relativeHeight="251660288" behindDoc="0" locked="0" layoutInCell="1" allowOverlap="1" wp14:anchorId="0536C350">
                <wp:simplePos x="0" y="0"/>
                <wp:positionH relativeFrom="margin">
                  <wp:align>center</wp:align>
                </wp:positionH>
                <wp:positionV relativeFrom="paragraph">
                  <wp:posOffset>127000</wp:posOffset>
                </wp:positionV>
                <wp:extent cx="6149340" cy="1518285"/>
                <wp:effectExtent l="0" t="0" r="3810" b="5715"/>
                <wp:wrapTopAndBottom/>
                <wp:docPr id="30" name="Картина 2"/>
                <wp:cNvGraphicFramePr/>
                <a:graphic xmlns:a="http://schemas.openxmlformats.org/drawingml/2006/main">
                  <a:graphicData uri="http://schemas.openxmlformats.org/drawingml/2006/picture">
                    <pic:pic xmlns:pic="http://schemas.openxmlformats.org/drawingml/2006/picture">
                      <pic:nvPicPr>
                        <pic:cNvPr id="30" name="Картина 2"/>
                        <pic:cNvPicPr/>
                      </pic:nvPicPr>
                      <pic:blipFill>
                        <a:blip r:embed="rId7">
                          <a:extLst>
                            <a:ext uri="{28A0092B-C50C-407E-A947-70E740481C1C}">
                              <a14:useLocalDpi xmlns:a14="http://schemas.microsoft.com/office/drawing/2010/main" val="0"/>
                            </a:ext>
                          </a:extLst>
                        </a:blip>
                        <a:srcRect/>
                        <a:stretch>
                          <a:fillRect/>
                        </a:stretch>
                      </pic:blipFill>
                      <pic:spPr>
                        <a:xfrm>
                          <a:off x="0" y="0"/>
                          <a:ext cx="6149340" cy="1518285"/>
                        </a:xfrm>
                        <a:prstGeom prst="rect">
                          <a:avLst/>
                        </a:prstGeom>
                        <a:noFill/>
                        <a:ln>
                          <a:noFill/>
                          <a:prstDash/>
                        </a:ln>
                      </pic:spPr>
                    </pic:pic>
                  </a:graphicData>
                </a:graphic>
              </wp:anchor>
            </w:drawing>
          </w:r>
          <w:r w:rsidR="00A27AED">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88BD3FB5D0B46FFBC824344B3324E2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A27AED" w:rsidRDefault="00A27AE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Dissertation</w:t>
              </w:r>
              <w:r w:rsidR="00395209">
                <w:rPr>
                  <w:rFonts w:asciiTheme="majorHAnsi" w:eastAsiaTheme="majorEastAsia" w:hAnsiTheme="majorHAnsi" w:cstheme="majorBidi"/>
                  <w:caps/>
                  <w:color w:val="4472C4" w:themeColor="accent1"/>
                  <w:sz w:val="72"/>
                  <w:szCs w:val="72"/>
                </w:rPr>
                <w:t>-</w:t>
              </w:r>
              <w:proofErr w:type="spellStart"/>
              <w:r>
                <w:rPr>
                  <w:rFonts w:asciiTheme="majorHAnsi" w:eastAsiaTheme="majorEastAsia" w:hAnsiTheme="majorHAnsi" w:cstheme="majorBidi"/>
                  <w:caps/>
                  <w:color w:val="4472C4" w:themeColor="accent1"/>
                  <w:sz w:val="72"/>
                  <w:szCs w:val="72"/>
                </w:rPr>
                <w:t>LCMB7020</w:t>
              </w:r>
              <w:proofErr w:type="spellEnd"/>
            </w:p>
          </w:sdtContent>
        </w:sdt>
        <w:p w:rsidR="0012120D" w:rsidRDefault="006672AD" w:rsidP="0012120D">
          <w:pPr>
            <w:pStyle w:val="NoSpacing"/>
            <w:spacing w:before="480" w:line="360" w:lineRule="auto"/>
            <w:jc w:val="center"/>
            <w:rPr>
              <w:rFonts w:ascii="Calibri" w:eastAsia="Times New Roman" w:hAnsi="Calibri" w:cs="Calibri"/>
              <w:sz w:val="32"/>
              <w:szCs w:val="32"/>
            </w:rPr>
          </w:pPr>
          <w:r w:rsidRPr="006672AD">
            <w:rPr>
              <w:rFonts w:ascii="Calibri" w:eastAsia="Times New Roman" w:hAnsi="Calibri" w:cs="Calibri"/>
              <w:sz w:val="32"/>
              <w:szCs w:val="32"/>
            </w:rPr>
            <w:t xml:space="preserve">Financial analysis </w:t>
          </w:r>
          <w:bookmarkStart w:id="0" w:name="_Hlk11411705"/>
          <w:r w:rsidRPr="006672AD">
            <w:rPr>
              <w:rFonts w:ascii="Calibri" w:eastAsia="Times New Roman" w:hAnsi="Calibri" w:cs="Calibri"/>
              <w:sz w:val="32"/>
              <w:szCs w:val="32"/>
            </w:rPr>
            <w:t xml:space="preserve">of the major retail chains for food and household goods in </w:t>
          </w:r>
          <w:r w:rsidRPr="006672AD">
            <w:rPr>
              <w:rFonts w:ascii="Calibri" w:eastAsia="Times New Roman" w:hAnsi="Calibri" w:cs="Calibri"/>
              <w:sz w:val="32"/>
              <w:szCs w:val="32"/>
            </w:rPr>
            <w:t xml:space="preserve">UK </w:t>
          </w:r>
          <w:bookmarkEnd w:id="0"/>
          <w:r w:rsidRPr="006672AD">
            <w:rPr>
              <w:rFonts w:ascii="Calibri" w:eastAsia="Times New Roman" w:hAnsi="Calibri" w:cs="Calibri"/>
              <w:sz w:val="32"/>
              <w:szCs w:val="32"/>
            </w:rPr>
            <w:t>(</w:t>
          </w:r>
          <w:r w:rsidRPr="006672AD">
            <w:rPr>
              <w:rFonts w:ascii="Calibri" w:eastAsia="Times New Roman" w:hAnsi="Calibri" w:cs="Calibri"/>
              <w:sz w:val="32"/>
              <w:szCs w:val="32"/>
            </w:rPr>
            <w:t>e.g. Tesco, Sainsbury’s, Mo</w:t>
          </w:r>
          <w:r w:rsidR="00B918D6">
            <w:rPr>
              <w:rFonts w:ascii="Calibri" w:eastAsia="Times New Roman" w:hAnsi="Calibri" w:cs="Calibri"/>
              <w:sz w:val="32"/>
              <w:szCs w:val="32"/>
            </w:rPr>
            <w:t>r</w:t>
          </w:r>
          <w:r w:rsidRPr="006672AD">
            <w:rPr>
              <w:rFonts w:ascii="Calibri" w:eastAsia="Times New Roman" w:hAnsi="Calibri" w:cs="Calibri"/>
              <w:sz w:val="32"/>
              <w:szCs w:val="32"/>
            </w:rPr>
            <w:t>rison</w:t>
          </w:r>
          <w:r w:rsidR="006725C1">
            <w:rPr>
              <w:rFonts w:ascii="Calibri" w:eastAsia="Times New Roman" w:hAnsi="Calibri" w:cs="Calibri"/>
              <w:sz w:val="32"/>
              <w:szCs w:val="32"/>
            </w:rPr>
            <w:t>s</w:t>
          </w:r>
          <w:r w:rsidRPr="006672AD">
            <w:rPr>
              <w:rFonts w:ascii="Calibri" w:eastAsia="Times New Roman" w:hAnsi="Calibri" w:cs="Calibri"/>
              <w:sz w:val="32"/>
              <w:szCs w:val="32"/>
            </w:rPr>
            <w:t xml:space="preserve">, </w:t>
          </w:r>
          <w:proofErr w:type="spellStart"/>
          <w:r w:rsidRPr="006672AD">
            <w:rPr>
              <w:rFonts w:ascii="Calibri" w:eastAsia="Times New Roman" w:hAnsi="Calibri" w:cs="Calibri"/>
              <w:sz w:val="32"/>
              <w:szCs w:val="32"/>
            </w:rPr>
            <w:t>M&amp;S</w:t>
          </w:r>
          <w:proofErr w:type="spellEnd"/>
          <w:r w:rsidRPr="006672AD">
            <w:rPr>
              <w:rFonts w:ascii="Calibri" w:eastAsia="Times New Roman" w:hAnsi="Calibri" w:cs="Calibri"/>
              <w:sz w:val="32"/>
              <w:szCs w:val="32"/>
            </w:rPr>
            <w:t>,</w:t>
          </w:r>
          <w:r w:rsidR="00F63256">
            <w:rPr>
              <w:rFonts w:ascii="Calibri" w:eastAsia="Times New Roman" w:hAnsi="Calibri" w:cs="Calibri"/>
              <w:sz w:val="32"/>
              <w:szCs w:val="32"/>
            </w:rPr>
            <w:t xml:space="preserve"> </w:t>
          </w:r>
          <w:proofErr w:type="spellStart"/>
          <w:r w:rsidR="00F63256">
            <w:rPr>
              <w:rFonts w:ascii="Calibri" w:eastAsia="Times New Roman" w:hAnsi="Calibri" w:cs="Calibri"/>
              <w:sz w:val="32"/>
              <w:szCs w:val="32"/>
            </w:rPr>
            <w:t>A</w:t>
          </w:r>
          <w:r w:rsidR="00A93E79">
            <w:rPr>
              <w:rFonts w:ascii="Calibri" w:eastAsia="Times New Roman" w:hAnsi="Calibri" w:cs="Calibri"/>
              <w:sz w:val="32"/>
              <w:szCs w:val="32"/>
            </w:rPr>
            <w:t>sda</w:t>
          </w:r>
          <w:proofErr w:type="spellEnd"/>
          <w:r w:rsidR="00F63256">
            <w:rPr>
              <w:rFonts w:ascii="Calibri" w:eastAsia="Times New Roman" w:hAnsi="Calibri" w:cs="Calibri"/>
              <w:sz w:val="32"/>
              <w:szCs w:val="32"/>
            </w:rPr>
            <w:t>,</w:t>
          </w:r>
          <w:r w:rsidRPr="006672AD">
            <w:rPr>
              <w:rFonts w:ascii="Calibri" w:eastAsia="Times New Roman" w:hAnsi="Calibri" w:cs="Calibri"/>
              <w:sz w:val="32"/>
              <w:szCs w:val="32"/>
            </w:rPr>
            <w:t xml:space="preserve"> Lidl, etc.</w:t>
          </w:r>
          <w:r w:rsidR="0012120D" w:rsidRPr="006672AD">
            <w:rPr>
              <w:rFonts w:ascii="Calibri" w:eastAsia="Times New Roman" w:hAnsi="Calibri" w:cs="Calibri"/>
              <w:sz w:val="32"/>
              <w:szCs w:val="32"/>
            </w:rPr>
            <w:t>).</w:t>
          </w:r>
          <w:r w:rsidRPr="006672AD">
            <w:rPr>
              <w:rFonts w:ascii="Calibri" w:eastAsia="Times New Roman" w:hAnsi="Calibri" w:cs="Calibri"/>
              <w:sz w:val="32"/>
              <w:szCs w:val="32"/>
            </w:rPr>
            <w:t xml:space="preserve"> How do they evolve in terms of financial leverage, profitability ratios, and is there a change in payroll rates in this sector before and after the </w:t>
          </w:r>
          <w:r w:rsidR="00640FB6">
            <w:rPr>
              <w:rFonts w:ascii="Calibri" w:eastAsia="Times New Roman" w:hAnsi="Calibri" w:cs="Calibri"/>
              <w:sz w:val="32"/>
              <w:szCs w:val="32"/>
            </w:rPr>
            <w:t>BREXIT</w:t>
          </w:r>
          <w:r w:rsidRPr="006672AD">
            <w:rPr>
              <w:rFonts w:ascii="Calibri" w:eastAsia="Times New Roman" w:hAnsi="Calibri" w:cs="Calibri"/>
              <w:sz w:val="32"/>
              <w:szCs w:val="32"/>
            </w:rPr>
            <w:t xml:space="preserve"> </w:t>
          </w:r>
          <w:proofErr w:type="gramStart"/>
          <w:r w:rsidRPr="006672AD">
            <w:rPr>
              <w:rFonts w:ascii="Calibri" w:eastAsia="Times New Roman" w:hAnsi="Calibri" w:cs="Calibri"/>
              <w:sz w:val="32"/>
              <w:szCs w:val="32"/>
            </w:rPr>
            <w:t>decision</w:t>
          </w:r>
          <w:r w:rsidR="006725C1">
            <w:rPr>
              <w:rFonts w:ascii="Calibri" w:eastAsia="Times New Roman" w:hAnsi="Calibri" w:cs="Calibri"/>
              <w:sz w:val="32"/>
              <w:szCs w:val="32"/>
            </w:rPr>
            <w:t>.</w:t>
          </w:r>
          <w:proofErr w:type="gramEnd"/>
        </w:p>
        <w:p w:rsidR="00A27AED" w:rsidRPr="003D2B51" w:rsidRDefault="00A27AED">
          <w:pPr>
            <w:pStyle w:val="NoSpacing"/>
            <w:spacing w:before="480"/>
            <w:jc w:val="center"/>
            <w:rPr>
              <w:color w:val="4472C4" w:themeColor="accent1"/>
              <w:lang w:val="bg-BG"/>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27AED" w:rsidRDefault="002F1D92">
                                <w:pPr>
                                  <w:pStyle w:val="NoSpacing"/>
                                  <w:spacing w:after="40"/>
                                  <w:jc w:val="center"/>
                                  <w:rPr>
                                    <w:caps/>
                                    <w:color w:val="4472C4" w:themeColor="accent1"/>
                                    <w:sz w:val="28"/>
                                    <w:szCs w:val="28"/>
                                  </w:rPr>
                                </w:pPr>
                                <w:r>
                                  <w:rPr>
                                    <w:caps/>
                                    <w:color w:val="4472C4" w:themeColor="accent1"/>
                                    <w:sz w:val="28"/>
                                    <w:szCs w:val="28"/>
                                  </w:rPr>
                                  <w:t>Student ID: 1805640</w:t>
                                </w:r>
                              </w:p>
                              <w:p w:rsidR="00A27AED" w:rsidRPr="002F1D92" w:rsidRDefault="00A27AED">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2F1D92" w:rsidRPr="002F1D92">
                                      <w:rPr>
                                        <w:color w:val="4472C4" w:themeColor="accent1"/>
                                        <w:sz w:val="28"/>
                                        <w:szCs w:val="28"/>
                                      </w:rPr>
                                      <w:t>Dzhevrie Lyumanova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A27AED" w:rsidRDefault="002F1D92">
                          <w:pPr>
                            <w:pStyle w:val="NoSpacing"/>
                            <w:spacing w:after="40"/>
                            <w:jc w:val="center"/>
                            <w:rPr>
                              <w:caps/>
                              <w:color w:val="4472C4" w:themeColor="accent1"/>
                              <w:sz w:val="28"/>
                              <w:szCs w:val="28"/>
                            </w:rPr>
                          </w:pPr>
                          <w:r>
                            <w:rPr>
                              <w:caps/>
                              <w:color w:val="4472C4" w:themeColor="accent1"/>
                              <w:sz w:val="28"/>
                              <w:szCs w:val="28"/>
                            </w:rPr>
                            <w:t>Student ID: 1805640</w:t>
                          </w:r>
                        </w:p>
                        <w:p w:rsidR="00A27AED" w:rsidRPr="002F1D92" w:rsidRDefault="00A27AED">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2F1D92" w:rsidRPr="002F1D92">
                                <w:rPr>
                                  <w:color w:val="4472C4" w:themeColor="accent1"/>
                                  <w:sz w:val="28"/>
                                  <w:szCs w:val="28"/>
                                </w:rPr>
                                <w:t>Dzhevrie Lyumanova</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27AED" w:rsidRDefault="00A27AED">
          <w:pPr>
            <w:spacing w:after="160" w:line="259" w:lineRule="auto"/>
            <w:rPr>
              <w:color w:val="FFFFFF" w:themeColor="background1"/>
              <w:lang w:val="en-US" w:eastAsia="en-US"/>
            </w:rPr>
          </w:pPr>
          <w:r>
            <w:rPr>
              <w:color w:val="FFFFFF" w:themeColor="background1"/>
              <w:lang w:val="en-US" w:eastAsia="en-US"/>
            </w:rPr>
            <w:br w:type="page"/>
          </w:r>
        </w:p>
      </w:sdtContent>
    </w:sdt>
    <w:p w:rsidR="002D1DD9" w:rsidRDefault="002D1DD9" w:rsidP="005E33DB">
      <w:pPr>
        <w:rPr>
          <w:rFonts w:ascii="Calibri" w:hAnsi="Calibri" w:cs="Calibri"/>
          <w:lang w:val="en-US"/>
        </w:rPr>
      </w:pPr>
    </w:p>
    <w:p w:rsidR="002D1DD9" w:rsidRPr="001C345E" w:rsidRDefault="00493066" w:rsidP="00493066">
      <w:pPr>
        <w:pStyle w:val="ListParagraph"/>
        <w:numPr>
          <w:ilvl w:val="0"/>
          <w:numId w:val="1"/>
        </w:numPr>
        <w:jc w:val="both"/>
        <w:rPr>
          <w:rFonts w:ascii="Calibri" w:hAnsi="Calibri" w:cs="Calibri"/>
          <w:sz w:val="36"/>
          <w:szCs w:val="36"/>
        </w:rPr>
      </w:pPr>
      <w:r w:rsidRPr="001C345E">
        <w:rPr>
          <w:rFonts w:ascii="Calibri" w:hAnsi="Calibri" w:cs="Calibri"/>
          <w:sz w:val="36"/>
          <w:szCs w:val="36"/>
          <w:lang w:val="en-US"/>
        </w:rPr>
        <w:t>Introduction</w:t>
      </w:r>
    </w:p>
    <w:p w:rsidR="005264DD" w:rsidRPr="005264DD" w:rsidRDefault="005264DD" w:rsidP="005264DD">
      <w:pPr>
        <w:pStyle w:val="ListParagraph"/>
        <w:jc w:val="both"/>
        <w:rPr>
          <w:rFonts w:ascii="Calibri" w:hAnsi="Calibri" w:cs="Calibri"/>
          <w:sz w:val="32"/>
          <w:szCs w:val="32"/>
        </w:rPr>
      </w:pPr>
    </w:p>
    <w:p w:rsidR="00493066" w:rsidRPr="00493066" w:rsidRDefault="00493066" w:rsidP="00493066">
      <w:pPr>
        <w:spacing w:line="360" w:lineRule="auto"/>
        <w:jc w:val="both"/>
        <w:rPr>
          <w:rFonts w:ascii="Calibri" w:hAnsi="Calibri" w:cs="Calibri"/>
          <w:sz w:val="24"/>
          <w:szCs w:val="24"/>
        </w:rPr>
      </w:pPr>
      <w:r w:rsidRPr="00493066">
        <w:rPr>
          <w:rFonts w:ascii="Calibri" w:hAnsi="Calibri" w:cs="Calibri"/>
          <w:sz w:val="24"/>
          <w:szCs w:val="24"/>
        </w:rPr>
        <w:t>This report will analyze the financial position of the UK's major retail chains, commodity profitability and wage costs over the pre-</w:t>
      </w:r>
      <w:r w:rsidR="00BA77DA">
        <w:rPr>
          <w:rFonts w:ascii="Calibri" w:hAnsi="Calibri" w:cs="Calibri"/>
          <w:sz w:val="24"/>
          <w:szCs w:val="24"/>
          <w:lang w:val="en-US"/>
        </w:rPr>
        <w:t>BREXIT</w:t>
      </w:r>
      <w:r w:rsidRPr="00493066">
        <w:rPr>
          <w:rFonts w:ascii="Calibri" w:hAnsi="Calibri" w:cs="Calibri"/>
          <w:sz w:val="24"/>
          <w:szCs w:val="24"/>
        </w:rPr>
        <w:t xml:space="preserve"> period and after the adoption of this decision. The study will include large retail chains such as: TESCO, </w:t>
      </w:r>
      <w:r w:rsidR="00BA77DA">
        <w:rPr>
          <w:rFonts w:ascii="Calibri" w:hAnsi="Calibri" w:cs="Calibri"/>
          <w:sz w:val="24"/>
          <w:szCs w:val="24"/>
          <w:lang w:val="en-US"/>
        </w:rPr>
        <w:t>SAINSBURY`S</w:t>
      </w:r>
      <w:r w:rsidRPr="00493066">
        <w:rPr>
          <w:rFonts w:ascii="Calibri" w:hAnsi="Calibri" w:cs="Calibri"/>
          <w:sz w:val="24"/>
          <w:szCs w:val="24"/>
        </w:rPr>
        <w:t>, MO</w:t>
      </w:r>
      <w:r w:rsidR="005525EC">
        <w:rPr>
          <w:rFonts w:ascii="Calibri" w:hAnsi="Calibri" w:cs="Calibri"/>
          <w:sz w:val="24"/>
          <w:szCs w:val="24"/>
          <w:lang w:val="en-US"/>
        </w:rPr>
        <w:t>R</w:t>
      </w:r>
      <w:r w:rsidRPr="00493066">
        <w:rPr>
          <w:rFonts w:ascii="Calibri" w:hAnsi="Calibri" w:cs="Calibri"/>
          <w:sz w:val="24"/>
          <w:szCs w:val="24"/>
        </w:rPr>
        <w:t>RISON</w:t>
      </w:r>
      <w:r w:rsidR="005525EC">
        <w:rPr>
          <w:rFonts w:ascii="Calibri" w:hAnsi="Calibri" w:cs="Calibri"/>
          <w:sz w:val="24"/>
          <w:szCs w:val="24"/>
          <w:lang w:val="en-US"/>
        </w:rPr>
        <w:t>S</w:t>
      </w:r>
      <w:r w:rsidRPr="00493066">
        <w:rPr>
          <w:rFonts w:ascii="Calibri" w:hAnsi="Calibri" w:cs="Calibri"/>
          <w:sz w:val="24"/>
          <w:szCs w:val="24"/>
        </w:rPr>
        <w:t>, M&amp;</w:t>
      </w:r>
      <w:r w:rsidR="005525EC">
        <w:rPr>
          <w:rFonts w:ascii="Calibri" w:hAnsi="Calibri" w:cs="Calibri"/>
          <w:sz w:val="24"/>
          <w:szCs w:val="24"/>
          <w:lang w:val="en-US"/>
        </w:rPr>
        <w:t>S</w:t>
      </w:r>
      <w:r w:rsidRPr="00493066">
        <w:rPr>
          <w:rFonts w:ascii="Calibri" w:hAnsi="Calibri" w:cs="Calibri"/>
          <w:sz w:val="24"/>
          <w:szCs w:val="24"/>
        </w:rPr>
        <w:t xml:space="preserve">, </w:t>
      </w:r>
      <w:r w:rsidR="005D7130">
        <w:rPr>
          <w:rFonts w:ascii="Calibri" w:hAnsi="Calibri" w:cs="Calibri"/>
          <w:sz w:val="24"/>
          <w:szCs w:val="24"/>
          <w:lang w:val="en-US"/>
        </w:rPr>
        <w:t xml:space="preserve">ASDA, </w:t>
      </w:r>
      <w:r w:rsidRPr="00493066">
        <w:rPr>
          <w:rFonts w:ascii="Calibri" w:hAnsi="Calibri" w:cs="Calibri"/>
          <w:sz w:val="24"/>
          <w:szCs w:val="24"/>
        </w:rPr>
        <w:t>LIDL, etc.).</w:t>
      </w:r>
    </w:p>
    <w:p w:rsidR="00493066" w:rsidRPr="00493066" w:rsidRDefault="00493066" w:rsidP="00493066">
      <w:pPr>
        <w:spacing w:line="360" w:lineRule="auto"/>
        <w:jc w:val="both"/>
        <w:rPr>
          <w:rFonts w:ascii="Calibri" w:hAnsi="Calibri" w:cs="Calibri"/>
          <w:sz w:val="24"/>
          <w:szCs w:val="24"/>
        </w:rPr>
      </w:pPr>
      <w:r w:rsidRPr="00493066">
        <w:rPr>
          <w:rFonts w:ascii="Calibri" w:hAnsi="Calibri" w:cs="Calibri"/>
          <w:sz w:val="24"/>
          <w:szCs w:val="24"/>
        </w:rPr>
        <w:t xml:space="preserve">This study is provoked by my acquired knowledge during the first term of my education at this </w:t>
      </w:r>
      <w:r w:rsidR="005525EC">
        <w:rPr>
          <w:rFonts w:ascii="Calibri" w:hAnsi="Calibri" w:cs="Calibri"/>
          <w:sz w:val="24"/>
          <w:szCs w:val="24"/>
          <w:lang w:val="en-US"/>
        </w:rPr>
        <w:t>U</w:t>
      </w:r>
      <w:r w:rsidRPr="00493066">
        <w:rPr>
          <w:rFonts w:ascii="Calibri" w:hAnsi="Calibri" w:cs="Calibri"/>
          <w:sz w:val="24"/>
          <w:szCs w:val="24"/>
        </w:rPr>
        <w:t>niversity in the Financial Management module. With the knowledge gained from this module, a number of financial analyzes of a company or sector can be made to ascertain whether the activities are properly managed and forecasts for future financial actions.</w:t>
      </w:r>
    </w:p>
    <w:p w:rsidR="00493066" w:rsidRPr="00493066" w:rsidRDefault="00493066" w:rsidP="00493066">
      <w:pPr>
        <w:spacing w:line="360" w:lineRule="auto"/>
        <w:jc w:val="both"/>
        <w:rPr>
          <w:rFonts w:ascii="Calibri" w:hAnsi="Calibri" w:cs="Calibri"/>
          <w:sz w:val="24"/>
          <w:szCs w:val="24"/>
        </w:rPr>
      </w:pPr>
      <w:r w:rsidRPr="00493066">
        <w:rPr>
          <w:rFonts w:ascii="Calibri" w:hAnsi="Calibri" w:cs="Calibri"/>
          <w:sz w:val="24"/>
          <w:szCs w:val="24"/>
        </w:rPr>
        <w:t xml:space="preserve">The purpose of this study is to see how the financial situation of this sector changes with regard to the most discussed political decision for the last few years in the United Kingdom and Europe, namely the </w:t>
      </w:r>
      <w:r w:rsidR="005525EC">
        <w:rPr>
          <w:rFonts w:ascii="Calibri" w:hAnsi="Calibri" w:cs="Calibri"/>
          <w:sz w:val="24"/>
          <w:szCs w:val="24"/>
          <w:lang w:val="en-US"/>
        </w:rPr>
        <w:t>BREXIT</w:t>
      </w:r>
      <w:r w:rsidRPr="00493066">
        <w:rPr>
          <w:rFonts w:ascii="Calibri" w:hAnsi="Calibri" w:cs="Calibri"/>
          <w:sz w:val="24"/>
          <w:szCs w:val="24"/>
        </w:rPr>
        <w:t xml:space="preserve"> decision.</w:t>
      </w:r>
    </w:p>
    <w:p w:rsidR="00493066" w:rsidRPr="00493066" w:rsidRDefault="00493066" w:rsidP="00493066">
      <w:pPr>
        <w:spacing w:line="360" w:lineRule="auto"/>
        <w:jc w:val="both"/>
        <w:rPr>
          <w:rFonts w:ascii="Calibri" w:hAnsi="Calibri" w:cs="Calibri"/>
          <w:sz w:val="24"/>
          <w:szCs w:val="24"/>
        </w:rPr>
      </w:pPr>
      <w:r w:rsidRPr="00493066">
        <w:rPr>
          <w:rFonts w:ascii="Calibri" w:hAnsi="Calibri" w:cs="Calibri"/>
          <w:sz w:val="24"/>
          <w:szCs w:val="24"/>
        </w:rPr>
        <w:t>In the field of financial analysis, there are many financial ratios that analyze individual parts or the overall activity of a company or a particular sector.</w:t>
      </w:r>
    </w:p>
    <w:p w:rsidR="00493066" w:rsidRPr="00493066" w:rsidRDefault="00493066" w:rsidP="00493066">
      <w:pPr>
        <w:spacing w:line="360" w:lineRule="auto"/>
        <w:jc w:val="both"/>
        <w:rPr>
          <w:rFonts w:ascii="Calibri" w:hAnsi="Calibri" w:cs="Calibri"/>
          <w:sz w:val="24"/>
          <w:szCs w:val="24"/>
        </w:rPr>
      </w:pPr>
      <w:r w:rsidRPr="00493066">
        <w:rPr>
          <w:rFonts w:ascii="Calibri" w:hAnsi="Calibri" w:cs="Calibri"/>
          <w:sz w:val="24"/>
          <w:szCs w:val="24"/>
        </w:rPr>
        <w:t>In this analysis we will look at: financial leverage, profitability and wage costs of the mentioned sector.</w:t>
      </w:r>
    </w:p>
    <w:p w:rsidR="00493066" w:rsidRPr="00493066" w:rsidRDefault="00493066" w:rsidP="00493066">
      <w:pPr>
        <w:spacing w:line="360" w:lineRule="auto"/>
        <w:jc w:val="both"/>
        <w:rPr>
          <w:rFonts w:ascii="Calibri" w:hAnsi="Calibri" w:cs="Calibri"/>
          <w:sz w:val="24"/>
          <w:szCs w:val="24"/>
        </w:rPr>
      </w:pPr>
      <w:r w:rsidRPr="00493066">
        <w:rPr>
          <w:rFonts w:ascii="Calibri" w:hAnsi="Calibri" w:cs="Calibri"/>
          <w:sz w:val="24"/>
          <w:szCs w:val="24"/>
        </w:rPr>
        <w:t>Financial leverage will include:</w:t>
      </w:r>
    </w:p>
    <w:p w:rsidR="00493066" w:rsidRPr="00E550C7" w:rsidRDefault="00493066" w:rsidP="00493066">
      <w:pPr>
        <w:spacing w:line="360" w:lineRule="auto"/>
        <w:jc w:val="both"/>
        <w:rPr>
          <w:rFonts w:ascii="Calibri" w:hAnsi="Calibri" w:cs="Calibri"/>
          <w:sz w:val="24"/>
          <w:szCs w:val="24"/>
          <w:lang w:val="en-US"/>
        </w:rPr>
      </w:pPr>
      <w:r w:rsidRPr="00493066">
        <w:rPr>
          <w:rFonts w:ascii="Calibri" w:hAnsi="Calibri" w:cs="Calibri"/>
          <w:sz w:val="24"/>
          <w:szCs w:val="24"/>
        </w:rPr>
        <w:t>- Debt / Equity ratio</w:t>
      </w:r>
      <w:r w:rsidR="00E550C7">
        <w:rPr>
          <w:rFonts w:ascii="Calibri" w:hAnsi="Calibri" w:cs="Calibri"/>
          <w:sz w:val="24"/>
          <w:szCs w:val="24"/>
          <w:lang w:val="en-US"/>
        </w:rPr>
        <w:t>.</w:t>
      </w:r>
    </w:p>
    <w:p w:rsidR="00493066" w:rsidRPr="00E550C7" w:rsidRDefault="00493066" w:rsidP="00493066">
      <w:pPr>
        <w:spacing w:line="360" w:lineRule="auto"/>
        <w:jc w:val="both"/>
        <w:rPr>
          <w:rFonts w:ascii="Calibri" w:hAnsi="Calibri" w:cs="Calibri"/>
          <w:sz w:val="24"/>
          <w:szCs w:val="24"/>
          <w:lang w:val="en-US"/>
        </w:rPr>
      </w:pPr>
      <w:r w:rsidRPr="00493066">
        <w:rPr>
          <w:rFonts w:ascii="Calibri" w:hAnsi="Calibri" w:cs="Calibri"/>
          <w:sz w:val="24"/>
          <w:szCs w:val="24"/>
        </w:rPr>
        <w:t>- Debt / Assets ratio</w:t>
      </w:r>
      <w:r w:rsidR="00E550C7">
        <w:rPr>
          <w:rFonts w:ascii="Calibri" w:hAnsi="Calibri" w:cs="Calibri"/>
          <w:sz w:val="24"/>
          <w:szCs w:val="24"/>
          <w:lang w:val="en-US"/>
        </w:rPr>
        <w:t>.</w:t>
      </w:r>
    </w:p>
    <w:p w:rsidR="00493066" w:rsidRPr="00493066" w:rsidRDefault="00493066" w:rsidP="00493066">
      <w:pPr>
        <w:spacing w:line="360" w:lineRule="auto"/>
        <w:jc w:val="both"/>
        <w:rPr>
          <w:rFonts w:ascii="Calibri" w:hAnsi="Calibri" w:cs="Calibri"/>
          <w:sz w:val="24"/>
          <w:szCs w:val="24"/>
        </w:rPr>
      </w:pPr>
      <w:r w:rsidRPr="00493066">
        <w:rPr>
          <w:rFonts w:ascii="Calibri" w:hAnsi="Calibri" w:cs="Calibri"/>
          <w:sz w:val="24"/>
          <w:szCs w:val="24"/>
        </w:rPr>
        <w:t>-</w:t>
      </w:r>
      <w:r w:rsidR="00BE31AC">
        <w:rPr>
          <w:rFonts w:ascii="Calibri" w:hAnsi="Calibri" w:cs="Calibri"/>
          <w:sz w:val="24"/>
          <w:szCs w:val="24"/>
          <w:lang w:val="en-US"/>
        </w:rPr>
        <w:t>Operating</w:t>
      </w:r>
      <w:r w:rsidRPr="00493066">
        <w:rPr>
          <w:rFonts w:ascii="Calibri" w:hAnsi="Calibri" w:cs="Calibri"/>
          <w:sz w:val="24"/>
          <w:szCs w:val="24"/>
        </w:rPr>
        <w:t xml:space="preserve"> profit / Interest expense ratio.</w:t>
      </w:r>
    </w:p>
    <w:p w:rsidR="00493066" w:rsidRPr="00493066" w:rsidRDefault="00493066" w:rsidP="00493066">
      <w:pPr>
        <w:spacing w:line="360" w:lineRule="auto"/>
        <w:jc w:val="both"/>
        <w:rPr>
          <w:rFonts w:ascii="Calibri" w:hAnsi="Calibri" w:cs="Calibri"/>
          <w:sz w:val="24"/>
          <w:szCs w:val="24"/>
        </w:rPr>
      </w:pPr>
      <w:r w:rsidRPr="00493066">
        <w:rPr>
          <w:rFonts w:ascii="Calibri" w:hAnsi="Calibri" w:cs="Calibri"/>
          <w:sz w:val="24"/>
          <w:szCs w:val="24"/>
        </w:rPr>
        <w:t>Through these ratios, we will be able to trace how the level of indebtedness of the food and household goods sector is changing through large retail chains.</w:t>
      </w:r>
    </w:p>
    <w:p w:rsidR="00493066" w:rsidRPr="00493066" w:rsidRDefault="00493066" w:rsidP="00493066">
      <w:pPr>
        <w:spacing w:line="360" w:lineRule="auto"/>
        <w:jc w:val="both"/>
        <w:rPr>
          <w:rFonts w:ascii="Calibri" w:hAnsi="Calibri" w:cs="Calibri"/>
          <w:sz w:val="24"/>
          <w:szCs w:val="24"/>
        </w:rPr>
      </w:pPr>
      <w:r w:rsidRPr="00493066">
        <w:rPr>
          <w:rFonts w:ascii="Calibri" w:hAnsi="Calibri" w:cs="Calibri"/>
          <w:sz w:val="24"/>
          <w:szCs w:val="24"/>
        </w:rPr>
        <w:t xml:space="preserve">By analyzing the profitability ratios, we will see the business's ability to generate profits over revenues, operating expenses, balance sheet assets and shareholders' equity for the periods before the </w:t>
      </w:r>
      <w:r w:rsidR="00EB04D4">
        <w:rPr>
          <w:rFonts w:ascii="Calibri" w:hAnsi="Calibri" w:cs="Calibri"/>
          <w:sz w:val="24"/>
          <w:szCs w:val="24"/>
          <w:lang w:val="en-US"/>
        </w:rPr>
        <w:t>BREXIT</w:t>
      </w:r>
      <w:r w:rsidRPr="00493066">
        <w:rPr>
          <w:rFonts w:ascii="Calibri" w:hAnsi="Calibri" w:cs="Calibri"/>
          <w:sz w:val="24"/>
          <w:szCs w:val="24"/>
        </w:rPr>
        <w:t xml:space="preserve"> phenomenon and after its decision.</w:t>
      </w:r>
    </w:p>
    <w:p w:rsidR="00493066" w:rsidRDefault="00EB04D4" w:rsidP="00EB04D4">
      <w:pPr>
        <w:spacing w:line="360" w:lineRule="auto"/>
        <w:jc w:val="both"/>
        <w:rPr>
          <w:rFonts w:ascii="Calibri" w:hAnsi="Calibri" w:cs="Calibri"/>
          <w:sz w:val="24"/>
          <w:szCs w:val="24"/>
        </w:rPr>
      </w:pPr>
      <w:r w:rsidRPr="00EB04D4">
        <w:rPr>
          <w:rFonts w:ascii="Calibri" w:hAnsi="Calibri" w:cs="Calibri"/>
          <w:sz w:val="24"/>
          <w:szCs w:val="24"/>
        </w:rPr>
        <w:t>The main profitability ratios we will examine are: Profit Margin, Return on Assets (ROA) and Return on Equity (ROE).</w:t>
      </w:r>
    </w:p>
    <w:p w:rsidR="00CF62BD" w:rsidRDefault="00CF62BD" w:rsidP="00EB04D4">
      <w:pPr>
        <w:spacing w:line="360" w:lineRule="auto"/>
        <w:jc w:val="both"/>
        <w:rPr>
          <w:rFonts w:ascii="Calibri" w:hAnsi="Calibri" w:cs="Calibri"/>
          <w:sz w:val="24"/>
          <w:szCs w:val="24"/>
        </w:rPr>
      </w:pPr>
      <w:r w:rsidRPr="00CF62BD">
        <w:rPr>
          <w:rFonts w:ascii="Calibri" w:hAnsi="Calibri" w:cs="Calibri"/>
          <w:sz w:val="24"/>
          <w:szCs w:val="24"/>
        </w:rPr>
        <w:t xml:space="preserve">Along with the financial analysis, we will look at what are the salary costs during the selected period and is there is a change in these costs. If we find up or down movement in these values, we will look for the reasons for this and whether the </w:t>
      </w:r>
      <w:r w:rsidR="00643879">
        <w:rPr>
          <w:rFonts w:ascii="Calibri" w:hAnsi="Calibri" w:cs="Calibri"/>
          <w:sz w:val="24"/>
          <w:szCs w:val="24"/>
          <w:lang w:val="en-US"/>
        </w:rPr>
        <w:t>BREXIT</w:t>
      </w:r>
      <w:r w:rsidRPr="00CF62BD">
        <w:rPr>
          <w:rFonts w:ascii="Calibri" w:hAnsi="Calibri" w:cs="Calibri"/>
          <w:sz w:val="24"/>
          <w:szCs w:val="24"/>
        </w:rPr>
        <w:t xml:space="preserve"> solution plays a role in changing these values.</w:t>
      </w:r>
    </w:p>
    <w:p w:rsidR="00F7179A" w:rsidRPr="001C345E" w:rsidRDefault="00F7179A" w:rsidP="00F7179A">
      <w:pPr>
        <w:pStyle w:val="ListParagraph"/>
        <w:numPr>
          <w:ilvl w:val="0"/>
          <w:numId w:val="1"/>
        </w:numPr>
        <w:spacing w:line="360" w:lineRule="auto"/>
        <w:jc w:val="both"/>
        <w:rPr>
          <w:rFonts w:ascii="Calibri" w:hAnsi="Calibri" w:cs="Calibri"/>
          <w:sz w:val="36"/>
          <w:szCs w:val="36"/>
          <w:lang w:val="en-US"/>
        </w:rPr>
      </w:pPr>
      <w:r w:rsidRPr="001C345E">
        <w:rPr>
          <w:rFonts w:ascii="Calibri" w:hAnsi="Calibri" w:cs="Calibri"/>
          <w:sz w:val="36"/>
          <w:szCs w:val="36"/>
          <w:lang w:val="en-US"/>
        </w:rPr>
        <w:lastRenderedPageBreak/>
        <w:t>Literature revue</w:t>
      </w:r>
    </w:p>
    <w:p w:rsidR="001C345E" w:rsidRDefault="001C345E" w:rsidP="001C345E">
      <w:pPr>
        <w:pStyle w:val="ListParagraph"/>
        <w:spacing w:line="360" w:lineRule="auto"/>
        <w:jc w:val="both"/>
        <w:rPr>
          <w:rFonts w:ascii="Calibri" w:hAnsi="Calibri" w:cs="Calibri"/>
          <w:sz w:val="24"/>
          <w:szCs w:val="24"/>
          <w:lang w:val="en-US"/>
        </w:rPr>
      </w:pPr>
    </w:p>
    <w:p w:rsidR="00F7179A" w:rsidRDefault="00F034A5" w:rsidP="00F7179A">
      <w:pPr>
        <w:spacing w:line="360" w:lineRule="auto"/>
        <w:jc w:val="both"/>
        <w:rPr>
          <w:rFonts w:ascii="Calibri" w:hAnsi="Calibri" w:cs="Calibri"/>
          <w:sz w:val="24"/>
          <w:szCs w:val="24"/>
          <w:lang w:val="en-US"/>
        </w:rPr>
      </w:pPr>
      <w:r w:rsidRPr="00F034A5">
        <w:rPr>
          <w:rFonts w:ascii="Calibri" w:hAnsi="Calibri" w:cs="Calibri"/>
          <w:sz w:val="24"/>
          <w:szCs w:val="24"/>
          <w:lang w:val="en-US"/>
        </w:rPr>
        <w:t xml:space="preserve">According to </w:t>
      </w:r>
      <w:proofErr w:type="spellStart"/>
      <w:r w:rsidRPr="00F034A5">
        <w:rPr>
          <w:rFonts w:ascii="Calibri" w:hAnsi="Calibri" w:cs="Calibri"/>
          <w:sz w:val="24"/>
          <w:szCs w:val="24"/>
          <w:lang w:val="en-US"/>
        </w:rPr>
        <w:t>IGD</w:t>
      </w:r>
      <w:proofErr w:type="spellEnd"/>
      <w:r w:rsidRPr="00F034A5">
        <w:rPr>
          <w:rFonts w:ascii="Calibri" w:hAnsi="Calibri" w:cs="Calibri"/>
          <w:sz w:val="24"/>
          <w:szCs w:val="24"/>
          <w:lang w:val="en-US"/>
        </w:rPr>
        <w:t xml:space="preserve"> RESEARCH AND WILLIAM REED BUSINESS MEDIA, 2015</w:t>
      </w:r>
      <w:sdt>
        <w:sdtPr>
          <w:rPr>
            <w:rFonts w:ascii="Calibri" w:hAnsi="Calibri" w:cs="Calibri"/>
            <w:sz w:val="24"/>
            <w:szCs w:val="24"/>
            <w:lang w:val="en-US"/>
          </w:rPr>
          <w:id w:val="2007711645"/>
          <w:citation/>
        </w:sdtPr>
        <w:sdtContent>
          <w:r w:rsidR="003C5999">
            <w:rPr>
              <w:rFonts w:ascii="Calibri" w:hAnsi="Calibri" w:cs="Calibri"/>
              <w:sz w:val="24"/>
              <w:szCs w:val="24"/>
              <w:lang w:val="en-US"/>
            </w:rPr>
            <w:fldChar w:fldCharType="begin"/>
          </w:r>
          <w:r w:rsidR="003C5999">
            <w:rPr>
              <w:rFonts w:ascii="Calibri" w:hAnsi="Calibri" w:cs="Calibri"/>
              <w:sz w:val="24"/>
              <w:szCs w:val="24"/>
              <w:lang w:val="en-US"/>
            </w:rPr>
            <w:instrText xml:space="preserve"> CITATION REE15 \l 1033 </w:instrText>
          </w:r>
          <w:r w:rsidR="003C5999">
            <w:rPr>
              <w:rFonts w:ascii="Calibri" w:hAnsi="Calibri" w:cs="Calibri"/>
              <w:sz w:val="24"/>
              <w:szCs w:val="24"/>
              <w:lang w:val="en-US"/>
            </w:rPr>
            <w:fldChar w:fldCharType="separate"/>
          </w:r>
          <w:r w:rsidR="00790A63">
            <w:rPr>
              <w:rFonts w:ascii="Calibri" w:hAnsi="Calibri" w:cs="Calibri"/>
              <w:noProof/>
              <w:sz w:val="24"/>
              <w:szCs w:val="24"/>
              <w:lang w:val="en-US"/>
            </w:rPr>
            <w:t xml:space="preserve"> </w:t>
          </w:r>
          <w:r w:rsidR="00790A63" w:rsidRPr="00790A63">
            <w:rPr>
              <w:rFonts w:ascii="Calibri" w:hAnsi="Calibri" w:cs="Calibri"/>
              <w:noProof/>
              <w:sz w:val="24"/>
              <w:szCs w:val="24"/>
              <w:lang w:val="en-US"/>
            </w:rPr>
            <w:t>(REED, 2015)</w:t>
          </w:r>
          <w:r w:rsidR="003C5999">
            <w:rPr>
              <w:rFonts w:ascii="Calibri" w:hAnsi="Calibri" w:cs="Calibri"/>
              <w:sz w:val="24"/>
              <w:szCs w:val="24"/>
              <w:lang w:val="en-US"/>
            </w:rPr>
            <w:fldChar w:fldCharType="end"/>
          </w:r>
        </w:sdtContent>
      </w:sdt>
      <w:r w:rsidRPr="00F034A5">
        <w:rPr>
          <w:rFonts w:ascii="Calibri" w:hAnsi="Calibri" w:cs="Calibri"/>
          <w:sz w:val="24"/>
          <w:szCs w:val="24"/>
          <w:lang w:val="en-US"/>
        </w:rPr>
        <w:t xml:space="preserve">, the supermarket sector is </w:t>
      </w:r>
      <w:r w:rsidR="001C345E" w:rsidRPr="00F034A5">
        <w:rPr>
          <w:rFonts w:ascii="Calibri" w:hAnsi="Calibri" w:cs="Calibri"/>
          <w:sz w:val="24"/>
          <w:szCs w:val="24"/>
          <w:lang w:val="en-US"/>
        </w:rPr>
        <w:t>oligopolistic,</w:t>
      </w:r>
      <w:r w:rsidRPr="00F034A5">
        <w:rPr>
          <w:rFonts w:ascii="Calibri" w:hAnsi="Calibri" w:cs="Calibri"/>
          <w:sz w:val="24"/>
          <w:szCs w:val="24"/>
          <w:lang w:val="en-US"/>
        </w:rPr>
        <w:t xml:space="preserve"> and the pricing strategy is determined by "game theory". On the other hand, farmers suffer from the growing monopson</w:t>
      </w:r>
      <w:r w:rsidR="001C345E">
        <w:rPr>
          <w:rFonts w:ascii="Calibri" w:hAnsi="Calibri" w:cs="Calibri"/>
          <w:sz w:val="24"/>
          <w:szCs w:val="24"/>
          <w:lang w:val="en-US"/>
        </w:rPr>
        <w:t>y</w:t>
      </w:r>
      <w:r w:rsidRPr="00F034A5">
        <w:rPr>
          <w:rFonts w:ascii="Calibri" w:hAnsi="Calibri" w:cs="Calibri"/>
          <w:sz w:val="24"/>
          <w:szCs w:val="24"/>
          <w:lang w:val="en-US"/>
        </w:rPr>
        <w:t xml:space="preserve"> power of large supermarkets.</w:t>
      </w:r>
    </w:p>
    <w:p w:rsidR="00F11C39" w:rsidRDefault="00F11C39" w:rsidP="00F7179A">
      <w:pPr>
        <w:spacing w:line="360" w:lineRule="auto"/>
        <w:jc w:val="both"/>
        <w:rPr>
          <w:rFonts w:ascii="Calibri" w:hAnsi="Calibri" w:cs="Calibri"/>
          <w:sz w:val="24"/>
          <w:szCs w:val="24"/>
          <w:lang w:val="en-US"/>
        </w:rPr>
      </w:pPr>
    </w:p>
    <w:p w:rsidR="00F11C39" w:rsidRDefault="00622784" w:rsidP="00F7179A">
      <w:pPr>
        <w:spacing w:line="360" w:lineRule="auto"/>
        <w:jc w:val="both"/>
        <w:rPr>
          <w:rFonts w:ascii="Calibri" w:hAnsi="Calibri" w:cs="Calibri"/>
          <w:sz w:val="24"/>
          <w:szCs w:val="24"/>
          <w:lang w:val="en-US"/>
        </w:rPr>
      </w:pPr>
      <w:r w:rsidRPr="00622784">
        <w:rPr>
          <w:rFonts w:ascii="Calibri" w:hAnsi="Calibri" w:cs="Calibri"/>
          <w:sz w:val="24"/>
          <w:szCs w:val="24"/>
          <w:lang w:val="en-US"/>
        </w:rPr>
        <w:t>According to Joshua Warner's</w:t>
      </w:r>
      <w:sdt>
        <w:sdtPr>
          <w:rPr>
            <w:rFonts w:ascii="Calibri" w:hAnsi="Calibri" w:cs="Calibri"/>
            <w:sz w:val="24"/>
            <w:szCs w:val="24"/>
            <w:lang w:val="en-US"/>
          </w:rPr>
          <w:id w:val="-1729528292"/>
          <w:citation/>
        </w:sdtPr>
        <w:sdtContent>
          <w:r w:rsidR="00EC7DFE">
            <w:rPr>
              <w:rFonts w:ascii="Calibri" w:hAnsi="Calibri" w:cs="Calibri"/>
              <w:sz w:val="24"/>
              <w:szCs w:val="24"/>
              <w:lang w:val="en-US"/>
            </w:rPr>
            <w:fldChar w:fldCharType="begin"/>
          </w:r>
          <w:r w:rsidR="00EC7DFE">
            <w:rPr>
              <w:rFonts w:ascii="Calibri" w:hAnsi="Calibri" w:cs="Calibri"/>
              <w:sz w:val="24"/>
              <w:szCs w:val="24"/>
              <w:lang w:val="en-US"/>
            </w:rPr>
            <w:instrText xml:space="preserve"> CITATION War19 \l 1033 </w:instrText>
          </w:r>
          <w:r w:rsidR="00EC7DFE">
            <w:rPr>
              <w:rFonts w:ascii="Calibri" w:hAnsi="Calibri" w:cs="Calibri"/>
              <w:sz w:val="24"/>
              <w:szCs w:val="24"/>
              <w:lang w:val="en-US"/>
            </w:rPr>
            <w:fldChar w:fldCharType="separate"/>
          </w:r>
          <w:r w:rsidR="00790A63">
            <w:rPr>
              <w:rFonts w:ascii="Calibri" w:hAnsi="Calibri" w:cs="Calibri"/>
              <w:noProof/>
              <w:sz w:val="24"/>
              <w:szCs w:val="24"/>
              <w:lang w:val="en-US"/>
            </w:rPr>
            <w:t xml:space="preserve"> </w:t>
          </w:r>
          <w:r w:rsidR="00790A63" w:rsidRPr="00790A63">
            <w:rPr>
              <w:rFonts w:ascii="Calibri" w:hAnsi="Calibri" w:cs="Calibri"/>
              <w:noProof/>
              <w:sz w:val="24"/>
              <w:szCs w:val="24"/>
              <w:lang w:val="en-US"/>
            </w:rPr>
            <w:t>(Warner, 2019)</w:t>
          </w:r>
          <w:r w:rsidR="00EC7DFE">
            <w:rPr>
              <w:rFonts w:ascii="Calibri" w:hAnsi="Calibri" w:cs="Calibri"/>
              <w:sz w:val="24"/>
              <w:szCs w:val="24"/>
              <w:lang w:val="en-US"/>
            </w:rPr>
            <w:fldChar w:fldCharType="end"/>
          </w:r>
        </w:sdtContent>
      </w:sdt>
      <w:r w:rsidRPr="00622784">
        <w:rPr>
          <w:rFonts w:ascii="Calibri" w:hAnsi="Calibri" w:cs="Calibri"/>
          <w:sz w:val="24"/>
          <w:szCs w:val="24"/>
          <w:lang w:val="en-US"/>
        </w:rPr>
        <w:t xml:space="preserve"> study, there is a </w:t>
      </w:r>
      <w:r>
        <w:rPr>
          <w:rFonts w:ascii="Calibri" w:hAnsi="Calibri" w:cs="Calibri"/>
          <w:sz w:val="24"/>
          <w:szCs w:val="24"/>
          <w:lang w:val="en-US"/>
        </w:rPr>
        <w:t>B</w:t>
      </w:r>
      <w:r w:rsidRPr="00622784">
        <w:rPr>
          <w:rFonts w:ascii="Calibri" w:hAnsi="Calibri" w:cs="Calibri"/>
          <w:sz w:val="24"/>
          <w:szCs w:val="24"/>
          <w:lang w:val="en-US"/>
        </w:rPr>
        <w:t xml:space="preserve">ig </w:t>
      </w:r>
      <w:r>
        <w:rPr>
          <w:rFonts w:ascii="Calibri" w:hAnsi="Calibri" w:cs="Calibri"/>
          <w:sz w:val="24"/>
          <w:szCs w:val="24"/>
          <w:lang w:val="en-US"/>
        </w:rPr>
        <w:t>4</w:t>
      </w:r>
      <w:r w:rsidRPr="00622784">
        <w:rPr>
          <w:rFonts w:ascii="Calibri" w:hAnsi="Calibri" w:cs="Calibri"/>
          <w:sz w:val="24"/>
          <w:szCs w:val="24"/>
          <w:lang w:val="en-US"/>
        </w:rPr>
        <w:t xml:space="preserve"> on the UK grocery market. Until 2014, this market operates on a three-tier system, but this structure is broken after the German Aldi and Lidl chains. The </w:t>
      </w:r>
      <w:r>
        <w:rPr>
          <w:rFonts w:ascii="Calibri" w:hAnsi="Calibri" w:cs="Calibri"/>
          <w:sz w:val="24"/>
          <w:szCs w:val="24"/>
          <w:lang w:val="en-US"/>
        </w:rPr>
        <w:t>B</w:t>
      </w:r>
      <w:r w:rsidRPr="00622784">
        <w:rPr>
          <w:rFonts w:ascii="Calibri" w:hAnsi="Calibri" w:cs="Calibri"/>
          <w:sz w:val="24"/>
          <w:szCs w:val="24"/>
          <w:lang w:val="en-US"/>
        </w:rPr>
        <w:t xml:space="preserve">ig 4 are forced to compete </w:t>
      </w:r>
      <w:r>
        <w:rPr>
          <w:rFonts w:ascii="Calibri" w:hAnsi="Calibri" w:cs="Calibri"/>
          <w:sz w:val="24"/>
          <w:szCs w:val="24"/>
          <w:lang w:val="en-US"/>
        </w:rPr>
        <w:t>on</w:t>
      </w:r>
      <w:r w:rsidRPr="00622784">
        <w:rPr>
          <w:rFonts w:ascii="Calibri" w:hAnsi="Calibri" w:cs="Calibri"/>
          <w:sz w:val="24"/>
          <w:szCs w:val="24"/>
          <w:lang w:val="en-US"/>
        </w:rPr>
        <w:t xml:space="preserve"> price.</w:t>
      </w:r>
    </w:p>
    <w:p w:rsidR="00EC7DFE" w:rsidRDefault="00EC7DFE" w:rsidP="00F7179A">
      <w:pPr>
        <w:spacing w:line="360" w:lineRule="auto"/>
        <w:jc w:val="both"/>
        <w:rPr>
          <w:rFonts w:ascii="Calibri" w:hAnsi="Calibri" w:cs="Calibri"/>
          <w:sz w:val="24"/>
          <w:szCs w:val="24"/>
          <w:lang w:val="en-US"/>
        </w:rPr>
      </w:pPr>
    </w:p>
    <w:p w:rsidR="00EC7DFE" w:rsidRDefault="00325BBD" w:rsidP="00F7179A">
      <w:pPr>
        <w:spacing w:line="360" w:lineRule="auto"/>
        <w:jc w:val="both"/>
        <w:rPr>
          <w:rFonts w:ascii="Calibri" w:hAnsi="Calibri" w:cs="Calibri"/>
          <w:sz w:val="24"/>
          <w:szCs w:val="24"/>
        </w:rPr>
      </w:pPr>
      <w:r w:rsidRPr="00325BBD">
        <w:rPr>
          <w:rFonts w:ascii="Calibri" w:hAnsi="Calibri" w:cs="Calibri"/>
          <w:sz w:val="24"/>
          <w:szCs w:val="24"/>
        </w:rPr>
        <w:t xml:space="preserve">In his study in 2017, immediately after </w:t>
      </w:r>
      <w:r w:rsidR="00452321">
        <w:rPr>
          <w:rFonts w:ascii="Calibri" w:hAnsi="Calibri" w:cs="Calibri"/>
          <w:sz w:val="24"/>
          <w:szCs w:val="24"/>
          <w:lang w:val="en-US"/>
        </w:rPr>
        <w:t>BREXIT</w:t>
      </w:r>
      <w:r w:rsidRPr="00325BBD">
        <w:rPr>
          <w:rFonts w:ascii="Calibri" w:hAnsi="Calibri" w:cs="Calibri"/>
          <w:sz w:val="24"/>
          <w:szCs w:val="24"/>
        </w:rPr>
        <w:t xml:space="preserve">, </w:t>
      </w:r>
      <w:r w:rsidR="00452321">
        <w:rPr>
          <w:rFonts w:ascii="Calibri" w:hAnsi="Calibri" w:cs="Calibri"/>
          <w:sz w:val="24"/>
          <w:szCs w:val="24"/>
          <w:lang w:val="en-US"/>
        </w:rPr>
        <w:t>W</w:t>
      </w:r>
      <w:r w:rsidRPr="00325BBD">
        <w:rPr>
          <w:rFonts w:ascii="Calibri" w:hAnsi="Calibri" w:cs="Calibri"/>
          <w:sz w:val="24"/>
          <w:szCs w:val="24"/>
        </w:rPr>
        <w:t xml:space="preserve">illis Towers </w:t>
      </w:r>
      <w:r w:rsidR="00452321">
        <w:rPr>
          <w:rFonts w:ascii="Calibri" w:hAnsi="Calibri" w:cs="Calibri"/>
          <w:sz w:val="24"/>
          <w:szCs w:val="24"/>
          <w:lang w:val="en-US"/>
        </w:rPr>
        <w:t>W</w:t>
      </w:r>
      <w:r w:rsidRPr="00325BBD">
        <w:rPr>
          <w:rFonts w:ascii="Calibri" w:hAnsi="Calibri" w:cs="Calibri"/>
          <w:sz w:val="24"/>
          <w:szCs w:val="24"/>
        </w:rPr>
        <w:t>atson</w:t>
      </w:r>
      <w:sdt>
        <w:sdtPr>
          <w:rPr>
            <w:rFonts w:ascii="Calibri" w:hAnsi="Calibri" w:cs="Calibri"/>
            <w:sz w:val="24"/>
            <w:szCs w:val="24"/>
          </w:rPr>
          <w:id w:val="-605344868"/>
          <w:citation/>
        </w:sdtPr>
        <w:sdtContent>
          <w:r w:rsidR="00452321">
            <w:rPr>
              <w:rFonts w:ascii="Calibri" w:hAnsi="Calibri" w:cs="Calibri"/>
              <w:sz w:val="24"/>
              <w:szCs w:val="24"/>
            </w:rPr>
            <w:fldChar w:fldCharType="begin"/>
          </w:r>
          <w:r w:rsidR="00452321">
            <w:rPr>
              <w:rFonts w:ascii="Calibri" w:hAnsi="Calibri" w:cs="Calibri"/>
              <w:sz w:val="24"/>
              <w:szCs w:val="24"/>
              <w:lang w:val="en-US"/>
            </w:rPr>
            <w:instrText xml:space="preserve"> CITATION Wil17 \l 1033 </w:instrText>
          </w:r>
          <w:r w:rsidR="00452321">
            <w:rPr>
              <w:rFonts w:ascii="Calibri" w:hAnsi="Calibri" w:cs="Calibri"/>
              <w:sz w:val="24"/>
              <w:szCs w:val="24"/>
            </w:rPr>
            <w:fldChar w:fldCharType="separate"/>
          </w:r>
          <w:r w:rsidR="00790A63">
            <w:rPr>
              <w:rFonts w:ascii="Calibri" w:hAnsi="Calibri" w:cs="Calibri"/>
              <w:noProof/>
              <w:sz w:val="24"/>
              <w:szCs w:val="24"/>
              <w:lang w:val="en-US"/>
            </w:rPr>
            <w:t xml:space="preserve"> </w:t>
          </w:r>
          <w:r w:rsidR="00790A63" w:rsidRPr="00790A63">
            <w:rPr>
              <w:rFonts w:ascii="Calibri" w:hAnsi="Calibri" w:cs="Calibri"/>
              <w:noProof/>
              <w:sz w:val="24"/>
              <w:szCs w:val="24"/>
              <w:lang w:val="en-US"/>
            </w:rPr>
            <w:t>(Watson, 2017)</w:t>
          </w:r>
          <w:r w:rsidR="00452321">
            <w:rPr>
              <w:rFonts w:ascii="Calibri" w:hAnsi="Calibri" w:cs="Calibri"/>
              <w:sz w:val="24"/>
              <w:szCs w:val="24"/>
            </w:rPr>
            <w:fldChar w:fldCharType="end"/>
          </w:r>
        </w:sdtContent>
      </w:sdt>
      <w:r w:rsidRPr="00325BBD">
        <w:rPr>
          <w:rFonts w:ascii="Calibri" w:hAnsi="Calibri" w:cs="Calibri"/>
          <w:sz w:val="24"/>
          <w:szCs w:val="24"/>
        </w:rPr>
        <w:t xml:space="preserve"> made suggestions on how this would affect the UK Retail Industry in the future. According to him, with a few percent, but a drop in sales will have followed, followed by a loss of confidence on the part of the general public. This will also affect the labor market and pay accordingly.</w:t>
      </w:r>
    </w:p>
    <w:p w:rsidR="00452321" w:rsidRDefault="00452321" w:rsidP="00F7179A">
      <w:pPr>
        <w:spacing w:line="360" w:lineRule="auto"/>
        <w:jc w:val="both"/>
        <w:rPr>
          <w:rFonts w:ascii="Calibri" w:hAnsi="Calibri" w:cs="Calibri"/>
          <w:sz w:val="24"/>
          <w:szCs w:val="24"/>
        </w:rPr>
      </w:pPr>
    </w:p>
    <w:p w:rsidR="00452321" w:rsidRPr="00092981" w:rsidRDefault="00092981" w:rsidP="00092981">
      <w:pPr>
        <w:pStyle w:val="ListParagraph"/>
        <w:numPr>
          <w:ilvl w:val="0"/>
          <w:numId w:val="1"/>
        </w:numPr>
        <w:spacing w:line="360" w:lineRule="auto"/>
        <w:jc w:val="both"/>
        <w:rPr>
          <w:rFonts w:ascii="Calibri" w:hAnsi="Calibri" w:cs="Calibri"/>
          <w:sz w:val="36"/>
          <w:szCs w:val="36"/>
        </w:rPr>
      </w:pPr>
      <w:r w:rsidRPr="00092981">
        <w:rPr>
          <w:rFonts w:ascii="Calibri" w:hAnsi="Calibri" w:cs="Calibri"/>
          <w:sz w:val="36"/>
          <w:szCs w:val="36"/>
        </w:rPr>
        <w:t>The research strategy and methodology.</w:t>
      </w:r>
    </w:p>
    <w:p w:rsidR="00452321" w:rsidRDefault="0016615F" w:rsidP="0016615F">
      <w:pPr>
        <w:spacing w:line="360" w:lineRule="auto"/>
        <w:jc w:val="both"/>
        <w:rPr>
          <w:rFonts w:ascii="Calibri" w:hAnsi="Calibri" w:cs="Calibri"/>
          <w:sz w:val="24"/>
          <w:szCs w:val="24"/>
        </w:rPr>
      </w:pPr>
      <w:r w:rsidRPr="0016615F">
        <w:rPr>
          <w:rFonts w:ascii="Calibri" w:hAnsi="Calibri" w:cs="Calibri"/>
          <w:sz w:val="24"/>
          <w:szCs w:val="24"/>
        </w:rPr>
        <w:t xml:space="preserve">The main research strategy in this report will be tracking the activity through a partial financial analysis of the companies in the retail sector, </w:t>
      </w:r>
      <w:r w:rsidRPr="007D0137">
        <w:rPr>
          <w:rFonts w:ascii="Calibri" w:hAnsi="Calibri" w:cs="Calibri"/>
          <w:sz w:val="24"/>
          <w:szCs w:val="24"/>
        </w:rPr>
        <w:t>and in particular</w:t>
      </w:r>
      <w:r w:rsidR="007D0137" w:rsidRPr="007D0137">
        <w:rPr>
          <w:rFonts w:ascii="Calibri" w:eastAsia="Times New Roman" w:hAnsi="Calibri" w:cs="Calibri"/>
          <w:sz w:val="24"/>
          <w:szCs w:val="24"/>
        </w:rPr>
        <w:t xml:space="preserve"> the major retail chains for food and household goods in UK</w:t>
      </w:r>
      <w:r w:rsidR="007D0137" w:rsidRPr="007D0137">
        <w:rPr>
          <w:rFonts w:ascii="Calibri" w:eastAsia="Times New Roman" w:hAnsi="Calibri" w:cs="Calibri"/>
          <w:sz w:val="24"/>
          <w:szCs w:val="24"/>
        </w:rPr>
        <w:t xml:space="preserve">. </w:t>
      </w:r>
      <w:r w:rsidRPr="007D0137">
        <w:rPr>
          <w:rFonts w:ascii="Calibri" w:hAnsi="Calibri" w:cs="Calibri"/>
          <w:sz w:val="24"/>
          <w:szCs w:val="24"/>
        </w:rPr>
        <w:t>The methods for collecting the necessary</w:t>
      </w:r>
      <w:r w:rsidRPr="0016615F">
        <w:rPr>
          <w:rFonts w:ascii="Calibri" w:hAnsi="Calibri" w:cs="Calibri"/>
          <w:sz w:val="24"/>
          <w:szCs w:val="24"/>
        </w:rPr>
        <w:t xml:space="preserve"> information will be mainly based on searching for information via the Internet. The data to be used for the respective ratios will be taken from the annual reports of the companies concerned. Through them, the development of the companies in this sector will be traced, and the conclusions will be compared with the ones presented in the previous point and with the new ones, found in the process of the study.</w:t>
      </w:r>
    </w:p>
    <w:p w:rsidR="00DF6D1C" w:rsidRDefault="00DF6D1C" w:rsidP="0016615F">
      <w:pPr>
        <w:spacing w:line="360" w:lineRule="auto"/>
        <w:jc w:val="both"/>
        <w:rPr>
          <w:rFonts w:ascii="Calibri" w:hAnsi="Calibri" w:cs="Calibri"/>
          <w:sz w:val="24"/>
          <w:szCs w:val="24"/>
        </w:rPr>
      </w:pPr>
    </w:p>
    <w:p w:rsidR="0001446B" w:rsidRPr="00C815DB" w:rsidRDefault="00C815DB" w:rsidP="00C815DB">
      <w:pPr>
        <w:pStyle w:val="ListParagraph"/>
        <w:numPr>
          <w:ilvl w:val="0"/>
          <w:numId w:val="1"/>
        </w:numPr>
        <w:spacing w:line="360" w:lineRule="auto"/>
        <w:jc w:val="both"/>
        <w:rPr>
          <w:rFonts w:ascii="Calibri" w:hAnsi="Calibri" w:cs="Calibri"/>
          <w:sz w:val="36"/>
          <w:szCs w:val="36"/>
        </w:rPr>
      </w:pPr>
      <w:r w:rsidRPr="00C815DB">
        <w:rPr>
          <w:rFonts w:ascii="Calibri" w:hAnsi="Calibri" w:cs="Calibri"/>
          <w:sz w:val="36"/>
          <w:szCs w:val="36"/>
        </w:rPr>
        <w:t>Logistical and ethical consideration.</w:t>
      </w:r>
    </w:p>
    <w:p w:rsidR="00D91E99" w:rsidRDefault="0001446B" w:rsidP="0016615F">
      <w:pPr>
        <w:spacing w:line="360" w:lineRule="auto"/>
        <w:jc w:val="both"/>
        <w:rPr>
          <w:rFonts w:ascii="Calibri" w:hAnsi="Calibri" w:cs="Calibri"/>
          <w:sz w:val="24"/>
          <w:szCs w:val="24"/>
        </w:rPr>
      </w:pPr>
      <w:r w:rsidRPr="0001446B">
        <w:rPr>
          <w:rFonts w:ascii="Calibri" w:hAnsi="Calibri" w:cs="Calibri"/>
          <w:sz w:val="24"/>
          <w:szCs w:val="24"/>
        </w:rPr>
        <w:t xml:space="preserve">At this stage, there is no need for special access to the information needed for the study in this report. </w:t>
      </w:r>
    </w:p>
    <w:p w:rsidR="00502A55" w:rsidRDefault="00502A55" w:rsidP="0016615F">
      <w:pPr>
        <w:spacing w:line="360" w:lineRule="auto"/>
        <w:jc w:val="both"/>
        <w:rPr>
          <w:rFonts w:ascii="Calibri" w:hAnsi="Calibri" w:cs="Calibri"/>
          <w:sz w:val="24"/>
          <w:szCs w:val="24"/>
          <w:lang w:val="en-US"/>
        </w:rPr>
      </w:pPr>
      <w:bookmarkStart w:id="1" w:name="_GoBack"/>
      <w:bookmarkEnd w:id="1"/>
    </w:p>
    <w:p w:rsidR="00D91E99" w:rsidRDefault="00D91E99" w:rsidP="0016615F">
      <w:pPr>
        <w:spacing w:line="360" w:lineRule="auto"/>
        <w:jc w:val="both"/>
        <w:rPr>
          <w:rFonts w:ascii="Calibri" w:hAnsi="Calibri" w:cs="Calibri"/>
          <w:sz w:val="24"/>
          <w:szCs w:val="24"/>
          <w:lang w:val="en-US"/>
        </w:rPr>
      </w:pPr>
    </w:p>
    <w:p w:rsidR="00D91E99" w:rsidRPr="00D91E99" w:rsidRDefault="00D91E99" w:rsidP="0016615F">
      <w:pPr>
        <w:spacing w:line="360" w:lineRule="auto"/>
        <w:jc w:val="both"/>
        <w:rPr>
          <w:rFonts w:ascii="Calibri" w:hAnsi="Calibri" w:cs="Calibri"/>
          <w:sz w:val="24"/>
          <w:szCs w:val="24"/>
          <w:lang w:val="en-US"/>
        </w:rPr>
      </w:pPr>
    </w:p>
    <w:p w:rsidR="00C0200C" w:rsidRPr="00C0200C" w:rsidRDefault="00C0200C" w:rsidP="00C0200C">
      <w:pPr>
        <w:pStyle w:val="ListParagraph"/>
        <w:numPr>
          <w:ilvl w:val="0"/>
          <w:numId w:val="1"/>
        </w:numPr>
        <w:spacing w:line="360" w:lineRule="auto"/>
        <w:jc w:val="both"/>
        <w:rPr>
          <w:rFonts w:ascii="Calibri" w:hAnsi="Calibri" w:cs="Calibri"/>
          <w:sz w:val="36"/>
          <w:szCs w:val="36"/>
        </w:rPr>
      </w:pPr>
      <w:r w:rsidRPr="00C0200C">
        <w:rPr>
          <w:rFonts w:ascii="Calibri" w:hAnsi="Calibri" w:cs="Calibri"/>
          <w:sz w:val="36"/>
          <w:szCs w:val="36"/>
        </w:rPr>
        <w:lastRenderedPageBreak/>
        <w:t>Outcomes</w:t>
      </w:r>
      <w:r w:rsidR="00825C3A">
        <w:rPr>
          <w:rFonts w:ascii="Calibri" w:hAnsi="Calibri" w:cs="Calibri"/>
          <w:sz w:val="36"/>
          <w:szCs w:val="36"/>
          <w:lang w:val="en-US"/>
        </w:rPr>
        <w:t>.</w:t>
      </w:r>
    </w:p>
    <w:p w:rsidR="0016615F" w:rsidRDefault="00D91E99" w:rsidP="0016615F">
      <w:pPr>
        <w:spacing w:line="360" w:lineRule="auto"/>
        <w:jc w:val="both"/>
        <w:rPr>
          <w:rFonts w:ascii="Calibri" w:hAnsi="Calibri" w:cs="Calibri"/>
          <w:sz w:val="24"/>
          <w:szCs w:val="24"/>
          <w:lang w:val="en-US"/>
        </w:rPr>
      </w:pPr>
      <w:r w:rsidRPr="00D91E99">
        <w:rPr>
          <w:rFonts w:ascii="Calibri" w:hAnsi="Calibri" w:cs="Calibri"/>
          <w:sz w:val="24"/>
          <w:szCs w:val="24"/>
        </w:rPr>
        <w:t xml:space="preserve">The expected outcome of this report is a clear picture of the financial situation of the major grocery chains and household goods in the UK and is it affected in any way by this sector of the </w:t>
      </w:r>
      <w:r>
        <w:rPr>
          <w:rFonts w:ascii="Calibri" w:hAnsi="Calibri" w:cs="Calibri"/>
          <w:sz w:val="24"/>
          <w:szCs w:val="24"/>
          <w:lang w:val="en-US"/>
        </w:rPr>
        <w:t>BREXIT.</w:t>
      </w:r>
    </w:p>
    <w:p w:rsidR="0090729C" w:rsidRDefault="0090729C" w:rsidP="0016615F">
      <w:pPr>
        <w:spacing w:line="360" w:lineRule="auto"/>
        <w:jc w:val="both"/>
        <w:rPr>
          <w:rFonts w:ascii="Calibri" w:hAnsi="Calibri" w:cs="Calibri"/>
          <w:sz w:val="24"/>
          <w:szCs w:val="24"/>
          <w:lang w:val="en-US"/>
        </w:rPr>
      </w:pPr>
    </w:p>
    <w:p w:rsidR="0090729C" w:rsidRPr="00811FEF" w:rsidRDefault="00811FEF" w:rsidP="00811FEF">
      <w:pPr>
        <w:pStyle w:val="ListParagraph"/>
        <w:numPr>
          <w:ilvl w:val="0"/>
          <w:numId w:val="1"/>
        </w:numPr>
        <w:spacing w:line="360" w:lineRule="auto"/>
        <w:jc w:val="both"/>
        <w:rPr>
          <w:rFonts w:ascii="Calibri" w:hAnsi="Calibri" w:cs="Calibri"/>
          <w:sz w:val="36"/>
          <w:szCs w:val="36"/>
          <w:lang w:val="en-US"/>
        </w:rPr>
      </w:pPr>
      <w:r w:rsidRPr="00811FEF">
        <w:rPr>
          <w:rFonts w:ascii="Calibri" w:hAnsi="Calibri" w:cs="Calibri"/>
          <w:sz w:val="36"/>
          <w:szCs w:val="36"/>
          <w:lang w:val="en-US"/>
        </w:rPr>
        <w:t>A planned timetable for the various elements of the work</w:t>
      </w:r>
    </w:p>
    <w:p w:rsidR="0090729C" w:rsidRDefault="0090729C" w:rsidP="0016615F">
      <w:pPr>
        <w:spacing w:line="360" w:lineRule="auto"/>
        <w:jc w:val="both"/>
        <w:rPr>
          <w:rFonts w:ascii="Calibri" w:hAnsi="Calibri" w:cs="Calibri"/>
          <w:sz w:val="24"/>
          <w:szCs w:val="24"/>
          <w:lang w:val="en-US"/>
        </w:rPr>
      </w:pPr>
    </w:p>
    <w:p w:rsidR="0090729C" w:rsidRDefault="00811FEF" w:rsidP="0016615F">
      <w:pPr>
        <w:spacing w:line="360" w:lineRule="auto"/>
        <w:jc w:val="both"/>
        <w:rPr>
          <w:rFonts w:ascii="Calibri" w:hAnsi="Calibri" w:cs="Calibri"/>
          <w:sz w:val="24"/>
          <w:szCs w:val="24"/>
          <w:lang w:val="en-US"/>
        </w:rPr>
      </w:pPr>
      <w:r w:rsidRPr="00811FEF">
        <w:drawing>
          <wp:inline distT="0" distB="0" distL="0" distR="0">
            <wp:extent cx="5759450" cy="34810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9450" cy="3481070"/>
                    </a:xfrm>
                    <a:prstGeom prst="rect">
                      <a:avLst/>
                    </a:prstGeom>
                    <a:noFill/>
                    <a:ln>
                      <a:noFill/>
                    </a:ln>
                  </pic:spPr>
                </pic:pic>
              </a:graphicData>
            </a:graphic>
          </wp:inline>
        </w:drawing>
      </w: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p w:rsidR="0090729C" w:rsidRDefault="0090729C" w:rsidP="0016615F">
      <w:pPr>
        <w:spacing w:line="360" w:lineRule="auto"/>
        <w:jc w:val="both"/>
        <w:rPr>
          <w:rFonts w:ascii="Calibri" w:hAnsi="Calibri" w:cs="Calibri"/>
          <w:sz w:val="24"/>
          <w:szCs w:val="24"/>
          <w:lang w:val="en-US"/>
        </w:rPr>
      </w:pPr>
    </w:p>
    <w:sdt>
      <w:sdtPr>
        <w:id w:val="528529897"/>
        <w:docPartObj>
          <w:docPartGallery w:val="Bibliographies"/>
          <w:docPartUnique/>
        </w:docPartObj>
      </w:sdtPr>
      <w:sdtEndPr>
        <w:rPr>
          <w:rFonts w:asciiTheme="minorHAnsi" w:eastAsiaTheme="minorEastAsia" w:hAnsiTheme="minorHAnsi" w:cstheme="minorBidi"/>
          <w:color w:val="auto"/>
          <w:sz w:val="24"/>
          <w:szCs w:val="24"/>
          <w:lang w:val="bg-BG" w:eastAsia="bg-BG"/>
        </w:rPr>
      </w:sdtEndPr>
      <w:sdtContent>
        <w:p w:rsidR="003C5999" w:rsidRDefault="003C5999">
          <w:pPr>
            <w:pStyle w:val="Heading1"/>
            <w:rPr>
              <w:sz w:val="36"/>
              <w:szCs w:val="36"/>
            </w:rPr>
          </w:pPr>
          <w:r w:rsidRPr="00FD00B2">
            <w:rPr>
              <w:sz w:val="36"/>
              <w:szCs w:val="36"/>
            </w:rPr>
            <w:t>Bibliography</w:t>
          </w:r>
        </w:p>
        <w:p w:rsidR="0090729C" w:rsidRPr="0090729C" w:rsidRDefault="0090729C" w:rsidP="0090729C">
          <w:pPr>
            <w:rPr>
              <w:lang w:val="en-US" w:eastAsia="en-US"/>
            </w:rPr>
          </w:pPr>
        </w:p>
        <w:sdt>
          <w:sdtPr>
            <w:rPr>
              <w:sz w:val="24"/>
              <w:szCs w:val="24"/>
            </w:rPr>
            <w:id w:val="111145805"/>
            <w:bibliography/>
          </w:sdtPr>
          <w:sdtContent>
            <w:p w:rsidR="00790A63" w:rsidRPr="00ED6123" w:rsidRDefault="003C5999" w:rsidP="00ED6123">
              <w:pPr>
                <w:pStyle w:val="Bibliography"/>
                <w:spacing w:line="360" w:lineRule="auto"/>
                <w:jc w:val="both"/>
                <w:rPr>
                  <w:noProof/>
                  <w:sz w:val="24"/>
                  <w:szCs w:val="24"/>
                  <w:lang w:val="en-GB"/>
                </w:rPr>
              </w:pPr>
              <w:r w:rsidRPr="00ED6123">
                <w:rPr>
                  <w:sz w:val="24"/>
                  <w:szCs w:val="24"/>
                </w:rPr>
                <w:fldChar w:fldCharType="begin"/>
              </w:r>
              <w:r w:rsidRPr="00ED6123">
                <w:rPr>
                  <w:sz w:val="24"/>
                  <w:szCs w:val="24"/>
                </w:rPr>
                <w:instrText xml:space="preserve"> BIBLIOGRAPHY </w:instrText>
              </w:r>
              <w:r w:rsidRPr="00ED6123">
                <w:rPr>
                  <w:sz w:val="24"/>
                  <w:szCs w:val="24"/>
                </w:rPr>
                <w:fldChar w:fldCharType="separate"/>
              </w:r>
              <w:r w:rsidR="00790A63" w:rsidRPr="00ED6123">
                <w:rPr>
                  <w:noProof/>
                  <w:sz w:val="24"/>
                  <w:szCs w:val="24"/>
                  <w:lang w:val="en-GB"/>
                </w:rPr>
                <w:t xml:space="preserve">REED, W., 2015. </w:t>
              </w:r>
              <w:r w:rsidR="00790A63" w:rsidRPr="00ED6123">
                <w:rPr>
                  <w:i/>
                  <w:iCs/>
                  <w:noProof/>
                  <w:sz w:val="24"/>
                  <w:szCs w:val="24"/>
                  <w:lang w:val="en-GB"/>
                </w:rPr>
                <w:t xml:space="preserve">https://www.economicsonline.co.uk/Business_economics/Supermarkets.html. </w:t>
              </w:r>
              <w:r w:rsidR="00790A63" w:rsidRPr="00ED6123">
                <w:rPr>
                  <w:noProof/>
                  <w:sz w:val="24"/>
                  <w:szCs w:val="24"/>
                  <w:lang w:val="en-GB"/>
                </w:rPr>
                <w:t>[Online].</w:t>
              </w:r>
            </w:p>
            <w:p w:rsidR="00790A63" w:rsidRPr="00ED6123" w:rsidRDefault="00790A63" w:rsidP="00ED6123">
              <w:pPr>
                <w:pStyle w:val="Bibliography"/>
                <w:spacing w:line="360" w:lineRule="auto"/>
                <w:jc w:val="both"/>
                <w:rPr>
                  <w:noProof/>
                  <w:sz w:val="24"/>
                  <w:szCs w:val="24"/>
                  <w:lang w:val="en-GB"/>
                </w:rPr>
              </w:pPr>
              <w:r w:rsidRPr="00ED6123">
                <w:rPr>
                  <w:noProof/>
                  <w:sz w:val="24"/>
                  <w:szCs w:val="24"/>
                  <w:lang w:val="en-GB"/>
                </w:rPr>
                <w:t xml:space="preserve">Warner, J., 2019. </w:t>
              </w:r>
              <w:r w:rsidRPr="00ED6123">
                <w:rPr>
                  <w:i/>
                  <w:iCs/>
                  <w:noProof/>
                  <w:sz w:val="24"/>
                  <w:szCs w:val="24"/>
                  <w:lang w:val="en-GB"/>
                </w:rPr>
                <w:t xml:space="preserve">https://www.ig.com/uk/news-and-trade-ideas/shares-news/where-next-for-the-uk-supermarket-industry--190307. </w:t>
              </w:r>
              <w:r w:rsidRPr="00ED6123">
                <w:rPr>
                  <w:noProof/>
                  <w:sz w:val="24"/>
                  <w:szCs w:val="24"/>
                  <w:lang w:val="en-GB"/>
                </w:rPr>
                <w:t xml:space="preserve">[Online] </w:t>
              </w:r>
              <w:r w:rsidRPr="00ED6123">
                <w:rPr>
                  <w:noProof/>
                  <w:sz w:val="24"/>
                  <w:szCs w:val="24"/>
                  <w:lang w:val="en-GB"/>
                </w:rPr>
                <w:br/>
                <w:t>[Accessed 2019].</w:t>
              </w:r>
            </w:p>
            <w:p w:rsidR="00790A63" w:rsidRPr="00ED6123" w:rsidRDefault="00790A63" w:rsidP="00ED6123">
              <w:pPr>
                <w:pStyle w:val="Bibliography"/>
                <w:spacing w:line="360" w:lineRule="auto"/>
                <w:jc w:val="both"/>
                <w:rPr>
                  <w:noProof/>
                  <w:sz w:val="24"/>
                  <w:szCs w:val="24"/>
                  <w:lang w:val="en-GB"/>
                </w:rPr>
              </w:pPr>
              <w:r w:rsidRPr="00ED6123">
                <w:rPr>
                  <w:noProof/>
                  <w:sz w:val="24"/>
                  <w:szCs w:val="24"/>
                  <w:lang w:val="en-GB"/>
                </w:rPr>
                <w:t xml:space="preserve">Watson, W. T., 2017. </w:t>
              </w:r>
              <w:r w:rsidRPr="00ED6123">
                <w:rPr>
                  <w:i/>
                  <w:iCs/>
                  <w:noProof/>
                  <w:sz w:val="24"/>
                  <w:szCs w:val="24"/>
                  <w:lang w:val="en-GB"/>
                </w:rPr>
                <w:t xml:space="preserve">file:///C:/Users/jessi/Desktop/Disertation/UK-retail-industry-post-Brexit.pdf. </w:t>
              </w:r>
              <w:r w:rsidRPr="00ED6123">
                <w:rPr>
                  <w:noProof/>
                  <w:sz w:val="24"/>
                  <w:szCs w:val="24"/>
                  <w:lang w:val="en-GB"/>
                </w:rPr>
                <w:t xml:space="preserve">[Online] </w:t>
              </w:r>
              <w:r w:rsidRPr="00ED6123">
                <w:rPr>
                  <w:noProof/>
                  <w:sz w:val="24"/>
                  <w:szCs w:val="24"/>
                  <w:lang w:val="en-GB"/>
                </w:rPr>
                <w:br/>
                <w:t>[Accessed 2019].</w:t>
              </w:r>
            </w:p>
            <w:p w:rsidR="003C5999" w:rsidRPr="00ED6123" w:rsidRDefault="003C5999" w:rsidP="00ED6123">
              <w:pPr>
                <w:spacing w:line="360" w:lineRule="auto"/>
                <w:jc w:val="both"/>
                <w:rPr>
                  <w:sz w:val="24"/>
                  <w:szCs w:val="24"/>
                </w:rPr>
              </w:pPr>
              <w:r w:rsidRPr="00ED6123">
                <w:rPr>
                  <w:b/>
                  <w:bCs/>
                  <w:noProof/>
                  <w:sz w:val="24"/>
                  <w:szCs w:val="24"/>
                </w:rPr>
                <w:fldChar w:fldCharType="end"/>
              </w:r>
            </w:p>
          </w:sdtContent>
        </w:sdt>
      </w:sdtContent>
    </w:sdt>
    <w:p w:rsidR="00F7179A" w:rsidRPr="00F11C39" w:rsidRDefault="00F7179A" w:rsidP="00F7179A">
      <w:pPr>
        <w:pStyle w:val="ListParagraph"/>
        <w:spacing w:line="360" w:lineRule="auto"/>
        <w:jc w:val="both"/>
        <w:rPr>
          <w:rFonts w:ascii="Calibri" w:hAnsi="Calibri" w:cs="Calibri"/>
          <w:sz w:val="24"/>
          <w:szCs w:val="24"/>
        </w:rPr>
      </w:pPr>
    </w:p>
    <w:sectPr w:rsidR="00F7179A" w:rsidRPr="00F11C39" w:rsidSect="00F13C2A">
      <w:pgSz w:w="11906" w:h="16838"/>
      <w:pgMar w:top="964" w:right="1418" w:bottom="1418" w:left="1418"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20002A87" w:usb1="80000000" w:usb2="00000008" w:usb3="00000000" w:csb0="000001FF" w:csb1="00000000"/>
  </w:font>
  <w:font w:name="Calibri">
    <w:altName w:val="Calibri"/>
    <w:panose1 w:val="020F0502020204030204"/>
    <w:charset w:val="CC"/>
    <w:family w:val="swiss"/>
    <w:pitch w:val="variable"/>
    <w:sig w:usb0="A0002AEF" w:usb1="4000207B" w:usb2="00000000" w:usb3="00000000" w:csb0="000001FF" w:csb1="00000000"/>
  </w:font>
  <w:font w:name="Calibri Light">
    <w:panose1 w:val="020F0302020204030204"/>
    <w:charset w:val="CC"/>
    <w:family w:val="swiss"/>
    <w:pitch w:val="variable"/>
    <w:sig w:usb0="A0002AEF" w:usb1="4000207B" w:usb2="00000000" w:usb3="00000000" w:csb0="000001FF" w:csb1="00000000"/>
  </w:font>
  <w:font w:name="Segoe UI">
    <w:panose1 w:val="020B0502040204020203"/>
    <w:charset w:val="CC"/>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CF521B"/>
    <w:multiLevelType w:val="hybridMultilevel"/>
    <w:tmpl w:val="D8302E9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3DB"/>
    <w:rsid w:val="0001446B"/>
    <w:rsid w:val="00092981"/>
    <w:rsid w:val="0012120D"/>
    <w:rsid w:val="0016615F"/>
    <w:rsid w:val="001C345E"/>
    <w:rsid w:val="001C7CB2"/>
    <w:rsid w:val="0026211A"/>
    <w:rsid w:val="00265496"/>
    <w:rsid w:val="00282EEB"/>
    <w:rsid w:val="002D1DD9"/>
    <w:rsid w:val="002F1D92"/>
    <w:rsid w:val="00325BBD"/>
    <w:rsid w:val="00395209"/>
    <w:rsid w:val="003C5999"/>
    <w:rsid w:val="003D2B51"/>
    <w:rsid w:val="00452321"/>
    <w:rsid w:val="00493066"/>
    <w:rsid w:val="004C5112"/>
    <w:rsid w:val="00502A55"/>
    <w:rsid w:val="005048AC"/>
    <w:rsid w:val="00510E78"/>
    <w:rsid w:val="005264DD"/>
    <w:rsid w:val="005525EC"/>
    <w:rsid w:val="005966AB"/>
    <w:rsid w:val="005A500E"/>
    <w:rsid w:val="005C2B79"/>
    <w:rsid w:val="005D3D06"/>
    <w:rsid w:val="005D7130"/>
    <w:rsid w:val="005E33DB"/>
    <w:rsid w:val="00601077"/>
    <w:rsid w:val="00622784"/>
    <w:rsid w:val="00640FB6"/>
    <w:rsid w:val="00643879"/>
    <w:rsid w:val="006672AD"/>
    <w:rsid w:val="006725C1"/>
    <w:rsid w:val="006D14BB"/>
    <w:rsid w:val="00745DBE"/>
    <w:rsid w:val="00790A63"/>
    <w:rsid w:val="0079426D"/>
    <w:rsid w:val="007B41ED"/>
    <w:rsid w:val="007D0137"/>
    <w:rsid w:val="00811FEF"/>
    <w:rsid w:val="00825C3A"/>
    <w:rsid w:val="00887B6C"/>
    <w:rsid w:val="0090729C"/>
    <w:rsid w:val="009A4998"/>
    <w:rsid w:val="00A27AED"/>
    <w:rsid w:val="00A336F9"/>
    <w:rsid w:val="00A93E79"/>
    <w:rsid w:val="00AF500B"/>
    <w:rsid w:val="00B807A1"/>
    <w:rsid w:val="00B918D6"/>
    <w:rsid w:val="00BA77DA"/>
    <w:rsid w:val="00BE31AC"/>
    <w:rsid w:val="00C0200C"/>
    <w:rsid w:val="00C815DB"/>
    <w:rsid w:val="00CF62BD"/>
    <w:rsid w:val="00D91E99"/>
    <w:rsid w:val="00DA5B3D"/>
    <w:rsid w:val="00DC7C0E"/>
    <w:rsid w:val="00DF6D1C"/>
    <w:rsid w:val="00DF7FCE"/>
    <w:rsid w:val="00E550C7"/>
    <w:rsid w:val="00E8634A"/>
    <w:rsid w:val="00EB04D4"/>
    <w:rsid w:val="00EC7DFE"/>
    <w:rsid w:val="00ED6123"/>
    <w:rsid w:val="00F034A5"/>
    <w:rsid w:val="00F11C39"/>
    <w:rsid w:val="00F13C2A"/>
    <w:rsid w:val="00F63256"/>
    <w:rsid w:val="00F7179A"/>
    <w:rsid w:val="00F818DA"/>
    <w:rsid w:val="00FC36EF"/>
    <w:rsid w:val="00FD00B2"/>
    <w:rsid w:val="00FD33E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B8304"/>
  <w15:chartTrackingRefBased/>
  <w15:docId w15:val="{562288E0-A9B7-409D-8AF7-F6E3548DC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1DD9"/>
    <w:pPr>
      <w:spacing w:after="0" w:line="240" w:lineRule="auto"/>
    </w:pPr>
    <w:rPr>
      <w:rFonts w:eastAsiaTheme="minorEastAsia"/>
      <w:lang w:eastAsia="bg-BG"/>
    </w:rPr>
  </w:style>
  <w:style w:type="paragraph" w:styleId="Heading1">
    <w:name w:val="heading 1"/>
    <w:basedOn w:val="Normal"/>
    <w:next w:val="Normal"/>
    <w:link w:val="Heading1Char"/>
    <w:uiPriority w:val="9"/>
    <w:qFormat/>
    <w:rsid w:val="003C5999"/>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1D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1DD9"/>
    <w:rPr>
      <w:rFonts w:eastAsiaTheme="minorEastAsia"/>
      <w:lang w:val="en-US"/>
    </w:rPr>
  </w:style>
  <w:style w:type="paragraph" w:styleId="BalloonText">
    <w:name w:val="Balloon Text"/>
    <w:basedOn w:val="Normal"/>
    <w:link w:val="BalloonTextChar"/>
    <w:uiPriority w:val="99"/>
    <w:semiHidden/>
    <w:unhideWhenUsed/>
    <w:rsid w:val="00A27AE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7AED"/>
    <w:rPr>
      <w:rFonts w:ascii="Segoe UI" w:eastAsiaTheme="minorEastAsia" w:hAnsi="Segoe UI" w:cs="Segoe UI"/>
      <w:sz w:val="18"/>
      <w:szCs w:val="18"/>
      <w:lang w:eastAsia="bg-BG"/>
    </w:rPr>
  </w:style>
  <w:style w:type="paragraph" w:styleId="ListParagraph">
    <w:name w:val="List Paragraph"/>
    <w:basedOn w:val="Normal"/>
    <w:uiPriority w:val="34"/>
    <w:qFormat/>
    <w:rsid w:val="00493066"/>
    <w:pPr>
      <w:ind w:left="720"/>
      <w:contextualSpacing/>
    </w:pPr>
  </w:style>
  <w:style w:type="character" w:customStyle="1" w:styleId="Heading1Char">
    <w:name w:val="Heading 1 Char"/>
    <w:basedOn w:val="DefaultParagraphFont"/>
    <w:link w:val="Heading1"/>
    <w:uiPriority w:val="9"/>
    <w:rsid w:val="003C599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C5999"/>
  </w:style>
  <w:style w:type="table" w:styleId="TableGrid">
    <w:name w:val="Table Grid"/>
    <w:basedOn w:val="TableNormal"/>
    <w:uiPriority w:val="39"/>
    <w:rsid w:val="004C5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99975">
      <w:bodyDiv w:val="1"/>
      <w:marLeft w:val="0"/>
      <w:marRight w:val="0"/>
      <w:marTop w:val="0"/>
      <w:marBottom w:val="0"/>
      <w:divBdr>
        <w:top w:val="none" w:sz="0" w:space="0" w:color="auto"/>
        <w:left w:val="none" w:sz="0" w:space="0" w:color="auto"/>
        <w:bottom w:val="none" w:sz="0" w:space="0" w:color="auto"/>
        <w:right w:val="none" w:sz="0" w:space="0" w:color="auto"/>
      </w:divBdr>
    </w:div>
    <w:div w:id="260336637">
      <w:bodyDiv w:val="1"/>
      <w:marLeft w:val="0"/>
      <w:marRight w:val="0"/>
      <w:marTop w:val="0"/>
      <w:marBottom w:val="0"/>
      <w:divBdr>
        <w:top w:val="none" w:sz="0" w:space="0" w:color="auto"/>
        <w:left w:val="none" w:sz="0" w:space="0" w:color="auto"/>
        <w:bottom w:val="none" w:sz="0" w:space="0" w:color="auto"/>
        <w:right w:val="none" w:sz="0" w:space="0" w:color="auto"/>
      </w:divBdr>
    </w:div>
    <w:div w:id="311327539">
      <w:bodyDiv w:val="1"/>
      <w:marLeft w:val="0"/>
      <w:marRight w:val="0"/>
      <w:marTop w:val="0"/>
      <w:marBottom w:val="0"/>
      <w:divBdr>
        <w:top w:val="none" w:sz="0" w:space="0" w:color="auto"/>
        <w:left w:val="none" w:sz="0" w:space="0" w:color="auto"/>
        <w:bottom w:val="none" w:sz="0" w:space="0" w:color="auto"/>
        <w:right w:val="none" w:sz="0" w:space="0" w:color="auto"/>
      </w:divBdr>
    </w:div>
    <w:div w:id="433326646">
      <w:bodyDiv w:val="1"/>
      <w:marLeft w:val="0"/>
      <w:marRight w:val="0"/>
      <w:marTop w:val="0"/>
      <w:marBottom w:val="0"/>
      <w:divBdr>
        <w:top w:val="none" w:sz="0" w:space="0" w:color="auto"/>
        <w:left w:val="none" w:sz="0" w:space="0" w:color="auto"/>
        <w:bottom w:val="none" w:sz="0" w:space="0" w:color="auto"/>
        <w:right w:val="none" w:sz="0" w:space="0" w:color="auto"/>
      </w:divBdr>
    </w:div>
    <w:div w:id="553270590">
      <w:bodyDiv w:val="1"/>
      <w:marLeft w:val="0"/>
      <w:marRight w:val="0"/>
      <w:marTop w:val="0"/>
      <w:marBottom w:val="0"/>
      <w:divBdr>
        <w:top w:val="none" w:sz="0" w:space="0" w:color="auto"/>
        <w:left w:val="none" w:sz="0" w:space="0" w:color="auto"/>
        <w:bottom w:val="none" w:sz="0" w:space="0" w:color="auto"/>
        <w:right w:val="none" w:sz="0" w:space="0" w:color="auto"/>
      </w:divBdr>
    </w:div>
    <w:div w:id="596135894">
      <w:bodyDiv w:val="1"/>
      <w:marLeft w:val="0"/>
      <w:marRight w:val="0"/>
      <w:marTop w:val="0"/>
      <w:marBottom w:val="0"/>
      <w:divBdr>
        <w:top w:val="none" w:sz="0" w:space="0" w:color="auto"/>
        <w:left w:val="none" w:sz="0" w:space="0" w:color="auto"/>
        <w:bottom w:val="none" w:sz="0" w:space="0" w:color="auto"/>
        <w:right w:val="none" w:sz="0" w:space="0" w:color="auto"/>
      </w:divBdr>
    </w:div>
    <w:div w:id="726807435">
      <w:bodyDiv w:val="1"/>
      <w:marLeft w:val="0"/>
      <w:marRight w:val="0"/>
      <w:marTop w:val="0"/>
      <w:marBottom w:val="0"/>
      <w:divBdr>
        <w:top w:val="none" w:sz="0" w:space="0" w:color="auto"/>
        <w:left w:val="none" w:sz="0" w:space="0" w:color="auto"/>
        <w:bottom w:val="none" w:sz="0" w:space="0" w:color="auto"/>
        <w:right w:val="none" w:sz="0" w:space="0" w:color="auto"/>
      </w:divBdr>
    </w:div>
    <w:div w:id="763302063">
      <w:bodyDiv w:val="1"/>
      <w:marLeft w:val="0"/>
      <w:marRight w:val="0"/>
      <w:marTop w:val="0"/>
      <w:marBottom w:val="0"/>
      <w:divBdr>
        <w:top w:val="none" w:sz="0" w:space="0" w:color="auto"/>
        <w:left w:val="none" w:sz="0" w:space="0" w:color="auto"/>
        <w:bottom w:val="none" w:sz="0" w:space="0" w:color="auto"/>
        <w:right w:val="none" w:sz="0" w:space="0" w:color="auto"/>
      </w:divBdr>
    </w:div>
    <w:div w:id="810487522">
      <w:bodyDiv w:val="1"/>
      <w:marLeft w:val="0"/>
      <w:marRight w:val="0"/>
      <w:marTop w:val="0"/>
      <w:marBottom w:val="0"/>
      <w:divBdr>
        <w:top w:val="none" w:sz="0" w:space="0" w:color="auto"/>
        <w:left w:val="none" w:sz="0" w:space="0" w:color="auto"/>
        <w:bottom w:val="none" w:sz="0" w:space="0" w:color="auto"/>
        <w:right w:val="none" w:sz="0" w:space="0" w:color="auto"/>
      </w:divBdr>
    </w:div>
    <w:div w:id="833030785">
      <w:bodyDiv w:val="1"/>
      <w:marLeft w:val="0"/>
      <w:marRight w:val="0"/>
      <w:marTop w:val="0"/>
      <w:marBottom w:val="0"/>
      <w:divBdr>
        <w:top w:val="none" w:sz="0" w:space="0" w:color="auto"/>
        <w:left w:val="none" w:sz="0" w:space="0" w:color="auto"/>
        <w:bottom w:val="none" w:sz="0" w:space="0" w:color="auto"/>
        <w:right w:val="none" w:sz="0" w:space="0" w:color="auto"/>
      </w:divBdr>
    </w:div>
    <w:div w:id="1028678305">
      <w:bodyDiv w:val="1"/>
      <w:marLeft w:val="0"/>
      <w:marRight w:val="0"/>
      <w:marTop w:val="0"/>
      <w:marBottom w:val="0"/>
      <w:divBdr>
        <w:top w:val="none" w:sz="0" w:space="0" w:color="auto"/>
        <w:left w:val="none" w:sz="0" w:space="0" w:color="auto"/>
        <w:bottom w:val="none" w:sz="0" w:space="0" w:color="auto"/>
        <w:right w:val="none" w:sz="0" w:space="0" w:color="auto"/>
      </w:divBdr>
    </w:div>
    <w:div w:id="1164321245">
      <w:bodyDiv w:val="1"/>
      <w:marLeft w:val="0"/>
      <w:marRight w:val="0"/>
      <w:marTop w:val="0"/>
      <w:marBottom w:val="0"/>
      <w:divBdr>
        <w:top w:val="none" w:sz="0" w:space="0" w:color="auto"/>
        <w:left w:val="none" w:sz="0" w:space="0" w:color="auto"/>
        <w:bottom w:val="none" w:sz="0" w:space="0" w:color="auto"/>
        <w:right w:val="none" w:sz="0" w:space="0" w:color="auto"/>
      </w:divBdr>
    </w:div>
    <w:div w:id="1199469470">
      <w:bodyDiv w:val="1"/>
      <w:marLeft w:val="0"/>
      <w:marRight w:val="0"/>
      <w:marTop w:val="0"/>
      <w:marBottom w:val="0"/>
      <w:divBdr>
        <w:top w:val="none" w:sz="0" w:space="0" w:color="auto"/>
        <w:left w:val="none" w:sz="0" w:space="0" w:color="auto"/>
        <w:bottom w:val="none" w:sz="0" w:space="0" w:color="auto"/>
        <w:right w:val="none" w:sz="0" w:space="0" w:color="auto"/>
      </w:divBdr>
    </w:div>
    <w:div w:id="1282148884">
      <w:bodyDiv w:val="1"/>
      <w:marLeft w:val="0"/>
      <w:marRight w:val="0"/>
      <w:marTop w:val="0"/>
      <w:marBottom w:val="0"/>
      <w:divBdr>
        <w:top w:val="none" w:sz="0" w:space="0" w:color="auto"/>
        <w:left w:val="none" w:sz="0" w:space="0" w:color="auto"/>
        <w:bottom w:val="none" w:sz="0" w:space="0" w:color="auto"/>
        <w:right w:val="none" w:sz="0" w:space="0" w:color="auto"/>
      </w:divBdr>
    </w:div>
    <w:div w:id="1360544880">
      <w:bodyDiv w:val="1"/>
      <w:marLeft w:val="0"/>
      <w:marRight w:val="0"/>
      <w:marTop w:val="0"/>
      <w:marBottom w:val="0"/>
      <w:divBdr>
        <w:top w:val="none" w:sz="0" w:space="0" w:color="auto"/>
        <w:left w:val="none" w:sz="0" w:space="0" w:color="auto"/>
        <w:bottom w:val="none" w:sz="0" w:space="0" w:color="auto"/>
        <w:right w:val="none" w:sz="0" w:space="0" w:color="auto"/>
      </w:divBdr>
    </w:div>
    <w:div w:id="1490242827">
      <w:bodyDiv w:val="1"/>
      <w:marLeft w:val="0"/>
      <w:marRight w:val="0"/>
      <w:marTop w:val="0"/>
      <w:marBottom w:val="0"/>
      <w:divBdr>
        <w:top w:val="none" w:sz="0" w:space="0" w:color="auto"/>
        <w:left w:val="none" w:sz="0" w:space="0" w:color="auto"/>
        <w:bottom w:val="none" w:sz="0" w:space="0" w:color="auto"/>
        <w:right w:val="none" w:sz="0" w:space="0" w:color="auto"/>
      </w:divBdr>
    </w:div>
    <w:div w:id="1495028037">
      <w:bodyDiv w:val="1"/>
      <w:marLeft w:val="0"/>
      <w:marRight w:val="0"/>
      <w:marTop w:val="0"/>
      <w:marBottom w:val="0"/>
      <w:divBdr>
        <w:top w:val="none" w:sz="0" w:space="0" w:color="auto"/>
        <w:left w:val="none" w:sz="0" w:space="0" w:color="auto"/>
        <w:bottom w:val="none" w:sz="0" w:space="0" w:color="auto"/>
        <w:right w:val="none" w:sz="0" w:space="0" w:color="auto"/>
      </w:divBdr>
    </w:div>
    <w:div w:id="1519660858">
      <w:bodyDiv w:val="1"/>
      <w:marLeft w:val="0"/>
      <w:marRight w:val="0"/>
      <w:marTop w:val="0"/>
      <w:marBottom w:val="0"/>
      <w:divBdr>
        <w:top w:val="none" w:sz="0" w:space="0" w:color="auto"/>
        <w:left w:val="none" w:sz="0" w:space="0" w:color="auto"/>
        <w:bottom w:val="none" w:sz="0" w:space="0" w:color="auto"/>
        <w:right w:val="none" w:sz="0" w:space="0" w:color="auto"/>
      </w:divBdr>
    </w:div>
    <w:div w:id="1595089385">
      <w:bodyDiv w:val="1"/>
      <w:marLeft w:val="0"/>
      <w:marRight w:val="0"/>
      <w:marTop w:val="0"/>
      <w:marBottom w:val="0"/>
      <w:divBdr>
        <w:top w:val="none" w:sz="0" w:space="0" w:color="auto"/>
        <w:left w:val="none" w:sz="0" w:space="0" w:color="auto"/>
        <w:bottom w:val="none" w:sz="0" w:space="0" w:color="auto"/>
        <w:right w:val="none" w:sz="0" w:space="0" w:color="auto"/>
      </w:divBdr>
    </w:div>
    <w:div w:id="1595741875">
      <w:bodyDiv w:val="1"/>
      <w:marLeft w:val="0"/>
      <w:marRight w:val="0"/>
      <w:marTop w:val="0"/>
      <w:marBottom w:val="0"/>
      <w:divBdr>
        <w:top w:val="none" w:sz="0" w:space="0" w:color="auto"/>
        <w:left w:val="none" w:sz="0" w:space="0" w:color="auto"/>
        <w:bottom w:val="none" w:sz="0" w:space="0" w:color="auto"/>
        <w:right w:val="none" w:sz="0" w:space="0" w:color="auto"/>
      </w:divBdr>
    </w:div>
    <w:div w:id="1695688736">
      <w:bodyDiv w:val="1"/>
      <w:marLeft w:val="0"/>
      <w:marRight w:val="0"/>
      <w:marTop w:val="0"/>
      <w:marBottom w:val="0"/>
      <w:divBdr>
        <w:top w:val="none" w:sz="0" w:space="0" w:color="auto"/>
        <w:left w:val="none" w:sz="0" w:space="0" w:color="auto"/>
        <w:bottom w:val="none" w:sz="0" w:space="0" w:color="auto"/>
        <w:right w:val="none" w:sz="0" w:space="0" w:color="auto"/>
      </w:divBdr>
    </w:div>
    <w:div w:id="1776364062">
      <w:bodyDiv w:val="1"/>
      <w:marLeft w:val="0"/>
      <w:marRight w:val="0"/>
      <w:marTop w:val="0"/>
      <w:marBottom w:val="0"/>
      <w:divBdr>
        <w:top w:val="none" w:sz="0" w:space="0" w:color="auto"/>
        <w:left w:val="none" w:sz="0" w:space="0" w:color="auto"/>
        <w:bottom w:val="none" w:sz="0" w:space="0" w:color="auto"/>
        <w:right w:val="none" w:sz="0" w:space="0" w:color="auto"/>
      </w:divBdr>
    </w:div>
    <w:div w:id="1899168326">
      <w:bodyDiv w:val="1"/>
      <w:marLeft w:val="0"/>
      <w:marRight w:val="0"/>
      <w:marTop w:val="0"/>
      <w:marBottom w:val="0"/>
      <w:divBdr>
        <w:top w:val="none" w:sz="0" w:space="0" w:color="auto"/>
        <w:left w:val="none" w:sz="0" w:space="0" w:color="auto"/>
        <w:bottom w:val="none" w:sz="0" w:space="0" w:color="auto"/>
        <w:right w:val="none" w:sz="0" w:space="0" w:color="auto"/>
      </w:divBdr>
    </w:div>
    <w:div w:id="1969356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emf"/><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emf"/><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88BD3FB5D0B46FFBC824344B3324E28"/>
        <w:category>
          <w:name w:val="General"/>
          <w:gallery w:val="placeholder"/>
        </w:category>
        <w:types>
          <w:type w:val="bbPlcHdr"/>
        </w:types>
        <w:behaviors>
          <w:behavior w:val="content"/>
        </w:behaviors>
        <w:guid w:val="{BE1B92E0-FAD2-4E61-A7A8-428625A9C0AE}"/>
      </w:docPartPr>
      <w:docPartBody>
        <w:p w:rsidR="00000000" w:rsidRDefault="00AB7F66" w:rsidP="00AB7F66">
          <w:pPr>
            <w:pStyle w:val="A88BD3FB5D0B46FFBC824344B3324E2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20002A87" w:usb1="80000000" w:usb2="00000008" w:usb3="00000000" w:csb0="000001FF" w:csb1="00000000"/>
  </w:font>
  <w:font w:name="Calibri">
    <w:altName w:val="Calibri"/>
    <w:panose1 w:val="020F0502020204030204"/>
    <w:charset w:val="CC"/>
    <w:family w:val="swiss"/>
    <w:pitch w:val="variable"/>
    <w:sig w:usb0="A0002AEF" w:usb1="4000207B" w:usb2="00000000" w:usb3="00000000" w:csb0="000001FF" w:csb1="00000000"/>
  </w:font>
  <w:font w:name="Calibri Light">
    <w:panose1 w:val="020F0302020204030204"/>
    <w:charset w:val="CC"/>
    <w:family w:val="swiss"/>
    <w:pitch w:val="variable"/>
    <w:sig w:usb0="A0002AEF" w:usb1="4000207B" w:usb2="00000000" w:usb3="00000000" w:csb0="000001FF" w:csb1="00000000"/>
  </w:font>
  <w:font w:name="Segoe UI">
    <w:panose1 w:val="020B0502040204020203"/>
    <w:charset w:val="CC"/>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F66"/>
    <w:rsid w:val="00AB7F66"/>
    <w:rsid w:val="00D82F2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8BD3FB5D0B46FFBC824344B3324E28">
    <w:name w:val="A88BD3FB5D0B46FFBC824344B3324E28"/>
    <w:rsid w:val="00AB7F66"/>
  </w:style>
  <w:style w:type="paragraph" w:customStyle="1" w:styleId="5942B1B0D2664C1BB91EE89B2ACB78A8">
    <w:name w:val="5942B1B0D2664C1BB91EE89B2ACB78A8"/>
    <w:rsid w:val="00AB7F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Dzhevrie Lyumanova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REE15</b:Tag>
    <b:SourceType>InternetSite</b:SourceType>
    <b:Guid>{D4B10BD3-F9B0-4792-B01B-A08EB9C6B642}</b:Guid>
    <b:Author>
      <b:Author>
        <b:NameList>
          <b:Person>
            <b:Last>REED</b:Last>
            <b:First>WILLIAM</b:First>
          </b:Person>
        </b:NameList>
      </b:Author>
    </b:Author>
    <b:Title>https://www.economicsonline.co.uk/Business_economics/Supermarkets.html</b:Title>
    <b:Year>2015</b:Year>
    <b:LCID>en-GB</b:LCID>
    <b:RefOrder>1</b:RefOrder>
  </b:Source>
  <b:Source>
    <b:Tag>War19</b:Tag>
    <b:SourceType>InternetSite</b:SourceType>
    <b:Guid>{0F029F40-7875-4041-9FC8-B2441360EA38}</b:Guid>
    <b:Author>
      <b:Author>
        <b:NameList>
          <b:Person>
            <b:Last>Warner</b:Last>
            <b:First>Joshua</b:First>
          </b:Person>
        </b:NameList>
      </b:Author>
    </b:Author>
    <b:Title>https://www.ig.com/uk/news-and-trade-ideas/shares-news/where-next-for-the-uk-supermarket-industry--190307</b:Title>
    <b:Year>2019</b:Year>
    <b:YearAccessed>2019</b:YearAccessed>
    <b:LCID>en-GB</b:LCID>
    <b:ProductionCompany>Writer, London</b:ProductionCompany>
    <b:RefOrder>2</b:RefOrder>
  </b:Source>
  <b:Source>
    <b:Tag>Wil17</b:Tag>
    <b:SourceType>InternetSite</b:SourceType>
    <b:Guid>{FB94A2DA-CE7F-4640-A1DC-D0A80126F10C}</b:Guid>
    <b:Title>file:///C:/Users/jessi/Desktop/Disertation/UK-retail-industry-post-Brexit.pdf</b:Title>
    <b:Year>2017</b:Year>
    <b:YearAccessed>2019</b:YearAccessed>
    <b:LCID>en-GB</b:LCID>
    <b:Author>
      <b:Author>
        <b:NameList>
          <b:Person>
            <b:Last>Watson</b:Last>
            <b:First>Wiliams</b:First>
            <b:Middle>Towers</b:Middle>
          </b:Person>
        </b:NameList>
      </b:Author>
    </b:Author>
    <b:Month>April</b:Month>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221B93-C884-4F4B-B919-4A2CF5995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1336</TotalTime>
  <Pages>5</Pages>
  <Words>747</Words>
  <Characters>4260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Dissertation-LCMB7020</dc:title>
  <dc:subject>Financial analysis of the major retail chains for food and household goods in UK (e.g. Tesco, Sainsbury’s, Morison, M&amp;S, Lidl, etc.). How they evolve according financial leverage and profitability ratios, and how the labor market impact on their business before decision for Brexit and after.</dc:subject>
  <dc:creator>jessi ly</dc:creator>
  <cp:keywords/>
  <dc:description/>
  <cp:lastModifiedBy>jessi ly</cp:lastModifiedBy>
  <cp:revision>46</cp:revision>
  <dcterms:created xsi:type="dcterms:W3CDTF">2019-06-07T13:13:00Z</dcterms:created>
  <dcterms:modified xsi:type="dcterms:W3CDTF">2019-06-14T16:18:00Z</dcterms:modified>
</cp:coreProperties>
</file>