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B3431" w:rsidR="005B3431" w:rsidP="3D1D9991" w:rsidRDefault="005B3431" w14:paraId="13DDECD3" w14:textId="0E28D147">
      <w:pPr>
        <w:spacing w:before="100" w:beforeAutospacing="on" w:after="100" w:afterAutospacing="on" w:line="360" w:lineRule="auto"/>
        <w:ind w:left="720"/>
        <w:jc w:val="center"/>
        <w:rPr>
          <w:rFonts w:ascii="Arial" w:hAnsi="Arial" w:cs="Arial"/>
          <w:b w:val="0"/>
          <w:bCs w:val="0"/>
          <w:color w:val="000000" w:themeColor="text1" w:themeTint="FF" w:themeShade="FF"/>
          <w:sz w:val="22"/>
          <w:szCs w:val="22"/>
          <w:lang w:eastAsia="zh-CN"/>
        </w:rPr>
      </w:pPr>
      <w:r w:rsidRPr="3D1D9991" w:rsidR="1BC0C566">
        <w:rPr>
          <w:rFonts w:ascii="Arial" w:hAnsi="Arial" w:cs="Arial"/>
          <w:b w:val="0"/>
          <w:bCs w:val="0"/>
          <w:color w:val="000000" w:themeColor="text1" w:themeTint="FF" w:themeShade="FF"/>
          <w:sz w:val="22"/>
          <w:szCs w:val="22"/>
          <w:lang w:eastAsia="zh-CN"/>
        </w:rPr>
        <w:t>Tamyne</w:t>
      </w:r>
      <w:r w:rsidRPr="3D1D9991" w:rsidR="1BC0C566">
        <w:rPr>
          <w:rFonts w:ascii="Arial" w:hAnsi="Arial" w:cs="Arial"/>
          <w:b w:val="0"/>
          <w:bCs w:val="0"/>
          <w:color w:val="000000" w:themeColor="text1" w:themeTint="FF" w:themeShade="FF"/>
          <w:sz w:val="22"/>
          <w:szCs w:val="22"/>
          <w:lang w:eastAsia="zh-CN"/>
        </w:rPr>
        <w:t xml:space="preserve"> Cossa</w:t>
      </w:r>
    </w:p>
    <w:p w:rsidRPr="005B3431" w:rsidR="005B3431" w:rsidP="3D1D9991" w:rsidRDefault="005B3431" w14:paraId="1A7471E9" w14:textId="3EC683E6">
      <w:pPr>
        <w:spacing w:before="100" w:beforeAutospacing="on" w:after="100" w:afterAutospacing="on" w:line="360" w:lineRule="auto"/>
        <w:ind w:left="720"/>
        <w:jc w:val="center"/>
        <w:rPr>
          <w:rFonts w:ascii="Arial" w:hAnsi="Arial" w:cs="Arial"/>
          <w:b w:val="0"/>
          <w:bCs w:val="0"/>
          <w:color w:val="000000" w:themeColor="text1" w:themeTint="FF" w:themeShade="FF"/>
          <w:sz w:val="22"/>
          <w:szCs w:val="22"/>
          <w:lang w:eastAsia="zh-CN"/>
        </w:rPr>
      </w:pPr>
      <w:r w:rsidRPr="3D1D9991" w:rsidR="1BC0C566">
        <w:rPr>
          <w:rFonts w:ascii="Arial" w:hAnsi="Arial" w:cs="Arial"/>
          <w:b w:val="0"/>
          <w:bCs w:val="0"/>
          <w:color w:val="000000" w:themeColor="text1" w:themeTint="FF" w:themeShade="FF"/>
          <w:sz w:val="22"/>
          <w:szCs w:val="22"/>
          <w:lang w:eastAsia="zh-CN"/>
        </w:rPr>
        <w:t>2507591</w:t>
      </w:r>
    </w:p>
    <w:p w:rsidRPr="005B3431" w:rsidR="005B3431" w:rsidP="3D1D9991" w:rsidRDefault="005B3431" w14:paraId="54968189" w14:textId="60796A3F">
      <w:pPr>
        <w:spacing w:before="100" w:beforeAutospacing="on" w:after="100" w:afterAutospacing="on" w:line="360" w:lineRule="auto"/>
        <w:ind w:left="720"/>
        <w:jc w:val="center"/>
        <w:rPr>
          <w:rFonts w:ascii="Arial" w:hAnsi="Arial" w:cs="Arial"/>
          <w:b w:val="0"/>
          <w:bCs w:val="0"/>
          <w:color w:val="000000" w:themeColor="text1" w:themeTint="FF" w:themeShade="FF"/>
          <w:sz w:val="22"/>
          <w:szCs w:val="22"/>
          <w:lang w:eastAsia="zh-CN"/>
        </w:rPr>
      </w:pPr>
      <w:r w:rsidRPr="3D1D9991" w:rsidR="1BC0C566">
        <w:rPr>
          <w:rFonts w:ascii="Arial" w:hAnsi="Arial" w:cs="Arial"/>
          <w:b w:val="0"/>
          <w:bCs w:val="0"/>
          <w:color w:val="000000" w:themeColor="text1" w:themeTint="FF" w:themeShade="FF"/>
          <w:sz w:val="22"/>
          <w:szCs w:val="22"/>
          <w:lang w:eastAsia="zh-CN"/>
        </w:rPr>
        <w:t>LCHS4008</w:t>
      </w:r>
    </w:p>
    <w:p w:rsidRPr="005B3431" w:rsidR="005B3431" w:rsidP="3D1D9991" w:rsidRDefault="005B3431" w14:paraId="178FAACE" w14:textId="211CB255">
      <w:pPr>
        <w:spacing w:before="100" w:beforeAutospacing="on" w:after="100" w:afterAutospacing="on" w:line="360" w:lineRule="auto"/>
        <w:ind w:left="720"/>
        <w:jc w:val="center"/>
        <w:rPr>
          <w:rFonts w:ascii="Arial" w:hAnsi="Arial" w:cs="Arial"/>
          <w:b w:val="0"/>
          <w:bCs w:val="0"/>
          <w:color w:val="000000" w:themeColor="text1" w:themeTint="FF" w:themeShade="FF"/>
          <w:sz w:val="22"/>
          <w:szCs w:val="22"/>
          <w:lang w:eastAsia="zh-CN"/>
        </w:rPr>
      </w:pPr>
      <w:r w:rsidRPr="3D1D9991" w:rsidR="1BC0C566">
        <w:rPr>
          <w:rFonts w:ascii="Arial" w:hAnsi="Arial" w:cs="Arial"/>
          <w:b w:val="0"/>
          <w:bCs w:val="0"/>
          <w:color w:val="000000" w:themeColor="text1" w:themeTint="FF" w:themeShade="FF"/>
          <w:sz w:val="22"/>
          <w:szCs w:val="22"/>
          <w:lang w:eastAsia="zh-CN"/>
        </w:rPr>
        <w:t>Introduction to Public Health</w:t>
      </w:r>
    </w:p>
    <w:p w:rsidRPr="005B3431" w:rsidR="005B3431" w:rsidP="3D1D9991" w:rsidRDefault="005B3431" w14:paraId="78F7532D" w14:textId="214C377B">
      <w:pPr>
        <w:spacing w:before="100" w:beforeAutospacing="on" w:after="100" w:afterAutospacing="on" w:line="360" w:lineRule="auto"/>
        <w:ind w:left="720"/>
        <w:jc w:val="center"/>
        <w:rPr>
          <w:rFonts w:ascii="Arial" w:hAnsi="Arial" w:cs="Arial"/>
          <w:b w:val="0"/>
          <w:bCs w:val="0"/>
          <w:color w:val="000000" w:themeColor="text1" w:themeTint="FF" w:themeShade="FF"/>
          <w:sz w:val="22"/>
          <w:szCs w:val="22"/>
          <w:lang w:eastAsia="zh-CN"/>
        </w:rPr>
      </w:pPr>
      <w:r w:rsidRPr="3D1D9991" w:rsidR="1BC0C566">
        <w:rPr>
          <w:rFonts w:ascii="Arial" w:hAnsi="Arial" w:cs="Arial"/>
          <w:b w:val="0"/>
          <w:bCs w:val="0"/>
          <w:color w:val="000000" w:themeColor="text1" w:themeTint="FF" w:themeShade="FF"/>
          <w:sz w:val="22"/>
          <w:szCs w:val="22"/>
          <w:lang w:eastAsia="zh-CN"/>
        </w:rPr>
        <w:t>Gillian Weaver</w:t>
      </w:r>
    </w:p>
    <w:p w:rsidRPr="005B3431" w:rsidR="005B3431" w:rsidP="005B3431" w:rsidRDefault="005B3431" w14:paraId="4B0CEB14" w14:textId="761C11F0">
      <w:pPr>
        <w:spacing w:before="100" w:beforeAutospacing="1" w:after="100" w:afterAutospacing="1" w:line="360" w:lineRule="auto"/>
      </w:pPr>
      <w:r>
        <w:br w:type="page"/>
      </w:r>
    </w:p>
    <w:p w:rsidRPr="005B3431" w:rsidR="005B3431" w:rsidP="57703A50" w:rsidRDefault="005B3431" w14:paraId="19A9EB5B" w14:textId="5916B69A">
      <w:pPr>
        <w:pStyle w:val="Normal"/>
        <w:spacing w:before="100" w:beforeAutospacing="on" w:after="100" w:afterAutospacing="on" w:line="360" w:lineRule="auto"/>
        <w:jc w:val="both"/>
        <w:rPr>
          <w:rFonts w:ascii="Arial" w:hAnsi="Arial" w:cs="Arial"/>
          <w:b w:val="1"/>
          <w:bCs w:val="1"/>
          <w:color w:val="000000"/>
          <w:sz w:val="22"/>
          <w:szCs w:val="22"/>
          <w:lang w:eastAsia="zh-CN"/>
        </w:rPr>
      </w:pPr>
      <w:r w:rsidRPr="57703A50" w:rsidR="40A04CE9">
        <w:rPr>
          <w:rFonts w:ascii="Arial" w:hAnsi="Arial" w:cs="Arial"/>
          <w:b w:val="1"/>
          <w:bCs w:val="1"/>
          <w:color w:val="000000" w:themeColor="text1" w:themeTint="FF" w:themeShade="FF"/>
          <w:sz w:val="22"/>
          <w:szCs w:val="22"/>
          <w:lang w:eastAsia="zh-CN"/>
        </w:rPr>
        <w:t xml:space="preserve">Written Report – </w:t>
      </w:r>
      <w:r w:rsidRPr="57703A50" w:rsidR="741A7468">
        <w:rPr>
          <w:rFonts w:ascii="Arial" w:hAnsi="Arial" w:cs="Arial"/>
          <w:b w:val="1"/>
          <w:bCs w:val="1"/>
          <w:color w:val="000000" w:themeColor="text1" w:themeTint="FF" w:themeShade="FF"/>
          <w:sz w:val="22"/>
          <w:szCs w:val="22"/>
          <w:lang w:eastAsia="zh-CN"/>
        </w:rPr>
        <w:t>D</w:t>
      </w:r>
      <w:r w:rsidRPr="57703A50" w:rsidR="40A04CE9">
        <w:rPr>
          <w:rFonts w:ascii="Arial" w:hAnsi="Arial" w:cs="Arial"/>
          <w:b w:val="1"/>
          <w:bCs w:val="1"/>
          <w:color w:val="000000" w:themeColor="text1" w:themeTint="FF" w:themeShade="FF"/>
          <w:sz w:val="22"/>
          <w:szCs w:val="22"/>
          <w:lang w:eastAsia="zh-CN"/>
        </w:rPr>
        <w:t>ementia.</w:t>
      </w:r>
    </w:p>
    <w:p w:rsidRPr="005B3431" w:rsidR="005B3431" w:rsidP="57703A50" w:rsidRDefault="005B3431" w14:paraId="68D522CC" w14:textId="4BB4020C">
      <w:pPr>
        <w:spacing w:before="100" w:beforeAutospacing="on" w:after="100" w:afterAutospacing="on" w:line="360" w:lineRule="auto"/>
        <w:jc w:val="both"/>
        <w:rPr>
          <w:rFonts w:ascii="Arial" w:hAnsi="Arial" w:cs="Arial"/>
          <w:b w:val="1"/>
          <w:bCs w:val="1"/>
          <w:color w:val="000000"/>
          <w:sz w:val="22"/>
          <w:szCs w:val="22"/>
          <w:lang w:eastAsia="zh-CN"/>
        </w:rPr>
      </w:pPr>
      <w:r w:rsidRPr="57703A50" w:rsidR="005B3431">
        <w:rPr>
          <w:rFonts w:ascii="Arial" w:hAnsi="Arial" w:cs="Arial"/>
          <w:b w:val="1"/>
          <w:bCs w:val="1"/>
          <w:color w:val="000000" w:themeColor="text1" w:themeTint="FF" w:themeShade="FF"/>
          <w:sz w:val="22"/>
          <w:szCs w:val="22"/>
          <w:lang w:eastAsia="zh-CN"/>
        </w:rPr>
        <w:t>Introduction</w:t>
      </w:r>
    </w:p>
    <w:p w:rsidRPr="005B3431" w:rsidR="005B3431" w:rsidP="57703A50" w:rsidRDefault="005B3431" w14:paraId="5E0AF555" w14:textId="7AD8C7F2">
      <w:pPr>
        <w:pStyle w:val="Normal"/>
        <w:spacing w:before="100" w:beforeAutospacing="on" w:after="100" w:afterAutospacing="on" w:line="360" w:lineRule="auto"/>
        <w:jc w:val="both"/>
        <w:rPr>
          <w:rFonts w:ascii="Arial" w:hAnsi="Arial" w:cs="Arial"/>
          <w:sz w:val="22"/>
          <w:szCs w:val="22"/>
        </w:rPr>
      </w:pPr>
      <w:r w:rsidRPr="57703A50" w:rsidR="40A04CE9">
        <w:rPr>
          <w:rFonts w:ascii="Arial" w:hAnsi="Arial" w:cs="Arial"/>
          <w:sz w:val="22"/>
          <w:szCs w:val="22"/>
        </w:rPr>
        <w:t xml:space="preserve">Dementia is a collective term for a group of progressive neurodegenerative conditions that impair memory, thinking, behaviour and the ability to perform everyday activities. It is not a single disease, but rather a syndrome caused by various brain disorders, with Alzheimer’s disease being the most </w:t>
      </w:r>
      <w:r w:rsidRPr="57703A50" w:rsidR="40A04CE9">
        <w:rPr>
          <w:rFonts w:ascii="Arial" w:hAnsi="Arial" w:cs="Arial"/>
          <w:sz w:val="22"/>
          <w:szCs w:val="22"/>
        </w:rPr>
        <w:t>common form</w:t>
      </w:r>
      <w:r w:rsidRPr="57703A50" w:rsidR="40A04CE9">
        <w:rPr>
          <w:rFonts w:ascii="Arial" w:hAnsi="Arial" w:cs="Arial"/>
          <w:sz w:val="22"/>
          <w:szCs w:val="22"/>
        </w:rPr>
        <w:t xml:space="preserve"> (WHO, 2025). </w:t>
      </w:r>
      <w:r w:rsidRPr="57703A50" w:rsidR="241E1267">
        <w:rPr>
          <w:rFonts w:ascii="Arial" w:hAnsi="Arial" w:eastAsia="Arial" w:cs="Arial"/>
          <w:noProof w:val="0"/>
          <w:color w:val="000000" w:themeColor="text1" w:themeTint="FF" w:themeShade="FF"/>
          <w:sz w:val="22"/>
          <w:szCs w:val="22"/>
          <w:lang w:val="en-GB"/>
        </w:rPr>
        <w:t>Common symptoms include memory loss, communication difficulties, impaired judgement and changes in mood or behaviour.</w:t>
      </w:r>
      <w:r w:rsidRPr="57703A50" w:rsidR="241E1267">
        <w:rPr>
          <w:rFonts w:ascii="Arial" w:hAnsi="Arial" w:cs="Arial"/>
          <w:sz w:val="22"/>
          <w:szCs w:val="22"/>
        </w:rPr>
        <w:t xml:space="preserve"> </w:t>
      </w:r>
      <w:r w:rsidRPr="57703A50" w:rsidR="40A04CE9">
        <w:rPr>
          <w:rFonts w:ascii="Arial" w:hAnsi="Arial" w:cs="Arial"/>
          <w:sz w:val="22"/>
          <w:szCs w:val="22"/>
        </w:rPr>
        <w:t xml:space="preserve">The condition most </w:t>
      </w:r>
      <w:r w:rsidRPr="57703A50" w:rsidR="40A04CE9">
        <w:rPr>
          <w:rFonts w:ascii="Arial" w:hAnsi="Arial" w:cs="Arial"/>
          <w:sz w:val="22"/>
          <w:szCs w:val="22"/>
        </w:rPr>
        <w:t>frequently</w:t>
      </w:r>
      <w:r w:rsidRPr="57703A50" w:rsidR="40A04CE9">
        <w:rPr>
          <w:rFonts w:ascii="Arial" w:hAnsi="Arial" w:cs="Arial"/>
          <w:sz w:val="22"/>
          <w:szCs w:val="22"/>
        </w:rPr>
        <w:t xml:space="preserve"> affects older adults, though younger onset dementia can occur before age 65.</w:t>
      </w:r>
    </w:p>
    <w:p w:rsidRPr="005B3431" w:rsidR="005B3431" w:rsidP="57703A50" w:rsidRDefault="005B3431" w14:paraId="7DB592A0" w14:textId="6572AA60">
      <w:pPr>
        <w:spacing w:before="100" w:beforeAutospacing="on" w:after="100" w:afterAutospacing="on" w:line="360" w:lineRule="auto"/>
        <w:jc w:val="both"/>
        <w:rPr>
          <w:rFonts w:ascii="Arial" w:hAnsi="Arial" w:cs="Arial"/>
          <w:sz w:val="22"/>
          <w:szCs w:val="22"/>
        </w:rPr>
      </w:pPr>
      <w:r w:rsidRPr="57703A50" w:rsidR="005B3431">
        <w:rPr>
          <w:rFonts w:ascii="Arial" w:hAnsi="Arial" w:cs="Arial"/>
          <w:sz w:val="22"/>
          <w:szCs w:val="22"/>
        </w:rPr>
        <w:t xml:space="preserve">Dementia </w:t>
      </w:r>
      <w:r w:rsidRPr="57703A50" w:rsidR="005B3431">
        <w:rPr>
          <w:rFonts w:ascii="Arial" w:hAnsi="Arial" w:cs="Arial"/>
          <w:sz w:val="22"/>
          <w:szCs w:val="22"/>
        </w:rPr>
        <w:t>represents</w:t>
      </w:r>
      <w:r w:rsidRPr="57703A50" w:rsidR="005B3431">
        <w:rPr>
          <w:rFonts w:ascii="Arial" w:hAnsi="Arial" w:cs="Arial"/>
          <w:sz w:val="22"/>
          <w:szCs w:val="22"/>
        </w:rPr>
        <w:t xml:space="preserve"> a significant global health challenge. Approximately 55 million people worldwide are living with dementia, with </w:t>
      </w:r>
      <w:r w:rsidRPr="57703A50" w:rsidR="005B3431">
        <w:rPr>
          <w:rFonts w:ascii="Arial" w:hAnsi="Arial" w:cs="Arial"/>
          <w:sz w:val="22"/>
          <w:szCs w:val="22"/>
        </w:rPr>
        <w:t>nearly 10</w:t>
      </w:r>
      <w:r w:rsidRPr="57703A50" w:rsidR="005B3431">
        <w:rPr>
          <w:rFonts w:ascii="Arial" w:hAnsi="Arial" w:cs="Arial"/>
          <w:sz w:val="22"/>
          <w:szCs w:val="22"/>
        </w:rPr>
        <w:t xml:space="preserve"> million new cases each year (Alzheimer’s Society, 2025). In the UK, around one million individuals currently have a form of dementia, and this figure is projected to rise to 1.4 million by 2040 as the population ages (Alzheimer’s Society, 2025). These figures illustrate the serious scale of the issue both globally and within the UK health system.</w:t>
      </w:r>
    </w:p>
    <w:p w:rsidR="005B3431" w:rsidP="57703A50" w:rsidRDefault="005B3431" w14:paraId="381A968F" w14:textId="77777777">
      <w:pPr>
        <w:spacing w:line="360" w:lineRule="auto"/>
        <w:jc w:val="both"/>
        <w:rPr>
          <w:rFonts w:ascii="Arial" w:hAnsi="Arial" w:cs="Arial"/>
          <w:b w:val="1"/>
          <w:bCs w:val="1"/>
          <w:sz w:val="22"/>
          <w:szCs w:val="22"/>
        </w:rPr>
      </w:pPr>
      <w:r w:rsidRPr="57703A50" w:rsidR="40A04CE9">
        <w:rPr>
          <w:rFonts w:ascii="Arial" w:hAnsi="Arial" w:cs="Arial"/>
          <w:b w:val="1"/>
          <w:bCs w:val="1"/>
          <w:sz w:val="22"/>
          <w:szCs w:val="22"/>
        </w:rPr>
        <w:t>Approaches Used to Measure and Monitor Dementia</w:t>
      </w:r>
    </w:p>
    <w:p w:rsidRPr="005B3431" w:rsidR="005B3431" w:rsidP="57703A50" w:rsidRDefault="005B3431" w14:paraId="33C5E195" w14:textId="77777777">
      <w:pPr>
        <w:spacing w:line="360" w:lineRule="auto"/>
        <w:jc w:val="both"/>
        <w:rPr>
          <w:rFonts w:ascii="Arial" w:hAnsi="Arial" w:cs="Arial"/>
          <w:sz w:val="22"/>
          <w:szCs w:val="22"/>
        </w:rPr>
      </w:pPr>
    </w:p>
    <w:p w:rsidRPr="005B3431" w:rsidR="005B3431" w:rsidP="57703A50" w:rsidRDefault="005B3431" w14:paraId="6F0EB00E" w14:textId="6ECA9B96">
      <w:pPr>
        <w:pStyle w:val="Normal"/>
        <w:spacing w:line="360" w:lineRule="auto"/>
        <w:jc w:val="both"/>
        <w:rPr>
          <w:rFonts w:ascii="Arial" w:hAnsi="Arial" w:cs="Arial"/>
          <w:sz w:val="22"/>
          <w:szCs w:val="22"/>
        </w:rPr>
      </w:pPr>
      <w:r w:rsidRPr="57703A50" w:rsidR="40A04CE9">
        <w:rPr>
          <w:rFonts w:ascii="Arial" w:hAnsi="Arial" w:cs="Arial"/>
          <w:sz w:val="22"/>
          <w:szCs w:val="22"/>
        </w:rPr>
        <w:t>Accurate measurement and monitoring of dementia are essential for diagnosis, care planning, and evaluating treatment responses. One of the most widely used clinical screening tools is the Mini-Mental State Examination (MMSE), a simple questionnaire that assesses cognitive function including memory, orientation, attention, and language skills (</w:t>
      </w:r>
      <w:r w:rsidRPr="57703A50" w:rsidR="04A10DB8">
        <w:rPr>
          <w:rFonts w:ascii="Arial" w:hAnsi="Arial" w:eastAsia="Arial" w:cs="Arial"/>
          <w:noProof w:val="0"/>
          <w:color w:val="000000" w:themeColor="text1" w:themeTint="FF" w:themeShade="FF"/>
          <w:sz w:val="22"/>
          <w:szCs w:val="22"/>
          <w:lang w:val="en-GB"/>
        </w:rPr>
        <w:t>NICE, 2022)</w:t>
      </w:r>
      <w:r w:rsidRPr="57703A50" w:rsidR="40A04CE9">
        <w:rPr>
          <w:rFonts w:ascii="Arial" w:hAnsi="Arial" w:cs="Arial"/>
          <w:sz w:val="22"/>
          <w:szCs w:val="22"/>
        </w:rPr>
        <w:t>. The MMSE helps clinicians estimate the severity of cognitive impairment and track changes over time, although it is not a definitive diagnostic tool on its own. Other validated cognitive assessments, such as the Montreal Cognitive Assessment (MoCA), are also used in clinical practice to detect early cognitive changes.</w:t>
      </w:r>
    </w:p>
    <w:p w:rsidRPr="005B3431" w:rsidR="005B3431" w:rsidP="57703A50" w:rsidRDefault="005B3431" w14:paraId="08660630" w14:textId="3F0B9857">
      <w:pPr>
        <w:spacing w:line="360" w:lineRule="auto"/>
        <w:jc w:val="both"/>
        <w:rPr>
          <w:rFonts w:ascii="Arial" w:hAnsi="Arial" w:cs="Arial"/>
          <w:sz w:val="22"/>
          <w:szCs w:val="22"/>
        </w:rPr>
      </w:pPr>
      <w:r w:rsidRPr="57703A50" w:rsidR="40A04CE9">
        <w:rPr>
          <w:rFonts w:ascii="Arial" w:hAnsi="Arial" w:cs="Arial"/>
          <w:sz w:val="22"/>
          <w:szCs w:val="22"/>
        </w:rPr>
        <w:t>Beyond individual tests, dementia monitoring at the population level relie</w:t>
      </w:r>
      <w:r w:rsidRPr="57703A50" w:rsidR="40A04CE9">
        <w:rPr>
          <w:rFonts w:ascii="Arial" w:hAnsi="Arial" w:cs="Arial"/>
          <w:sz w:val="22"/>
          <w:szCs w:val="22"/>
        </w:rPr>
        <w:t>s on regi</w:t>
      </w:r>
      <w:r w:rsidRPr="57703A50" w:rsidR="40A04CE9">
        <w:rPr>
          <w:rFonts w:ascii="Arial" w:hAnsi="Arial" w:cs="Arial"/>
          <w:sz w:val="22"/>
          <w:szCs w:val="22"/>
        </w:rPr>
        <w:t>stries and health system data. Primary care records in the UK now capture for</w:t>
      </w:r>
      <w:r w:rsidRPr="57703A50" w:rsidR="40A04CE9">
        <w:rPr>
          <w:rFonts w:ascii="Arial" w:hAnsi="Arial" w:cs="Arial"/>
          <w:sz w:val="22"/>
          <w:szCs w:val="22"/>
        </w:rPr>
        <w:t>mal dementia diagno</w:t>
      </w:r>
      <w:r w:rsidRPr="57703A50" w:rsidR="40A04CE9">
        <w:rPr>
          <w:rFonts w:ascii="Arial" w:hAnsi="Arial" w:cs="Arial"/>
          <w:sz w:val="22"/>
          <w:szCs w:val="22"/>
        </w:rPr>
        <w:t xml:space="preserve">ses, which </w:t>
      </w:r>
      <w:r w:rsidRPr="57703A50" w:rsidR="40A04CE9">
        <w:rPr>
          <w:rFonts w:ascii="Arial" w:hAnsi="Arial" w:cs="Arial"/>
          <w:sz w:val="22"/>
          <w:szCs w:val="22"/>
        </w:rPr>
        <w:t>help public</w:t>
      </w:r>
      <w:r w:rsidRPr="57703A50" w:rsidR="40A04CE9">
        <w:rPr>
          <w:rFonts w:ascii="Arial" w:hAnsi="Arial" w:cs="Arial"/>
          <w:sz w:val="22"/>
          <w:szCs w:val="22"/>
        </w:rPr>
        <w:t xml:space="preserve"> health authorities track prevalence and plan services (GOV.UK, 2025). However, underdiagno</w:t>
      </w:r>
      <w:r w:rsidRPr="57703A50" w:rsidR="40A04CE9">
        <w:rPr>
          <w:rFonts w:ascii="Arial" w:hAnsi="Arial" w:cs="Arial"/>
          <w:sz w:val="22"/>
          <w:szCs w:val="22"/>
        </w:rPr>
        <w:t xml:space="preserve">sis </w:t>
      </w:r>
      <w:r w:rsidRPr="57703A50" w:rsidR="40A04CE9">
        <w:rPr>
          <w:rFonts w:ascii="Arial" w:hAnsi="Arial" w:cs="Arial"/>
          <w:sz w:val="22"/>
          <w:szCs w:val="22"/>
        </w:rPr>
        <w:t>re</w:t>
      </w:r>
      <w:r w:rsidRPr="57703A50" w:rsidR="40A04CE9">
        <w:rPr>
          <w:rFonts w:ascii="Arial" w:hAnsi="Arial" w:cs="Arial"/>
          <w:sz w:val="22"/>
          <w:szCs w:val="22"/>
        </w:rPr>
        <w:t>mains</w:t>
      </w:r>
      <w:r w:rsidRPr="57703A50" w:rsidR="40A04CE9">
        <w:rPr>
          <w:rFonts w:ascii="Arial" w:hAnsi="Arial" w:cs="Arial"/>
          <w:sz w:val="22"/>
          <w:szCs w:val="22"/>
        </w:rPr>
        <w:t xml:space="preserve"> a challenge, particularly for rarer forms of dementia such as dementia with Lewy bodies and frontotemporal dementia, which often present atypical symptoms and may go unrecognised in primary care </w:t>
      </w:r>
      <w:r w:rsidRPr="57703A50" w:rsidR="651511E9">
        <w:rPr>
          <w:rFonts w:ascii="Arial" w:hAnsi="Arial" w:cs="Arial"/>
          <w:sz w:val="22"/>
          <w:szCs w:val="22"/>
        </w:rPr>
        <w:t>(NHS, 2024)</w:t>
      </w:r>
      <w:r w:rsidRPr="57703A50" w:rsidR="40A04CE9">
        <w:rPr>
          <w:rFonts w:ascii="Arial" w:hAnsi="Arial" w:cs="Arial"/>
          <w:sz w:val="22"/>
          <w:szCs w:val="22"/>
        </w:rPr>
        <w:t xml:space="preserve">. Research methods such as Dementia Care Mapping are used in care settings to </w:t>
      </w:r>
      <w:r w:rsidRPr="57703A50" w:rsidR="40A04CE9">
        <w:rPr>
          <w:rFonts w:ascii="Arial" w:hAnsi="Arial" w:cs="Arial"/>
          <w:sz w:val="22"/>
          <w:szCs w:val="22"/>
        </w:rPr>
        <w:t>observe</w:t>
      </w:r>
      <w:r w:rsidRPr="57703A50" w:rsidR="40A04CE9">
        <w:rPr>
          <w:rFonts w:ascii="Arial" w:hAnsi="Arial" w:cs="Arial"/>
          <w:sz w:val="22"/>
          <w:szCs w:val="22"/>
        </w:rPr>
        <w:t xml:space="preserve"> the</w:t>
      </w:r>
      <w:r w:rsidRPr="57703A50" w:rsidR="40A04CE9">
        <w:rPr>
          <w:rFonts w:ascii="Arial" w:hAnsi="Arial" w:cs="Arial"/>
          <w:sz w:val="22"/>
          <w:szCs w:val="22"/>
        </w:rPr>
        <w:t xml:space="preserve"> lived </w:t>
      </w:r>
      <w:r w:rsidRPr="57703A50" w:rsidR="40A04CE9">
        <w:rPr>
          <w:rFonts w:ascii="Arial" w:hAnsi="Arial" w:cs="Arial"/>
          <w:sz w:val="22"/>
          <w:szCs w:val="22"/>
        </w:rPr>
        <w:t>experience of people with dementia and guide improvements in person-centred care (Alzheimer’s Society, 2025).</w:t>
      </w:r>
      <w:r w:rsidRPr="57703A50" w:rsidR="40A04CE9">
        <w:rPr>
          <w:rFonts w:ascii="Arial" w:hAnsi="Arial" w:cs="Arial"/>
          <w:sz w:val="22"/>
          <w:szCs w:val="22"/>
        </w:rPr>
        <w:t xml:space="preserve"> </w:t>
      </w:r>
      <w:r w:rsidRPr="57703A50" w:rsidR="40A04CE9">
        <w:rPr>
          <w:rFonts w:ascii="Arial" w:hAnsi="Arial" w:cs="Arial"/>
          <w:sz w:val="22"/>
          <w:szCs w:val="22"/>
        </w:rPr>
        <w:t xml:space="preserve">Advances in biomarkers and imaging techniques are expanding the possibilities for </w:t>
      </w:r>
      <w:r w:rsidRPr="57703A50" w:rsidR="40A04CE9">
        <w:rPr>
          <w:rFonts w:ascii="Arial" w:hAnsi="Arial" w:cs="Arial"/>
          <w:sz w:val="22"/>
          <w:szCs w:val="22"/>
        </w:rPr>
        <w:t xml:space="preserve">early detection. Neuroimaging (e.g. MRI or PET scans) and cerebrospinal fluid analyses can reveal characteristic brain changes associated with Alzheimer’s disease, though such methods are more costly and </w:t>
      </w:r>
      <w:r w:rsidRPr="57703A50" w:rsidR="40A04CE9">
        <w:rPr>
          <w:rFonts w:ascii="Arial" w:hAnsi="Arial" w:cs="Arial"/>
          <w:sz w:val="22"/>
          <w:szCs w:val="22"/>
        </w:rPr>
        <w:t>generally r</w:t>
      </w:r>
      <w:r w:rsidRPr="57703A50" w:rsidR="40A04CE9">
        <w:rPr>
          <w:rFonts w:ascii="Arial" w:hAnsi="Arial" w:cs="Arial"/>
          <w:sz w:val="22"/>
          <w:szCs w:val="22"/>
        </w:rPr>
        <w:t>eserved</w:t>
      </w:r>
      <w:r w:rsidRPr="57703A50" w:rsidR="40A04CE9">
        <w:rPr>
          <w:rFonts w:ascii="Arial" w:hAnsi="Arial" w:cs="Arial"/>
          <w:sz w:val="22"/>
          <w:szCs w:val="22"/>
        </w:rPr>
        <w:t xml:space="preserve"> for specia</w:t>
      </w:r>
      <w:r w:rsidRPr="57703A50" w:rsidR="40A04CE9">
        <w:rPr>
          <w:rFonts w:ascii="Arial" w:hAnsi="Arial" w:cs="Arial"/>
          <w:sz w:val="22"/>
          <w:szCs w:val="22"/>
        </w:rPr>
        <w:t>list care pathways. Emerging digital tools and machine learning approaches are under development to track subtle changes in behaviour and cognition, particularly for those living independently, but these are still largely research-based and not yet routine (</w:t>
      </w:r>
      <w:r w:rsidRPr="57703A50" w:rsidR="40A04CE9">
        <w:rPr>
          <w:rFonts w:ascii="Arial" w:hAnsi="Arial" w:cs="Arial"/>
          <w:sz w:val="22"/>
          <w:szCs w:val="22"/>
        </w:rPr>
        <w:t>Arxiv</w:t>
      </w:r>
      <w:r w:rsidRPr="57703A50" w:rsidR="40A04CE9">
        <w:rPr>
          <w:rFonts w:ascii="Arial" w:hAnsi="Arial" w:cs="Arial"/>
          <w:sz w:val="22"/>
          <w:szCs w:val="22"/>
        </w:rPr>
        <w:t>, 2019</w:t>
      </w:r>
      <w:r w:rsidRPr="57703A50" w:rsidR="40A04CE9">
        <w:rPr>
          <w:rFonts w:ascii="Arial" w:hAnsi="Arial" w:cs="Arial"/>
          <w:sz w:val="22"/>
          <w:szCs w:val="22"/>
        </w:rPr>
        <w:t>).</w:t>
      </w:r>
    </w:p>
    <w:p w:rsidRPr="005B3431" w:rsidR="005B3431" w:rsidP="57703A50" w:rsidRDefault="005B3431" w14:paraId="0E48CAF4" w14:textId="77777777">
      <w:pPr>
        <w:spacing w:line="360" w:lineRule="auto"/>
        <w:jc w:val="both"/>
        <w:rPr>
          <w:rFonts w:ascii="Arial" w:hAnsi="Arial" w:cs="Arial"/>
          <w:sz w:val="22"/>
          <w:szCs w:val="22"/>
        </w:rPr>
      </w:pPr>
    </w:p>
    <w:p w:rsidRPr="005B3431" w:rsidR="005B3431" w:rsidP="57703A50" w:rsidRDefault="005B3431" w14:paraId="4D080DBE" w14:textId="56622596">
      <w:pPr>
        <w:spacing w:line="360" w:lineRule="auto"/>
        <w:jc w:val="both"/>
        <w:rPr>
          <w:rFonts w:ascii="Arial" w:hAnsi="Arial" w:cs="Arial"/>
          <w:b w:val="1"/>
          <w:bCs w:val="1"/>
          <w:sz w:val="22"/>
          <w:szCs w:val="22"/>
        </w:rPr>
      </w:pPr>
      <w:r w:rsidRPr="57703A50" w:rsidR="40A04CE9">
        <w:rPr>
          <w:rFonts w:ascii="Arial" w:hAnsi="Arial" w:cs="Arial"/>
          <w:b w:val="1"/>
          <w:bCs w:val="1"/>
          <w:sz w:val="22"/>
          <w:szCs w:val="22"/>
        </w:rPr>
        <w:t>How Dementia is Controlled</w:t>
      </w:r>
    </w:p>
    <w:p w:rsidRPr="005B3431" w:rsidR="005B3431" w:rsidP="57703A50" w:rsidRDefault="005B3431" w14:paraId="5168CC2E" w14:textId="3FF53F16">
      <w:pPr>
        <w:spacing w:line="360" w:lineRule="auto"/>
        <w:jc w:val="both"/>
        <w:rPr>
          <w:rFonts w:ascii="Arial" w:hAnsi="Arial" w:cs="Arial"/>
          <w:sz w:val="22"/>
          <w:szCs w:val="22"/>
        </w:rPr>
      </w:pPr>
      <w:r w:rsidRPr="57703A50" w:rsidR="40A04CE9">
        <w:rPr>
          <w:rFonts w:ascii="Arial" w:hAnsi="Arial" w:cs="Arial"/>
          <w:sz w:val="22"/>
          <w:szCs w:val="22"/>
        </w:rPr>
        <w:t xml:space="preserve">There is no known cure for dementia, and available treatments cannot reverse the underlying neurodegenerative processes. Instead, clinical management focuses on slowing progression, maximising quality of life, and addressing symptoms. Pharmacological treatments such as cholinesterase inhibitors (donepezil, rivastigmine) or memantine are commonly prescribed for Alzheimer’s disease to support cognitive function and daily living, although not all patients experience significant benefits. </w:t>
      </w:r>
      <w:r w:rsidRPr="57703A50" w:rsidR="40A04CE9">
        <w:rPr>
          <w:rFonts w:ascii="Arial" w:hAnsi="Arial" w:cs="Arial"/>
          <w:sz w:val="22"/>
          <w:szCs w:val="22"/>
        </w:rPr>
        <w:t>Additional</w:t>
      </w:r>
      <w:r w:rsidRPr="57703A50" w:rsidR="40A04CE9">
        <w:rPr>
          <w:rFonts w:ascii="Arial" w:hAnsi="Arial" w:cs="Arial"/>
          <w:sz w:val="22"/>
          <w:szCs w:val="22"/>
        </w:rPr>
        <w:t xml:space="preserve"> medications may be used to manage behavioural and psychological symptoms such as anxiety, </w:t>
      </w:r>
      <w:r w:rsidRPr="57703A50" w:rsidR="40A04CE9">
        <w:rPr>
          <w:rFonts w:ascii="Arial" w:hAnsi="Arial" w:cs="Arial"/>
          <w:sz w:val="22"/>
          <w:szCs w:val="22"/>
        </w:rPr>
        <w:t>agitation</w:t>
      </w:r>
      <w:r w:rsidRPr="57703A50" w:rsidR="40A04CE9">
        <w:rPr>
          <w:rFonts w:ascii="Arial" w:hAnsi="Arial" w:cs="Arial"/>
          <w:sz w:val="22"/>
          <w:szCs w:val="22"/>
        </w:rPr>
        <w:t xml:space="preserve"> or depression.</w:t>
      </w:r>
      <w:r w:rsidRPr="57703A50" w:rsidR="40A04CE9">
        <w:rPr>
          <w:rFonts w:ascii="Arial" w:hAnsi="Arial" w:cs="Arial"/>
          <w:sz w:val="22"/>
          <w:szCs w:val="22"/>
        </w:rPr>
        <w:t xml:space="preserve"> </w:t>
      </w:r>
      <w:r w:rsidRPr="57703A50" w:rsidR="40A04CE9">
        <w:rPr>
          <w:rFonts w:ascii="Arial" w:hAnsi="Arial" w:cs="Arial"/>
          <w:sz w:val="22"/>
          <w:szCs w:val="22"/>
        </w:rPr>
        <w:t xml:space="preserve">Non-pharmacological approaches are increasingly recognised as vital components of dementia care. Structured activities, memory support interventions, and cognitive stimulation therapies help </w:t>
      </w:r>
      <w:r w:rsidRPr="57703A50" w:rsidR="40A04CE9">
        <w:rPr>
          <w:rFonts w:ascii="Arial" w:hAnsi="Arial" w:cs="Arial"/>
          <w:sz w:val="22"/>
          <w:szCs w:val="22"/>
        </w:rPr>
        <w:t>maintain</w:t>
      </w:r>
      <w:r w:rsidRPr="57703A50" w:rsidR="40A04CE9">
        <w:rPr>
          <w:rFonts w:ascii="Arial" w:hAnsi="Arial" w:cs="Arial"/>
          <w:sz w:val="22"/>
          <w:szCs w:val="22"/>
        </w:rPr>
        <w:t xml:space="preserve"> social engagement and preserve function where possible. For example, Montessori-based dementia programming has been shown to improve engagement and participation in meaningful activities, enhancing wellbeing even without changing disease progression (</w:t>
      </w:r>
      <w:r w:rsidRPr="57703A50" w:rsidR="16FFC310">
        <w:rPr>
          <w:rFonts w:ascii="Arial" w:hAnsi="Arial" w:cs="Arial"/>
          <w:sz w:val="22"/>
          <w:szCs w:val="22"/>
        </w:rPr>
        <w:t>NICE,2022</w:t>
      </w:r>
      <w:r w:rsidRPr="57703A50" w:rsidR="40A04CE9">
        <w:rPr>
          <w:rFonts w:ascii="Arial" w:hAnsi="Arial" w:cs="Arial"/>
          <w:sz w:val="22"/>
          <w:szCs w:val="22"/>
        </w:rPr>
        <w:t xml:space="preserve">). Lifestyle interventions such as regular physical exercise, healthy diet, cognitive </w:t>
      </w:r>
      <w:r w:rsidRPr="57703A50" w:rsidR="40A04CE9">
        <w:rPr>
          <w:rFonts w:ascii="Arial" w:hAnsi="Arial" w:cs="Arial"/>
          <w:sz w:val="22"/>
          <w:szCs w:val="22"/>
        </w:rPr>
        <w:t>training</w:t>
      </w:r>
      <w:r w:rsidRPr="57703A50" w:rsidR="40A04CE9">
        <w:rPr>
          <w:rFonts w:ascii="Arial" w:hAnsi="Arial" w:cs="Arial"/>
          <w:sz w:val="22"/>
          <w:szCs w:val="22"/>
        </w:rPr>
        <w:t xml:space="preserve"> and social connection are encouraged to slow decline and support overall health.</w:t>
      </w:r>
      <w:r w:rsidRPr="57703A50" w:rsidR="40A04CE9">
        <w:rPr>
          <w:rFonts w:ascii="Arial" w:hAnsi="Arial" w:cs="Arial"/>
          <w:sz w:val="22"/>
          <w:szCs w:val="22"/>
        </w:rPr>
        <w:t xml:space="preserve"> </w:t>
      </w:r>
      <w:r w:rsidRPr="57703A50" w:rsidR="40A04CE9">
        <w:rPr>
          <w:rFonts w:ascii="Arial" w:hAnsi="Arial" w:cs="Arial"/>
          <w:sz w:val="22"/>
          <w:szCs w:val="22"/>
        </w:rPr>
        <w:t xml:space="preserve">Importantly, risk reduction strategies </w:t>
      </w:r>
      <w:r w:rsidRPr="57703A50" w:rsidR="40A04CE9">
        <w:rPr>
          <w:rFonts w:ascii="Arial" w:hAnsi="Arial" w:cs="Arial"/>
          <w:sz w:val="22"/>
          <w:szCs w:val="22"/>
        </w:rPr>
        <w:t>seek</w:t>
      </w:r>
      <w:r w:rsidRPr="57703A50" w:rsidR="40A04CE9">
        <w:rPr>
          <w:rFonts w:ascii="Arial" w:hAnsi="Arial" w:cs="Arial"/>
          <w:sz w:val="22"/>
          <w:szCs w:val="22"/>
        </w:rPr>
        <w:t xml:space="preserve"> to address modifiable contributors to dementia. Research suggests that up to 40 % of dementia cases may be attributable to modifiable risk factors such as midlife hypertension, smoking, obesity, diabetes, hearing </w:t>
      </w:r>
      <w:r w:rsidRPr="57703A50" w:rsidR="40A04CE9">
        <w:rPr>
          <w:rFonts w:ascii="Arial" w:hAnsi="Arial" w:cs="Arial"/>
          <w:sz w:val="22"/>
          <w:szCs w:val="22"/>
        </w:rPr>
        <w:t>loss</w:t>
      </w:r>
      <w:r w:rsidRPr="57703A50" w:rsidR="40A04CE9">
        <w:rPr>
          <w:rFonts w:ascii="Arial" w:hAnsi="Arial" w:cs="Arial"/>
          <w:sz w:val="22"/>
          <w:szCs w:val="22"/>
        </w:rPr>
        <w:t xml:space="preserve"> and physical inactivity, amongst others (Lancet Commission, 2020). Public health activities that promote cardiovascular health, education, and healthy lifestyles therefore form part of broader dementia control efforts.</w:t>
      </w:r>
    </w:p>
    <w:p w:rsidRPr="005B3431" w:rsidR="005B3431" w:rsidP="57703A50" w:rsidRDefault="005B3431" w14:paraId="3C6DD947" w14:textId="77777777">
      <w:pPr>
        <w:spacing w:line="360" w:lineRule="auto"/>
        <w:jc w:val="both"/>
        <w:rPr>
          <w:rFonts w:ascii="Arial" w:hAnsi="Arial" w:cs="Arial"/>
          <w:sz w:val="22"/>
          <w:szCs w:val="22"/>
        </w:rPr>
      </w:pPr>
      <w:r w:rsidRPr="57703A50" w:rsidR="005B3431">
        <w:rPr>
          <w:rFonts w:ascii="Arial" w:hAnsi="Arial" w:cs="Arial"/>
          <w:sz w:val="22"/>
          <w:szCs w:val="22"/>
        </w:rPr>
        <w:t xml:space="preserve">Given the absence of curative treatments, early diagnosis is an important </w:t>
      </w:r>
      <w:r w:rsidRPr="57703A50" w:rsidR="005B3431">
        <w:rPr>
          <w:rFonts w:ascii="Arial" w:hAnsi="Arial" w:cs="Arial"/>
          <w:sz w:val="22"/>
          <w:szCs w:val="22"/>
        </w:rPr>
        <w:t>objective</w:t>
      </w:r>
      <w:r w:rsidRPr="57703A50" w:rsidR="005B3431">
        <w:rPr>
          <w:rFonts w:ascii="Arial" w:hAnsi="Arial" w:cs="Arial"/>
          <w:sz w:val="22"/>
          <w:szCs w:val="22"/>
        </w:rPr>
        <w:t xml:space="preserve">. Timely identification allows individuals and families to plan care, access </w:t>
      </w:r>
      <w:r w:rsidRPr="57703A50" w:rsidR="005B3431">
        <w:rPr>
          <w:rFonts w:ascii="Arial" w:hAnsi="Arial" w:cs="Arial"/>
          <w:sz w:val="22"/>
          <w:szCs w:val="22"/>
        </w:rPr>
        <w:t>appropriate support</w:t>
      </w:r>
      <w:r w:rsidRPr="57703A50" w:rsidR="005B3431">
        <w:rPr>
          <w:rFonts w:ascii="Arial" w:hAnsi="Arial" w:cs="Arial"/>
          <w:sz w:val="22"/>
          <w:szCs w:val="22"/>
        </w:rPr>
        <w:t xml:space="preserve"> services, </w:t>
      </w:r>
      <w:r w:rsidRPr="57703A50" w:rsidR="005B3431">
        <w:rPr>
          <w:rFonts w:ascii="Arial" w:hAnsi="Arial" w:cs="Arial"/>
          <w:sz w:val="22"/>
          <w:szCs w:val="22"/>
        </w:rPr>
        <w:t>participate</w:t>
      </w:r>
      <w:r w:rsidRPr="57703A50" w:rsidR="005B3431">
        <w:rPr>
          <w:rFonts w:ascii="Arial" w:hAnsi="Arial" w:cs="Arial"/>
          <w:sz w:val="22"/>
          <w:szCs w:val="22"/>
        </w:rPr>
        <w:t xml:space="preserve"> in clinical research, and make legal and financial arrangements while cognitive abilities </w:t>
      </w:r>
      <w:r w:rsidRPr="57703A50" w:rsidR="005B3431">
        <w:rPr>
          <w:rFonts w:ascii="Arial" w:hAnsi="Arial" w:cs="Arial"/>
          <w:sz w:val="22"/>
          <w:szCs w:val="22"/>
        </w:rPr>
        <w:t>remain</w:t>
      </w:r>
      <w:r w:rsidRPr="57703A50" w:rsidR="005B3431">
        <w:rPr>
          <w:rFonts w:ascii="Arial" w:hAnsi="Arial" w:cs="Arial"/>
          <w:sz w:val="22"/>
          <w:szCs w:val="22"/>
        </w:rPr>
        <w:t xml:space="preserve"> sufficient. Memory clinics and specialist multidisciplinary teams play a key role in assessment and follow-up.</w:t>
      </w:r>
    </w:p>
    <w:p w:rsidRPr="005B3431" w:rsidR="005B3431" w:rsidP="57703A50" w:rsidRDefault="005B3431" w14:paraId="31098C8F" w14:textId="77777777">
      <w:pPr>
        <w:spacing w:line="360" w:lineRule="auto"/>
        <w:jc w:val="both"/>
        <w:rPr>
          <w:rFonts w:ascii="Arial" w:hAnsi="Arial" w:cs="Arial"/>
          <w:sz w:val="22"/>
          <w:szCs w:val="22"/>
        </w:rPr>
      </w:pPr>
    </w:p>
    <w:p w:rsidRPr="005B3431" w:rsidR="005B3431" w:rsidP="57703A50" w:rsidRDefault="005B3431" w14:paraId="5D354717" w14:textId="6B4E2C62">
      <w:pPr>
        <w:spacing w:line="360" w:lineRule="auto"/>
        <w:jc w:val="both"/>
        <w:rPr>
          <w:rFonts w:ascii="Arial" w:hAnsi="Arial" w:cs="Arial"/>
          <w:b w:val="1"/>
          <w:bCs w:val="1"/>
          <w:sz w:val="22"/>
          <w:szCs w:val="22"/>
        </w:rPr>
      </w:pPr>
      <w:r w:rsidRPr="57703A50" w:rsidR="40A04CE9">
        <w:rPr>
          <w:rFonts w:ascii="Arial" w:hAnsi="Arial" w:cs="Arial"/>
          <w:b w:val="1"/>
          <w:bCs w:val="1"/>
          <w:sz w:val="22"/>
          <w:szCs w:val="22"/>
        </w:rPr>
        <w:t>Consequences of Dementia on Individuals and the Community</w:t>
      </w:r>
    </w:p>
    <w:p w:rsidRPr="005B3431" w:rsidR="005B3431" w:rsidP="57703A50" w:rsidRDefault="005B3431" w14:paraId="5FF53670" w14:textId="521E902B">
      <w:pPr>
        <w:pStyle w:val="Normal"/>
        <w:spacing w:line="360" w:lineRule="auto"/>
        <w:jc w:val="both"/>
        <w:rPr>
          <w:rFonts w:ascii="Arial" w:hAnsi="Arial" w:cs="Arial"/>
          <w:sz w:val="22"/>
          <w:szCs w:val="22"/>
        </w:rPr>
      </w:pPr>
      <w:r w:rsidRPr="57703A50" w:rsidR="40A04CE9">
        <w:rPr>
          <w:rFonts w:ascii="Arial" w:hAnsi="Arial" w:cs="Arial"/>
          <w:sz w:val="22"/>
          <w:szCs w:val="22"/>
        </w:rPr>
        <w:t xml:space="preserve">Dementia has profound consequences for those affected, as well as their families, unpaid </w:t>
      </w:r>
      <w:r w:rsidRPr="57703A50" w:rsidR="40A04CE9">
        <w:rPr>
          <w:rFonts w:ascii="Arial" w:hAnsi="Arial" w:cs="Arial"/>
          <w:sz w:val="22"/>
          <w:szCs w:val="22"/>
        </w:rPr>
        <w:t>carers</w:t>
      </w:r>
      <w:r w:rsidRPr="57703A50" w:rsidR="40A04CE9">
        <w:rPr>
          <w:rFonts w:ascii="Arial" w:hAnsi="Arial" w:cs="Arial"/>
          <w:sz w:val="22"/>
          <w:szCs w:val="22"/>
        </w:rPr>
        <w:t xml:space="preserve"> and communities. For individuals, progressive cognitive decline often leads to loss of </w:t>
      </w:r>
      <w:r w:rsidRPr="57703A50" w:rsidR="40A04CE9">
        <w:rPr>
          <w:rFonts w:ascii="Arial" w:hAnsi="Arial" w:cs="Arial"/>
          <w:sz w:val="22"/>
          <w:szCs w:val="22"/>
        </w:rPr>
        <w:t>independence, reduced ability to manage daily tasks such as dressing or eating, and increased vulnerability to falls or injury. Behavioural changes, including agitation, apathy or aggression, may disrupt social relationships and affect emotional wellbeing.</w:t>
      </w:r>
      <w:r w:rsidRPr="57703A50" w:rsidR="35C8CB45">
        <w:rPr>
          <w:rFonts w:ascii="Arial" w:hAnsi="Arial" w:cs="Arial"/>
          <w:sz w:val="22"/>
          <w:szCs w:val="22"/>
        </w:rPr>
        <w:t xml:space="preserve"> </w:t>
      </w:r>
      <w:r w:rsidRPr="57703A50" w:rsidR="35C8CB45">
        <w:rPr>
          <w:rFonts w:ascii="Arial" w:hAnsi="Arial" w:eastAsia="Arial" w:cs="Arial"/>
          <w:noProof w:val="0"/>
          <w:color w:val="000000" w:themeColor="text1" w:themeTint="FF" w:themeShade="FF"/>
          <w:sz w:val="22"/>
          <w:szCs w:val="22"/>
          <w:lang w:val="en-GB"/>
        </w:rPr>
        <w:t>Dementia can also lead to social isolation, as individuals may withdraw from activities and relationships due to memory difficulties and communication problems.</w:t>
      </w:r>
    </w:p>
    <w:p w:rsidRPr="005B3431" w:rsidR="005B3431" w:rsidP="57703A50" w:rsidRDefault="005B3431" w14:paraId="059A6422" w14:textId="16C3BCF2">
      <w:pPr>
        <w:spacing w:line="360" w:lineRule="auto"/>
        <w:jc w:val="both"/>
        <w:rPr>
          <w:rFonts w:ascii="Arial" w:hAnsi="Arial" w:cs="Arial"/>
          <w:sz w:val="22"/>
          <w:szCs w:val="22"/>
        </w:rPr>
      </w:pPr>
      <w:r w:rsidRPr="57703A50" w:rsidR="005B3431">
        <w:rPr>
          <w:rFonts w:ascii="Arial" w:hAnsi="Arial" w:cs="Arial"/>
          <w:sz w:val="22"/>
          <w:szCs w:val="22"/>
        </w:rPr>
        <w:t xml:space="preserve">The effect on carers and families is significant. Many spouses, children or other relatives take on caregiving roles without formal training, often compromising their own mental and physical health. Informal caregiving creates financial strains, as carers may reduce paid work to meet care demands, and unpaid care costs </w:t>
      </w:r>
      <w:r w:rsidRPr="57703A50" w:rsidR="005B3431">
        <w:rPr>
          <w:rFonts w:ascii="Arial" w:hAnsi="Arial" w:cs="Arial"/>
          <w:sz w:val="22"/>
          <w:szCs w:val="22"/>
        </w:rPr>
        <w:t>represent</w:t>
      </w:r>
      <w:r w:rsidRPr="57703A50" w:rsidR="005B3431">
        <w:rPr>
          <w:rFonts w:ascii="Arial" w:hAnsi="Arial" w:cs="Arial"/>
          <w:sz w:val="22"/>
          <w:szCs w:val="22"/>
        </w:rPr>
        <w:t xml:space="preserve"> </w:t>
      </w:r>
      <w:r w:rsidRPr="57703A50" w:rsidR="005B3431">
        <w:rPr>
          <w:rFonts w:ascii="Arial" w:hAnsi="Arial" w:cs="Arial"/>
          <w:sz w:val="22"/>
          <w:szCs w:val="22"/>
        </w:rPr>
        <w:t>a large proportion</w:t>
      </w:r>
      <w:r w:rsidRPr="57703A50" w:rsidR="005B3431">
        <w:rPr>
          <w:rFonts w:ascii="Arial" w:hAnsi="Arial" w:cs="Arial"/>
          <w:sz w:val="22"/>
          <w:szCs w:val="22"/>
        </w:rPr>
        <w:t xml:space="preserve"> of the economic burden of dementia. In the UK, dementia care costs are estimated at £42 billion annually, with social care accounting for the largest share of expenditure (Dementia Statistics Hub, 2025).</w:t>
      </w:r>
      <w:r w:rsidRPr="57703A50" w:rsidR="005B3431">
        <w:rPr>
          <w:rFonts w:ascii="Arial" w:hAnsi="Arial" w:cs="Arial"/>
          <w:sz w:val="22"/>
          <w:szCs w:val="22"/>
        </w:rPr>
        <w:t xml:space="preserve"> </w:t>
      </w:r>
      <w:r w:rsidRPr="57703A50" w:rsidR="005B3431">
        <w:rPr>
          <w:rFonts w:ascii="Arial" w:hAnsi="Arial" w:cs="Arial"/>
          <w:sz w:val="22"/>
          <w:szCs w:val="22"/>
        </w:rPr>
        <w:t xml:space="preserve">At a societal level, dementia places notable demands on health and social care systems. People with dementia </w:t>
      </w:r>
      <w:r w:rsidRPr="57703A50" w:rsidR="005B3431">
        <w:rPr>
          <w:rFonts w:ascii="Arial" w:hAnsi="Arial" w:cs="Arial"/>
          <w:sz w:val="22"/>
          <w:szCs w:val="22"/>
        </w:rPr>
        <w:t>frequently</w:t>
      </w:r>
      <w:r w:rsidRPr="57703A50" w:rsidR="005B3431">
        <w:rPr>
          <w:rFonts w:ascii="Arial" w:hAnsi="Arial" w:cs="Arial"/>
          <w:sz w:val="22"/>
          <w:szCs w:val="22"/>
        </w:rPr>
        <w:t xml:space="preserve"> use emergency services and hospital care, particularly in later stages or during crises. Care home admission rates are high; it is estimated that around 70 % of care home residents have dementia or severe memory problems (Alzheimer’s Society, 2025). Workforce shortages and escalating demand create pressure on services to deliver </w:t>
      </w:r>
      <w:r w:rsidRPr="57703A50" w:rsidR="005B3431">
        <w:rPr>
          <w:rFonts w:ascii="Arial" w:hAnsi="Arial" w:cs="Arial"/>
          <w:sz w:val="22"/>
          <w:szCs w:val="22"/>
        </w:rPr>
        <w:t>timely</w:t>
      </w:r>
      <w:r w:rsidRPr="57703A50" w:rsidR="005B3431">
        <w:rPr>
          <w:rFonts w:ascii="Arial" w:hAnsi="Arial" w:cs="Arial"/>
          <w:sz w:val="22"/>
          <w:szCs w:val="22"/>
        </w:rPr>
        <w:t xml:space="preserve"> and quality care, with implications for resource allocation across the NHS and local authorities.</w:t>
      </w:r>
      <w:r w:rsidRPr="57703A50" w:rsidR="005B3431">
        <w:rPr>
          <w:rFonts w:ascii="Arial" w:hAnsi="Arial" w:cs="Arial"/>
          <w:sz w:val="22"/>
          <w:szCs w:val="22"/>
        </w:rPr>
        <w:t xml:space="preserve"> </w:t>
      </w:r>
      <w:r w:rsidRPr="57703A50" w:rsidR="005B3431">
        <w:rPr>
          <w:rFonts w:ascii="Arial" w:hAnsi="Arial" w:cs="Arial"/>
          <w:sz w:val="22"/>
          <w:szCs w:val="22"/>
        </w:rPr>
        <w:t>Cost projections also highlight long-term burdens. Without significant changes in prevention or care strategies, the number of people with dementia in the UK could rise to 1.4 million by 2040, and associated care costs could nearly double by that time due to demographic ageing and increasing demand (Alzheimer’s Society, 2025; Dementia Statistics Hub, 2025). Worldwide, dementia cases are forecast to rise from 55 million today to around 139 million by 2050, intensifying pressure on global health systems, particularly in low- and middle-income countries (Alzheimer’s Society, 2025; Alzheimer’s Research UK, 2022).</w:t>
      </w:r>
    </w:p>
    <w:p w:rsidRPr="005B3431" w:rsidR="005B3431" w:rsidP="57703A50" w:rsidRDefault="005B3431" w14:paraId="555CFC76" w14:textId="77777777">
      <w:pPr>
        <w:spacing w:line="360" w:lineRule="auto"/>
        <w:jc w:val="both"/>
        <w:rPr>
          <w:rFonts w:ascii="Arial" w:hAnsi="Arial" w:cs="Arial"/>
          <w:sz w:val="22"/>
          <w:szCs w:val="22"/>
        </w:rPr>
      </w:pPr>
    </w:p>
    <w:p w:rsidRPr="005B3431" w:rsidR="005B3431" w:rsidP="57703A50" w:rsidRDefault="005B3431" w14:paraId="0F002D65" w14:textId="57F461E9">
      <w:pPr>
        <w:spacing w:line="360" w:lineRule="auto"/>
        <w:jc w:val="both"/>
        <w:rPr>
          <w:rFonts w:ascii="Arial" w:hAnsi="Arial" w:cs="Arial"/>
          <w:b w:val="1"/>
          <w:bCs w:val="1"/>
          <w:sz w:val="22"/>
          <w:szCs w:val="22"/>
        </w:rPr>
      </w:pPr>
      <w:r w:rsidRPr="57703A50" w:rsidR="40A04CE9">
        <w:rPr>
          <w:rFonts w:ascii="Arial" w:hAnsi="Arial" w:cs="Arial"/>
          <w:b w:val="1"/>
          <w:bCs w:val="1"/>
          <w:sz w:val="22"/>
          <w:szCs w:val="22"/>
        </w:rPr>
        <w:t>Health and Social Care Support Services</w:t>
      </w:r>
    </w:p>
    <w:p w:rsidRPr="005B3431" w:rsidR="005B3431" w:rsidP="57703A50" w:rsidRDefault="005B3431" w14:paraId="14DA2248" w14:textId="77777777">
      <w:pPr>
        <w:spacing w:line="360" w:lineRule="auto"/>
        <w:jc w:val="both"/>
        <w:rPr>
          <w:rFonts w:ascii="Arial" w:hAnsi="Arial" w:cs="Arial"/>
          <w:sz w:val="22"/>
          <w:szCs w:val="22"/>
        </w:rPr>
      </w:pPr>
      <w:r w:rsidRPr="57703A50" w:rsidR="005B3431">
        <w:rPr>
          <w:rFonts w:ascii="Arial" w:hAnsi="Arial" w:cs="Arial"/>
          <w:sz w:val="22"/>
          <w:szCs w:val="22"/>
        </w:rPr>
        <w:t xml:space="preserve">Meeting the needs of people with dementia requires a comprehensive, coordinated system of health and social care support. In the community, primary care physicians and dementia specialists are often the first point of contact, providing diagnosis, medication management, and care planning. Memory clinics offer multidisciplinary assessment involving neurologists, psychiatrists, psychologists, </w:t>
      </w:r>
      <w:r w:rsidRPr="57703A50" w:rsidR="005B3431">
        <w:rPr>
          <w:rFonts w:ascii="Arial" w:hAnsi="Arial" w:cs="Arial"/>
          <w:sz w:val="22"/>
          <w:szCs w:val="22"/>
        </w:rPr>
        <w:t>nurses</w:t>
      </w:r>
      <w:r w:rsidRPr="57703A50" w:rsidR="005B3431">
        <w:rPr>
          <w:rFonts w:ascii="Arial" w:hAnsi="Arial" w:cs="Arial"/>
          <w:sz w:val="22"/>
          <w:szCs w:val="22"/>
        </w:rPr>
        <w:t xml:space="preserve"> and occupational therapists.</w:t>
      </w:r>
    </w:p>
    <w:p w:rsidRPr="005B3431" w:rsidR="005B3431" w:rsidP="57703A50" w:rsidRDefault="005B3431" w14:paraId="0F61EC8A" w14:textId="2FFA02CB">
      <w:pPr>
        <w:spacing w:line="360" w:lineRule="auto"/>
        <w:jc w:val="both"/>
        <w:rPr>
          <w:rFonts w:ascii="Arial" w:hAnsi="Arial" w:cs="Arial"/>
          <w:sz w:val="22"/>
          <w:szCs w:val="22"/>
        </w:rPr>
      </w:pPr>
      <w:r w:rsidRPr="57703A50" w:rsidR="005B3431">
        <w:rPr>
          <w:rFonts w:ascii="Arial" w:hAnsi="Arial" w:cs="Arial"/>
          <w:sz w:val="22"/>
          <w:szCs w:val="22"/>
        </w:rPr>
        <w:t xml:space="preserve">Ongoing community services include home-based care and support workers who </w:t>
      </w:r>
      <w:r w:rsidRPr="57703A50" w:rsidR="005B3431">
        <w:rPr>
          <w:rFonts w:ascii="Arial" w:hAnsi="Arial" w:cs="Arial"/>
          <w:sz w:val="22"/>
          <w:szCs w:val="22"/>
        </w:rPr>
        <w:t>assist</w:t>
      </w:r>
      <w:r w:rsidRPr="57703A50" w:rsidR="005B3431">
        <w:rPr>
          <w:rFonts w:ascii="Arial" w:hAnsi="Arial" w:cs="Arial"/>
          <w:sz w:val="22"/>
          <w:szCs w:val="22"/>
        </w:rPr>
        <w:t xml:space="preserve"> with daily activities, medication </w:t>
      </w:r>
      <w:r w:rsidRPr="57703A50" w:rsidR="005B3431">
        <w:rPr>
          <w:rFonts w:ascii="Arial" w:hAnsi="Arial" w:cs="Arial"/>
          <w:sz w:val="22"/>
          <w:szCs w:val="22"/>
        </w:rPr>
        <w:t>management</w:t>
      </w:r>
      <w:r w:rsidRPr="57703A50" w:rsidR="005B3431">
        <w:rPr>
          <w:rFonts w:ascii="Arial" w:hAnsi="Arial" w:cs="Arial"/>
          <w:sz w:val="22"/>
          <w:szCs w:val="22"/>
        </w:rPr>
        <w:t xml:space="preserve"> and personal care. Respite care services give unpaid carers temporary relief, helping reduce burnout and </w:t>
      </w:r>
      <w:r w:rsidRPr="57703A50" w:rsidR="005B3431">
        <w:rPr>
          <w:rFonts w:ascii="Arial" w:hAnsi="Arial" w:cs="Arial"/>
          <w:sz w:val="22"/>
          <w:szCs w:val="22"/>
        </w:rPr>
        <w:t>maintain</w:t>
      </w:r>
      <w:r w:rsidRPr="57703A50" w:rsidR="005B3431">
        <w:rPr>
          <w:rFonts w:ascii="Arial" w:hAnsi="Arial" w:cs="Arial"/>
          <w:sz w:val="22"/>
          <w:szCs w:val="22"/>
        </w:rPr>
        <w:t xml:space="preserve"> family caregiving capacity. Support groups and counselling contribute to emotional wellbeing for both people with dementia and their </w:t>
      </w:r>
      <w:r w:rsidRPr="57703A50" w:rsidR="005B3431">
        <w:rPr>
          <w:rFonts w:ascii="Arial" w:hAnsi="Arial" w:cs="Arial"/>
          <w:sz w:val="22"/>
          <w:szCs w:val="22"/>
        </w:rPr>
        <w:t>careers</w:t>
      </w:r>
      <w:r w:rsidRPr="57703A50" w:rsidR="005B3431">
        <w:rPr>
          <w:rFonts w:ascii="Arial" w:hAnsi="Arial" w:cs="Arial"/>
          <w:sz w:val="22"/>
          <w:szCs w:val="22"/>
        </w:rPr>
        <w:t>.</w:t>
      </w:r>
    </w:p>
    <w:p w:rsidRPr="005B3431" w:rsidR="005B3431" w:rsidP="57703A50" w:rsidRDefault="005B3431" w14:paraId="3ABC2F71" w14:textId="77777777">
      <w:pPr>
        <w:spacing w:line="360" w:lineRule="auto"/>
        <w:jc w:val="both"/>
        <w:rPr>
          <w:rFonts w:ascii="Arial" w:hAnsi="Arial" w:cs="Arial"/>
          <w:sz w:val="22"/>
          <w:szCs w:val="22"/>
        </w:rPr>
      </w:pPr>
      <w:r w:rsidRPr="57703A50" w:rsidR="005B3431">
        <w:rPr>
          <w:rFonts w:ascii="Arial" w:hAnsi="Arial" w:cs="Arial"/>
          <w:sz w:val="22"/>
          <w:szCs w:val="22"/>
        </w:rPr>
        <w:t xml:space="preserve">Social care services, often commissioned by local authorities, play a critical role. These include day centres, meal services, transport </w:t>
      </w:r>
      <w:r w:rsidRPr="57703A50" w:rsidR="005B3431">
        <w:rPr>
          <w:rFonts w:ascii="Arial" w:hAnsi="Arial" w:cs="Arial"/>
          <w:sz w:val="22"/>
          <w:szCs w:val="22"/>
        </w:rPr>
        <w:t>support</w:t>
      </w:r>
      <w:r w:rsidRPr="57703A50" w:rsidR="005B3431">
        <w:rPr>
          <w:rFonts w:ascii="Arial" w:hAnsi="Arial" w:cs="Arial"/>
          <w:sz w:val="22"/>
          <w:szCs w:val="22"/>
        </w:rPr>
        <w:t xml:space="preserve"> and specialist dementia units. </w:t>
      </w:r>
      <w:r w:rsidRPr="57703A50" w:rsidR="005B3431">
        <w:rPr>
          <w:rFonts w:ascii="Arial" w:hAnsi="Arial" w:cs="Arial"/>
          <w:sz w:val="22"/>
          <w:szCs w:val="22"/>
        </w:rPr>
        <w:t>Integration between health and social care, such as through Integrated Care Boards (ICBs) in England, aims to coordinate care pathways and reduce fragmentation. Where needs exceed what can be provided at home, residential care homes and long-term nursing facilities offer more intensive levels of care, often tailored for dementia residents.</w:t>
      </w:r>
    </w:p>
    <w:p w:rsidRPr="005B3431" w:rsidR="005B3431" w:rsidP="57703A50" w:rsidRDefault="005B3431" w14:paraId="7E3E6A55" w14:textId="6A85A2CE">
      <w:pPr>
        <w:spacing w:line="360" w:lineRule="auto"/>
        <w:jc w:val="both"/>
        <w:rPr>
          <w:rFonts w:ascii="Arial" w:hAnsi="Arial" w:cs="Arial"/>
          <w:sz w:val="22"/>
          <w:szCs w:val="22"/>
        </w:rPr>
      </w:pPr>
      <w:r w:rsidRPr="57703A50" w:rsidR="005B3431">
        <w:rPr>
          <w:rFonts w:ascii="Arial" w:hAnsi="Arial" w:cs="Arial"/>
          <w:sz w:val="22"/>
          <w:szCs w:val="22"/>
        </w:rPr>
        <w:t xml:space="preserve">Training for care staff in dementia awareness and person-centred practices is essential to ensure dignity and quality of life. Person-centred care emphasises understanding the individual’s history, preferences and </w:t>
      </w:r>
      <w:r w:rsidRPr="57703A50" w:rsidR="005B3431">
        <w:rPr>
          <w:rFonts w:ascii="Arial" w:hAnsi="Arial" w:cs="Arial"/>
          <w:sz w:val="22"/>
          <w:szCs w:val="22"/>
        </w:rPr>
        <w:t>remaining</w:t>
      </w:r>
      <w:r w:rsidRPr="57703A50" w:rsidR="005B3431">
        <w:rPr>
          <w:rFonts w:ascii="Arial" w:hAnsi="Arial" w:cs="Arial"/>
          <w:sz w:val="22"/>
          <w:szCs w:val="22"/>
        </w:rPr>
        <w:t xml:space="preserve"> abilities, minimising distress and promoting autonomy.</w:t>
      </w:r>
      <w:r w:rsidRPr="57703A50" w:rsidR="005B3431">
        <w:rPr>
          <w:rFonts w:ascii="Arial" w:hAnsi="Arial" w:cs="Arial"/>
          <w:sz w:val="22"/>
          <w:szCs w:val="22"/>
        </w:rPr>
        <w:t xml:space="preserve"> </w:t>
      </w:r>
      <w:r w:rsidRPr="57703A50" w:rsidR="005B3431">
        <w:rPr>
          <w:rFonts w:ascii="Arial" w:hAnsi="Arial" w:cs="Arial"/>
          <w:sz w:val="22"/>
          <w:szCs w:val="22"/>
        </w:rPr>
        <w:t xml:space="preserve">Advance care planning is another </w:t>
      </w:r>
      <w:r w:rsidRPr="57703A50" w:rsidR="005B3431">
        <w:rPr>
          <w:rFonts w:ascii="Arial" w:hAnsi="Arial" w:cs="Arial"/>
          <w:sz w:val="22"/>
          <w:szCs w:val="22"/>
        </w:rPr>
        <w:t>important element</w:t>
      </w:r>
      <w:r w:rsidRPr="57703A50" w:rsidR="005B3431">
        <w:rPr>
          <w:rFonts w:ascii="Arial" w:hAnsi="Arial" w:cs="Arial"/>
          <w:sz w:val="22"/>
          <w:szCs w:val="22"/>
        </w:rPr>
        <w:t xml:space="preserve">, enabling individuals to express their wishes about future care, including end-of-life preferences. Legal instruments such as lasting powers of attorney help ensure that decisions can be made </w:t>
      </w:r>
      <w:r w:rsidRPr="57703A50" w:rsidR="005B3431">
        <w:rPr>
          <w:rFonts w:ascii="Arial" w:hAnsi="Arial" w:cs="Arial"/>
          <w:sz w:val="22"/>
          <w:szCs w:val="22"/>
        </w:rPr>
        <w:t>in accordance with</w:t>
      </w:r>
      <w:r w:rsidRPr="57703A50" w:rsidR="005B3431">
        <w:rPr>
          <w:rFonts w:ascii="Arial" w:hAnsi="Arial" w:cs="Arial"/>
          <w:sz w:val="22"/>
          <w:szCs w:val="22"/>
        </w:rPr>
        <w:t xml:space="preserve"> the person’s values when they are no longer able to communicate their wishes.</w:t>
      </w:r>
    </w:p>
    <w:p w:rsidRPr="005B3431" w:rsidR="005B3431" w:rsidP="57703A50" w:rsidRDefault="005B3431" w14:paraId="5CC04A6F" w14:textId="77777777">
      <w:pPr>
        <w:spacing w:line="360" w:lineRule="auto"/>
        <w:jc w:val="both"/>
        <w:rPr>
          <w:rFonts w:ascii="Arial" w:hAnsi="Arial" w:cs="Arial"/>
          <w:sz w:val="22"/>
          <w:szCs w:val="22"/>
        </w:rPr>
      </w:pPr>
    </w:p>
    <w:p w:rsidR="005B3431" w:rsidP="57703A50" w:rsidRDefault="005B3431" w14:paraId="3B823FE8" w14:textId="50DA38DC">
      <w:pPr>
        <w:spacing w:line="360" w:lineRule="auto"/>
        <w:jc w:val="both"/>
        <w:rPr>
          <w:rFonts w:ascii="Arial" w:hAnsi="Arial" w:cs="Arial"/>
          <w:b w:val="1"/>
          <w:bCs w:val="1"/>
          <w:sz w:val="22"/>
          <w:szCs w:val="22"/>
        </w:rPr>
      </w:pPr>
      <w:r w:rsidRPr="57703A50" w:rsidR="40A04CE9">
        <w:rPr>
          <w:rFonts w:ascii="Arial" w:hAnsi="Arial" w:cs="Arial"/>
          <w:b w:val="1"/>
          <w:bCs w:val="1"/>
          <w:sz w:val="22"/>
          <w:szCs w:val="22"/>
        </w:rPr>
        <w:t xml:space="preserve">Conclusion </w:t>
      </w:r>
    </w:p>
    <w:p w:rsidRPr="005B3431" w:rsidR="005B3431" w:rsidP="57703A50" w:rsidRDefault="005B3431" w14:paraId="274F0655" w14:textId="77777777">
      <w:pPr>
        <w:spacing w:line="360" w:lineRule="auto"/>
        <w:jc w:val="both"/>
        <w:rPr>
          <w:rFonts w:ascii="Arial" w:hAnsi="Arial" w:cs="Arial"/>
          <w:sz w:val="22"/>
          <w:szCs w:val="22"/>
        </w:rPr>
      </w:pPr>
    </w:p>
    <w:p w:rsidRPr="005B3431" w:rsidR="005B3431" w:rsidP="57703A50" w:rsidRDefault="005B3431" w14:paraId="0EDA7908" w14:textId="77777777">
      <w:pPr>
        <w:spacing w:line="360" w:lineRule="auto"/>
        <w:jc w:val="both"/>
        <w:rPr>
          <w:rFonts w:ascii="Arial" w:hAnsi="Arial" w:cs="Arial"/>
          <w:sz w:val="22"/>
          <w:szCs w:val="22"/>
        </w:rPr>
      </w:pPr>
      <w:r w:rsidRPr="57703A50" w:rsidR="005B3431">
        <w:rPr>
          <w:rFonts w:ascii="Arial" w:hAnsi="Arial" w:cs="Arial"/>
          <w:sz w:val="22"/>
          <w:szCs w:val="22"/>
        </w:rPr>
        <w:t xml:space="preserve">Dementia </w:t>
      </w:r>
      <w:r w:rsidRPr="57703A50" w:rsidR="005B3431">
        <w:rPr>
          <w:rFonts w:ascii="Arial" w:hAnsi="Arial" w:cs="Arial"/>
          <w:sz w:val="22"/>
          <w:szCs w:val="22"/>
        </w:rPr>
        <w:t>represents</w:t>
      </w:r>
      <w:r w:rsidRPr="57703A50" w:rsidR="005B3431">
        <w:rPr>
          <w:rFonts w:ascii="Arial" w:hAnsi="Arial" w:cs="Arial"/>
          <w:sz w:val="22"/>
          <w:szCs w:val="22"/>
        </w:rPr>
        <w:t xml:space="preserve"> a growing global health challenge with wide-reaching implications for individuals, families, </w:t>
      </w:r>
      <w:r w:rsidRPr="57703A50" w:rsidR="005B3431">
        <w:rPr>
          <w:rFonts w:ascii="Arial" w:hAnsi="Arial" w:cs="Arial"/>
          <w:sz w:val="22"/>
          <w:szCs w:val="22"/>
        </w:rPr>
        <w:t>communities</w:t>
      </w:r>
      <w:r w:rsidRPr="57703A50" w:rsidR="005B3431">
        <w:rPr>
          <w:rFonts w:ascii="Arial" w:hAnsi="Arial" w:cs="Arial"/>
          <w:sz w:val="22"/>
          <w:szCs w:val="22"/>
        </w:rPr>
        <w:t xml:space="preserve"> and health systems. Characterised by progressive cognitive decline and behavioural changes, dementia fundamentally alters daily living and quality of life. Prevalence is increasing rapidly, driven </w:t>
      </w:r>
      <w:r w:rsidRPr="57703A50" w:rsidR="005B3431">
        <w:rPr>
          <w:rFonts w:ascii="Arial" w:hAnsi="Arial" w:cs="Arial"/>
          <w:sz w:val="22"/>
          <w:szCs w:val="22"/>
        </w:rPr>
        <w:t>largely by</w:t>
      </w:r>
      <w:r w:rsidRPr="57703A50" w:rsidR="005B3431">
        <w:rPr>
          <w:rFonts w:ascii="Arial" w:hAnsi="Arial" w:cs="Arial"/>
          <w:sz w:val="22"/>
          <w:szCs w:val="22"/>
        </w:rPr>
        <w:t xml:space="preserve"> population ageing: there are currently around 55 million people living with dementia worldwide, with projections reaching 139 million by 2050, and approximately one million in the UK today, rising further in the coming decades (Alzheimer’s Society, 2025). While there is no cure, approaches to measuring and </w:t>
      </w:r>
      <w:r w:rsidRPr="57703A50" w:rsidR="005B3431">
        <w:rPr>
          <w:rFonts w:ascii="Arial" w:hAnsi="Arial" w:cs="Arial"/>
          <w:sz w:val="22"/>
          <w:szCs w:val="22"/>
        </w:rPr>
        <w:t>monitoring</w:t>
      </w:r>
      <w:r w:rsidRPr="57703A50" w:rsidR="005B3431">
        <w:rPr>
          <w:rFonts w:ascii="Arial" w:hAnsi="Arial" w:cs="Arial"/>
          <w:sz w:val="22"/>
          <w:szCs w:val="22"/>
        </w:rPr>
        <w:t xml:space="preserve"> the condition, such as cognitive screening tools and health system registries, support early diagnosis and care planning.</w:t>
      </w:r>
    </w:p>
    <w:p w:rsidRPr="005B3431" w:rsidR="005B3431" w:rsidP="57703A50" w:rsidRDefault="005B3431" w14:paraId="722AA4B4" w14:textId="6E61E1E6">
      <w:pPr>
        <w:spacing w:line="360" w:lineRule="auto"/>
        <w:jc w:val="both"/>
        <w:rPr>
          <w:rFonts w:ascii="Arial" w:hAnsi="Arial" w:cs="Arial"/>
          <w:sz w:val="22"/>
          <w:szCs w:val="22"/>
        </w:rPr>
      </w:pPr>
      <w:r w:rsidRPr="57703A50" w:rsidR="005B3431">
        <w:rPr>
          <w:rFonts w:ascii="Arial" w:hAnsi="Arial" w:cs="Arial"/>
          <w:sz w:val="22"/>
          <w:szCs w:val="22"/>
        </w:rPr>
        <w:t xml:space="preserve">Control efforts focus on symptom management, risk </w:t>
      </w:r>
      <w:r w:rsidRPr="57703A50" w:rsidR="005B3431">
        <w:rPr>
          <w:rFonts w:ascii="Arial" w:hAnsi="Arial" w:cs="Arial"/>
          <w:sz w:val="22"/>
          <w:szCs w:val="22"/>
        </w:rPr>
        <w:t>reduction</w:t>
      </w:r>
      <w:r w:rsidRPr="57703A50" w:rsidR="005B3431">
        <w:rPr>
          <w:rFonts w:ascii="Arial" w:hAnsi="Arial" w:cs="Arial"/>
          <w:sz w:val="22"/>
          <w:szCs w:val="22"/>
        </w:rPr>
        <w:t xml:space="preserve"> and quality support services. However, dementia’s complexity demands comprehensive health and social care provision, better awareness, and sustained investment. Understanding these challenges underscores the urgent need for integrated care pathways, workforce development, and public health strategies that can adapt to the growing demands of an ageing society.</w:t>
      </w:r>
    </w:p>
    <w:p w:rsidRPr="005B3431" w:rsidR="005B3431" w:rsidP="57703A50" w:rsidRDefault="005B3431" w14:paraId="195F4442" w14:textId="77777777">
      <w:pPr>
        <w:spacing w:line="360" w:lineRule="auto"/>
        <w:jc w:val="both"/>
        <w:rPr>
          <w:rFonts w:ascii="Arial" w:hAnsi="Arial" w:cs="Arial"/>
          <w:sz w:val="22"/>
          <w:szCs w:val="22"/>
        </w:rPr>
      </w:pPr>
    </w:p>
    <w:p w:rsidR="57703A50" w:rsidP="57703A50" w:rsidRDefault="57703A50" w14:paraId="79E43A38" w14:textId="35BB7A71">
      <w:pPr>
        <w:pStyle w:val="Heading2"/>
        <w:spacing w:line="360" w:lineRule="auto"/>
        <w:jc w:val="both"/>
        <w:rPr>
          <w:rStyle w:val="Strong"/>
          <w:rFonts w:ascii="Arial" w:hAnsi="Arial" w:cs="Arial"/>
          <w:b w:val="1"/>
          <w:bCs w:val="1"/>
          <w:color w:val="000000" w:themeColor="text1" w:themeTint="FF" w:themeShade="FF"/>
          <w:sz w:val="22"/>
          <w:szCs w:val="22"/>
        </w:rPr>
      </w:pPr>
    </w:p>
    <w:p w:rsidR="57703A50" w:rsidP="57703A50" w:rsidRDefault="57703A50" w14:paraId="2B61F38F" w14:textId="3B766F24">
      <w:pPr>
        <w:pStyle w:val="Heading2"/>
        <w:spacing w:line="360" w:lineRule="auto"/>
        <w:jc w:val="both"/>
        <w:rPr>
          <w:rStyle w:val="Strong"/>
          <w:rFonts w:ascii="Arial" w:hAnsi="Arial" w:cs="Arial"/>
          <w:b w:val="1"/>
          <w:bCs w:val="1"/>
          <w:color w:val="000000" w:themeColor="text1" w:themeTint="FF" w:themeShade="FF"/>
          <w:sz w:val="22"/>
          <w:szCs w:val="22"/>
        </w:rPr>
      </w:pPr>
    </w:p>
    <w:p w:rsidR="57703A50" w:rsidP="57703A50" w:rsidRDefault="57703A50" w14:paraId="0E37336C" w14:textId="41B332B6">
      <w:pPr>
        <w:pStyle w:val="Heading2"/>
        <w:spacing w:line="360" w:lineRule="auto"/>
        <w:jc w:val="both"/>
        <w:rPr>
          <w:rStyle w:val="Strong"/>
          <w:rFonts w:ascii="Arial" w:hAnsi="Arial" w:cs="Arial"/>
          <w:b w:val="1"/>
          <w:bCs w:val="1"/>
          <w:color w:val="000000" w:themeColor="text1" w:themeTint="FF" w:themeShade="FF"/>
          <w:sz w:val="22"/>
          <w:szCs w:val="22"/>
        </w:rPr>
      </w:pPr>
    </w:p>
    <w:p w:rsidR="57703A50" w:rsidP="57703A50" w:rsidRDefault="57703A50" w14:paraId="34AE2FFB" w14:textId="1E3185D5">
      <w:pPr>
        <w:pStyle w:val="Heading2"/>
        <w:spacing w:line="360" w:lineRule="auto"/>
        <w:jc w:val="both"/>
        <w:rPr>
          <w:rStyle w:val="Strong"/>
          <w:rFonts w:ascii="Arial" w:hAnsi="Arial" w:cs="Arial"/>
          <w:b w:val="1"/>
          <w:bCs w:val="1"/>
          <w:color w:val="000000" w:themeColor="text1" w:themeTint="FF" w:themeShade="FF"/>
          <w:sz w:val="22"/>
          <w:szCs w:val="22"/>
        </w:rPr>
      </w:pPr>
    </w:p>
    <w:p w:rsidRPr="005B3431" w:rsidR="005B3431" w:rsidP="57703A50" w:rsidRDefault="005B3431" w14:paraId="71CB8AF0" w14:textId="77777777">
      <w:pPr>
        <w:pStyle w:val="Heading2"/>
        <w:spacing w:line="360" w:lineRule="auto"/>
        <w:jc w:val="both"/>
        <w:rPr>
          <w:rFonts w:ascii="Arial" w:hAnsi="Arial" w:cs="Arial"/>
          <w:b w:val="1"/>
          <w:bCs w:val="1"/>
          <w:color w:val="000000"/>
          <w:sz w:val="22"/>
          <w:szCs w:val="22"/>
        </w:rPr>
      </w:pPr>
      <w:r w:rsidRPr="57703A50" w:rsidR="40A04CE9">
        <w:rPr>
          <w:rStyle w:val="Strong"/>
          <w:rFonts w:ascii="Arial" w:hAnsi="Arial" w:cs="Arial"/>
          <w:b w:val="1"/>
          <w:bCs w:val="1"/>
          <w:color w:val="000000" w:themeColor="text1" w:themeTint="FF" w:themeShade="FF"/>
          <w:sz w:val="22"/>
          <w:szCs w:val="22"/>
        </w:rPr>
        <w:t>Harvard References</w:t>
      </w:r>
    </w:p>
    <w:p w:rsidRPr="005B3431" w:rsidR="005B3431" w:rsidP="57703A50" w:rsidRDefault="005B3431" w14:paraId="289E1126" w14:textId="3F4F59A8">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Alzheimer’s Society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Facts for the media about dementia</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af146b2597ae4c99">
        <w:r w:rsidRPr="57703A50" w:rsidR="40A04CE9">
          <w:rPr>
            <w:rStyle w:val="Hyperlink"/>
            <w:rFonts w:ascii="Arial" w:hAnsi="Arial" w:eastAsia="" w:cs="Arial" w:eastAsiaTheme="majorEastAsia"/>
            <w:sz w:val="22"/>
            <w:szCs w:val="22"/>
          </w:rPr>
          <w:t>https://www.alzheimers.org.uk/what-we-do/news-and-media/facts-media</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0CD7A73C">
        <w:rPr>
          <w:rFonts w:ascii="Arial" w:hAnsi="Arial" w:cs="Arial"/>
          <w:color w:val="000000" w:themeColor="text1" w:themeTint="FF" w:themeShade="FF"/>
          <w:sz w:val="22"/>
          <w:szCs w:val="22"/>
        </w:rPr>
        <w:t>13th</w:t>
      </w:r>
      <w:r w:rsidRPr="57703A50" w:rsidR="40A04CE9">
        <w:rPr>
          <w:rFonts w:ascii="Arial" w:hAnsi="Arial" w:cs="Arial"/>
          <w:color w:val="000000" w:themeColor="text1" w:themeTint="FF" w:themeShade="FF"/>
          <w:sz w:val="22"/>
          <w:szCs w:val="22"/>
        </w:rPr>
        <w:t xml:space="preserve"> </w:t>
      </w:r>
      <w:r w:rsidRPr="57703A50" w:rsidR="0CD7A73C">
        <w:rPr>
          <w:rFonts w:ascii="Arial" w:hAnsi="Arial" w:cs="Arial"/>
          <w:color w:val="000000" w:themeColor="text1" w:themeTint="FF" w:themeShade="FF"/>
          <w:sz w:val="22"/>
          <w:szCs w:val="22"/>
        </w:rPr>
        <w:t xml:space="preserve">February </w:t>
      </w:r>
      <w:r w:rsidRPr="57703A50" w:rsidR="40A04CE9">
        <w:rPr>
          <w:rFonts w:ascii="Arial" w:hAnsi="Arial" w:cs="Arial"/>
          <w:color w:val="000000" w:themeColor="text1" w:themeTint="FF" w:themeShade="FF"/>
          <w:sz w:val="22"/>
          <w:szCs w:val="22"/>
        </w:rPr>
        <w:t>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5304B14D" w14:textId="58717D6C">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Alzheimer’s Research UK (2022)</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Worldwide dementia cases to triple by 2050</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2431fe6e9ab84039">
        <w:r w:rsidRPr="57703A50" w:rsidR="40A04CE9">
          <w:rPr>
            <w:rStyle w:val="Hyperlink"/>
            <w:rFonts w:ascii="Arial" w:hAnsi="Arial" w:eastAsia="" w:cs="Arial" w:eastAsiaTheme="majorEastAsia"/>
            <w:sz w:val="22"/>
            <w:szCs w:val="22"/>
          </w:rPr>
          <w:t>https://www.alzheimersresearchuk.org/news/worldwide-dementia-cases-to-triple-by-2050-to-over-150-million/</w:t>
        </w:r>
      </w:hyperlink>
      <w:r w:rsidRPr="57703A50" w:rsidR="40A04CE9">
        <w:rPr>
          <w:rFonts w:ascii="Arial" w:hAnsi="Arial" w:cs="Arial"/>
          <w:color w:val="000000" w:themeColor="text1" w:themeTint="FF" w:themeShade="FF"/>
          <w:sz w:val="22"/>
          <w:szCs w:val="22"/>
        </w:rPr>
        <w:t xml:space="preserve">(Accessed: </w:t>
      </w:r>
      <w:r w:rsidRPr="57703A50" w:rsidR="01262FE1">
        <w:rPr>
          <w:rFonts w:ascii="Arial" w:hAnsi="Arial" w:cs="Arial"/>
          <w:color w:val="000000" w:themeColor="text1" w:themeTint="FF" w:themeShade="FF"/>
          <w:sz w:val="22"/>
          <w:szCs w:val="22"/>
        </w:rPr>
        <w:t>13</w:t>
      </w:r>
      <w:r w:rsidRPr="57703A50" w:rsidR="01262FE1">
        <w:rPr>
          <w:rFonts w:ascii="Arial" w:hAnsi="Arial" w:cs="Arial"/>
          <w:color w:val="000000" w:themeColor="text1" w:themeTint="FF" w:themeShade="FF"/>
          <w:sz w:val="22"/>
          <w:szCs w:val="22"/>
          <w:vertAlign w:val="superscript"/>
        </w:rPr>
        <w:t>th</w:t>
      </w:r>
      <w:r w:rsidRPr="57703A50" w:rsidR="2D7969A2">
        <w:rPr>
          <w:rFonts w:ascii="Arial" w:hAnsi="Arial" w:cs="Arial"/>
          <w:color w:val="000000" w:themeColor="text1" w:themeTint="FF" w:themeShade="FF"/>
          <w:sz w:val="22"/>
          <w:szCs w:val="22"/>
        </w:rPr>
        <w:t xml:space="preserve"> </w:t>
      </w:r>
      <w:r w:rsidRPr="57703A50" w:rsidR="01262FE1">
        <w:rPr>
          <w:rFonts w:ascii="Arial" w:hAnsi="Arial" w:cs="Arial"/>
          <w:color w:val="000000" w:themeColor="text1" w:themeTint="FF" w:themeShade="FF"/>
          <w:sz w:val="22"/>
          <w:szCs w:val="22"/>
        </w:rPr>
        <w:t xml:space="preserve">February </w:t>
      </w:r>
      <w:r w:rsidRPr="57703A50" w:rsidR="40A04CE9">
        <w:rPr>
          <w:rFonts w:ascii="Arial" w:hAnsi="Arial" w:cs="Arial"/>
          <w:color w:val="000000" w:themeColor="text1" w:themeTint="FF" w:themeShade="FF"/>
          <w:sz w:val="22"/>
          <w:szCs w:val="22"/>
        </w:rPr>
        <w:t>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7612B049" w14:textId="28ADE5A9">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Dementia Statistics Hub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The economic impact of dementia</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9ca6b9a0fb334668">
        <w:r w:rsidRPr="57703A50" w:rsidR="40A04CE9">
          <w:rPr>
            <w:rStyle w:val="Hyperlink"/>
            <w:rFonts w:ascii="Arial" w:hAnsi="Arial" w:eastAsia="" w:cs="Arial" w:eastAsiaTheme="majorEastAsia"/>
            <w:sz w:val="22"/>
            <w:szCs w:val="22"/>
          </w:rPr>
          <w:t>https://www.dementiastatistics.org/statistics/the-economic-impact-of-dementia/</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06C64F4E">
        <w:rPr>
          <w:rFonts w:ascii="Arial" w:hAnsi="Arial" w:cs="Arial"/>
          <w:color w:val="000000" w:themeColor="text1" w:themeTint="FF" w:themeShade="FF"/>
          <w:sz w:val="22"/>
          <w:szCs w:val="22"/>
        </w:rPr>
        <w:t>13</w:t>
      </w:r>
      <w:r w:rsidRPr="57703A50" w:rsidR="06C64F4E">
        <w:rPr>
          <w:rFonts w:ascii="Arial" w:hAnsi="Arial" w:cs="Arial"/>
          <w:color w:val="000000" w:themeColor="text1" w:themeTint="FF" w:themeShade="FF"/>
          <w:sz w:val="22"/>
          <w:szCs w:val="22"/>
          <w:vertAlign w:val="superscript"/>
        </w:rPr>
        <w:t>th</w:t>
      </w:r>
      <w:r w:rsidRPr="57703A50" w:rsidR="06C64F4E">
        <w:rPr>
          <w:rFonts w:ascii="Arial" w:hAnsi="Arial" w:cs="Arial"/>
          <w:color w:val="000000" w:themeColor="text1" w:themeTint="FF" w:themeShade="FF"/>
          <w:sz w:val="22"/>
          <w:szCs w:val="22"/>
        </w:rPr>
        <w:t xml:space="preserve"> February </w:t>
      </w:r>
      <w:r w:rsidRPr="57703A50" w:rsidR="40A04CE9">
        <w:rPr>
          <w:rFonts w:ascii="Arial" w:hAnsi="Arial" w:cs="Arial"/>
          <w:color w:val="000000" w:themeColor="text1" w:themeTint="FF" w:themeShade="FF"/>
          <w:sz w:val="22"/>
          <w:szCs w:val="22"/>
        </w:rPr>
        <w:t>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4601CE24" w14:textId="3F3A830F">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GOV.UK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Dementia profile: prevalence and supporting well topics statistical commentary</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7dac160593c443d3">
        <w:r w:rsidRPr="57703A50" w:rsidR="40A04CE9">
          <w:rPr>
            <w:rStyle w:val="Hyperlink"/>
            <w:rFonts w:ascii="Arial" w:hAnsi="Arial" w:eastAsia="" w:cs="Arial" w:eastAsiaTheme="majorEastAsia"/>
            <w:sz w:val="22"/>
            <w:szCs w:val="22"/>
          </w:rPr>
          <w:t>https://www.gov.uk/government/statistics/dementia-profile-march-2025-update</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63EBCB49">
        <w:rPr>
          <w:rFonts w:ascii="Arial" w:hAnsi="Arial" w:cs="Arial"/>
          <w:color w:val="000000" w:themeColor="text1" w:themeTint="FF" w:themeShade="FF"/>
          <w:sz w:val="22"/>
          <w:szCs w:val="22"/>
        </w:rPr>
        <w:t>14</w:t>
      </w:r>
      <w:r w:rsidRPr="57703A50" w:rsidR="63EBCB49">
        <w:rPr>
          <w:rFonts w:ascii="Arial" w:hAnsi="Arial" w:cs="Arial"/>
          <w:color w:val="000000" w:themeColor="text1" w:themeTint="FF" w:themeShade="FF"/>
          <w:sz w:val="22"/>
          <w:szCs w:val="22"/>
          <w:vertAlign w:val="superscript"/>
        </w:rPr>
        <w:t>th</w:t>
      </w:r>
      <w:r w:rsidRPr="57703A50" w:rsidR="63EBCB49">
        <w:rPr>
          <w:rFonts w:ascii="Arial" w:hAnsi="Arial" w:cs="Arial"/>
          <w:color w:val="000000" w:themeColor="text1" w:themeTint="FF" w:themeShade="FF"/>
          <w:sz w:val="22"/>
          <w:szCs w:val="22"/>
        </w:rPr>
        <w:t xml:space="preserve"> </w:t>
      </w:r>
      <w:r w:rsidRPr="57703A50" w:rsidR="23752E4C">
        <w:rPr>
          <w:rFonts w:ascii="Arial" w:hAnsi="Arial" w:cs="Arial"/>
          <w:color w:val="000000" w:themeColor="text1" w:themeTint="FF" w:themeShade="FF"/>
          <w:sz w:val="22"/>
          <w:szCs w:val="22"/>
        </w:rPr>
        <w:t xml:space="preserve"> </w:t>
      </w:r>
      <w:r w:rsidRPr="57703A50" w:rsidR="63EBCB49">
        <w:rPr>
          <w:rFonts w:ascii="Arial" w:hAnsi="Arial" w:cs="Arial"/>
          <w:color w:val="000000" w:themeColor="text1" w:themeTint="FF" w:themeShade="FF"/>
          <w:sz w:val="22"/>
          <w:szCs w:val="22"/>
        </w:rPr>
        <w:t>February</w:t>
      </w:r>
      <w:r w:rsidRPr="57703A50" w:rsidR="63EBCB49">
        <w:rPr>
          <w:rFonts w:ascii="Arial" w:hAnsi="Arial" w:cs="Arial"/>
          <w:color w:val="000000" w:themeColor="text1" w:themeTint="FF" w:themeShade="FF"/>
          <w:sz w:val="22"/>
          <w:szCs w:val="22"/>
        </w:rPr>
        <w:t xml:space="preserve"> </w:t>
      </w:r>
      <w:r w:rsidRPr="57703A50" w:rsidR="40A04CE9">
        <w:rPr>
          <w:rFonts w:ascii="Arial" w:hAnsi="Arial" w:cs="Arial"/>
          <w:color w:val="000000" w:themeColor="text1" w:themeTint="FF" w:themeShade="FF"/>
          <w:sz w:val="22"/>
          <w:szCs w:val="22"/>
        </w:rPr>
        <w:t>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4E4E0B07" w14:textId="5F2479A1">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World Health Organization (WHO)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Dementia</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8f6fd69bbeb944a6">
        <w:r w:rsidRPr="57703A50" w:rsidR="40A04CE9">
          <w:rPr>
            <w:rStyle w:val="Hyperlink"/>
            <w:rFonts w:ascii="Arial" w:hAnsi="Arial" w:eastAsia="" w:cs="Arial" w:eastAsiaTheme="majorEastAsia"/>
            <w:sz w:val="22"/>
            <w:szCs w:val="22"/>
          </w:rPr>
          <w:t>https://www.who.int/mental_health/neurology/dementia/en/</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685D9E84">
        <w:rPr>
          <w:rFonts w:ascii="Arial" w:hAnsi="Arial" w:cs="Arial"/>
          <w:color w:val="000000" w:themeColor="text1" w:themeTint="FF" w:themeShade="FF"/>
          <w:sz w:val="22"/>
          <w:szCs w:val="22"/>
        </w:rPr>
        <w:t>24</w:t>
      </w:r>
      <w:r w:rsidRPr="57703A50" w:rsidR="685D9E84">
        <w:rPr>
          <w:rFonts w:ascii="Arial" w:hAnsi="Arial" w:cs="Arial"/>
          <w:color w:val="000000" w:themeColor="text1" w:themeTint="FF" w:themeShade="FF"/>
          <w:sz w:val="22"/>
          <w:szCs w:val="22"/>
          <w:vertAlign w:val="superscript"/>
        </w:rPr>
        <w:t>th</w:t>
      </w:r>
      <w:r w:rsidRPr="57703A50" w:rsidR="685D9E84">
        <w:rPr>
          <w:rFonts w:ascii="Arial" w:hAnsi="Arial" w:cs="Arial"/>
          <w:color w:val="000000" w:themeColor="text1" w:themeTint="FF" w:themeShade="FF"/>
          <w:sz w:val="22"/>
          <w:szCs w:val="22"/>
        </w:rPr>
        <w:t xml:space="preserve"> </w:t>
      </w:r>
      <w:r w:rsidRPr="57703A50" w:rsidR="40A04CE9">
        <w:rPr>
          <w:rFonts w:ascii="Arial" w:hAnsi="Arial" w:cs="Arial"/>
          <w:color w:val="000000" w:themeColor="text1" w:themeTint="FF" w:themeShade="FF"/>
          <w:sz w:val="22"/>
          <w:szCs w:val="22"/>
        </w:rPr>
        <w:t>January 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2309DE1E" w14:textId="0EEDCF96">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Wikipedia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Dementia</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59fc7fccee7c4349">
        <w:r w:rsidRPr="57703A50" w:rsidR="40A04CE9">
          <w:rPr>
            <w:rStyle w:val="Hyperlink"/>
            <w:rFonts w:ascii="Arial" w:hAnsi="Arial" w:eastAsia="" w:cs="Arial" w:eastAsiaTheme="majorEastAsia"/>
            <w:sz w:val="22"/>
            <w:szCs w:val="22"/>
          </w:rPr>
          <w:t>https://en.wikipedia.org/wiki/Dementia</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434857E4">
        <w:rPr>
          <w:rFonts w:ascii="Arial" w:hAnsi="Arial" w:cs="Arial"/>
          <w:color w:val="000000" w:themeColor="text1" w:themeTint="FF" w:themeShade="FF"/>
          <w:sz w:val="22"/>
          <w:szCs w:val="22"/>
        </w:rPr>
        <w:t>24</w:t>
      </w:r>
      <w:r w:rsidRPr="57703A50" w:rsidR="434857E4">
        <w:rPr>
          <w:rFonts w:ascii="Arial" w:hAnsi="Arial" w:cs="Arial"/>
          <w:color w:val="000000" w:themeColor="text1" w:themeTint="FF" w:themeShade="FF"/>
          <w:sz w:val="22"/>
          <w:szCs w:val="22"/>
          <w:vertAlign w:val="superscript"/>
        </w:rPr>
        <w:t>th</w:t>
      </w:r>
      <w:r w:rsidRPr="57703A50" w:rsidR="434857E4">
        <w:rPr>
          <w:rFonts w:ascii="Arial" w:hAnsi="Arial" w:cs="Arial"/>
          <w:color w:val="000000" w:themeColor="text1" w:themeTint="FF" w:themeShade="FF"/>
          <w:sz w:val="22"/>
          <w:szCs w:val="22"/>
        </w:rPr>
        <w:t xml:space="preserve"> </w:t>
      </w:r>
      <w:r w:rsidRPr="57703A50" w:rsidR="40A04CE9">
        <w:rPr>
          <w:rFonts w:ascii="Arial" w:hAnsi="Arial" w:cs="Arial"/>
          <w:color w:val="000000" w:themeColor="text1" w:themeTint="FF" w:themeShade="FF"/>
          <w:sz w:val="22"/>
          <w:szCs w:val="22"/>
        </w:rPr>
        <w:t>January 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4C9ADED1" w14:textId="343240C9">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Wikipedia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Mini–mental state examination</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aa4cb8d980634349">
        <w:r w:rsidRPr="57703A50" w:rsidR="40A04CE9">
          <w:rPr>
            <w:rStyle w:val="Hyperlink"/>
            <w:rFonts w:ascii="Arial" w:hAnsi="Arial" w:eastAsia="" w:cs="Arial" w:eastAsiaTheme="majorEastAsia"/>
            <w:sz w:val="22"/>
            <w:szCs w:val="22"/>
          </w:rPr>
          <w:t>https://en.wikipedia.org/wiki/Mini%E2%80%93mental_state_examination</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7C69E055">
        <w:rPr>
          <w:rFonts w:ascii="Arial" w:hAnsi="Arial" w:cs="Arial"/>
          <w:color w:val="000000" w:themeColor="text1" w:themeTint="FF" w:themeShade="FF"/>
          <w:sz w:val="22"/>
          <w:szCs w:val="22"/>
        </w:rPr>
        <w:t>24</w:t>
      </w:r>
      <w:r w:rsidRPr="57703A50" w:rsidR="7C69E055">
        <w:rPr>
          <w:rFonts w:ascii="Arial" w:hAnsi="Arial" w:cs="Arial"/>
          <w:color w:val="000000" w:themeColor="text1" w:themeTint="FF" w:themeShade="FF"/>
          <w:sz w:val="22"/>
          <w:szCs w:val="22"/>
          <w:vertAlign w:val="superscript"/>
        </w:rPr>
        <w:t>th</w:t>
      </w:r>
      <w:r w:rsidRPr="57703A50" w:rsidR="7C69E055">
        <w:rPr>
          <w:rFonts w:ascii="Arial" w:hAnsi="Arial" w:cs="Arial"/>
          <w:color w:val="000000" w:themeColor="text1" w:themeTint="FF" w:themeShade="FF"/>
          <w:sz w:val="22"/>
          <w:szCs w:val="22"/>
        </w:rPr>
        <w:t xml:space="preserve"> </w:t>
      </w:r>
      <w:r w:rsidRPr="57703A50" w:rsidR="40A04CE9">
        <w:rPr>
          <w:rFonts w:ascii="Arial" w:hAnsi="Arial" w:cs="Arial"/>
          <w:color w:val="000000" w:themeColor="text1" w:themeTint="FF" w:themeShade="FF"/>
          <w:sz w:val="22"/>
          <w:szCs w:val="22"/>
        </w:rPr>
        <w:t>January 2026).</w:t>
      </w:r>
      <w:r w:rsidRPr="57703A50" w:rsidR="40A04CE9">
        <w:rPr>
          <w:rStyle w:val="apple-converted-space"/>
          <w:rFonts w:ascii="Arial" w:hAnsi="Arial" w:eastAsia="" w:cs="Arial" w:eastAsiaTheme="majorEastAsia"/>
          <w:color w:val="000000" w:themeColor="text1" w:themeTint="FF" w:themeShade="FF"/>
          <w:sz w:val="22"/>
          <w:szCs w:val="22"/>
        </w:rPr>
        <w:t> </w:t>
      </w:r>
    </w:p>
    <w:p w:rsidRPr="005B3431" w:rsidR="005B3431" w:rsidP="57703A50" w:rsidRDefault="005B3431" w14:paraId="6C62E16C" w14:textId="0E6186F1">
      <w:pPr>
        <w:pStyle w:val="NormalWeb"/>
        <w:spacing w:line="360" w:lineRule="auto"/>
        <w:jc w:val="both"/>
        <w:rPr>
          <w:rFonts w:ascii="Arial" w:hAnsi="Arial" w:cs="Arial"/>
          <w:color w:val="000000"/>
          <w:sz w:val="22"/>
          <w:szCs w:val="22"/>
        </w:rPr>
      </w:pPr>
      <w:r w:rsidRPr="57703A50" w:rsidR="40A04CE9">
        <w:rPr>
          <w:rFonts w:ascii="Arial" w:hAnsi="Arial" w:cs="Arial"/>
          <w:color w:val="000000" w:themeColor="text1" w:themeTint="FF" w:themeShade="FF"/>
          <w:sz w:val="22"/>
          <w:szCs w:val="22"/>
        </w:rPr>
        <w:t>Alzheimer’s Society (2025)</w:t>
      </w:r>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Style w:val="Emphasis"/>
          <w:rFonts w:ascii="Arial" w:hAnsi="Arial" w:eastAsia="" w:cs="Arial" w:eastAsiaTheme="majorEastAsia"/>
          <w:color w:val="000000" w:themeColor="text1" w:themeTint="FF" w:themeShade="FF"/>
          <w:sz w:val="22"/>
          <w:szCs w:val="22"/>
        </w:rPr>
        <w:t>Dementia Care Mapping</w:t>
      </w:r>
      <w:r w:rsidRPr="57703A50" w:rsidR="40A04CE9">
        <w:rPr>
          <w:rFonts w:ascii="Arial" w:hAnsi="Arial" w:cs="Arial"/>
          <w:color w:val="000000" w:themeColor="text1" w:themeTint="FF" w:themeShade="FF"/>
          <w:sz w:val="22"/>
          <w:szCs w:val="22"/>
        </w:rPr>
        <w:t>. Available at:</w:t>
      </w:r>
      <w:r w:rsidRPr="57703A50" w:rsidR="40A04CE9">
        <w:rPr>
          <w:rStyle w:val="apple-converted-space"/>
          <w:rFonts w:ascii="Arial" w:hAnsi="Arial" w:eastAsia="" w:cs="Arial" w:eastAsiaTheme="majorEastAsia"/>
          <w:color w:val="000000" w:themeColor="text1" w:themeTint="FF" w:themeShade="FF"/>
          <w:sz w:val="22"/>
          <w:szCs w:val="22"/>
        </w:rPr>
        <w:t> </w:t>
      </w:r>
      <w:hyperlink r:id="Ra6b418416d3e41f0">
        <w:r w:rsidRPr="57703A50" w:rsidR="40A04CE9">
          <w:rPr>
            <w:rStyle w:val="Hyperlink"/>
            <w:rFonts w:ascii="Arial" w:hAnsi="Arial" w:eastAsia="" w:cs="Arial" w:eastAsiaTheme="majorEastAsia"/>
            <w:sz w:val="22"/>
            <w:szCs w:val="22"/>
          </w:rPr>
          <w:t>https://www.alzheimers.org.uk/dementia-professionals/dementia-experience-toolkit/research-methods/dementia-care-mapping</w:t>
        </w:r>
      </w:hyperlink>
      <w:r w:rsidRPr="57703A50" w:rsidR="40A04CE9">
        <w:rPr>
          <w:rStyle w:val="apple-converted-space"/>
          <w:rFonts w:ascii="Arial" w:hAnsi="Arial" w:eastAsia="" w:cs="Arial" w:eastAsiaTheme="majorEastAsia"/>
          <w:color w:val="000000" w:themeColor="text1" w:themeTint="FF" w:themeShade="FF"/>
          <w:sz w:val="22"/>
          <w:szCs w:val="22"/>
        </w:rPr>
        <w:t> </w:t>
      </w:r>
      <w:r w:rsidRPr="57703A50" w:rsidR="40A04CE9">
        <w:rPr>
          <w:rFonts w:ascii="Arial" w:hAnsi="Arial" w:cs="Arial"/>
          <w:color w:val="000000" w:themeColor="text1" w:themeTint="FF" w:themeShade="FF"/>
          <w:sz w:val="22"/>
          <w:szCs w:val="22"/>
        </w:rPr>
        <w:t xml:space="preserve">(Accessed: </w:t>
      </w:r>
      <w:r w:rsidRPr="57703A50" w:rsidR="04C45371">
        <w:rPr>
          <w:rFonts w:ascii="Arial" w:hAnsi="Arial" w:cs="Arial"/>
          <w:color w:val="000000" w:themeColor="text1" w:themeTint="FF" w:themeShade="FF"/>
          <w:sz w:val="22"/>
          <w:szCs w:val="22"/>
        </w:rPr>
        <w:t>24</w:t>
      </w:r>
      <w:r w:rsidRPr="57703A50" w:rsidR="04C45371">
        <w:rPr>
          <w:rFonts w:ascii="Arial" w:hAnsi="Arial" w:cs="Arial"/>
          <w:color w:val="000000" w:themeColor="text1" w:themeTint="FF" w:themeShade="FF"/>
          <w:sz w:val="22"/>
          <w:szCs w:val="22"/>
          <w:vertAlign w:val="superscript"/>
        </w:rPr>
        <w:t>th</w:t>
      </w:r>
      <w:r w:rsidRPr="57703A50" w:rsidR="04C45371">
        <w:rPr>
          <w:rFonts w:ascii="Arial" w:hAnsi="Arial" w:cs="Arial"/>
          <w:color w:val="000000" w:themeColor="text1" w:themeTint="FF" w:themeShade="FF"/>
          <w:sz w:val="22"/>
          <w:szCs w:val="22"/>
        </w:rPr>
        <w:t xml:space="preserve"> </w:t>
      </w:r>
      <w:r w:rsidRPr="57703A50" w:rsidR="40A04CE9">
        <w:rPr>
          <w:rFonts w:ascii="Arial" w:hAnsi="Arial" w:cs="Arial"/>
          <w:color w:val="000000" w:themeColor="text1" w:themeTint="FF" w:themeShade="FF"/>
          <w:sz w:val="22"/>
          <w:szCs w:val="22"/>
        </w:rPr>
        <w:t>January 2026).</w:t>
      </w:r>
      <w:r w:rsidRPr="57703A50" w:rsidR="40A04CE9">
        <w:rPr>
          <w:rStyle w:val="apple-converted-space"/>
          <w:rFonts w:ascii="Arial" w:hAnsi="Arial" w:eastAsia="" w:cs="Arial" w:eastAsiaTheme="majorEastAsia"/>
          <w:color w:val="000000" w:themeColor="text1" w:themeTint="FF" w:themeShade="FF"/>
          <w:sz w:val="22"/>
          <w:szCs w:val="22"/>
        </w:rPr>
        <w:t> </w:t>
      </w:r>
    </w:p>
    <w:p w:rsidR="005B3431" w:rsidP="57703A50" w:rsidRDefault="005B3431" w14:paraId="14952E93" w14:textId="77777777">
      <w:pPr>
        <w:spacing w:line="360" w:lineRule="auto"/>
        <w:jc w:val="both"/>
      </w:pPr>
    </w:p>
    <w:sectPr w:rsidR="005B3431">
      <w:pgSz w:w="11906" w:h="16838" w:orient="portrait"/>
      <w:pgMar w:top="1440" w:right="1440" w:bottom="1440" w:left="1440" w:header="708" w:footer="708" w:gutter="0"/>
      <w:cols w:space="708"/>
      <w:docGrid w:linePitch="360"/>
      <w:headerReference w:type="default" r:id="Rca167558a33642f2"/>
      <w:footerReference w:type="default" r:id="R77aaf53e73a64e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1D9991" w:rsidTr="3D1D9991" w14:paraId="1F05E9FF">
      <w:trPr>
        <w:trHeight w:val="300"/>
      </w:trPr>
      <w:tc>
        <w:tcPr>
          <w:tcW w:w="3005" w:type="dxa"/>
          <w:tcMar/>
        </w:tcPr>
        <w:p w:rsidR="3D1D9991" w:rsidP="3D1D9991" w:rsidRDefault="3D1D9991" w14:paraId="31A0C62C" w14:textId="1532B1F0">
          <w:pPr>
            <w:pStyle w:val="Header"/>
            <w:bidi w:val="0"/>
            <w:ind w:left="-115"/>
            <w:jc w:val="left"/>
          </w:pPr>
        </w:p>
      </w:tc>
      <w:tc>
        <w:tcPr>
          <w:tcW w:w="3005" w:type="dxa"/>
          <w:tcMar/>
        </w:tcPr>
        <w:p w:rsidR="3D1D9991" w:rsidP="3D1D9991" w:rsidRDefault="3D1D9991" w14:paraId="38CE51C2" w14:textId="4E01A6AD">
          <w:pPr>
            <w:pStyle w:val="Header"/>
            <w:bidi w:val="0"/>
            <w:jc w:val="center"/>
          </w:pPr>
        </w:p>
      </w:tc>
      <w:tc>
        <w:tcPr>
          <w:tcW w:w="3005" w:type="dxa"/>
          <w:tcMar/>
        </w:tcPr>
        <w:p w:rsidR="3D1D9991" w:rsidP="3D1D9991" w:rsidRDefault="3D1D9991" w14:paraId="4C74A791" w14:textId="79CDA44B">
          <w:pPr>
            <w:pStyle w:val="Header"/>
            <w:bidi w:val="0"/>
            <w:ind w:right="-115"/>
            <w:jc w:val="right"/>
          </w:pPr>
        </w:p>
      </w:tc>
    </w:tr>
  </w:tbl>
  <w:p w:rsidR="3D1D9991" w:rsidP="3D1D9991" w:rsidRDefault="3D1D9991" w14:paraId="0CCF0A8C" w14:textId="549B02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1D9991" w:rsidTr="3D1D9991" w14:paraId="7CCEE49D">
      <w:trPr>
        <w:trHeight w:val="300"/>
      </w:trPr>
      <w:tc>
        <w:tcPr>
          <w:tcW w:w="3005" w:type="dxa"/>
          <w:tcMar/>
        </w:tcPr>
        <w:p w:rsidR="3D1D9991" w:rsidP="3D1D9991" w:rsidRDefault="3D1D9991" w14:paraId="757F23F0" w14:textId="20A633E3">
          <w:pPr>
            <w:pStyle w:val="Header"/>
            <w:bidi w:val="0"/>
            <w:ind w:left="-115"/>
            <w:jc w:val="left"/>
          </w:pPr>
        </w:p>
      </w:tc>
      <w:tc>
        <w:tcPr>
          <w:tcW w:w="3005" w:type="dxa"/>
          <w:tcMar/>
        </w:tcPr>
        <w:p w:rsidR="3D1D9991" w:rsidP="3D1D9991" w:rsidRDefault="3D1D9991" w14:paraId="157E1509" w14:textId="12DF09EC">
          <w:pPr>
            <w:pStyle w:val="Header"/>
            <w:bidi w:val="0"/>
            <w:jc w:val="center"/>
          </w:pPr>
        </w:p>
      </w:tc>
      <w:tc>
        <w:tcPr>
          <w:tcW w:w="3005" w:type="dxa"/>
          <w:tcMar/>
        </w:tcPr>
        <w:p w:rsidR="3D1D9991" w:rsidP="3D1D9991" w:rsidRDefault="3D1D9991" w14:paraId="677DD268" w14:textId="0B1BE91C">
          <w:pPr>
            <w:pStyle w:val="Header"/>
            <w:bidi w:val="0"/>
            <w:ind w:right="-115"/>
            <w:jc w:val="right"/>
          </w:pPr>
        </w:p>
      </w:tc>
    </w:tr>
  </w:tbl>
  <w:p w:rsidR="3D1D9991" w:rsidP="3D1D9991" w:rsidRDefault="3D1D9991" w14:paraId="1ADD40CF" w14:textId="3EC98AAE">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0738E"/>
    <w:multiLevelType w:val="hybridMultilevel"/>
    <w:tmpl w:val="C3A885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8971028"/>
    <w:multiLevelType w:val="hybridMultilevel"/>
    <w:tmpl w:val="F00245E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AAB27F6"/>
    <w:multiLevelType w:val="hybridMultilevel"/>
    <w:tmpl w:val="779E5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56790101">
    <w:abstractNumId w:val="1"/>
  </w:num>
  <w:num w:numId="2" w16cid:durableId="42219452">
    <w:abstractNumId w:val="2"/>
  </w:num>
  <w:num w:numId="3" w16cid:durableId="1542984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431"/>
    <w:rsid w:val="005B3431"/>
    <w:rsid w:val="00991B55"/>
    <w:rsid w:val="01262FE1"/>
    <w:rsid w:val="04A10DB8"/>
    <w:rsid w:val="04C45371"/>
    <w:rsid w:val="0571A962"/>
    <w:rsid w:val="06C64F4E"/>
    <w:rsid w:val="0CD7A73C"/>
    <w:rsid w:val="0E11AD61"/>
    <w:rsid w:val="16FFC310"/>
    <w:rsid w:val="1BC0C566"/>
    <w:rsid w:val="203B67D8"/>
    <w:rsid w:val="23752E4C"/>
    <w:rsid w:val="241E1267"/>
    <w:rsid w:val="2481D872"/>
    <w:rsid w:val="250643A6"/>
    <w:rsid w:val="29F330A4"/>
    <w:rsid w:val="2D7969A2"/>
    <w:rsid w:val="35C8CB45"/>
    <w:rsid w:val="37EDFD28"/>
    <w:rsid w:val="3D1D9991"/>
    <w:rsid w:val="40A04CE9"/>
    <w:rsid w:val="434857E4"/>
    <w:rsid w:val="4E71719C"/>
    <w:rsid w:val="4EFC8BD9"/>
    <w:rsid w:val="57703A50"/>
    <w:rsid w:val="63EBCB49"/>
    <w:rsid w:val="651511E9"/>
    <w:rsid w:val="685D9E84"/>
    <w:rsid w:val="741A7468"/>
    <w:rsid w:val="789E4815"/>
    <w:rsid w:val="7C69E055"/>
    <w:rsid w:val="7D7D8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248E"/>
  <w15:chartTrackingRefBased/>
  <w15:docId w15:val="{199C5A6B-8E4F-A643-9C8D-CC310BA6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3431"/>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B343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43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4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4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4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431"/>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343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B343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B343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B343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B343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B343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B343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B343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B3431"/>
    <w:rPr>
      <w:rFonts w:eastAsiaTheme="majorEastAsia" w:cstheme="majorBidi"/>
      <w:color w:val="272727" w:themeColor="text1" w:themeTint="D8"/>
    </w:rPr>
  </w:style>
  <w:style w:type="paragraph" w:styleId="Title">
    <w:name w:val="Title"/>
    <w:basedOn w:val="Normal"/>
    <w:next w:val="Normal"/>
    <w:link w:val="TitleChar"/>
    <w:uiPriority w:val="10"/>
    <w:qFormat/>
    <w:rsid w:val="005B3431"/>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343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B343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B3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431"/>
    <w:pPr>
      <w:spacing w:before="160"/>
      <w:jc w:val="center"/>
    </w:pPr>
    <w:rPr>
      <w:i/>
      <w:iCs/>
      <w:color w:val="404040" w:themeColor="text1" w:themeTint="BF"/>
    </w:rPr>
  </w:style>
  <w:style w:type="character" w:styleId="QuoteChar" w:customStyle="1">
    <w:name w:val="Quote Char"/>
    <w:basedOn w:val="DefaultParagraphFont"/>
    <w:link w:val="Quote"/>
    <w:uiPriority w:val="29"/>
    <w:rsid w:val="005B3431"/>
    <w:rPr>
      <w:i/>
      <w:iCs/>
      <w:color w:val="404040" w:themeColor="text1" w:themeTint="BF"/>
    </w:rPr>
  </w:style>
  <w:style w:type="paragraph" w:styleId="ListParagraph">
    <w:name w:val="List Paragraph"/>
    <w:basedOn w:val="Normal"/>
    <w:uiPriority w:val="1"/>
    <w:qFormat/>
    <w:rsid w:val="005B3431"/>
    <w:pPr>
      <w:ind w:left="720"/>
      <w:contextualSpacing/>
    </w:pPr>
  </w:style>
  <w:style w:type="character" w:styleId="IntenseEmphasis">
    <w:name w:val="Intense Emphasis"/>
    <w:basedOn w:val="DefaultParagraphFont"/>
    <w:uiPriority w:val="21"/>
    <w:qFormat/>
    <w:rsid w:val="005B3431"/>
    <w:rPr>
      <w:i/>
      <w:iCs/>
      <w:color w:val="0F4761" w:themeColor="accent1" w:themeShade="BF"/>
    </w:rPr>
  </w:style>
  <w:style w:type="paragraph" w:styleId="IntenseQuote">
    <w:name w:val="Intense Quote"/>
    <w:basedOn w:val="Normal"/>
    <w:next w:val="Normal"/>
    <w:link w:val="IntenseQuoteChar"/>
    <w:uiPriority w:val="30"/>
    <w:qFormat/>
    <w:rsid w:val="005B343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B3431"/>
    <w:rPr>
      <w:i/>
      <w:iCs/>
      <w:color w:val="0F4761" w:themeColor="accent1" w:themeShade="BF"/>
    </w:rPr>
  </w:style>
  <w:style w:type="character" w:styleId="IntenseReference">
    <w:name w:val="Intense Reference"/>
    <w:basedOn w:val="DefaultParagraphFont"/>
    <w:uiPriority w:val="32"/>
    <w:qFormat/>
    <w:rsid w:val="005B3431"/>
    <w:rPr>
      <w:b/>
      <w:bCs/>
      <w:smallCaps/>
      <w:color w:val="0F4761" w:themeColor="accent1" w:themeShade="BF"/>
      <w:spacing w:val="5"/>
    </w:rPr>
  </w:style>
  <w:style w:type="character" w:styleId="Strong">
    <w:name w:val="Strong"/>
    <w:basedOn w:val="DefaultParagraphFont"/>
    <w:uiPriority w:val="22"/>
    <w:qFormat/>
    <w:rsid w:val="005B3431"/>
    <w:rPr>
      <w:b/>
      <w:bCs/>
    </w:rPr>
  </w:style>
  <w:style w:type="paragraph" w:styleId="NormalWeb">
    <w:name w:val="Normal (Web)"/>
    <w:basedOn w:val="Normal"/>
    <w:uiPriority w:val="99"/>
    <w:semiHidden/>
    <w:unhideWhenUsed/>
    <w:rsid w:val="005B3431"/>
    <w:pPr>
      <w:spacing w:before="100" w:beforeAutospacing="1" w:after="100" w:afterAutospacing="1"/>
    </w:pPr>
    <w:rPr>
      <w:sz w:val="24"/>
      <w:szCs w:val="24"/>
    </w:rPr>
  </w:style>
  <w:style w:type="character" w:styleId="apple-converted-space" w:customStyle="1">
    <w:name w:val="apple-converted-space"/>
    <w:basedOn w:val="DefaultParagraphFont"/>
    <w:rsid w:val="005B3431"/>
  </w:style>
  <w:style w:type="character" w:styleId="Emphasis">
    <w:name w:val="Emphasis"/>
    <w:basedOn w:val="DefaultParagraphFont"/>
    <w:uiPriority w:val="20"/>
    <w:qFormat/>
    <w:rsid w:val="005B3431"/>
    <w:rPr>
      <w:i/>
      <w:iCs/>
    </w:rPr>
  </w:style>
  <w:style w:type="character" w:styleId="Hyperlink">
    <w:name w:val="Hyperlink"/>
    <w:basedOn w:val="DefaultParagraphFont"/>
    <w:uiPriority w:val="99"/>
    <w:semiHidden/>
    <w:unhideWhenUsed/>
    <w:rsid w:val="005B3431"/>
    <w:rPr>
      <w:color w:val="0000FF"/>
      <w:u w:val="single"/>
    </w:rPr>
  </w:style>
  <w:style w:type="paragraph" w:styleId="Header">
    <w:uiPriority w:val="99"/>
    <w:name w:val="header"/>
    <w:basedOn w:val="Normal"/>
    <w:unhideWhenUsed/>
    <w:rsid w:val="3D1D9991"/>
    <w:pPr>
      <w:tabs>
        <w:tab w:val="center" w:leader="none" w:pos="4680"/>
        <w:tab w:val="right" w:leader="none" w:pos="9360"/>
      </w:tabs>
    </w:pPr>
  </w:style>
  <w:style w:type="paragraph" w:styleId="Footer">
    <w:uiPriority w:val="99"/>
    <w:name w:val="footer"/>
    <w:basedOn w:val="Normal"/>
    <w:unhideWhenUsed/>
    <w:rsid w:val="3D1D9991"/>
    <w:pPr>
      <w:tabs>
        <w:tab w:val="center" w:leader="none" w:pos="4680"/>
        <w:tab w:val="right" w:leader="none" w:pos="9360"/>
      </w:tabs>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eader" Target="header.xml" Id="Rca167558a33642f2" /><Relationship Type="http://schemas.openxmlformats.org/officeDocument/2006/relationships/footer" Target="footer.xml" Id="R77aaf53e73a64ea9" /><Relationship Type="http://schemas.openxmlformats.org/officeDocument/2006/relationships/hyperlink" Target="https://www.alzheimers.org.uk/what-we-do/news-and-media/facts-media?utm_source=chatgpt.com" TargetMode="External" Id="Raf146b2597ae4c99" /><Relationship Type="http://schemas.openxmlformats.org/officeDocument/2006/relationships/hyperlink" Target="https://www.alzheimersresearchuk.org/news/worldwide-dementia-cases-to-triple-by-2050-to-over-150-million/?utm_source=chatgpt.com" TargetMode="External" Id="R2431fe6e9ab84039" /><Relationship Type="http://schemas.openxmlformats.org/officeDocument/2006/relationships/hyperlink" Target="https://www.dementiastatistics.org/statistics/the-economic-impact-of-dementia/?utm_source=chatgpt.com" TargetMode="External" Id="R9ca6b9a0fb334668" /><Relationship Type="http://schemas.openxmlformats.org/officeDocument/2006/relationships/hyperlink" Target="https://www.gov.uk/government/statistics/dementia-profile-march-2025-update" TargetMode="External" Id="R7dac160593c443d3" /><Relationship Type="http://schemas.openxmlformats.org/officeDocument/2006/relationships/hyperlink" Target="https://www.who.int/mental_health/neurology/dementia/en/?utm_source=chatgpt.com" TargetMode="External" Id="R8f6fd69bbeb944a6" /><Relationship Type="http://schemas.openxmlformats.org/officeDocument/2006/relationships/hyperlink" Target="https://en.wikipedia.org/wiki/Dementia?utm_source=chatgpt.com" TargetMode="External" Id="R59fc7fccee7c4349" /><Relationship Type="http://schemas.openxmlformats.org/officeDocument/2006/relationships/hyperlink" Target="https://en.wikipedia.org/wiki/Mini%E2%80%93mental_state_examination?utm_source=chatgpt.com" TargetMode="External" Id="Raa4cb8d980634349" /><Relationship Type="http://schemas.openxmlformats.org/officeDocument/2006/relationships/hyperlink" Target="https://www.alzheimers.org.uk/dementia-professionals/dementia-experience-toolkit/research-methods/dementia-care-mapping?utm_source=chatgpt.com" TargetMode="External" Id="Ra6b418416d3e41f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Tamyne Summer Cossa (2507591)</dc:creator>
  <keywords/>
  <dc:description/>
  <lastModifiedBy>Tamyne Summer Cossa (2507591)</lastModifiedBy>
  <revision>3</revision>
  <dcterms:created xsi:type="dcterms:W3CDTF">2026-01-15T16:57:00.0000000Z</dcterms:created>
  <dcterms:modified xsi:type="dcterms:W3CDTF">2026-03-19T11:04:37.2220177Z</dcterms:modified>
</coreProperties>
</file>