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color w:val="000000" w:themeColor="text1"/>
        </w:rPr>
        <w:id w:val="-156846941"/>
        <w:docPartObj>
          <w:docPartGallery w:val="Cover Pages"/>
          <w:docPartUnique/>
        </w:docPartObj>
      </w:sdtPr>
      <w:sdtContent>
        <w:p w14:paraId="7A870B6C" w14:textId="5E9BF42F" w:rsidR="002D5684" w:rsidRPr="004554AB" w:rsidRDefault="00772ADE" w:rsidP="004554AB">
          <w:pPr>
            <w:spacing w:line="276" w:lineRule="auto"/>
            <w:jc w:val="both"/>
            <w:rPr>
              <w:rFonts w:ascii="Arial" w:hAnsi="Arial" w:cs="Arial"/>
              <w:color w:val="000000" w:themeColor="text1"/>
            </w:rPr>
          </w:pPr>
          <w:r w:rsidRPr="004554AB">
            <w:rPr>
              <w:rFonts w:ascii="Arial" w:hAnsi="Arial" w:cs="Arial"/>
              <w:noProof/>
              <w:color w:val="000000" w:themeColor="text1"/>
            </w:rPr>
            <mc:AlternateContent>
              <mc:Choice Requires="wps">
                <w:drawing>
                  <wp:anchor distT="0" distB="0" distL="114300" distR="114300" simplePos="0" relativeHeight="251658242" behindDoc="0" locked="0" layoutInCell="1" allowOverlap="1" wp14:anchorId="09FE189B" wp14:editId="233A2DCA">
                    <wp:simplePos x="0" y="0"/>
                    <wp:positionH relativeFrom="column">
                      <wp:posOffset>-699135</wp:posOffset>
                    </wp:positionH>
                    <wp:positionV relativeFrom="paragraph">
                      <wp:posOffset>-670563</wp:posOffset>
                    </wp:positionV>
                    <wp:extent cx="7282815" cy="2876098"/>
                    <wp:effectExtent l="0" t="0" r="0" b="0"/>
                    <wp:wrapNone/>
                    <wp:docPr id="150" name="Rectangle 51"/>
                    <wp:cNvGraphicFramePr/>
                    <a:graphic xmlns:a="http://schemas.openxmlformats.org/drawingml/2006/main">
                      <a:graphicData uri="http://schemas.microsoft.com/office/word/2010/wordprocessingShape">
                        <wps:wsp>
                          <wps:cNvSpPr/>
                          <wps:spPr>
                            <a:xfrm>
                              <a:off x="0" y="0"/>
                              <a:ext cx="7282815" cy="2876098"/>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DB4CD2" id="Rectangle 51" o:spid="_x0000_s1026" style="position:absolute;margin-left:-55.05pt;margin-top:-52.8pt;width:573.45pt;height:226.45pt;z-index:251658242;visibility:visible;mso-wrap-style:square;mso-wrap-distance-left:9pt;mso-wrap-distance-top:0;mso-wrap-distance-right:9pt;mso-wrap-distance-bottom:0;mso-position-horizontal:absolute;mso-position-horizontal-relative:text;mso-position-vertical:absolute;mso-position-vertical-relative:text;v-text-anchor:middle" coordsize="7312660,11296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" path="m,l7312660,r,1129665l3619500,733425,,1091565,,xe" fillcolor="#156082 [3204]" stroked="f" strokeweight="1pt">
                    <v:stroke joinstyle="miter"/>
                    <v:path arrowok="t" o:connecttype="custom" o:connectlocs="0,0;7282815,0;7282815,2876098;3604728,1867281;0,2779096;0,0" o:connectangles="0,0,0,0,0,0"/>
                  </v:shape>
                </w:pict>
              </mc:Fallback>
            </mc:AlternateContent>
          </w:r>
        </w:p>
        <w:p w14:paraId="2A091917" w14:textId="5029FA32" w:rsidR="00CB6CD1" w:rsidRPr="004554AB" w:rsidRDefault="00CB6CD1" w:rsidP="004554AB">
          <w:pPr>
            <w:spacing w:line="276" w:lineRule="auto"/>
            <w:jc w:val="both"/>
            <w:rPr>
              <w:rFonts w:ascii="Arial" w:hAnsi="Arial" w:cs="Arial"/>
              <w:color w:val="000000" w:themeColor="text1"/>
            </w:rPr>
          </w:pPr>
          <w:r w:rsidRPr="004554AB">
            <w:rPr>
              <w:rFonts w:ascii="Arial" w:hAnsi="Arial" w:cs="Arial"/>
              <w:color w:val="000000" w:themeColor="text1"/>
            </w:rPr>
            <w:t>Module: Health Care System Organisation and Leadership</w:t>
          </w:r>
        </w:p>
        <w:p w14:paraId="16CFDC60" w14:textId="77777777" w:rsidR="0057651B" w:rsidRPr="004554AB" w:rsidRDefault="0057651B" w:rsidP="004554AB">
          <w:pPr>
            <w:spacing w:line="276" w:lineRule="auto"/>
            <w:jc w:val="both"/>
            <w:rPr>
              <w:rFonts w:ascii="Arial" w:hAnsi="Arial" w:cs="Arial"/>
              <w:b/>
              <w:bCs/>
              <w:color w:val="000000" w:themeColor="text1"/>
            </w:rPr>
          </w:pPr>
        </w:p>
        <w:p w14:paraId="7DEBB04F" w14:textId="77777777" w:rsidR="0057651B" w:rsidRPr="004554AB" w:rsidRDefault="0057651B" w:rsidP="004554AB">
          <w:pPr>
            <w:spacing w:line="276" w:lineRule="auto"/>
            <w:jc w:val="both"/>
            <w:rPr>
              <w:rFonts w:ascii="Arial" w:hAnsi="Arial" w:cs="Arial"/>
              <w:b/>
              <w:bCs/>
              <w:color w:val="000000" w:themeColor="text1"/>
            </w:rPr>
          </w:pPr>
        </w:p>
        <w:p w14:paraId="5201DD26" w14:textId="77777777" w:rsidR="0057651B" w:rsidRPr="004554AB" w:rsidRDefault="0057651B" w:rsidP="004554AB">
          <w:pPr>
            <w:spacing w:line="276" w:lineRule="auto"/>
            <w:jc w:val="both"/>
            <w:rPr>
              <w:rFonts w:ascii="Arial" w:hAnsi="Arial" w:cs="Arial"/>
              <w:b/>
              <w:bCs/>
              <w:color w:val="000000" w:themeColor="text1"/>
            </w:rPr>
          </w:pPr>
        </w:p>
        <w:p w14:paraId="56A540D0" w14:textId="77777777" w:rsidR="0057651B" w:rsidRPr="004554AB" w:rsidRDefault="0057651B" w:rsidP="004554AB">
          <w:pPr>
            <w:spacing w:line="276" w:lineRule="auto"/>
            <w:jc w:val="both"/>
            <w:rPr>
              <w:rFonts w:ascii="Arial" w:hAnsi="Arial" w:cs="Arial"/>
              <w:b/>
              <w:bCs/>
              <w:color w:val="000000" w:themeColor="text1"/>
            </w:rPr>
          </w:pPr>
        </w:p>
        <w:p w14:paraId="6A2A6A80" w14:textId="580369A9" w:rsidR="00CB6CD1" w:rsidRPr="004554AB" w:rsidRDefault="00CB6CD1" w:rsidP="004554AB">
          <w:pPr>
            <w:spacing w:line="276" w:lineRule="auto"/>
            <w:jc w:val="both"/>
            <w:rPr>
              <w:rFonts w:ascii="Arial" w:hAnsi="Arial" w:cs="Arial"/>
              <w:b/>
              <w:bCs/>
              <w:color w:val="000000" w:themeColor="text1"/>
            </w:rPr>
          </w:pPr>
        </w:p>
        <w:p w14:paraId="49EB284F" w14:textId="08A8113A" w:rsidR="00676E3E" w:rsidRPr="004554AB" w:rsidRDefault="00BD6F13" w:rsidP="004554AB">
          <w:pPr>
            <w:spacing w:line="276" w:lineRule="auto"/>
            <w:jc w:val="both"/>
            <w:rPr>
              <w:rFonts w:ascii="Arial" w:hAnsi="Arial" w:cs="Arial"/>
              <w:color w:val="000000" w:themeColor="text1"/>
            </w:rPr>
          </w:pPr>
          <w:r w:rsidRPr="004554AB">
            <w:rPr>
              <w:rFonts w:ascii="Arial" w:hAnsi="Arial" w:cs="Arial"/>
              <w:color w:val="000000" w:themeColor="text1"/>
            </w:rPr>
            <w:t>Module code: LCHS7002</w:t>
          </w:r>
        </w:p>
        <w:p w14:paraId="09C8DFEF" w14:textId="0BEACDF0" w:rsidR="00CB6CD1" w:rsidRPr="004554AB" w:rsidRDefault="00CB6CD1" w:rsidP="004554AB">
          <w:pPr>
            <w:spacing w:line="276" w:lineRule="auto"/>
            <w:jc w:val="both"/>
            <w:rPr>
              <w:rFonts w:ascii="Arial" w:hAnsi="Arial" w:cs="Arial"/>
              <w:color w:val="000000" w:themeColor="text1"/>
            </w:rPr>
          </w:pPr>
          <w:r w:rsidRPr="004554AB">
            <w:rPr>
              <w:rFonts w:ascii="Arial" w:hAnsi="Arial" w:cs="Arial"/>
              <w:color w:val="000000" w:themeColor="text1"/>
            </w:rPr>
            <w:t xml:space="preserve">Lecturer: Tonia </w:t>
          </w:r>
          <w:proofErr w:type="spellStart"/>
          <w:r w:rsidRPr="004554AB">
            <w:rPr>
              <w:rFonts w:ascii="Arial" w:hAnsi="Arial" w:cs="Arial"/>
              <w:color w:val="000000" w:themeColor="text1"/>
            </w:rPr>
            <w:t>Babalola</w:t>
          </w:r>
          <w:proofErr w:type="spellEnd"/>
        </w:p>
        <w:p w14:paraId="6CB44F95" w14:textId="02902E6A" w:rsidR="00531C05" w:rsidRPr="004554AB" w:rsidRDefault="001945D6" w:rsidP="004554AB">
          <w:pPr>
            <w:spacing w:line="276" w:lineRule="auto"/>
            <w:jc w:val="both"/>
            <w:rPr>
              <w:rFonts w:ascii="Arial" w:hAnsi="Arial" w:cs="Arial"/>
              <w:color w:val="000000" w:themeColor="text1"/>
            </w:rPr>
          </w:pPr>
          <w:r w:rsidRPr="004554AB">
            <w:rPr>
              <w:rFonts w:ascii="Arial" w:hAnsi="Arial" w:cs="Arial"/>
              <w:color w:val="000000" w:themeColor="text1"/>
            </w:rPr>
            <w:t>Student</w:t>
          </w:r>
          <w:r w:rsidR="00814392" w:rsidRPr="004554AB">
            <w:rPr>
              <w:rFonts w:ascii="Arial" w:hAnsi="Arial" w:cs="Arial"/>
              <w:color w:val="000000" w:themeColor="text1"/>
            </w:rPr>
            <w:t xml:space="preserve">: </w:t>
          </w:r>
          <w:r w:rsidR="00E03A82" w:rsidRPr="004554AB">
            <w:rPr>
              <w:rFonts w:ascii="Arial" w:hAnsi="Arial" w:cs="Arial"/>
              <w:color w:val="000000" w:themeColor="text1"/>
            </w:rPr>
            <w:t xml:space="preserve">Patience Edo </w:t>
          </w:r>
        </w:p>
        <w:p w14:paraId="770594F0" w14:textId="1AA42DFE" w:rsidR="00E03A82" w:rsidRPr="004554AB" w:rsidRDefault="00E03A82" w:rsidP="004554AB">
          <w:pPr>
            <w:spacing w:line="276" w:lineRule="auto"/>
            <w:jc w:val="both"/>
            <w:rPr>
              <w:rFonts w:ascii="Arial" w:hAnsi="Arial" w:cs="Arial"/>
              <w:color w:val="000000" w:themeColor="text1"/>
            </w:rPr>
          </w:pPr>
          <w:r w:rsidRPr="004554AB">
            <w:rPr>
              <w:rFonts w:ascii="Arial" w:hAnsi="Arial" w:cs="Arial"/>
              <w:color w:val="000000" w:themeColor="text1"/>
            </w:rPr>
            <w:t xml:space="preserve">Student ID </w:t>
          </w:r>
          <w:r w:rsidR="000E7BF7" w:rsidRPr="004554AB">
            <w:rPr>
              <w:rFonts w:ascii="Arial" w:hAnsi="Arial" w:cs="Arial"/>
              <w:color w:val="000000" w:themeColor="text1"/>
            </w:rPr>
            <w:t xml:space="preserve">2220883 </w:t>
          </w:r>
        </w:p>
        <w:p w14:paraId="23DE4946" w14:textId="145B6D70" w:rsidR="003376A0" w:rsidRPr="004554AB" w:rsidRDefault="00CB6CD1" w:rsidP="004554AB">
          <w:pPr>
            <w:spacing w:line="276" w:lineRule="auto"/>
            <w:jc w:val="both"/>
            <w:rPr>
              <w:rFonts w:ascii="Arial" w:hAnsi="Arial" w:cs="Arial"/>
              <w:color w:val="000000" w:themeColor="text1"/>
            </w:rPr>
          </w:pPr>
          <w:r w:rsidRPr="004554AB">
            <w:rPr>
              <w:rFonts w:ascii="Arial" w:hAnsi="Arial" w:cs="Arial"/>
              <w:color w:val="000000" w:themeColor="text1"/>
            </w:rPr>
            <w:t>Assignment Title: Case Study Analysis Report</w:t>
          </w:r>
        </w:p>
        <w:sdt>
          <w:sdtPr>
            <w:rPr>
              <w:rFonts w:ascii="Arial" w:hAnsi="Arial" w:cs="Arial"/>
              <w:caps/>
              <w:color w:val="000000" w:themeColor="text1"/>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p w14:paraId="00E86EBF" w14:textId="1A09E126" w:rsidR="00FE4620" w:rsidRPr="004554AB" w:rsidRDefault="002D083B" w:rsidP="004554AB">
              <w:pPr>
                <w:spacing w:line="276" w:lineRule="auto"/>
                <w:jc w:val="both"/>
                <w:rPr>
                  <w:rFonts w:ascii="Arial" w:hAnsi="Arial" w:cs="Arial"/>
                  <w:color w:val="000000" w:themeColor="text1"/>
                </w:rPr>
              </w:pPr>
              <w:r w:rsidRPr="004554AB">
                <w:rPr>
                  <w:rFonts w:ascii="Arial" w:hAnsi="Arial" w:cs="Arial"/>
                  <w:caps/>
                  <w:color w:val="000000" w:themeColor="text1"/>
                </w:rPr>
                <w:t>Leadership, Systems Thinking and Medication Safety,  A Case Analysis of Infant Morphine Overdose</w:t>
              </w:r>
            </w:p>
          </w:sdtContent>
        </w:sdt>
        <w:p w14:paraId="538D58BB" w14:textId="446639C2" w:rsidR="002D5684" w:rsidRPr="004554AB" w:rsidRDefault="00000000" w:rsidP="004554AB">
          <w:pPr>
            <w:spacing w:line="276" w:lineRule="auto"/>
            <w:jc w:val="both"/>
            <w:rPr>
              <w:rFonts w:ascii="Arial" w:hAnsi="Arial" w:cs="Arial"/>
              <w:color w:val="000000" w:themeColor="text1"/>
            </w:rPr>
          </w:pPr>
        </w:p>
      </w:sdtContent>
    </w:sdt>
    <w:sdt>
      <w:sdtPr>
        <w:rPr>
          <w:rFonts w:ascii="Arial" w:eastAsiaTheme="minorEastAsia" w:hAnsi="Arial" w:cs="Arial"/>
          <w:color w:val="000000" w:themeColor="text1"/>
          <w:kern w:val="2"/>
          <w:sz w:val="24"/>
          <w:szCs w:val="24"/>
          <w:lang w:val="en-GB"/>
          <w14:ligatures w14:val="standardContextual"/>
        </w:rPr>
        <w:id w:val="1273669984"/>
        <w:docPartObj>
          <w:docPartGallery w:val="Table of Contents"/>
          <w:docPartUnique/>
        </w:docPartObj>
      </w:sdtPr>
      <w:sdtEndPr>
        <w:rPr>
          <w:b/>
          <w:bCs/>
          <w:noProof/>
        </w:rPr>
      </w:sdtEndPr>
      <w:sdtContent>
        <w:p w14:paraId="4CB34564" w14:textId="3C5B8A27" w:rsidR="00606574" w:rsidRPr="004554AB" w:rsidRDefault="001F0E3F" w:rsidP="004554AB">
          <w:pPr>
            <w:pStyle w:val="TOCHeading"/>
            <w:spacing w:line="276" w:lineRule="auto"/>
            <w:jc w:val="both"/>
            <w:rPr>
              <w:rFonts w:ascii="Arial" w:eastAsiaTheme="minorEastAsia" w:hAnsi="Arial" w:cs="Arial"/>
              <w:color w:val="000000" w:themeColor="text1"/>
              <w:kern w:val="2"/>
              <w:sz w:val="24"/>
              <w:szCs w:val="24"/>
              <w:lang w:val="en-GB"/>
              <w14:ligatures w14:val="standardContextual"/>
            </w:rPr>
          </w:pPr>
          <w:r w:rsidRPr="004554AB">
            <w:rPr>
              <w:rFonts w:ascii="Arial" w:hAnsi="Arial" w:cs="Arial"/>
              <w:noProof/>
              <w:color w:val="000000" w:themeColor="text1"/>
              <w:sz w:val="24"/>
              <w:szCs w:val="24"/>
            </w:rPr>
            <mc:AlternateContent>
              <mc:Choice Requires="wps">
                <w:drawing>
                  <wp:anchor distT="0" distB="0" distL="114300" distR="114300" simplePos="0" relativeHeight="251658241" behindDoc="0" locked="0" layoutInCell="1" allowOverlap="1" wp14:anchorId="6DE586E6" wp14:editId="16B155D1">
                    <wp:simplePos x="0" y="0"/>
                    <wp:positionH relativeFrom="page">
                      <wp:posOffset>158750</wp:posOffset>
                    </wp:positionH>
                    <wp:positionV relativeFrom="page">
                      <wp:posOffset>778510</wp:posOffset>
                    </wp:positionV>
                    <wp:extent cx="7071995" cy="865124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071995" cy="8651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3FCD22" w14:textId="77777777" w:rsidR="002D5684" w:rsidRPr="00DA42FA" w:rsidRDefault="002D5684" w:rsidP="001D493E">
                                <w:pPr>
                                  <w:pStyle w:val="Heading2"/>
                                </w:pPr>
                                <w:bookmarkStart w:id="0" w:name="_Toc228228534"/>
                                <w:r w:rsidRPr="00DA42FA">
                                  <w:t>Abstract</w:t>
                                </w:r>
                                <w:bookmarkEnd w:id="0"/>
                              </w:p>
                              <w:sdt>
                                <w:sdtPr>
                                  <w:rPr>
                                    <w:rFonts w:ascii="Arial" w:eastAsiaTheme="minorHAnsi" w:hAnsi="Arial" w:cs="Arial"/>
                                    <w:color w:val="595959" w:themeColor="text1" w:themeTint="A6"/>
                                    <w:kern w:val="2"/>
                                    <w:sz w:val="24"/>
                                    <w:szCs w:val="24"/>
                                    <w:lang w:val="en-GB"/>
                                    <w14:ligatures w14:val="standardContextual"/>
                                  </w:rPr>
                                  <w:alias w:val="Abstract"/>
                                  <w:tag w:val=""/>
                                  <w:id w:val="1375273687"/>
                                  <w:dataBinding w:prefixMappings="xmlns:ns0='http://schemas.microsoft.com/office/2006/coverPageProps' " w:xpath="/ns0:CoverPageProperties[1]/ns0:Abstract[1]" w:storeItemID="{55AF091B-3C7A-41E3-B477-F2FDAA23CFDA}"/>
                                  <w:text w:multiLine="1"/>
                                </w:sdtPr>
                                <w:sdtContent>
                                  <w:p w14:paraId="03AD4FEC" w14:textId="3C7C9D50" w:rsidR="002D5684" w:rsidRPr="00DA42FA" w:rsidRDefault="009A6323" w:rsidP="00E8744F">
                                    <w:pPr>
                                      <w:pStyle w:val="NoSpacing"/>
                                      <w:spacing w:line="360" w:lineRule="auto"/>
                                      <w:jc w:val="center"/>
                                      <w:rPr>
                                        <w:rFonts w:ascii="Arial" w:hAnsi="Arial" w:cs="Arial"/>
                                        <w:color w:val="595959" w:themeColor="text1" w:themeTint="A6"/>
                                        <w:sz w:val="24"/>
                                        <w:szCs w:val="24"/>
                                      </w:rPr>
                                    </w:pPr>
                                    <w:r w:rsidRPr="00DA42FA">
                                      <w:rPr>
                                        <w:rFonts w:ascii="Arial" w:eastAsiaTheme="minorHAnsi" w:hAnsi="Arial" w:cs="Arial"/>
                                        <w:color w:val="595959" w:themeColor="text1" w:themeTint="A6"/>
                                        <w:kern w:val="2"/>
                                        <w:sz w:val="24"/>
                                        <w:szCs w:val="24"/>
                                        <w:lang w:val="en-GB"/>
                                        <w14:ligatures w14:val="standardContextual"/>
                                      </w:rPr>
                                      <w:t>This report critically analyses a medication safety incident involving a four-week-old infant who received a morphine dose approximately twenty times higher than intended due to dispensing of an incorrect drug concentration. The case, reported within the NHS North East and Yorkshire region, illustrates how medication harm often arises from systemic weaknesses rather than isolated professional mistakes. Using systems thinking and leadership theory, the report evaluates how governance structures, communication failures, technological limitations and leadership practices interacted to create conditions for the error.</w:t>
                                    </w:r>
                                    <w:r w:rsidRPr="00DA42FA">
                                      <w:rPr>
                                        <w:rFonts w:ascii="Arial" w:hAnsi="Arial" w:cs="Arial"/>
                                        <w:color w:val="595959" w:themeColor="text1" w:themeTint="A6"/>
                                        <w:sz w:val="24"/>
                                        <w:szCs w:val="24"/>
                                      </w:rPr>
                                      <w:br/>
                                    </w:r>
                                    <w:r w:rsidRPr="00DA42FA">
                                      <w:rPr>
                                        <w:rFonts w:ascii="Arial" w:hAnsi="Arial" w:cs="Arial"/>
                                        <w:color w:val="595959" w:themeColor="text1" w:themeTint="A6"/>
                                        <w:sz w:val="24"/>
                                        <w:szCs w:val="24"/>
                                      </w:rPr>
                                      <w:br/>
                                    </w:r>
                                    <w:r w:rsidRPr="00DA42FA">
                                      <w:rPr>
                                        <w:rFonts w:ascii="Arial" w:eastAsiaTheme="minorHAnsi" w:hAnsi="Arial" w:cs="Arial"/>
                                        <w:color w:val="595959" w:themeColor="text1" w:themeTint="A6"/>
                                        <w:kern w:val="2"/>
                                        <w:sz w:val="24"/>
                                        <w:szCs w:val="24"/>
                                        <w:lang w:val="en-GB"/>
                                        <w14:ligatures w14:val="standardContextual"/>
                                      </w:rPr>
                                      <w:t>The analysis draws upon peer-reviewed literature on medication safety, healthcare leadership and socio-technical systems to examine the organisational context surrounding the incident. Evidence from global patient safety research indicates that medication errors remain one of the most significant causes of preventable harm in healthcare. The report therefore frames the case as a systems failure involving prescribing practices, pharmacy dispensing processes and inadequate decision-support safeguards.</w:t>
                                    </w:r>
                                    <w:r w:rsidRPr="00DA42FA">
                                      <w:rPr>
                                        <w:rFonts w:ascii="Arial" w:hAnsi="Arial" w:cs="Arial"/>
                                        <w:color w:val="595959" w:themeColor="text1" w:themeTint="A6"/>
                                        <w:sz w:val="24"/>
                                        <w:szCs w:val="24"/>
                                      </w:rPr>
                                      <w:br/>
                                    </w:r>
                                    <w:r w:rsidRPr="00DA42FA">
                                      <w:rPr>
                                        <w:rFonts w:ascii="Arial" w:eastAsiaTheme="minorHAnsi" w:hAnsi="Arial" w:cs="Arial"/>
                                        <w:color w:val="595959" w:themeColor="text1" w:themeTint="A6"/>
                                        <w:kern w:val="2"/>
                                        <w:sz w:val="24"/>
                                        <w:szCs w:val="24"/>
                                        <w:lang w:val="en-GB"/>
                                        <w14:ligatures w14:val="standardContextual"/>
                                      </w:rPr>
                                      <w:br/>
                                      <w:t>Leadership theories including transformational, situational and distributed leadership are applied to evaluate how healthcare leaders influence safety culture and organisational learning. The report argues that effective leadership must move beyond individual accountability towards proactive system redesign that strengthens safety infrastructure. Recommendations include improved electronic prescribing systems, enhanced communication between care settings, human-factors-informed workflow redesign and stronger organisational learning systems. Collectively, these measures aim to reduce medication harm and improve patient safety outcomes across healthcare organisations.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DE586E6" id="_x0000_t202" coordsize="21600,21600" o:spt="202" path="m,l,21600r21600,l21600,xe">
                    <v:stroke joinstyle="miter"/>
                    <v:path gradientshapeok="t" o:connecttype="rect"/>
                  </v:shapetype>
                  <v:shape id="Text Box 161" o:spid="_x0000_s1026" type="#_x0000_t202" style="position:absolute;left:0;text-align:left;margin-left:12.5pt;margin-top:61.3pt;width:556.85pt;height:681.2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" filled="f" stroked="f" strokeweight=".5pt">
                    <v:textbox inset="126pt,0,54pt,0">
                      <w:txbxContent>
                        <w:p w14:paraId="2D3FCD22" w14:textId="77777777" w:rsidR="002D5684" w:rsidRPr="00DA42FA" w:rsidRDefault="002D5684" w:rsidP="001D493E">
                          <w:pPr>
                            <w:pStyle w:val="Heading2"/>
                          </w:pPr>
                          <w:bookmarkStart w:id="1" w:name="_Toc228228534"/>
                          <w:r w:rsidRPr="00DA42FA">
                            <w:t>Abstract</w:t>
                          </w:r>
                          <w:bookmarkEnd w:id="1"/>
                        </w:p>
                        <w:sdt>
                          <w:sdtPr>
                            <w:rPr>
                              <w:rFonts w:ascii="Arial" w:eastAsiaTheme="minorHAnsi" w:hAnsi="Arial" w:cs="Arial"/>
                              <w:color w:val="595959" w:themeColor="text1" w:themeTint="A6"/>
                              <w:kern w:val="2"/>
                              <w:sz w:val="24"/>
                              <w:szCs w:val="24"/>
                              <w:lang w:val="en-GB"/>
                              <w14:ligatures w14:val="standardContextual"/>
                            </w:rPr>
                            <w:alias w:val="Abstract"/>
                            <w:tag w:val=""/>
                            <w:id w:val="1375273687"/>
                            <w:dataBinding w:prefixMappings="xmlns:ns0='http://schemas.microsoft.com/office/2006/coverPageProps' " w:xpath="/ns0:CoverPageProperties[1]/ns0:Abstract[1]" w:storeItemID="{55AF091B-3C7A-41E3-B477-F2FDAA23CFDA}"/>
                            <w:text w:multiLine="1"/>
                          </w:sdtPr>
                          <w:sdtContent>
                            <w:p w14:paraId="03AD4FEC" w14:textId="3C7C9D50" w:rsidR="002D5684" w:rsidRPr="00DA42FA" w:rsidRDefault="009A6323" w:rsidP="00E8744F">
                              <w:pPr>
                                <w:pStyle w:val="NoSpacing"/>
                                <w:spacing w:line="360" w:lineRule="auto"/>
                                <w:jc w:val="center"/>
                                <w:rPr>
                                  <w:rFonts w:ascii="Arial" w:hAnsi="Arial" w:cs="Arial"/>
                                  <w:color w:val="595959" w:themeColor="text1" w:themeTint="A6"/>
                                  <w:sz w:val="24"/>
                                  <w:szCs w:val="24"/>
                                </w:rPr>
                              </w:pPr>
                              <w:r w:rsidRPr="00DA42FA">
                                <w:rPr>
                                  <w:rFonts w:ascii="Arial" w:eastAsiaTheme="minorHAnsi" w:hAnsi="Arial" w:cs="Arial"/>
                                  <w:color w:val="595959" w:themeColor="text1" w:themeTint="A6"/>
                                  <w:kern w:val="2"/>
                                  <w:sz w:val="24"/>
                                  <w:szCs w:val="24"/>
                                  <w:lang w:val="en-GB"/>
                                  <w14:ligatures w14:val="standardContextual"/>
                                </w:rPr>
                                <w:t>This report critically analyses a medication safety incident involving a four-week-old infant who received a morphine dose approximately twenty times higher than intended due to dispensing of an incorrect drug concentration. The case, reported within the NHS North East and Yorkshire region, illustrates how medication harm often arises from systemic weaknesses rather than isolated professional mistakes. Using systems thinking and leadership theory, the report evaluates how governance structures, communication failures, technological limitations and leadership practices interacted to create conditions for the error.</w:t>
                              </w:r>
                              <w:r w:rsidRPr="00DA42FA">
                                <w:rPr>
                                  <w:rFonts w:ascii="Arial" w:hAnsi="Arial" w:cs="Arial"/>
                                  <w:color w:val="595959" w:themeColor="text1" w:themeTint="A6"/>
                                  <w:sz w:val="24"/>
                                  <w:szCs w:val="24"/>
                                </w:rPr>
                                <w:br/>
                              </w:r>
                              <w:r w:rsidRPr="00DA42FA">
                                <w:rPr>
                                  <w:rFonts w:ascii="Arial" w:hAnsi="Arial" w:cs="Arial"/>
                                  <w:color w:val="595959" w:themeColor="text1" w:themeTint="A6"/>
                                  <w:sz w:val="24"/>
                                  <w:szCs w:val="24"/>
                                </w:rPr>
                                <w:br/>
                              </w:r>
                              <w:r w:rsidRPr="00DA42FA">
                                <w:rPr>
                                  <w:rFonts w:ascii="Arial" w:eastAsiaTheme="minorHAnsi" w:hAnsi="Arial" w:cs="Arial"/>
                                  <w:color w:val="595959" w:themeColor="text1" w:themeTint="A6"/>
                                  <w:kern w:val="2"/>
                                  <w:sz w:val="24"/>
                                  <w:szCs w:val="24"/>
                                  <w:lang w:val="en-GB"/>
                                  <w14:ligatures w14:val="standardContextual"/>
                                </w:rPr>
                                <w:t>The analysis draws upon peer-reviewed literature on medication safety, healthcare leadership and socio-technical systems to examine the organisational context surrounding the incident. Evidence from global patient safety research indicates that medication errors remain one of the most significant causes of preventable harm in healthcare. The report therefore frames the case as a systems failure involving prescribing practices, pharmacy dispensing processes and inadequate decision-support safeguards.</w:t>
                              </w:r>
                              <w:r w:rsidRPr="00DA42FA">
                                <w:rPr>
                                  <w:rFonts w:ascii="Arial" w:hAnsi="Arial" w:cs="Arial"/>
                                  <w:color w:val="595959" w:themeColor="text1" w:themeTint="A6"/>
                                  <w:sz w:val="24"/>
                                  <w:szCs w:val="24"/>
                                </w:rPr>
                                <w:br/>
                              </w:r>
                              <w:r w:rsidRPr="00DA42FA">
                                <w:rPr>
                                  <w:rFonts w:ascii="Arial" w:eastAsiaTheme="minorHAnsi" w:hAnsi="Arial" w:cs="Arial"/>
                                  <w:color w:val="595959" w:themeColor="text1" w:themeTint="A6"/>
                                  <w:kern w:val="2"/>
                                  <w:sz w:val="24"/>
                                  <w:szCs w:val="24"/>
                                  <w:lang w:val="en-GB"/>
                                  <w14:ligatures w14:val="standardContextual"/>
                                </w:rPr>
                                <w:br/>
                                <w:t>Leadership theories including transformational, situational and distributed leadership are applied to evaluate how healthcare leaders influence safety culture and organisational learning. The report argues that effective leadership must move beyond individual accountability towards proactive system redesign that strengthens safety infrastructure. Recommendations include improved electronic prescribing systems, enhanced communication between care settings, human-factors-informed workflow redesign and stronger organisational learning systems. Collectively, these measures aim to reduce medication harm and improve patient safety outcomes across healthcare organisations.</w:t>
                              </w:r>
                            </w:p>
                          </w:sdtContent>
                        </w:sdt>
                      </w:txbxContent>
                    </v:textbox>
                    <w10:wrap type="square" anchorx="page" anchory="page"/>
                  </v:shape>
                </w:pict>
              </mc:Fallback>
            </mc:AlternateContent>
          </w:r>
        </w:p>
        <w:p w14:paraId="2305358A" w14:textId="77777777" w:rsidR="00606574" w:rsidRPr="004554AB" w:rsidRDefault="00606574" w:rsidP="004554AB">
          <w:pPr>
            <w:pStyle w:val="TOCHeading"/>
            <w:spacing w:line="276" w:lineRule="auto"/>
            <w:jc w:val="both"/>
            <w:rPr>
              <w:rFonts w:ascii="Arial" w:eastAsiaTheme="minorEastAsia" w:hAnsi="Arial" w:cs="Arial"/>
              <w:color w:val="000000" w:themeColor="text1"/>
              <w:kern w:val="2"/>
              <w:sz w:val="24"/>
              <w:szCs w:val="24"/>
              <w:lang w:val="en-GB"/>
              <w14:ligatures w14:val="standardContextual"/>
            </w:rPr>
          </w:pPr>
        </w:p>
        <w:p w14:paraId="0372DF6A" w14:textId="58A84718" w:rsidR="002D5684" w:rsidRPr="004554AB" w:rsidRDefault="002D5684" w:rsidP="004554AB">
          <w:pPr>
            <w:pStyle w:val="TOCHeading"/>
            <w:spacing w:line="276" w:lineRule="auto"/>
            <w:jc w:val="both"/>
            <w:rPr>
              <w:rFonts w:ascii="Arial" w:hAnsi="Arial" w:cs="Arial"/>
              <w:color w:val="000000" w:themeColor="text1"/>
              <w:sz w:val="24"/>
              <w:szCs w:val="24"/>
            </w:rPr>
          </w:pPr>
          <w:r w:rsidRPr="004554AB">
            <w:rPr>
              <w:rFonts w:ascii="Arial" w:hAnsi="Arial" w:cs="Arial"/>
              <w:color w:val="000000" w:themeColor="text1"/>
              <w:sz w:val="24"/>
              <w:szCs w:val="24"/>
            </w:rPr>
            <w:t>Contents</w:t>
          </w:r>
        </w:p>
        <w:p w14:paraId="2C2E7FE8" w14:textId="0DC2467E" w:rsidR="00255ED6" w:rsidRDefault="002D5684">
          <w:pPr>
            <w:pStyle w:val="TOC2"/>
            <w:rPr>
              <w:rFonts w:eastAsiaTheme="minorEastAsia"/>
              <w:noProof/>
              <w:lang w:eastAsia="en-GB"/>
            </w:rPr>
          </w:pPr>
          <w:r w:rsidRPr="004554AB">
            <w:rPr>
              <w:rFonts w:ascii="Arial" w:hAnsi="Arial" w:cs="Arial"/>
              <w:color w:val="000000" w:themeColor="text1"/>
            </w:rPr>
            <w:fldChar w:fldCharType="begin"/>
          </w:r>
          <w:r w:rsidRPr="004554AB">
            <w:rPr>
              <w:rFonts w:ascii="Arial" w:hAnsi="Arial" w:cs="Arial"/>
              <w:color w:val="000000" w:themeColor="text1"/>
            </w:rPr>
            <w:instrText>TOC \o "1-3" \h \z \u</w:instrText>
          </w:r>
          <w:r w:rsidRPr="004554AB">
            <w:rPr>
              <w:rFonts w:ascii="Arial" w:hAnsi="Arial" w:cs="Arial"/>
              <w:color w:val="000000" w:themeColor="text1"/>
            </w:rPr>
            <w:fldChar w:fldCharType="separate"/>
          </w:r>
          <w:hyperlink w:anchor="_Toc228228534" w:history="1">
            <w:r w:rsidR="00255ED6" w:rsidRPr="00D248B3">
              <w:rPr>
                <w:rStyle w:val="Hyperlink"/>
                <w:noProof/>
              </w:rPr>
              <w:t>Abstract</w:t>
            </w:r>
            <w:r w:rsidR="00255ED6">
              <w:rPr>
                <w:noProof/>
                <w:webHidden/>
              </w:rPr>
              <w:tab/>
            </w:r>
            <w:r w:rsidR="00255ED6">
              <w:rPr>
                <w:noProof/>
                <w:webHidden/>
              </w:rPr>
              <w:fldChar w:fldCharType="begin"/>
            </w:r>
            <w:r w:rsidR="00255ED6">
              <w:rPr>
                <w:noProof/>
                <w:webHidden/>
              </w:rPr>
              <w:instrText xml:space="preserve"> PAGEREF _Toc228228534 \h </w:instrText>
            </w:r>
            <w:r w:rsidR="00255ED6">
              <w:rPr>
                <w:noProof/>
                <w:webHidden/>
              </w:rPr>
            </w:r>
            <w:r w:rsidR="00255ED6">
              <w:rPr>
                <w:noProof/>
                <w:webHidden/>
              </w:rPr>
              <w:fldChar w:fldCharType="separate"/>
            </w:r>
            <w:r w:rsidR="00255ED6">
              <w:rPr>
                <w:noProof/>
                <w:webHidden/>
              </w:rPr>
              <w:t>1</w:t>
            </w:r>
            <w:r w:rsidR="00255ED6">
              <w:rPr>
                <w:noProof/>
                <w:webHidden/>
              </w:rPr>
              <w:fldChar w:fldCharType="end"/>
            </w:r>
          </w:hyperlink>
        </w:p>
        <w:p w14:paraId="0EEDC04D" w14:textId="19C22CFD" w:rsidR="00255ED6" w:rsidRDefault="00255ED6">
          <w:pPr>
            <w:pStyle w:val="TOC2"/>
            <w:rPr>
              <w:rFonts w:eastAsiaTheme="minorEastAsia"/>
              <w:noProof/>
              <w:lang w:eastAsia="en-GB"/>
            </w:rPr>
          </w:pPr>
          <w:hyperlink w:anchor="_Toc228228535" w:history="1">
            <w:r w:rsidRPr="00D248B3">
              <w:rPr>
                <w:rStyle w:val="Hyperlink"/>
                <w:rFonts w:ascii="Arial" w:hAnsi="Arial" w:cs="Arial"/>
                <w:noProof/>
              </w:rPr>
              <w:t>1.0 Introduction and Background</w:t>
            </w:r>
            <w:r>
              <w:rPr>
                <w:noProof/>
                <w:webHidden/>
              </w:rPr>
              <w:tab/>
            </w:r>
            <w:r>
              <w:rPr>
                <w:noProof/>
                <w:webHidden/>
              </w:rPr>
              <w:fldChar w:fldCharType="begin"/>
            </w:r>
            <w:r>
              <w:rPr>
                <w:noProof/>
                <w:webHidden/>
              </w:rPr>
              <w:instrText xml:space="preserve"> PAGEREF _Toc228228535 \h </w:instrText>
            </w:r>
            <w:r>
              <w:rPr>
                <w:noProof/>
                <w:webHidden/>
              </w:rPr>
            </w:r>
            <w:r>
              <w:rPr>
                <w:noProof/>
                <w:webHidden/>
              </w:rPr>
              <w:fldChar w:fldCharType="separate"/>
            </w:r>
            <w:r>
              <w:rPr>
                <w:noProof/>
                <w:webHidden/>
              </w:rPr>
              <w:t>3</w:t>
            </w:r>
            <w:r>
              <w:rPr>
                <w:noProof/>
                <w:webHidden/>
              </w:rPr>
              <w:fldChar w:fldCharType="end"/>
            </w:r>
          </w:hyperlink>
        </w:p>
        <w:p w14:paraId="51F6F55B" w14:textId="66D1873D" w:rsidR="00255ED6" w:rsidRDefault="00255ED6">
          <w:pPr>
            <w:pStyle w:val="TOC2"/>
            <w:rPr>
              <w:rFonts w:eastAsiaTheme="minorEastAsia"/>
              <w:noProof/>
              <w:lang w:eastAsia="en-GB"/>
            </w:rPr>
          </w:pPr>
          <w:hyperlink w:anchor="_Toc228228536" w:history="1">
            <w:r w:rsidRPr="00D248B3">
              <w:rPr>
                <w:rStyle w:val="Hyperlink"/>
                <w:rFonts w:ascii="Arial" w:hAnsi="Arial" w:cs="Arial"/>
                <w:noProof/>
              </w:rPr>
              <w:t>2.0 Main Body: Systems Thinking to Identify the Problem</w:t>
            </w:r>
            <w:r>
              <w:rPr>
                <w:noProof/>
                <w:webHidden/>
              </w:rPr>
              <w:tab/>
            </w:r>
            <w:r>
              <w:rPr>
                <w:noProof/>
                <w:webHidden/>
              </w:rPr>
              <w:fldChar w:fldCharType="begin"/>
            </w:r>
            <w:r>
              <w:rPr>
                <w:noProof/>
                <w:webHidden/>
              </w:rPr>
              <w:instrText xml:space="preserve"> PAGEREF _Toc228228536 \h </w:instrText>
            </w:r>
            <w:r>
              <w:rPr>
                <w:noProof/>
                <w:webHidden/>
              </w:rPr>
            </w:r>
            <w:r>
              <w:rPr>
                <w:noProof/>
                <w:webHidden/>
              </w:rPr>
              <w:fldChar w:fldCharType="separate"/>
            </w:r>
            <w:r>
              <w:rPr>
                <w:noProof/>
                <w:webHidden/>
              </w:rPr>
              <w:t>5</w:t>
            </w:r>
            <w:r>
              <w:rPr>
                <w:noProof/>
                <w:webHidden/>
              </w:rPr>
              <w:fldChar w:fldCharType="end"/>
            </w:r>
          </w:hyperlink>
        </w:p>
        <w:p w14:paraId="0A2F846C" w14:textId="5E80E1E8" w:rsidR="00255ED6" w:rsidRDefault="00255ED6">
          <w:pPr>
            <w:pStyle w:val="TOC2"/>
            <w:rPr>
              <w:rFonts w:eastAsiaTheme="minorEastAsia"/>
              <w:noProof/>
              <w:lang w:eastAsia="en-GB"/>
            </w:rPr>
          </w:pPr>
          <w:hyperlink w:anchor="_Toc228228537" w:history="1">
            <w:r w:rsidRPr="00D248B3">
              <w:rPr>
                <w:rStyle w:val="Hyperlink"/>
                <w:rFonts w:ascii="Arial" w:hAnsi="Arial" w:cs="Arial"/>
                <w:noProof/>
                <w:shd w:val="clear" w:color="auto" w:fill="FFFFFF"/>
              </w:rPr>
              <w:t>2.1 Identify the problem and give systems context.</w:t>
            </w:r>
            <w:r>
              <w:rPr>
                <w:noProof/>
                <w:webHidden/>
              </w:rPr>
              <w:tab/>
            </w:r>
            <w:r>
              <w:rPr>
                <w:noProof/>
                <w:webHidden/>
              </w:rPr>
              <w:fldChar w:fldCharType="begin"/>
            </w:r>
            <w:r>
              <w:rPr>
                <w:noProof/>
                <w:webHidden/>
              </w:rPr>
              <w:instrText xml:space="preserve"> PAGEREF _Toc228228537 \h </w:instrText>
            </w:r>
            <w:r>
              <w:rPr>
                <w:noProof/>
                <w:webHidden/>
              </w:rPr>
            </w:r>
            <w:r>
              <w:rPr>
                <w:noProof/>
                <w:webHidden/>
              </w:rPr>
              <w:fldChar w:fldCharType="separate"/>
            </w:r>
            <w:r>
              <w:rPr>
                <w:noProof/>
                <w:webHidden/>
              </w:rPr>
              <w:t>7</w:t>
            </w:r>
            <w:r>
              <w:rPr>
                <w:noProof/>
                <w:webHidden/>
              </w:rPr>
              <w:fldChar w:fldCharType="end"/>
            </w:r>
          </w:hyperlink>
        </w:p>
        <w:p w14:paraId="5BF7C6F9" w14:textId="460B3B54" w:rsidR="00255ED6" w:rsidRDefault="00255ED6">
          <w:pPr>
            <w:pStyle w:val="TOC2"/>
            <w:rPr>
              <w:rFonts w:eastAsiaTheme="minorEastAsia"/>
              <w:noProof/>
              <w:lang w:eastAsia="en-GB"/>
            </w:rPr>
          </w:pPr>
          <w:hyperlink w:anchor="_Toc228228538" w:history="1">
            <w:r w:rsidRPr="00D248B3">
              <w:rPr>
                <w:rStyle w:val="Hyperlink"/>
                <w:rFonts w:ascii="Arial" w:hAnsi="Arial" w:cs="Arial"/>
                <w:noProof/>
              </w:rPr>
              <w:t>2.1.1 Figure 1: Rich Picture of feedback loops</w:t>
            </w:r>
            <w:r>
              <w:rPr>
                <w:noProof/>
                <w:webHidden/>
              </w:rPr>
              <w:tab/>
            </w:r>
            <w:r>
              <w:rPr>
                <w:noProof/>
                <w:webHidden/>
              </w:rPr>
              <w:fldChar w:fldCharType="begin"/>
            </w:r>
            <w:r>
              <w:rPr>
                <w:noProof/>
                <w:webHidden/>
              </w:rPr>
              <w:instrText xml:space="preserve"> PAGEREF _Toc228228538 \h </w:instrText>
            </w:r>
            <w:r>
              <w:rPr>
                <w:noProof/>
                <w:webHidden/>
              </w:rPr>
            </w:r>
            <w:r>
              <w:rPr>
                <w:noProof/>
                <w:webHidden/>
              </w:rPr>
              <w:fldChar w:fldCharType="separate"/>
            </w:r>
            <w:r>
              <w:rPr>
                <w:noProof/>
                <w:webHidden/>
              </w:rPr>
              <w:t>9</w:t>
            </w:r>
            <w:r>
              <w:rPr>
                <w:noProof/>
                <w:webHidden/>
              </w:rPr>
              <w:fldChar w:fldCharType="end"/>
            </w:r>
          </w:hyperlink>
        </w:p>
        <w:p w14:paraId="4B9930F2" w14:textId="0960EBD6" w:rsidR="00255ED6" w:rsidRDefault="00255ED6">
          <w:pPr>
            <w:pStyle w:val="TOC2"/>
            <w:rPr>
              <w:rFonts w:eastAsiaTheme="minorEastAsia"/>
              <w:noProof/>
              <w:lang w:eastAsia="en-GB"/>
            </w:rPr>
          </w:pPr>
          <w:hyperlink w:anchor="_Toc228228539" w:history="1">
            <w:r w:rsidRPr="00D248B3">
              <w:rPr>
                <w:rStyle w:val="Hyperlink"/>
                <w:rFonts w:ascii="Arial" w:hAnsi="Arial" w:cs="Arial"/>
                <w:noProof/>
              </w:rPr>
              <w:t>2.2 Centralisation and Decentralisation in the Infant Morphine Overdose Case</w:t>
            </w:r>
            <w:r>
              <w:rPr>
                <w:noProof/>
                <w:webHidden/>
              </w:rPr>
              <w:tab/>
            </w:r>
            <w:r>
              <w:rPr>
                <w:noProof/>
                <w:webHidden/>
              </w:rPr>
              <w:fldChar w:fldCharType="begin"/>
            </w:r>
            <w:r>
              <w:rPr>
                <w:noProof/>
                <w:webHidden/>
              </w:rPr>
              <w:instrText xml:space="preserve"> PAGEREF _Toc228228539 \h </w:instrText>
            </w:r>
            <w:r>
              <w:rPr>
                <w:noProof/>
                <w:webHidden/>
              </w:rPr>
            </w:r>
            <w:r>
              <w:rPr>
                <w:noProof/>
                <w:webHidden/>
              </w:rPr>
              <w:fldChar w:fldCharType="separate"/>
            </w:r>
            <w:r>
              <w:rPr>
                <w:noProof/>
                <w:webHidden/>
              </w:rPr>
              <w:t>10</w:t>
            </w:r>
            <w:r>
              <w:rPr>
                <w:noProof/>
                <w:webHidden/>
              </w:rPr>
              <w:fldChar w:fldCharType="end"/>
            </w:r>
          </w:hyperlink>
        </w:p>
        <w:p w14:paraId="4EF7A2BB" w14:textId="5FC98308" w:rsidR="00255ED6" w:rsidRDefault="00255ED6">
          <w:pPr>
            <w:pStyle w:val="TOC2"/>
            <w:rPr>
              <w:rFonts w:eastAsiaTheme="minorEastAsia"/>
              <w:noProof/>
              <w:lang w:eastAsia="en-GB"/>
            </w:rPr>
          </w:pPr>
          <w:hyperlink w:anchor="_Toc228228540" w:history="1">
            <w:r w:rsidRPr="00D248B3">
              <w:rPr>
                <w:rStyle w:val="Hyperlink"/>
                <w:rFonts w:ascii="Arial" w:hAnsi="Arial" w:cs="Arial"/>
                <w:noProof/>
              </w:rPr>
              <w:t>2.3 Leadership Failures and Lessons in the Infant Morphine Overdose Case</w:t>
            </w:r>
            <w:r>
              <w:rPr>
                <w:noProof/>
                <w:webHidden/>
              </w:rPr>
              <w:tab/>
            </w:r>
            <w:r>
              <w:rPr>
                <w:noProof/>
                <w:webHidden/>
              </w:rPr>
              <w:fldChar w:fldCharType="begin"/>
            </w:r>
            <w:r>
              <w:rPr>
                <w:noProof/>
                <w:webHidden/>
              </w:rPr>
              <w:instrText xml:space="preserve"> PAGEREF _Toc228228540 \h </w:instrText>
            </w:r>
            <w:r>
              <w:rPr>
                <w:noProof/>
                <w:webHidden/>
              </w:rPr>
            </w:r>
            <w:r>
              <w:rPr>
                <w:noProof/>
                <w:webHidden/>
              </w:rPr>
              <w:fldChar w:fldCharType="separate"/>
            </w:r>
            <w:r>
              <w:rPr>
                <w:noProof/>
                <w:webHidden/>
              </w:rPr>
              <w:t>12</w:t>
            </w:r>
            <w:r>
              <w:rPr>
                <w:noProof/>
                <w:webHidden/>
              </w:rPr>
              <w:fldChar w:fldCharType="end"/>
            </w:r>
          </w:hyperlink>
        </w:p>
        <w:p w14:paraId="0D2AD294" w14:textId="3E0E9BA5" w:rsidR="00255ED6" w:rsidRDefault="00255ED6">
          <w:pPr>
            <w:pStyle w:val="TOC2"/>
            <w:rPr>
              <w:rFonts w:eastAsiaTheme="minorEastAsia"/>
              <w:noProof/>
              <w:lang w:eastAsia="en-GB"/>
            </w:rPr>
          </w:pPr>
          <w:hyperlink w:anchor="_Toc228228541" w:history="1">
            <w:r w:rsidRPr="00D248B3">
              <w:rPr>
                <w:rStyle w:val="Hyperlink"/>
                <w:rFonts w:ascii="Arial" w:hAnsi="Arial" w:cs="Arial"/>
                <w:noProof/>
                <w:kern w:val="0"/>
                <w:lang w:eastAsia="en-GB"/>
                <w14:ligatures w14:val="none"/>
              </w:rPr>
              <w:t>2.4 Critique, Improvements and Lessons Learned</w:t>
            </w:r>
            <w:r>
              <w:rPr>
                <w:noProof/>
                <w:webHidden/>
              </w:rPr>
              <w:tab/>
            </w:r>
            <w:r>
              <w:rPr>
                <w:noProof/>
                <w:webHidden/>
              </w:rPr>
              <w:fldChar w:fldCharType="begin"/>
            </w:r>
            <w:r>
              <w:rPr>
                <w:noProof/>
                <w:webHidden/>
              </w:rPr>
              <w:instrText xml:space="preserve"> PAGEREF _Toc228228541 \h </w:instrText>
            </w:r>
            <w:r>
              <w:rPr>
                <w:noProof/>
                <w:webHidden/>
              </w:rPr>
            </w:r>
            <w:r>
              <w:rPr>
                <w:noProof/>
                <w:webHidden/>
              </w:rPr>
              <w:fldChar w:fldCharType="separate"/>
            </w:r>
            <w:r>
              <w:rPr>
                <w:noProof/>
                <w:webHidden/>
              </w:rPr>
              <w:t>14</w:t>
            </w:r>
            <w:r>
              <w:rPr>
                <w:noProof/>
                <w:webHidden/>
              </w:rPr>
              <w:fldChar w:fldCharType="end"/>
            </w:r>
          </w:hyperlink>
        </w:p>
        <w:p w14:paraId="3EDD27CC" w14:textId="30ACB9CC" w:rsidR="00255ED6" w:rsidRDefault="00255ED6">
          <w:pPr>
            <w:pStyle w:val="TOC2"/>
            <w:rPr>
              <w:rFonts w:eastAsiaTheme="minorEastAsia"/>
              <w:noProof/>
              <w:lang w:eastAsia="en-GB"/>
            </w:rPr>
          </w:pPr>
          <w:hyperlink w:anchor="_Toc228228542" w:history="1">
            <w:r w:rsidRPr="00D248B3">
              <w:rPr>
                <w:rStyle w:val="Hyperlink"/>
                <w:rFonts w:ascii="Arial" w:hAnsi="Arial" w:cs="Arial"/>
                <w:noProof/>
              </w:rPr>
              <w:t>3.0 Recommendations</w:t>
            </w:r>
            <w:r>
              <w:rPr>
                <w:noProof/>
                <w:webHidden/>
              </w:rPr>
              <w:tab/>
            </w:r>
            <w:r>
              <w:rPr>
                <w:noProof/>
                <w:webHidden/>
              </w:rPr>
              <w:fldChar w:fldCharType="begin"/>
            </w:r>
            <w:r>
              <w:rPr>
                <w:noProof/>
                <w:webHidden/>
              </w:rPr>
              <w:instrText xml:space="preserve"> PAGEREF _Toc228228542 \h </w:instrText>
            </w:r>
            <w:r>
              <w:rPr>
                <w:noProof/>
                <w:webHidden/>
              </w:rPr>
            </w:r>
            <w:r>
              <w:rPr>
                <w:noProof/>
                <w:webHidden/>
              </w:rPr>
              <w:fldChar w:fldCharType="separate"/>
            </w:r>
            <w:r>
              <w:rPr>
                <w:noProof/>
                <w:webHidden/>
              </w:rPr>
              <w:t>16</w:t>
            </w:r>
            <w:r>
              <w:rPr>
                <w:noProof/>
                <w:webHidden/>
              </w:rPr>
              <w:fldChar w:fldCharType="end"/>
            </w:r>
          </w:hyperlink>
        </w:p>
        <w:p w14:paraId="454C8125" w14:textId="2E02E7D9" w:rsidR="00255ED6" w:rsidRDefault="00255ED6">
          <w:pPr>
            <w:pStyle w:val="TOC2"/>
            <w:rPr>
              <w:rFonts w:eastAsiaTheme="minorEastAsia"/>
              <w:noProof/>
              <w:lang w:eastAsia="en-GB"/>
            </w:rPr>
          </w:pPr>
          <w:hyperlink w:anchor="_Toc228228543" w:history="1">
            <w:r w:rsidRPr="00D248B3">
              <w:rPr>
                <w:rStyle w:val="Hyperlink"/>
                <w:rFonts w:ascii="Arial" w:hAnsi="Arial" w:cs="Arial"/>
                <w:noProof/>
              </w:rPr>
              <w:t>3.1 Strengthening leadership through integrated transformational and distributed models</w:t>
            </w:r>
            <w:r>
              <w:rPr>
                <w:noProof/>
                <w:webHidden/>
              </w:rPr>
              <w:tab/>
            </w:r>
            <w:r>
              <w:rPr>
                <w:noProof/>
                <w:webHidden/>
              </w:rPr>
              <w:fldChar w:fldCharType="begin"/>
            </w:r>
            <w:r>
              <w:rPr>
                <w:noProof/>
                <w:webHidden/>
              </w:rPr>
              <w:instrText xml:space="preserve"> PAGEREF _Toc228228543 \h </w:instrText>
            </w:r>
            <w:r>
              <w:rPr>
                <w:noProof/>
                <w:webHidden/>
              </w:rPr>
            </w:r>
            <w:r>
              <w:rPr>
                <w:noProof/>
                <w:webHidden/>
              </w:rPr>
              <w:fldChar w:fldCharType="separate"/>
            </w:r>
            <w:r>
              <w:rPr>
                <w:noProof/>
                <w:webHidden/>
              </w:rPr>
              <w:t>16</w:t>
            </w:r>
            <w:r>
              <w:rPr>
                <w:noProof/>
                <w:webHidden/>
              </w:rPr>
              <w:fldChar w:fldCharType="end"/>
            </w:r>
          </w:hyperlink>
        </w:p>
        <w:p w14:paraId="23033F96" w14:textId="53AA65B1" w:rsidR="00255ED6" w:rsidRDefault="00255ED6">
          <w:pPr>
            <w:pStyle w:val="TOC2"/>
            <w:rPr>
              <w:rFonts w:eastAsiaTheme="minorEastAsia"/>
              <w:noProof/>
              <w:lang w:eastAsia="en-GB"/>
            </w:rPr>
          </w:pPr>
          <w:hyperlink w:anchor="_Toc228228544" w:history="1">
            <w:r w:rsidRPr="00D248B3">
              <w:rPr>
                <w:rStyle w:val="Hyperlink"/>
                <w:rFonts w:ascii="Arial" w:hAnsi="Arial" w:cs="Arial"/>
                <w:noProof/>
              </w:rPr>
              <w:t>3.2 Enhancing electronic prescribing and clinical decision support systems</w:t>
            </w:r>
            <w:r>
              <w:rPr>
                <w:noProof/>
                <w:webHidden/>
              </w:rPr>
              <w:tab/>
            </w:r>
            <w:r>
              <w:rPr>
                <w:noProof/>
                <w:webHidden/>
              </w:rPr>
              <w:fldChar w:fldCharType="begin"/>
            </w:r>
            <w:r>
              <w:rPr>
                <w:noProof/>
                <w:webHidden/>
              </w:rPr>
              <w:instrText xml:space="preserve"> PAGEREF _Toc228228544 \h </w:instrText>
            </w:r>
            <w:r>
              <w:rPr>
                <w:noProof/>
                <w:webHidden/>
              </w:rPr>
            </w:r>
            <w:r>
              <w:rPr>
                <w:noProof/>
                <w:webHidden/>
              </w:rPr>
              <w:fldChar w:fldCharType="separate"/>
            </w:r>
            <w:r>
              <w:rPr>
                <w:noProof/>
                <w:webHidden/>
              </w:rPr>
              <w:t>16</w:t>
            </w:r>
            <w:r>
              <w:rPr>
                <w:noProof/>
                <w:webHidden/>
              </w:rPr>
              <w:fldChar w:fldCharType="end"/>
            </w:r>
          </w:hyperlink>
        </w:p>
        <w:p w14:paraId="4EAB1A7C" w14:textId="296D5E94" w:rsidR="00255ED6" w:rsidRDefault="00255ED6">
          <w:pPr>
            <w:pStyle w:val="TOC2"/>
            <w:rPr>
              <w:rFonts w:eastAsiaTheme="minorEastAsia"/>
              <w:noProof/>
              <w:lang w:eastAsia="en-GB"/>
            </w:rPr>
          </w:pPr>
          <w:hyperlink w:anchor="_Toc228228545" w:history="1">
            <w:r w:rsidRPr="00D248B3">
              <w:rPr>
                <w:rStyle w:val="Hyperlink"/>
                <w:rFonts w:ascii="Arial" w:hAnsi="Arial" w:cs="Arial"/>
                <w:noProof/>
              </w:rPr>
              <w:t>3.3 Improving communication and continuity across transitions of care.</w:t>
            </w:r>
            <w:r>
              <w:rPr>
                <w:noProof/>
                <w:webHidden/>
              </w:rPr>
              <w:tab/>
            </w:r>
            <w:r>
              <w:rPr>
                <w:noProof/>
                <w:webHidden/>
              </w:rPr>
              <w:fldChar w:fldCharType="begin"/>
            </w:r>
            <w:r>
              <w:rPr>
                <w:noProof/>
                <w:webHidden/>
              </w:rPr>
              <w:instrText xml:space="preserve"> PAGEREF _Toc228228545 \h </w:instrText>
            </w:r>
            <w:r>
              <w:rPr>
                <w:noProof/>
                <w:webHidden/>
              </w:rPr>
            </w:r>
            <w:r>
              <w:rPr>
                <w:noProof/>
                <w:webHidden/>
              </w:rPr>
              <w:fldChar w:fldCharType="separate"/>
            </w:r>
            <w:r>
              <w:rPr>
                <w:noProof/>
                <w:webHidden/>
              </w:rPr>
              <w:t>16</w:t>
            </w:r>
            <w:r>
              <w:rPr>
                <w:noProof/>
                <w:webHidden/>
              </w:rPr>
              <w:fldChar w:fldCharType="end"/>
            </w:r>
          </w:hyperlink>
        </w:p>
        <w:p w14:paraId="1523DB58" w14:textId="0F66396B" w:rsidR="00255ED6" w:rsidRDefault="00255ED6">
          <w:pPr>
            <w:pStyle w:val="TOC2"/>
            <w:rPr>
              <w:rFonts w:eastAsiaTheme="minorEastAsia"/>
              <w:noProof/>
              <w:lang w:eastAsia="en-GB"/>
            </w:rPr>
          </w:pPr>
          <w:hyperlink w:anchor="_Toc228228546" w:history="1">
            <w:r w:rsidRPr="00D248B3">
              <w:rPr>
                <w:rStyle w:val="Hyperlink"/>
                <w:rFonts w:ascii="Arial" w:hAnsi="Arial" w:cs="Arial"/>
                <w:noProof/>
              </w:rPr>
              <w:t>3.4 Redesigning medication systems using human factors principles.</w:t>
            </w:r>
            <w:r>
              <w:rPr>
                <w:noProof/>
                <w:webHidden/>
              </w:rPr>
              <w:tab/>
            </w:r>
            <w:r>
              <w:rPr>
                <w:noProof/>
                <w:webHidden/>
              </w:rPr>
              <w:fldChar w:fldCharType="begin"/>
            </w:r>
            <w:r>
              <w:rPr>
                <w:noProof/>
                <w:webHidden/>
              </w:rPr>
              <w:instrText xml:space="preserve"> PAGEREF _Toc228228546 \h </w:instrText>
            </w:r>
            <w:r>
              <w:rPr>
                <w:noProof/>
                <w:webHidden/>
              </w:rPr>
            </w:r>
            <w:r>
              <w:rPr>
                <w:noProof/>
                <w:webHidden/>
              </w:rPr>
              <w:fldChar w:fldCharType="separate"/>
            </w:r>
            <w:r>
              <w:rPr>
                <w:noProof/>
                <w:webHidden/>
              </w:rPr>
              <w:t>16</w:t>
            </w:r>
            <w:r>
              <w:rPr>
                <w:noProof/>
                <w:webHidden/>
              </w:rPr>
              <w:fldChar w:fldCharType="end"/>
            </w:r>
          </w:hyperlink>
        </w:p>
        <w:p w14:paraId="1BA27FB6" w14:textId="4E90B797" w:rsidR="00255ED6" w:rsidRDefault="00255ED6">
          <w:pPr>
            <w:pStyle w:val="TOC2"/>
            <w:rPr>
              <w:rFonts w:eastAsiaTheme="minorEastAsia"/>
              <w:noProof/>
              <w:lang w:eastAsia="en-GB"/>
            </w:rPr>
          </w:pPr>
          <w:hyperlink w:anchor="_Toc228228547" w:history="1">
            <w:r w:rsidRPr="00D248B3">
              <w:rPr>
                <w:rStyle w:val="Hyperlink"/>
                <w:rFonts w:ascii="Arial" w:hAnsi="Arial" w:cs="Arial"/>
                <w:noProof/>
              </w:rPr>
              <w:t>3.5 Strengthening organisational learning and feedback systems.</w:t>
            </w:r>
            <w:r>
              <w:rPr>
                <w:noProof/>
                <w:webHidden/>
              </w:rPr>
              <w:tab/>
            </w:r>
            <w:r>
              <w:rPr>
                <w:noProof/>
                <w:webHidden/>
              </w:rPr>
              <w:fldChar w:fldCharType="begin"/>
            </w:r>
            <w:r>
              <w:rPr>
                <w:noProof/>
                <w:webHidden/>
              </w:rPr>
              <w:instrText xml:space="preserve"> PAGEREF _Toc228228547 \h </w:instrText>
            </w:r>
            <w:r>
              <w:rPr>
                <w:noProof/>
                <w:webHidden/>
              </w:rPr>
            </w:r>
            <w:r>
              <w:rPr>
                <w:noProof/>
                <w:webHidden/>
              </w:rPr>
              <w:fldChar w:fldCharType="separate"/>
            </w:r>
            <w:r>
              <w:rPr>
                <w:noProof/>
                <w:webHidden/>
              </w:rPr>
              <w:t>17</w:t>
            </w:r>
            <w:r>
              <w:rPr>
                <w:noProof/>
                <w:webHidden/>
              </w:rPr>
              <w:fldChar w:fldCharType="end"/>
            </w:r>
          </w:hyperlink>
        </w:p>
        <w:p w14:paraId="440A1A32" w14:textId="4BAAB648" w:rsidR="00255ED6" w:rsidRDefault="00255ED6">
          <w:pPr>
            <w:pStyle w:val="TOC2"/>
            <w:rPr>
              <w:rFonts w:eastAsiaTheme="minorEastAsia"/>
              <w:noProof/>
              <w:lang w:eastAsia="en-GB"/>
            </w:rPr>
          </w:pPr>
          <w:hyperlink w:anchor="_Toc228228548" w:history="1">
            <w:r w:rsidRPr="00D248B3">
              <w:rPr>
                <w:rStyle w:val="Hyperlink"/>
                <w:rFonts w:ascii="Arial" w:hAnsi="Arial" w:cs="Arial"/>
                <w:noProof/>
              </w:rPr>
              <w:t>4.0 Conclusion</w:t>
            </w:r>
            <w:r>
              <w:rPr>
                <w:noProof/>
                <w:webHidden/>
              </w:rPr>
              <w:tab/>
            </w:r>
            <w:r>
              <w:rPr>
                <w:noProof/>
                <w:webHidden/>
              </w:rPr>
              <w:fldChar w:fldCharType="begin"/>
            </w:r>
            <w:r>
              <w:rPr>
                <w:noProof/>
                <w:webHidden/>
              </w:rPr>
              <w:instrText xml:space="preserve"> PAGEREF _Toc228228548 \h </w:instrText>
            </w:r>
            <w:r>
              <w:rPr>
                <w:noProof/>
                <w:webHidden/>
              </w:rPr>
            </w:r>
            <w:r>
              <w:rPr>
                <w:noProof/>
                <w:webHidden/>
              </w:rPr>
              <w:fldChar w:fldCharType="separate"/>
            </w:r>
            <w:r>
              <w:rPr>
                <w:noProof/>
                <w:webHidden/>
              </w:rPr>
              <w:t>17</w:t>
            </w:r>
            <w:r>
              <w:rPr>
                <w:noProof/>
                <w:webHidden/>
              </w:rPr>
              <w:fldChar w:fldCharType="end"/>
            </w:r>
          </w:hyperlink>
        </w:p>
        <w:p w14:paraId="529BC907" w14:textId="33140645" w:rsidR="00255ED6" w:rsidRDefault="00255ED6">
          <w:pPr>
            <w:pStyle w:val="TOC2"/>
            <w:rPr>
              <w:rFonts w:eastAsiaTheme="minorEastAsia"/>
              <w:noProof/>
              <w:lang w:eastAsia="en-GB"/>
            </w:rPr>
          </w:pPr>
          <w:hyperlink w:anchor="_Toc228228549" w:history="1">
            <w:r w:rsidRPr="00D248B3">
              <w:rPr>
                <w:rStyle w:val="Hyperlink"/>
                <w:rFonts w:ascii="Arial" w:hAnsi="Arial" w:cs="Arial"/>
                <w:noProof/>
              </w:rPr>
              <w:t>5 References</w:t>
            </w:r>
            <w:r>
              <w:rPr>
                <w:noProof/>
                <w:webHidden/>
              </w:rPr>
              <w:tab/>
            </w:r>
            <w:r>
              <w:rPr>
                <w:noProof/>
                <w:webHidden/>
              </w:rPr>
              <w:fldChar w:fldCharType="begin"/>
            </w:r>
            <w:r>
              <w:rPr>
                <w:noProof/>
                <w:webHidden/>
              </w:rPr>
              <w:instrText xml:space="preserve"> PAGEREF _Toc228228549 \h </w:instrText>
            </w:r>
            <w:r>
              <w:rPr>
                <w:noProof/>
                <w:webHidden/>
              </w:rPr>
            </w:r>
            <w:r>
              <w:rPr>
                <w:noProof/>
                <w:webHidden/>
              </w:rPr>
              <w:fldChar w:fldCharType="separate"/>
            </w:r>
            <w:r>
              <w:rPr>
                <w:noProof/>
                <w:webHidden/>
              </w:rPr>
              <w:t>19</w:t>
            </w:r>
            <w:r>
              <w:rPr>
                <w:noProof/>
                <w:webHidden/>
              </w:rPr>
              <w:fldChar w:fldCharType="end"/>
            </w:r>
          </w:hyperlink>
        </w:p>
        <w:p w14:paraId="68F19709" w14:textId="3D7BFBB8" w:rsidR="002D5684" w:rsidRPr="004554AB" w:rsidRDefault="002D5684" w:rsidP="004554AB">
          <w:pPr>
            <w:spacing w:line="276" w:lineRule="auto"/>
            <w:jc w:val="both"/>
            <w:rPr>
              <w:rFonts w:ascii="Arial" w:hAnsi="Arial" w:cs="Arial"/>
              <w:color w:val="000000" w:themeColor="text1"/>
            </w:rPr>
          </w:pPr>
          <w:r w:rsidRPr="004554AB">
            <w:rPr>
              <w:rFonts w:ascii="Arial" w:hAnsi="Arial" w:cs="Arial"/>
              <w:color w:val="000000" w:themeColor="text1"/>
            </w:rPr>
            <w:fldChar w:fldCharType="end"/>
          </w:r>
        </w:p>
      </w:sdtContent>
    </w:sdt>
    <w:p w14:paraId="66954BB7" w14:textId="009CA4CA" w:rsidR="002D5684" w:rsidRPr="004554AB" w:rsidRDefault="002D5684" w:rsidP="004554AB">
      <w:pPr>
        <w:spacing w:line="276" w:lineRule="auto"/>
        <w:jc w:val="both"/>
        <w:rPr>
          <w:rFonts w:ascii="Arial" w:hAnsi="Arial" w:cs="Arial"/>
          <w:color w:val="000000" w:themeColor="text1"/>
        </w:rPr>
      </w:pPr>
    </w:p>
    <w:p w14:paraId="146A9661" w14:textId="77777777" w:rsidR="002D5684" w:rsidRPr="004554AB" w:rsidRDefault="002D5684" w:rsidP="004554AB">
      <w:pPr>
        <w:spacing w:line="276" w:lineRule="auto"/>
        <w:jc w:val="both"/>
        <w:rPr>
          <w:rFonts w:ascii="Arial" w:hAnsi="Arial" w:cs="Arial"/>
          <w:color w:val="000000" w:themeColor="text1"/>
        </w:rPr>
      </w:pPr>
      <w:r w:rsidRPr="004554AB">
        <w:rPr>
          <w:rFonts w:ascii="Arial" w:hAnsi="Arial" w:cs="Arial"/>
          <w:color w:val="000000" w:themeColor="text1"/>
        </w:rPr>
        <w:br w:type="page"/>
      </w:r>
    </w:p>
    <w:p w14:paraId="67A08F96" w14:textId="2706F700" w:rsidR="00CA1D3C" w:rsidRPr="004554AB" w:rsidRDefault="00FE3171" w:rsidP="004554AB">
      <w:pPr>
        <w:pStyle w:val="Heading2"/>
        <w:spacing w:line="276" w:lineRule="auto"/>
        <w:jc w:val="both"/>
        <w:rPr>
          <w:rFonts w:ascii="Arial" w:hAnsi="Arial" w:cs="Arial"/>
          <w:color w:val="000000" w:themeColor="text1"/>
          <w:sz w:val="24"/>
          <w:szCs w:val="24"/>
        </w:rPr>
      </w:pPr>
      <w:bookmarkStart w:id="2" w:name="_Toc228228535"/>
      <w:r w:rsidRPr="004554AB">
        <w:rPr>
          <w:rFonts w:ascii="Arial" w:hAnsi="Arial" w:cs="Arial"/>
          <w:color w:val="000000" w:themeColor="text1"/>
          <w:sz w:val="24"/>
          <w:szCs w:val="24"/>
        </w:rPr>
        <w:lastRenderedPageBreak/>
        <w:t xml:space="preserve">1.0 </w:t>
      </w:r>
      <w:r w:rsidR="00F012D3" w:rsidRPr="004554AB">
        <w:rPr>
          <w:rFonts w:ascii="Arial" w:hAnsi="Arial" w:cs="Arial"/>
          <w:color w:val="000000" w:themeColor="text1"/>
          <w:sz w:val="24"/>
          <w:szCs w:val="24"/>
        </w:rPr>
        <w:t>Introduction</w:t>
      </w:r>
      <w:r w:rsidR="000C2D53" w:rsidRPr="004554AB">
        <w:rPr>
          <w:rFonts w:ascii="Arial" w:hAnsi="Arial" w:cs="Arial"/>
          <w:color w:val="000000" w:themeColor="text1"/>
          <w:sz w:val="24"/>
          <w:szCs w:val="24"/>
        </w:rPr>
        <w:t xml:space="preserve"> and </w:t>
      </w:r>
      <w:r w:rsidR="00F012D3" w:rsidRPr="004554AB">
        <w:rPr>
          <w:rFonts w:ascii="Arial" w:hAnsi="Arial" w:cs="Arial"/>
          <w:color w:val="000000" w:themeColor="text1"/>
          <w:sz w:val="24"/>
          <w:szCs w:val="24"/>
        </w:rPr>
        <w:t>Background</w:t>
      </w:r>
      <w:bookmarkEnd w:id="2"/>
    </w:p>
    <w:p w14:paraId="68AE23A1" w14:textId="77777777" w:rsidR="000D4C4E" w:rsidRPr="004554AB" w:rsidRDefault="000D4C4E" w:rsidP="004554AB">
      <w:pPr>
        <w:spacing w:line="276" w:lineRule="auto"/>
        <w:jc w:val="both"/>
        <w:rPr>
          <w:rFonts w:ascii="Arial" w:eastAsia="Times New Roman" w:hAnsi="Arial" w:cs="Arial"/>
          <w:color w:val="000000" w:themeColor="text1"/>
          <w:spacing w:val="8"/>
          <w:shd w:val="clear" w:color="auto" w:fill="FFFFFF"/>
        </w:rPr>
      </w:pPr>
    </w:p>
    <w:p w14:paraId="31382EFA" w14:textId="1294276B" w:rsidR="000D4C4E" w:rsidRPr="004554AB" w:rsidRDefault="003041AC" w:rsidP="004554AB">
      <w:pPr>
        <w:spacing w:line="276" w:lineRule="auto"/>
        <w:jc w:val="both"/>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 xml:space="preserve">This report details this patient-care incident which involved a four-week-old infant who experienced a twenty-fold morphine overdose associated with failures of prescribing, discharge communication, and dispensing processes. The case illustrates that medication errors did not occur in a </w:t>
      </w:r>
      <w:r w:rsidR="00106413" w:rsidRPr="004554AB">
        <w:rPr>
          <w:rFonts w:ascii="Arial" w:eastAsia="Times New Roman" w:hAnsi="Arial" w:cs="Arial"/>
          <w:color w:val="000000" w:themeColor="text1"/>
          <w:spacing w:val="8"/>
          <w:shd w:val="clear" w:color="auto" w:fill="FFFFFF"/>
        </w:rPr>
        <w:t>vacuum but</w:t>
      </w:r>
      <w:r w:rsidRPr="004554AB">
        <w:rPr>
          <w:rFonts w:ascii="Arial" w:eastAsia="Times New Roman" w:hAnsi="Arial" w:cs="Arial"/>
          <w:color w:val="000000" w:themeColor="text1"/>
          <w:spacing w:val="8"/>
          <w:shd w:val="clear" w:color="auto" w:fill="FFFFFF"/>
        </w:rPr>
        <w:t xml:space="preserve"> rather emerge from interacting vulnerabilities in the continuum of care. More so than an individual error, the case is a product of failure by institutions and </w:t>
      </w:r>
      <w:r w:rsidR="001F2327" w:rsidRPr="004554AB">
        <w:rPr>
          <w:rFonts w:ascii="Arial" w:eastAsia="Times New Roman" w:hAnsi="Arial" w:cs="Arial"/>
          <w:color w:val="000000" w:themeColor="text1"/>
          <w:spacing w:val="8"/>
          <w:shd w:val="clear" w:color="auto" w:fill="FFFFFF"/>
        </w:rPr>
        <w:t>organisations</w:t>
      </w:r>
      <w:r w:rsidRPr="004554AB">
        <w:rPr>
          <w:rFonts w:ascii="Arial" w:eastAsia="Times New Roman" w:hAnsi="Arial" w:cs="Arial"/>
          <w:color w:val="000000" w:themeColor="text1"/>
          <w:spacing w:val="8"/>
          <w:shd w:val="clear" w:color="auto" w:fill="FFFFFF"/>
        </w:rPr>
        <w:t xml:space="preserve"> to prevent, detect and correct error, both across organisational boundaries and across </w:t>
      </w:r>
      <w:r w:rsidR="002518D0" w:rsidRPr="004554AB">
        <w:rPr>
          <w:rFonts w:ascii="Arial" w:eastAsia="Times New Roman" w:hAnsi="Arial" w:cs="Arial"/>
          <w:color w:val="000000" w:themeColor="text1"/>
          <w:spacing w:val="8"/>
          <w:shd w:val="clear" w:color="auto" w:fill="FFFFFF"/>
        </w:rPr>
        <w:t>organisations (</w:t>
      </w:r>
      <w:r w:rsidRPr="004554AB">
        <w:rPr>
          <w:rFonts w:ascii="Arial" w:eastAsia="Times New Roman" w:hAnsi="Arial" w:cs="Arial"/>
          <w:color w:val="000000" w:themeColor="text1"/>
          <w:spacing w:val="8"/>
          <w:shd w:val="clear" w:color="auto" w:fill="FFFFFF"/>
        </w:rPr>
        <w:t xml:space="preserve">Reason, 2000; Braithwaite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xml:space="preserve">, 2018). </w:t>
      </w:r>
    </w:p>
    <w:p w14:paraId="3BB1DE01" w14:textId="30EBF94E" w:rsidR="000D4C4E" w:rsidRPr="004554AB" w:rsidRDefault="003041AC" w:rsidP="004554AB">
      <w:pPr>
        <w:spacing w:line="276" w:lineRule="auto"/>
        <w:jc w:val="both"/>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 xml:space="preserve">Understanding this harm necessitates a systems thinking perspective. Systems thinking understands that patient safety outcomes are products of people, processes, and technologies interacting with one another, not </w:t>
      </w:r>
      <w:r w:rsidR="00456741" w:rsidRPr="004554AB">
        <w:rPr>
          <w:rFonts w:ascii="Arial" w:eastAsia="Times New Roman" w:hAnsi="Arial" w:cs="Arial"/>
          <w:color w:val="000000" w:themeColor="text1"/>
          <w:spacing w:val="8"/>
          <w:shd w:val="clear" w:color="auto" w:fill="FFFFFF"/>
        </w:rPr>
        <w:t>because of</w:t>
      </w:r>
      <w:r w:rsidRPr="004554AB">
        <w:rPr>
          <w:rFonts w:ascii="Arial" w:eastAsia="Times New Roman" w:hAnsi="Arial" w:cs="Arial"/>
          <w:color w:val="000000" w:themeColor="text1"/>
          <w:spacing w:val="8"/>
          <w:shd w:val="clear" w:color="auto" w:fill="FFFFFF"/>
        </w:rPr>
        <w:t xml:space="preserve"> a linear cause-and-effect relationship (</w:t>
      </w:r>
      <w:proofErr w:type="spellStart"/>
      <w:r w:rsidRPr="004554AB">
        <w:rPr>
          <w:rFonts w:ascii="Arial" w:eastAsia="Times New Roman" w:hAnsi="Arial" w:cs="Arial"/>
          <w:color w:val="000000" w:themeColor="text1"/>
          <w:spacing w:val="8"/>
          <w:shd w:val="clear" w:color="auto" w:fill="FFFFFF"/>
        </w:rPr>
        <w:t>Carayon</w:t>
      </w:r>
      <w:proofErr w:type="spellEnd"/>
      <w:r w:rsidRPr="004554AB">
        <w:rPr>
          <w:rFonts w:ascii="Arial" w:eastAsia="Times New Roman" w:hAnsi="Arial" w:cs="Arial"/>
          <w:color w:val="000000" w:themeColor="text1"/>
          <w:spacing w:val="8"/>
          <w:shd w:val="clear" w:color="auto" w:fill="FFFFFF"/>
        </w:rPr>
        <w:t xml:space="preserve">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xml:space="preserve"> 2014). This is </w:t>
      </w:r>
      <w:r w:rsidR="00937EED" w:rsidRPr="004554AB">
        <w:rPr>
          <w:rFonts w:ascii="Arial" w:eastAsia="Times New Roman" w:hAnsi="Arial" w:cs="Arial"/>
          <w:color w:val="000000" w:themeColor="text1"/>
          <w:spacing w:val="8"/>
          <w:shd w:val="clear" w:color="auto" w:fill="FFFFFF"/>
        </w:rPr>
        <w:t>important</w:t>
      </w:r>
      <w:r w:rsidRPr="004554AB">
        <w:rPr>
          <w:rFonts w:ascii="Arial" w:eastAsia="Times New Roman" w:hAnsi="Arial" w:cs="Arial"/>
          <w:color w:val="000000" w:themeColor="text1"/>
          <w:spacing w:val="8"/>
          <w:shd w:val="clear" w:color="auto" w:fill="FFFFFF"/>
        </w:rPr>
        <w:t xml:space="preserve"> in medication safety, where errors beginning in one phase often travel the continuum of care. In the morphine case, ambiguity at discharge, failure to validate during primary care, and failure in dispensing at the community pharmacy combine to trigger the overdose, illustrating the ways in which the failings within the system contribute to risk. </w:t>
      </w:r>
    </w:p>
    <w:p w14:paraId="27A780AB" w14:textId="18DE1701" w:rsidR="00323671" w:rsidRPr="004554AB" w:rsidRDefault="003041AC" w:rsidP="004554AB">
      <w:pPr>
        <w:spacing w:line="276" w:lineRule="auto"/>
        <w:jc w:val="both"/>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 xml:space="preserve"> </w:t>
      </w:r>
      <w:r w:rsidR="00B664E1" w:rsidRPr="004554AB">
        <w:rPr>
          <w:rFonts w:ascii="Arial" w:eastAsia="Times New Roman" w:hAnsi="Arial" w:cs="Arial"/>
          <w:color w:val="000000" w:themeColor="text1"/>
          <w:spacing w:val="8"/>
          <w:shd w:val="clear" w:color="auto" w:fill="FFFFFF"/>
        </w:rPr>
        <w:t xml:space="preserve">This </w:t>
      </w:r>
      <w:r w:rsidRPr="004554AB">
        <w:rPr>
          <w:rFonts w:ascii="Arial" w:eastAsia="Times New Roman" w:hAnsi="Arial" w:cs="Arial"/>
          <w:color w:val="000000" w:themeColor="text1"/>
          <w:spacing w:val="8"/>
          <w:shd w:val="clear" w:color="auto" w:fill="FFFFFF"/>
        </w:rPr>
        <w:t xml:space="preserve">is a global and national problem on a grand scale. The World Health </w:t>
      </w:r>
      <w:r w:rsidR="001F2327" w:rsidRPr="004554AB">
        <w:rPr>
          <w:rFonts w:ascii="Arial" w:eastAsia="Times New Roman" w:hAnsi="Arial" w:cs="Arial"/>
          <w:color w:val="000000" w:themeColor="text1"/>
          <w:spacing w:val="8"/>
          <w:shd w:val="clear" w:color="auto" w:fill="FFFFFF"/>
        </w:rPr>
        <w:t>Organisation</w:t>
      </w:r>
      <w:r w:rsidRPr="004554AB">
        <w:rPr>
          <w:rFonts w:ascii="Arial" w:eastAsia="Times New Roman" w:hAnsi="Arial" w:cs="Arial"/>
          <w:color w:val="000000" w:themeColor="text1"/>
          <w:spacing w:val="8"/>
          <w:shd w:val="clear" w:color="auto" w:fill="FFFFFF"/>
        </w:rPr>
        <w:t xml:space="preserve"> reports that one in 20 patients globally is negatively affected by medication-related harm, and it adds to an approximate US$42 billion in annual costs (World Health </w:t>
      </w:r>
      <w:r w:rsidR="00C7234E" w:rsidRPr="004554AB">
        <w:rPr>
          <w:rFonts w:ascii="Arial" w:eastAsia="Times New Roman" w:hAnsi="Arial" w:cs="Arial"/>
          <w:color w:val="000000" w:themeColor="text1"/>
          <w:spacing w:val="8"/>
          <w:shd w:val="clear" w:color="auto" w:fill="FFFFFF"/>
        </w:rPr>
        <w:t>Organisation</w:t>
      </w:r>
      <w:r w:rsidRPr="004554AB">
        <w:rPr>
          <w:rFonts w:ascii="Arial" w:eastAsia="Times New Roman" w:hAnsi="Arial" w:cs="Arial"/>
          <w:color w:val="000000" w:themeColor="text1"/>
          <w:spacing w:val="8"/>
          <w:shd w:val="clear" w:color="auto" w:fill="FFFFFF"/>
        </w:rPr>
        <w:t xml:space="preserve">, 2017; 2023). In England, there is an overall prevalence of 237 million medication errors each year with a significant risk of unnecessary harm, with an approximate cost of £98 million in direct NHS costs (Elliott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2021). Paediatric patients in particular, are especially susceptible as they are observed to be up to three times more prone to medication errors owing to weight-based dosing regimens, variable pharmacokinetics, and narrow therapeutic margins which can lead to the delivery of medication error prone drugs (</w:t>
      </w:r>
      <w:proofErr w:type="spellStart"/>
      <w:r w:rsidRPr="004554AB">
        <w:rPr>
          <w:rFonts w:ascii="Arial" w:eastAsia="Times New Roman" w:hAnsi="Arial" w:cs="Arial"/>
          <w:color w:val="000000" w:themeColor="text1"/>
          <w:spacing w:val="8"/>
          <w:shd w:val="clear" w:color="auto" w:fill="FFFFFF"/>
        </w:rPr>
        <w:t>Kaushal</w:t>
      </w:r>
      <w:proofErr w:type="spellEnd"/>
      <w:r w:rsidRPr="004554AB">
        <w:rPr>
          <w:rFonts w:ascii="Arial" w:eastAsia="Times New Roman" w:hAnsi="Arial" w:cs="Arial"/>
          <w:color w:val="000000" w:themeColor="text1"/>
          <w:spacing w:val="8"/>
          <w:shd w:val="clear" w:color="auto" w:fill="FFFFFF"/>
        </w:rPr>
        <w:t xml:space="preserve">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xml:space="preserve">, 2001; Alghamdi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xml:space="preserve">, 2019). The infant morphine overdose case lies directly in this high-risk environment, with a failure to protect a known vulnerable population. </w:t>
      </w:r>
    </w:p>
    <w:p w14:paraId="6458173F" w14:textId="77777777" w:rsidR="00B942C7" w:rsidRPr="004554AB" w:rsidRDefault="003041AC" w:rsidP="004554AB">
      <w:pPr>
        <w:spacing w:line="276" w:lineRule="auto"/>
        <w:jc w:val="both"/>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 xml:space="preserve"> Leadership is the cornerstone of addressing the risk. Leadership in the healthcare sector implies that individuals and systems are guided collectively to establish common goals of patient safety and quality (Murray and Cope, 2021). Transformational leadership encourages psychological safety and elevates concerns; transactional leadership reinforces protocols. But in complex systems, leadership in this domain needs to cover coordination across multidisciplinary teams and integration of design-system alignment with safe practice (</w:t>
      </w:r>
      <w:proofErr w:type="spellStart"/>
      <w:r w:rsidRPr="004554AB">
        <w:rPr>
          <w:rFonts w:ascii="Arial" w:eastAsia="Times New Roman" w:hAnsi="Arial" w:cs="Arial"/>
          <w:color w:val="000000" w:themeColor="text1"/>
          <w:spacing w:val="8"/>
          <w:shd w:val="clear" w:color="auto" w:fill="FFFFFF"/>
        </w:rPr>
        <w:t>Ystaas</w:t>
      </w:r>
      <w:proofErr w:type="spellEnd"/>
      <w:r w:rsidRPr="004554AB">
        <w:rPr>
          <w:rFonts w:ascii="Arial" w:eastAsia="Times New Roman" w:hAnsi="Arial" w:cs="Arial"/>
          <w:color w:val="000000" w:themeColor="text1"/>
          <w:spacing w:val="8"/>
          <w:shd w:val="clear" w:color="auto" w:fill="FFFFFF"/>
        </w:rPr>
        <w:t xml:space="preserve">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xml:space="preserve">, 2023; Wu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xml:space="preserve">., 2024). In the morphine case, the oversight of prescribing, </w:t>
      </w:r>
      <w:r w:rsidRPr="004554AB">
        <w:rPr>
          <w:rFonts w:ascii="Arial" w:eastAsia="Times New Roman" w:hAnsi="Arial" w:cs="Arial"/>
          <w:color w:val="000000" w:themeColor="text1"/>
          <w:spacing w:val="8"/>
          <w:shd w:val="clear" w:color="auto" w:fill="FFFFFF"/>
        </w:rPr>
        <w:lastRenderedPageBreak/>
        <w:t xml:space="preserve">dispensing, and administration was not coordinated which paved the way for the error. </w:t>
      </w:r>
    </w:p>
    <w:p w14:paraId="323C7511" w14:textId="77777777" w:rsidR="00B942C7" w:rsidRPr="004554AB" w:rsidRDefault="003041AC" w:rsidP="004554AB">
      <w:pPr>
        <w:spacing w:line="276" w:lineRule="auto"/>
        <w:jc w:val="both"/>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 xml:space="preserve">A second important dimension is the balance between centralisation and decentralisation. Centralised governance sets out standardised policies, while decentralised practice provides clinical flexibility. Integration hinges on patient safety. In this context, central safeguards for “red drugs” at risk were inconsistently operationalised across decentralised settings, exposing a disconnect between the policy and practice. </w:t>
      </w:r>
    </w:p>
    <w:p w14:paraId="1E19E0AB" w14:textId="7B57309C" w:rsidR="00A63CF0" w:rsidRPr="004554AB" w:rsidRDefault="003041AC" w:rsidP="004554AB">
      <w:pPr>
        <w:spacing w:line="276" w:lineRule="auto"/>
        <w:jc w:val="both"/>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 xml:space="preserve"> This report </w:t>
      </w:r>
      <w:r w:rsidR="00B942C7" w:rsidRPr="004554AB">
        <w:rPr>
          <w:rFonts w:ascii="Arial" w:eastAsia="Times New Roman" w:hAnsi="Arial" w:cs="Arial"/>
          <w:color w:val="000000" w:themeColor="text1"/>
          <w:spacing w:val="8"/>
          <w:shd w:val="clear" w:color="auto" w:fill="FFFFFF"/>
        </w:rPr>
        <w:t>utilises systems</w:t>
      </w:r>
      <w:r w:rsidRPr="004554AB">
        <w:rPr>
          <w:rFonts w:ascii="Arial" w:eastAsia="Times New Roman" w:hAnsi="Arial" w:cs="Arial"/>
          <w:color w:val="000000" w:themeColor="text1"/>
          <w:spacing w:val="8"/>
          <w:shd w:val="clear" w:color="auto" w:fill="FFFFFF"/>
        </w:rPr>
        <w:t xml:space="preserve"> thinking, leadership theory and governance analysis to analyse how these failures led to the infant morphine overdose and to draw lessons for reducing medication errors.</w:t>
      </w:r>
    </w:p>
    <w:p w14:paraId="5630AC87" w14:textId="77777777" w:rsidR="00D67849" w:rsidRPr="004554AB" w:rsidRDefault="00D67849" w:rsidP="004554AB">
      <w:pPr>
        <w:spacing w:line="276" w:lineRule="auto"/>
        <w:jc w:val="both"/>
        <w:rPr>
          <w:rFonts w:ascii="Arial" w:eastAsia="Times New Roman" w:hAnsi="Arial" w:cs="Arial"/>
          <w:color w:val="000000" w:themeColor="text1"/>
          <w:spacing w:val="8"/>
          <w:shd w:val="clear" w:color="auto" w:fill="FFFFFF"/>
        </w:rPr>
      </w:pPr>
    </w:p>
    <w:p w14:paraId="5229940F" w14:textId="77777777" w:rsidR="00D67849" w:rsidRPr="004554AB" w:rsidRDefault="00D67849" w:rsidP="004554AB">
      <w:pPr>
        <w:spacing w:line="276" w:lineRule="auto"/>
        <w:jc w:val="both"/>
        <w:rPr>
          <w:rFonts w:ascii="Arial" w:eastAsia="Times New Roman" w:hAnsi="Arial" w:cs="Arial"/>
          <w:color w:val="000000" w:themeColor="text1"/>
          <w:spacing w:val="8"/>
          <w:shd w:val="clear" w:color="auto" w:fill="FFFFFF"/>
        </w:rPr>
      </w:pPr>
    </w:p>
    <w:p w14:paraId="521B848C" w14:textId="77777777" w:rsidR="00D67849" w:rsidRPr="004554AB" w:rsidRDefault="00D67849" w:rsidP="004554AB">
      <w:pPr>
        <w:spacing w:line="276" w:lineRule="auto"/>
        <w:jc w:val="both"/>
        <w:rPr>
          <w:rFonts w:ascii="Arial" w:eastAsia="Times New Roman" w:hAnsi="Arial" w:cs="Arial"/>
          <w:color w:val="000000" w:themeColor="text1"/>
          <w:spacing w:val="8"/>
          <w:shd w:val="clear" w:color="auto" w:fill="FFFFFF"/>
        </w:rPr>
      </w:pPr>
    </w:p>
    <w:p w14:paraId="4373649C" w14:textId="77777777" w:rsidR="00D67849" w:rsidRPr="004554AB" w:rsidRDefault="00D67849" w:rsidP="004554AB">
      <w:pPr>
        <w:spacing w:line="276" w:lineRule="auto"/>
        <w:jc w:val="both"/>
        <w:rPr>
          <w:rFonts w:ascii="Arial" w:eastAsia="Times New Roman" w:hAnsi="Arial" w:cs="Arial"/>
          <w:color w:val="000000" w:themeColor="text1"/>
          <w:spacing w:val="8"/>
          <w:shd w:val="clear" w:color="auto" w:fill="FFFFFF"/>
        </w:rPr>
      </w:pPr>
    </w:p>
    <w:p w14:paraId="18871DF5" w14:textId="77777777" w:rsidR="00D67849" w:rsidRPr="004554AB" w:rsidRDefault="00D67849" w:rsidP="004554AB">
      <w:pPr>
        <w:spacing w:line="276" w:lineRule="auto"/>
        <w:jc w:val="both"/>
        <w:rPr>
          <w:rFonts w:ascii="Arial" w:eastAsia="Times New Roman" w:hAnsi="Arial" w:cs="Arial"/>
          <w:color w:val="000000" w:themeColor="text1"/>
          <w:spacing w:val="8"/>
          <w:shd w:val="clear" w:color="auto" w:fill="FFFFFF"/>
        </w:rPr>
      </w:pPr>
    </w:p>
    <w:p w14:paraId="78503BB7" w14:textId="77777777" w:rsidR="00D67849" w:rsidRPr="004554AB" w:rsidRDefault="00D67849" w:rsidP="004554AB">
      <w:pPr>
        <w:spacing w:line="276" w:lineRule="auto"/>
        <w:jc w:val="both"/>
        <w:rPr>
          <w:rFonts w:ascii="Arial" w:eastAsia="Times New Roman" w:hAnsi="Arial" w:cs="Arial"/>
          <w:color w:val="000000" w:themeColor="text1"/>
          <w:spacing w:val="8"/>
          <w:shd w:val="clear" w:color="auto" w:fill="FFFFFF"/>
        </w:rPr>
      </w:pPr>
    </w:p>
    <w:p w14:paraId="2C834754" w14:textId="77777777" w:rsidR="00D67849" w:rsidRPr="004554AB" w:rsidRDefault="00D67849" w:rsidP="004554AB">
      <w:pPr>
        <w:spacing w:line="276" w:lineRule="auto"/>
        <w:jc w:val="both"/>
        <w:rPr>
          <w:rFonts w:ascii="Arial" w:eastAsia="Times New Roman" w:hAnsi="Arial" w:cs="Arial"/>
          <w:color w:val="000000" w:themeColor="text1"/>
          <w:spacing w:val="8"/>
          <w:shd w:val="clear" w:color="auto" w:fill="FFFFFF"/>
        </w:rPr>
      </w:pPr>
    </w:p>
    <w:p w14:paraId="0EE3A159" w14:textId="77777777" w:rsidR="00D67849" w:rsidRPr="004554AB" w:rsidRDefault="00D67849" w:rsidP="004554AB">
      <w:pPr>
        <w:spacing w:line="276" w:lineRule="auto"/>
        <w:jc w:val="both"/>
        <w:rPr>
          <w:rFonts w:ascii="Arial" w:eastAsia="Times New Roman" w:hAnsi="Arial" w:cs="Arial"/>
          <w:color w:val="000000" w:themeColor="text1"/>
          <w:spacing w:val="8"/>
          <w:shd w:val="clear" w:color="auto" w:fill="FFFFFF"/>
        </w:rPr>
      </w:pPr>
    </w:p>
    <w:p w14:paraId="31EEBDF2" w14:textId="77777777" w:rsidR="00D67849" w:rsidRPr="004554AB" w:rsidRDefault="00D67849" w:rsidP="004554AB">
      <w:pPr>
        <w:spacing w:line="276" w:lineRule="auto"/>
        <w:jc w:val="both"/>
        <w:rPr>
          <w:rFonts w:ascii="Arial" w:eastAsia="Times New Roman" w:hAnsi="Arial" w:cs="Arial"/>
          <w:color w:val="000000" w:themeColor="text1"/>
          <w:spacing w:val="8"/>
          <w:shd w:val="clear" w:color="auto" w:fill="FFFFFF"/>
        </w:rPr>
      </w:pPr>
    </w:p>
    <w:p w14:paraId="3D4DE2AD" w14:textId="77777777" w:rsidR="00D67849" w:rsidRPr="004554AB" w:rsidRDefault="00D67849" w:rsidP="004554AB">
      <w:pPr>
        <w:spacing w:line="276" w:lineRule="auto"/>
        <w:jc w:val="both"/>
        <w:rPr>
          <w:rFonts w:ascii="Arial" w:eastAsia="Times New Roman" w:hAnsi="Arial" w:cs="Arial"/>
          <w:color w:val="000000" w:themeColor="text1"/>
          <w:spacing w:val="8"/>
          <w:shd w:val="clear" w:color="auto" w:fill="FFFFFF"/>
        </w:rPr>
      </w:pPr>
    </w:p>
    <w:p w14:paraId="34600607" w14:textId="77777777" w:rsidR="00EA1EA0" w:rsidRPr="004554AB" w:rsidRDefault="00EA1EA0" w:rsidP="004554AB">
      <w:pPr>
        <w:spacing w:line="276" w:lineRule="auto"/>
        <w:jc w:val="both"/>
        <w:rPr>
          <w:rFonts w:ascii="Arial" w:eastAsia="Times New Roman" w:hAnsi="Arial" w:cs="Arial"/>
          <w:color w:val="000000" w:themeColor="text1"/>
          <w:spacing w:val="8"/>
          <w:shd w:val="clear" w:color="auto" w:fill="FFFFFF"/>
        </w:rPr>
      </w:pPr>
    </w:p>
    <w:p w14:paraId="7A1C67EE" w14:textId="77777777" w:rsidR="00EA1EA0" w:rsidRPr="004554AB" w:rsidRDefault="00EA1EA0" w:rsidP="004554AB">
      <w:pPr>
        <w:spacing w:line="276" w:lineRule="auto"/>
        <w:jc w:val="both"/>
        <w:rPr>
          <w:rFonts w:ascii="Arial" w:eastAsia="Times New Roman" w:hAnsi="Arial" w:cs="Arial"/>
          <w:color w:val="000000" w:themeColor="text1"/>
          <w:spacing w:val="8"/>
          <w:shd w:val="clear" w:color="auto" w:fill="FFFFFF"/>
        </w:rPr>
      </w:pPr>
    </w:p>
    <w:p w14:paraId="65203B3F" w14:textId="77777777" w:rsidR="00EA1EA0" w:rsidRPr="004554AB" w:rsidRDefault="00EA1EA0" w:rsidP="004554AB">
      <w:pPr>
        <w:spacing w:line="276" w:lineRule="auto"/>
        <w:jc w:val="both"/>
        <w:rPr>
          <w:rFonts w:ascii="Arial" w:eastAsia="Times New Roman" w:hAnsi="Arial" w:cs="Arial"/>
          <w:color w:val="000000" w:themeColor="text1"/>
          <w:spacing w:val="8"/>
          <w:shd w:val="clear" w:color="auto" w:fill="FFFFFF"/>
        </w:rPr>
      </w:pPr>
    </w:p>
    <w:p w14:paraId="7A7F2AB1" w14:textId="77777777" w:rsidR="00EA1EA0" w:rsidRPr="004554AB" w:rsidRDefault="00EA1EA0" w:rsidP="004554AB">
      <w:pPr>
        <w:spacing w:line="276" w:lineRule="auto"/>
        <w:jc w:val="both"/>
        <w:rPr>
          <w:rFonts w:ascii="Arial" w:eastAsia="Times New Roman" w:hAnsi="Arial" w:cs="Arial"/>
          <w:color w:val="000000" w:themeColor="text1"/>
          <w:spacing w:val="8"/>
          <w:shd w:val="clear" w:color="auto" w:fill="FFFFFF"/>
        </w:rPr>
      </w:pPr>
    </w:p>
    <w:p w14:paraId="3CD7E76C" w14:textId="77777777" w:rsidR="00EA1EA0" w:rsidRPr="004554AB" w:rsidRDefault="00EA1EA0" w:rsidP="004554AB">
      <w:pPr>
        <w:spacing w:line="276" w:lineRule="auto"/>
        <w:jc w:val="both"/>
        <w:rPr>
          <w:rFonts w:ascii="Arial" w:eastAsia="Times New Roman" w:hAnsi="Arial" w:cs="Arial"/>
          <w:color w:val="000000" w:themeColor="text1"/>
          <w:spacing w:val="8"/>
          <w:shd w:val="clear" w:color="auto" w:fill="FFFFFF"/>
        </w:rPr>
      </w:pPr>
    </w:p>
    <w:p w14:paraId="487A0924" w14:textId="77777777" w:rsidR="00EA1EA0" w:rsidRPr="004554AB" w:rsidRDefault="00EA1EA0" w:rsidP="004554AB">
      <w:pPr>
        <w:spacing w:line="276" w:lineRule="auto"/>
        <w:jc w:val="both"/>
        <w:rPr>
          <w:rFonts w:ascii="Arial" w:eastAsia="Times New Roman" w:hAnsi="Arial" w:cs="Arial"/>
          <w:color w:val="000000" w:themeColor="text1"/>
          <w:spacing w:val="8"/>
          <w:shd w:val="clear" w:color="auto" w:fill="FFFFFF"/>
        </w:rPr>
      </w:pPr>
    </w:p>
    <w:p w14:paraId="6038007C" w14:textId="77777777" w:rsidR="00EA1EA0" w:rsidRPr="004554AB" w:rsidRDefault="00EA1EA0" w:rsidP="004554AB">
      <w:pPr>
        <w:spacing w:line="276" w:lineRule="auto"/>
        <w:jc w:val="both"/>
        <w:rPr>
          <w:rFonts w:ascii="Arial" w:eastAsia="Times New Roman" w:hAnsi="Arial" w:cs="Arial"/>
          <w:color w:val="000000" w:themeColor="text1"/>
          <w:spacing w:val="8"/>
          <w:shd w:val="clear" w:color="auto" w:fill="FFFFFF"/>
        </w:rPr>
      </w:pPr>
    </w:p>
    <w:p w14:paraId="085DD8AB" w14:textId="77777777" w:rsidR="00EA1EA0" w:rsidRPr="004554AB" w:rsidRDefault="00EA1EA0" w:rsidP="004554AB">
      <w:pPr>
        <w:spacing w:line="276" w:lineRule="auto"/>
        <w:jc w:val="both"/>
        <w:rPr>
          <w:rFonts w:ascii="Arial" w:eastAsia="Times New Roman" w:hAnsi="Arial" w:cs="Arial"/>
          <w:color w:val="000000" w:themeColor="text1"/>
          <w:spacing w:val="8"/>
          <w:shd w:val="clear" w:color="auto" w:fill="FFFFFF"/>
        </w:rPr>
      </w:pPr>
    </w:p>
    <w:p w14:paraId="2BE16EBC" w14:textId="77777777" w:rsidR="00EA1EA0" w:rsidRPr="004554AB" w:rsidRDefault="00EA1EA0" w:rsidP="004554AB">
      <w:pPr>
        <w:spacing w:line="276" w:lineRule="auto"/>
        <w:jc w:val="both"/>
        <w:rPr>
          <w:rFonts w:ascii="Arial" w:eastAsia="Times New Roman" w:hAnsi="Arial" w:cs="Arial"/>
          <w:color w:val="000000" w:themeColor="text1"/>
          <w:spacing w:val="8"/>
          <w:shd w:val="clear" w:color="auto" w:fill="FFFFFF"/>
        </w:rPr>
      </w:pPr>
    </w:p>
    <w:p w14:paraId="04A255ED" w14:textId="77777777" w:rsidR="00EA1EA0" w:rsidRPr="004554AB" w:rsidRDefault="00EA1EA0" w:rsidP="004554AB">
      <w:pPr>
        <w:spacing w:line="276" w:lineRule="auto"/>
        <w:jc w:val="both"/>
        <w:rPr>
          <w:rFonts w:ascii="Arial" w:eastAsia="Times New Roman" w:hAnsi="Arial" w:cs="Arial"/>
          <w:color w:val="000000" w:themeColor="text1"/>
          <w:spacing w:val="8"/>
          <w:shd w:val="clear" w:color="auto" w:fill="FFFFFF"/>
        </w:rPr>
      </w:pPr>
    </w:p>
    <w:p w14:paraId="2B741D8E" w14:textId="5337E020" w:rsidR="134C751A" w:rsidRPr="004554AB" w:rsidRDefault="134C751A" w:rsidP="004554AB">
      <w:pPr>
        <w:spacing w:line="276" w:lineRule="auto"/>
        <w:jc w:val="both"/>
        <w:rPr>
          <w:rFonts w:ascii="Arial" w:eastAsia="Times New Roman" w:hAnsi="Arial" w:cs="Arial"/>
          <w:color w:val="000000" w:themeColor="text1"/>
        </w:rPr>
      </w:pPr>
    </w:p>
    <w:p w14:paraId="5B4101A3" w14:textId="4EB6CCD5" w:rsidR="00FF5601" w:rsidRPr="004554AB" w:rsidRDefault="00C7699A" w:rsidP="004554AB">
      <w:pPr>
        <w:pStyle w:val="Heading2"/>
        <w:spacing w:line="276" w:lineRule="auto"/>
        <w:jc w:val="both"/>
        <w:rPr>
          <w:rFonts w:ascii="Arial" w:hAnsi="Arial" w:cs="Arial"/>
          <w:color w:val="000000" w:themeColor="text1"/>
          <w:sz w:val="24"/>
          <w:szCs w:val="24"/>
        </w:rPr>
      </w:pPr>
      <w:bookmarkStart w:id="3" w:name="_Toc228228536"/>
      <w:r w:rsidRPr="004554AB">
        <w:rPr>
          <w:rFonts w:ascii="Arial" w:hAnsi="Arial" w:cs="Arial"/>
          <w:color w:val="000000" w:themeColor="text1"/>
          <w:sz w:val="24"/>
          <w:szCs w:val="24"/>
        </w:rPr>
        <w:lastRenderedPageBreak/>
        <w:t>2.0</w:t>
      </w:r>
      <w:r w:rsidR="00FF5601" w:rsidRPr="004554AB">
        <w:rPr>
          <w:rFonts w:ascii="Arial" w:hAnsi="Arial" w:cs="Arial"/>
          <w:color w:val="000000" w:themeColor="text1"/>
          <w:sz w:val="24"/>
          <w:szCs w:val="24"/>
        </w:rPr>
        <w:t xml:space="preserve"> Main Body: Systems Thinking to Identify the Problem</w:t>
      </w:r>
      <w:bookmarkEnd w:id="3"/>
    </w:p>
    <w:p w14:paraId="7F03344F" w14:textId="77777777" w:rsidR="008503A7" w:rsidRPr="004554AB" w:rsidRDefault="008503A7" w:rsidP="004554AB">
      <w:pPr>
        <w:spacing w:after="0" w:line="276" w:lineRule="auto"/>
        <w:jc w:val="both"/>
        <w:rPr>
          <w:rFonts w:ascii="Arial" w:eastAsiaTheme="minorEastAsia" w:hAnsi="Arial" w:cs="Arial"/>
          <w:color w:val="000000" w:themeColor="text1"/>
          <w:kern w:val="0"/>
          <w:lang w:eastAsia="en-GB"/>
          <w14:ligatures w14:val="none"/>
        </w:rPr>
      </w:pPr>
      <w:r w:rsidRPr="004554AB">
        <w:rPr>
          <w:rFonts w:ascii="Arial" w:eastAsiaTheme="minorEastAsia" w:hAnsi="Arial" w:cs="Arial"/>
          <w:color w:val="000000" w:themeColor="text1"/>
          <w:kern w:val="0"/>
          <w:lang w:eastAsia="en-GB"/>
          <w14:ligatures w14:val="none"/>
        </w:rPr>
        <w:t>The infant morphine overdose case indicates a</w:t>
      </w:r>
    </w:p>
    <w:p w14:paraId="06345DD8" w14:textId="1B44F31C" w:rsidR="008503A7" w:rsidRPr="004554AB" w:rsidRDefault="008503A7" w:rsidP="004554AB">
      <w:pPr>
        <w:spacing w:after="0" w:line="276" w:lineRule="auto"/>
        <w:jc w:val="both"/>
        <w:rPr>
          <w:rFonts w:ascii="Arial" w:eastAsiaTheme="minorEastAsia" w:hAnsi="Arial" w:cs="Arial"/>
          <w:i/>
          <w:iCs/>
          <w:color w:val="000000" w:themeColor="text1"/>
          <w:kern w:val="0"/>
          <w:lang w:eastAsia="en-GB"/>
          <w14:ligatures w14:val="none"/>
        </w:rPr>
      </w:pPr>
      <w:r w:rsidRPr="004554AB">
        <w:rPr>
          <w:rFonts w:ascii="Arial" w:eastAsiaTheme="minorEastAsia" w:hAnsi="Arial" w:cs="Arial"/>
          <w:color w:val="000000" w:themeColor="text1"/>
          <w:kern w:val="0"/>
          <w:lang w:eastAsia="en-GB"/>
          <w14:ligatures w14:val="none"/>
        </w:rPr>
        <w:t>breakdown in the medication pathway, with failures in risk management at key stages including prescribing, dispensing, and communication. A system-driven view of healthcare safety is therefore required, as it is not based on linear cause-and-effect relationships but on system-related actions and interactions between human actors,</w:t>
      </w:r>
      <w:r w:rsidR="00CC63E5" w:rsidRPr="004554AB">
        <w:rPr>
          <w:rFonts w:ascii="Arial" w:eastAsiaTheme="minorEastAsia" w:hAnsi="Arial" w:cs="Arial"/>
          <w:color w:val="000000" w:themeColor="text1"/>
          <w:kern w:val="0"/>
          <w:lang w:eastAsia="en-GB"/>
          <w14:ligatures w14:val="none"/>
        </w:rPr>
        <w:t xml:space="preserve"> </w:t>
      </w:r>
      <w:r w:rsidRPr="004554AB">
        <w:rPr>
          <w:rFonts w:ascii="Arial" w:eastAsiaTheme="minorEastAsia" w:hAnsi="Arial" w:cs="Arial"/>
          <w:color w:val="000000" w:themeColor="text1"/>
          <w:kern w:val="0"/>
          <w:lang w:eastAsia="en-GB"/>
          <w14:ligatures w14:val="none"/>
        </w:rPr>
        <w:t xml:space="preserve">organisational processes, and technological systems (Braithwaite </w:t>
      </w:r>
      <w:r w:rsidRPr="004554AB">
        <w:rPr>
          <w:rFonts w:ascii="Arial" w:eastAsiaTheme="minorEastAsia" w:hAnsi="Arial" w:cs="Arial"/>
          <w:i/>
          <w:iCs/>
          <w:color w:val="000000" w:themeColor="text1"/>
          <w:kern w:val="0"/>
          <w:lang w:eastAsia="en-GB"/>
          <w14:ligatures w14:val="none"/>
        </w:rPr>
        <w:t>et al.,</w:t>
      </w:r>
      <w:r w:rsidRPr="004554AB">
        <w:rPr>
          <w:rFonts w:ascii="Arial" w:eastAsiaTheme="minorEastAsia" w:hAnsi="Arial" w:cs="Arial"/>
          <w:color w:val="000000" w:themeColor="text1"/>
          <w:kern w:val="0"/>
          <w:lang w:eastAsia="en-GB"/>
          <w14:ligatures w14:val="none"/>
        </w:rPr>
        <w:t xml:space="preserve"> 2018; </w:t>
      </w:r>
      <w:proofErr w:type="spellStart"/>
      <w:r w:rsidRPr="004554AB">
        <w:rPr>
          <w:rFonts w:ascii="Arial" w:eastAsiaTheme="minorEastAsia" w:hAnsi="Arial" w:cs="Arial"/>
          <w:color w:val="000000" w:themeColor="text1"/>
          <w:kern w:val="0"/>
          <w:lang w:eastAsia="en-GB"/>
          <w14:ligatures w14:val="none"/>
        </w:rPr>
        <w:t>Carayon</w:t>
      </w:r>
      <w:proofErr w:type="spellEnd"/>
      <w:r w:rsidRPr="004554AB">
        <w:rPr>
          <w:rFonts w:ascii="Arial" w:eastAsiaTheme="minorEastAsia" w:hAnsi="Arial" w:cs="Arial"/>
          <w:color w:val="000000" w:themeColor="text1"/>
          <w:kern w:val="0"/>
          <w:lang w:eastAsia="en-GB"/>
          <w14:ligatures w14:val="none"/>
        </w:rPr>
        <w:t xml:space="preserve"> </w:t>
      </w:r>
      <w:r w:rsidRPr="004554AB">
        <w:rPr>
          <w:rFonts w:ascii="Arial" w:eastAsiaTheme="minorEastAsia" w:hAnsi="Arial" w:cs="Arial"/>
          <w:i/>
          <w:iCs/>
          <w:color w:val="000000" w:themeColor="text1"/>
          <w:kern w:val="0"/>
          <w:lang w:eastAsia="en-GB"/>
          <w14:ligatures w14:val="none"/>
        </w:rPr>
        <w:t>et al.,</w:t>
      </w:r>
    </w:p>
    <w:p w14:paraId="2200D614" w14:textId="77777777" w:rsidR="008503A7" w:rsidRPr="004554AB" w:rsidRDefault="008503A7" w:rsidP="004554AB">
      <w:pPr>
        <w:spacing w:after="0" w:line="276" w:lineRule="auto"/>
        <w:jc w:val="both"/>
        <w:rPr>
          <w:rFonts w:ascii="Arial" w:eastAsiaTheme="minorEastAsia" w:hAnsi="Arial" w:cs="Arial"/>
          <w:color w:val="000000" w:themeColor="text1"/>
          <w:kern w:val="0"/>
          <w:lang w:eastAsia="en-GB"/>
          <w14:ligatures w14:val="none"/>
        </w:rPr>
      </w:pPr>
      <w:r w:rsidRPr="004554AB">
        <w:rPr>
          <w:rFonts w:ascii="Arial" w:eastAsiaTheme="minorEastAsia" w:hAnsi="Arial" w:cs="Arial"/>
          <w:color w:val="000000" w:themeColor="text1"/>
          <w:kern w:val="0"/>
          <w:lang w:eastAsia="en-GB"/>
          <w14:ligatures w14:val="none"/>
        </w:rPr>
        <w:t>2014).</w:t>
      </w:r>
    </w:p>
    <w:p w14:paraId="32D68D26" w14:textId="58A80864" w:rsidR="1F5933A3" w:rsidRPr="004554AB" w:rsidRDefault="7ABF59B0" w:rsidP="004554AB">
      <w:pPr>
        <w:spacing w:before="240" w:after="240" w:line="276" w:lineRule="auto"/>
        <w:jc w:val="both"/>
        <w:rPr>
          <w:rFonts w:ascii="Arial" w:eastAsia="Arial" w:hAnsi="Arial" w:cs="Arial"/>
          <w:color w:val="000000" w:themeColor="text1"/>
        </w:rPr>
      </w:pPr>
      <w:r w:rsidRPr="004554AB">
        <w:rPr>
          <w:rFonts w:ascii="Arial" w:eastAsia="Arial" w:hAnsi="Arial" w:cs="Arial"/>
          <w:color w:val="000000" w:themeColor="text1"/>
        </w:rPr>
        <w:t xml:space="preserve">In the case study, the first problem occurred at the prescribing stage, where there was confusion regarding the morphine concentration and formulation. The risks associated with paediatric prescribing are particularly high because dosing is weight-based, drug formulations may vary, and there is often a narrow therapeutic window. Evidence shows that errors in paediatric treatment are significantly more common (Alghamdi </w:t>
      </w:r>
      <w:r w:rsidRPr="004554AB">
        <w:rPr>
          <w:rFonts w:ascii="Arial" w:eastAsia="Arial" w:hAnsi="Arial" w:cs="Arial"/>
          <w:i/>
          <w:iCs/>
          <w:color w:val="000000" w:themeColor="text1"/>
        </w:rPr>
        <w:t>et al.</w:t>
      </w:r>
      <w:r w:rsidRPr="004554AB">
        <w:rPr>
          <w:rFonts w:ascii="Arial" w:eastAsia="Arial" w:hAnsi="Arial" w:cs="Arial"/>
          <w:color w:val="000000" w:themeColor="text1"/>
        </w:rPr>
        <w:t xml:space="preserve">, 2019; </w:t>
      </w:r>
      <w:proofErr w:type="spellStart"/>
      <w:r w:rsidRPr="004554AB">
        <w:rPr>
          <w:rFonts w:ascii="Arial" w:eastAsia="Arial" w:hAnsi="Arial" w:cs="Arial"/>
          <w:color w:val="000000" w:themeColor="text1"/>
        </w:rPr>
        <w:t>Kaushal</w:t>
      </w:r>
      <w:proofErr w:type="spellEnd"/>
      <w:r w:rsidRPr="004554AB">
        <w:rPr>
          <w:rFonts w:ascii="Arial" w:eastAsia="Arial" w:hAnsi="Arial" w:cs="Arial"/>
          <w:color w:val="000000" w:themeColor="text1"/>
        </w:rPr>
        <w:t xml:space="preserve"> </w:t>
      </w:r>
      <w:r w:rsidRPr="004554AB">
        <w:rPr>
          <w:rFonts w:ascii="Arial" w:eastAsia="Arial" w:hAnsi="Arial" w:cs="Arial"/>
          <w:i/>
          <w:iCs/>
          <w:color w:val="000000" w:themeColor="text1"/>
        </w:rPr>
        <w:t>et al.</w:t>
      </w:r>
      <w:r w:rsidRPr="004554AB">
        <w:rPr>
          <w:rFonts w:ascii="Arial" w:eastAsia="Arial" w:hAnsi="Arial" w:cs="Arial"/>
          <w:color w:val="000000" w:themeColor="text1"/>
        </w:rPr>
        <w:t>, 2001). This complexity introduces substantial risk, as clinicians must calculate doses using formulas tailored to each patient, increasing the likelihood of error. In the morphine case, this complexity contributed to a situation in which an incorrect dosage was prescribed without being recognised or immediately flagged as dangerous.</w:t>
      </w:r>
    </w:p>
    <w:p w14:paraId="5D839282" w14:textId="0599096A" w:rsidR="00C97664" w:rsidRPr="004554AB" w:rsidRDefault="00C97664" w:rsidP="004554AB">
      <w:pPr>
        <w:pStyle w:val="w7sjnrxzl6krnffuzhqe"/>
        <w:spacing w:after="150" w:line="276" w:lineRule="auto"/>
        <w:jc w:val="both"/>
        <w:textAlignment w:val="baseline"/>
        <w:rPr>
          <w:rFonts w:ascii="Arial" w:hAnsi="Arial" w:cs="Arial"/>
          <w:color w:val="000000" w:themeColor="text1"/>
        </w:rPr>
      </w:pPr>
      <w:r w:rsidRPr="004554AB">
        <w:rPr>
          <w:rFonts w:ascii="Arial" w:hAnsi="Arial" w:cs="Arial"/>
          <w:color w:val="000000" w:themeColor="text1"/>
          <w:spacing w:val="8"/>
        </w:rPr>
        <w:t xml:space="preserve">The second important failure took place during drug dispensing in a community pharmacy where an incorrect medicine formulation for morphine was provided. In the case of dispensing processes, a product of the system is meant as a safety barrier to warn against prescribing errors. But the pharmacy did not </w:t>
      </w:r>
      <w:r w:rsidR="007163CE" w:rsidRPr="004554AB">
        <w:rPr>
          <w:rFonts w:ascii="Arial" w:hAnsi="Arial" w:cs="Arial"/>
          <w:color w:val="000000" w:themeColor="text1"/>
          <w:spacing w:val="8"/>
        </w:rPr>
        <w:t>recognise</w:t>
      </w:r>
      <w:r w:rsidRPr="004554AB">
        <w:rPr>
          <w:rFonts w:ascii="Arial" w:hAnsi="Arial" w:cs="Arial"/>
          <w:color w:val="000000" w:themeColor="text1"/>
          <w:spacing w:val="8"/>
        </w:rPr>
        <w:t xml:space="preserve"> the difference in drug concentration, which reflects a system failure rather than an individual oversight. The Swiss cheese model of Reason (2000) explains why harm can occur when numerous layers of defence are not in place during product deliveries, allowing latent hazards to align. These prescribing and dispensing mechanisms were also not sufficient to capture the error. In the absence of standardised concentration checks or decision-support systems, pharmacy personnel were required to carry out a significant amount of manual checks that are generally unreliable under stress and cognitive pressure (</w:t>
      </w:r>
      <w:proofErr w:type="spellStart"/>
      <w:r w:rsidRPr="004554AB">
        <w:rPr>
          <w:rFonts w:ascii="Arial" w:hAnsi="Arial" w:cs="Arial"/>
          <w:color w:val="000000" w:themeColor="text1"/>
          <w:spacing w:val="8"/>
        </w:rPr>
        <w:t>Hollnagel</w:t>
      </w:r>
      <w:proofErr w:type="spellEnd"/>
      <w:r w:rsidRPr="004554AB">
        <w:rPr>
          <w:rFonts w:ascii="Arial" w:hAnsi="Arial" w:cs="Arial"/>
          <w:color w:val="000000" w:themeColor="text1"/>
          <w:spacing w:val="8"/>
        </w:rPr>
        <w:t>, 2014).</w:t>
      </w:r>
    </w:p>
    <w:p w14:paraId="05AE094C" w14:textId="20D764B0" w:rsidR="00C97664" w:rsidRPr="004554AB" w:rsidRDefault="12B85CFD" w:rsidP="004554AB">
      <w:pPr>
        <w:pStyle w:val="w7sjnrxzl6krnffuzhqe"/>
        <w:spacing w:after="150" w:line="276" w:lineRule="auto"/>
        <w:jc w:val="both"/>
        <w:textAlignment w:val="baseline"/>
        <w:rPr>
          <w:rFonts w:ascii="Arial" w:eastAsia="Arial" w:hAnsi="Arial" w:cs="Arial"/>
          <w:color w:val="000000" w:themeColor="text1"/>
          <w:spacing w:val="8"/>
        </w:rPr>
      </w:pPr>
      <w:r w:rsidRPr="004554AB">
        <w:rPr>
          <w:rFonts w:ascii="Arial" w:eastAsia="Arial" w:hAnsi="Arial" w:cs="Arial"/>
          <w:color w:val="000000" w:themeColor="text1"/>
        </w:rPr>
        <w:t xml:space="preserve">During transitions of care, particularly at discharge from hospital to primary care and community pharmacy failures can occur. The morphine overdose pathway involved hospital physicians, general practitioners, pharmacists, and caregivers. As shown by Dinh </w:t>
      </w:r>
      <w:r w:rsidRPr="004554AB">
        <w:rPr>
          <w:rFonts w:ascii="Arial" w:eastAsia="Arial" w:hAnsi="Arial" w:cs="Arial"/>
          <w:i/>
          <w:iCs/>
          <w:color w:val="000000" w:themeColor="text1"/>
        </w:rPr>
        <w:t>et al.,</w:t>
      </w:r>
      <w:r w:rsidRPr="004554AB">
        <w:rPr>
          <w:rFonts w:ascii="Arial" w:eastAsia="Arial" w:hAnsi="Arial" w:cs="Arial"/>
          <w:color w:val="000000" w:themeColor="text1"/>
        </w:rPr>
        <w:t xml:space="preserve"> (2024), medication safety is often compromised during such transitions due to fragmented communication, incomplete information transfer, and limited interoperability between systems. </w:t>
      </w:r>
      <w:r w:rsidR="51A5A879" w:rsidRPr="004554AB">
        <w:rPr>
          <w:rFonts w:ascii="Arial" w:eastAsia="Arial" w:hAnsi="Arial" w:cs="Arial"/>
          <w:color w:val="000000" w:themeColor="text1"/>
        </w:rPr>
        <w:t xml:space="preserve">The discharge process was not sufficiently clear or standardised in terms of medication instructions, so many downstream professionals had to interpret rather than verify the medical decisions made, which meant those who take medication could not follow up properly. The discontinuity of this information </w:t>
      </w:r>
      <w:r w:rsidR="51A5A879" w:rsidRPr="004554AB">
        <w:rPr>
          <w:rFonts w:ascii="Arial" w:eastAsia="Arial" w:hAnsi="Arial" w:cs="Arial"/>
          <w:color w:val="000000" w:themeColor="text1"/>
        </w:rPr>
        <w:lastRenderedPageBreak/>
        <w:t>allowed the incorrect concentration to persist unchallenged across organisational boundaries.</w:t>
      </w:r>
    </w:p>
    <w:p w14:paraId="216C6C04" w14:textId="4E6AE9F9" w:rsidR="00C97664" w:rsidRPr="004554AB" w:rsidRDefault="00C97664" w:rsidP="004554AB">
      <w:pPr>
        <w:pStyle w:val="w7sjnrxzl6krnffuzhqe"/>
        <w:spacing w:after="150" w:line="276" w:lineRule="auto"/>
        <w:jc w:val="both"/>
        <w:textAlignment w:val="baseline"/>
        <w:rPr>
          <w:rFonts w:ascii="Arial" w:hAnsi="Arial" w:cs="Arial"/>
          <w:color w:val="000000" w:themeColor="text1"/>
          <w:spacing w:val="8"/>
        </w:rPr>
      </w:pPr>
      <w:r w:rsidRPr="004554AB">
        <w:rPr>
          <w:rFonts w:ascii="Arial" w:hAnsi="Arial" w:cs="Arial"/>
          <w:color w:val="000000" w:themeColor="text1"/>
          <w:spacing w:val="8"/>
        </w:rPr>
        <w:t xml:space="preserve">A governance plan is a key part of understanding why the failures were not prevented. At the national level, care in the NHS relies on centralised safety policies designed to standardise high-risk medication practices, including restrictions on certain drugs (i.e. “red drug” or hospital-only classifications). These controls are only effective if they are consistently implemented at local levels. Poor governance in the morphine case did not enforce appropriate prescribing restrictions or provide adequate safeguards. This reflects a breakdown in the relationship between centralisation and decentralisation: while national policies existed, local systems did not reliably translate these policies into practice. Elliott </w:t>
      </w:r>
      <w:r w:rsidRPr="004554AB">
        <w:rPr>
          <w:rFonts w:ascii="Arial" w:hAnsi="Arial" w:cs="Arial"/>
          <w:i/>
          <w:iCs/>
          <w:color w:val="000000" w:themeColor="text1"/>
          <w:spacing w:val="8"/>
        </w:rPr>
        <w:t>et al.</w:t>
      </w:r>
      <w:r w:rsidR="6C9317E2" w:rsidRPr="004554AB">
        <w:rPr>
          <w:rFonts w:ascii="Arial" w:hAnsi="Arial" w:cs="Arial"/>
          <w:i/>
          <w:iCs/>
          <w:color w:val="000000" w:themeColor="text1"/>
          <w:spacing w:val="8"/>
        </w:rPr>
        <w:t>,</w:t>
      </w:r>
      <w:r w:rsidRPr="004554AB">
        <w:rPr>
          <w:rFonts w:ascii="Arial" w:hAnsi="Arial" w:cs="Arial"/>
          <w:i/>
          <w:iCs/>
          <w:color w:val="000000" w:themeColor="text1"/>
          <w:spacing w:val="8"/>
        </w:rPr>
        <w:t xml:space="preserve"> </w:t>
      </w:r>
      <w:r w:rsidRPr="004554AB">
        <w:rPr>
          <w:rFonts w:ascii="Arial" w:hAnsi="Arial" w:cs="Arial"/>
          <w:color w:val="000000" w:themeColor="text1"/>
          <w:spacing w:val="8"/>
        </w:rPr>
        <w:t>(2021) describe the scale of medication-related harm in England, estimating 237 million errors annually, suggesting that such governance failures are systemic rather than exceptional.</w:t>
      </w:r>
    </w:p>
    <w:p w14:paraId="47D630DD" w14:textId="270E7397" w:rsidR="00C97664" w:rsidRPr="004554AB" w:rsidRDefault="00C97664" w:rsidP="004554AB">
      <w:pPr>
        <w:pStyle w:val="w7sjnrxzl6krnffuzhqe"/>
        <w:spacing w:after="150" w:line="276" w:lineRule="auto"/>
        <w:jc w:val="both"/>
        <w:textAlignment w:val="baseline"/>
        <w:rPr>
          <w:rFonts w:ascii="Arial" w:hAnsi="Arial" w:cs="Arial"/>
          <w:color w:val="000000" w:themeColor="text1"/>
          <w:spacing w:val="8"/>
        </w:rPr>
      </w:pPr>
      <w:r w:rsidRPr="004554AB">
        <w:rPr>
          <w:rFonts w:ascii="Arial" w:hAnsi="Arial" w:cs="Arial"/>
          <w:color w:val="000000" w:themeColor="text1"/>
          <w:spacing w:val="8"/>
        </w:rPr>
        <w:t xml:space="preserve">This incident also points to limitations in organisational learning and feedback loops from a systems perspective. Braithwaite </w:t>
      </w:r>
      <w:r w:rsidRPr="004554AB">
        <w:rPr>
          <w:rFonts w:ascii="Arial" w:hAnsi="Arial" w:cs="Arial"/>
          <w:i/>
          <w:iCs/>
          <w:color w:val="000000" w:themeColor="text1"/>
          <w:spacing w:val="8"/>
        </w:rPr>
        <w:t>et al.</w:t>
      </w:r>
      <w:r w:rsidR="3B160630" w:rsidRPr="004554AB">
        <w:rPr>
          <w:rFonts w:ascii="Arial" w:hAnsi="Arial" w:cs="Arial"/>
          <w:color w:val="000000" w:themeColor="text1"/>
          <w:spacing w:val="8"/>
        </w:rPr>
        <w:t xml:space="preserve">, </w:t>
      </w:r>
      <w:r w:rsidRPr="004554AB">
        <w:rPr>
          <w:rFonts w:ascii="Arial" w:hAnsi="Arial" w:cs="Arial"/>
          <w:color w:val="000000" w:themeColor="text1"/>
          <w:spacing w:val="8"/>
        </w:rPr>
        <w:t>(2018) point out that strong and sustainable safety in this context comes down to continuous feedback and coordinated action across organisational levels. However, the recurrence of similar medication errors suggests that incident reporting mechanisms are not effectively translating learning into system redesign. For the morphine case, previous knowledge of paediatric dosing risks and high-alert medication errors should have triggered stronger safeguards, such as standardised prescribing protocols or digital decision support. The absence of such measures indicates that feedback loops between detection and redesign were either too slow or insufficiently integrated across governance levels.</w:t>
      </w:r>
    </w:p>
    <w:p w14:paraId="26168676" w14:textId="0C7E8DCE" w:rsidR="00C97664" w:rsidRPr="004554AB" w:rsidRDefault="00C97664" w:rsidP="004554AB">
      <w:pPr>
        <w:pStyle w:val="w7sjnrxzl6krnffuzhqe"/>
        <w:spacing w:after="150" w:line="276" w:lineRule="auto"/>
        <w:jc w:val="both"/>
        <w:textAlignment w:val="baseline"/>
        <w:rPr>
          <w:rFonts w:ascii="Arial" w:hAnsi="Arial" w:cs="Arial"/>
          <w:color w:val="000000" w:themeColor="text1"/>
          <w:spacing w:val="8"/>
        </w:rPr>
      </w:pPr>
      <w:r w:rsidRPr="004554AB">
        <w:rPr>
          <w:rFonts w:ascii="Arial" w:hAnsi="Arial" w:cs="Arial"/>
          <w:color w:val="000000" w:themeColor="text1"/>
          <w:spacing w:val="8"/>
        </w:rPr>
        <w:t xml:space="preserve">Critically, the case </w:t>
      </w:r>
      <w:r w:rsidR="00E00DD4" w:rsidRPr="004554AB">
        <w:rPr>
          <w:rFonts w:ascii="Arial" w:hAnsi="Arial" w:cs="Arial"/>
          <w:color w:val="000000" w:themeColor="text1"/>
          <w:spacing w:val="8"/>
        </w:rPr>
        <w:t>shows</w:t>
      </w:r>
      <w:r w:rsidRPr="004554AB">
        <w:rPr>
          <w:rFonts w:ascii="Arial" w:hAnsi="Arial" w:cs="Arial"/>
          <w:color w:val="000000" w:themeColor="text1"/>
          <w:spacing w:val="8"/>
        </w:rPr>
        <w:t xml:space="preserve"> that reliance on human vigilance is an inadequate safety strategy. While it could be argued that individual professionals should have identified the error, extensive evidence shows that human performance is inherently limited in complex, high-pressure environments (</w:t>
      </w:r>
      <w:proofErr w:type="spellStart"/>
      <w:r w:rsidRPr="004554AB">
        <w:rPr>
          <w:rFonts w:ascii="Arial" w:hAnsi="Arial" w:cs="Arial"/>
          <w:color w:val="000000" w:themeColor="text1"/>
          <w:spacing w:val="8"/>
        </w:rPr>
        <w:t>Carayon</w:t>
      </w:r>
      <w:proofErr w:type="spellEnd"/>
      <w:r w:rsidRPr="004554AB">
        <w:rPr>
          <w:rFonts w:ascii="Arial" w:hAnsi="Arial" w:cs="Arial"/>
          <w:color w:val="000000" w:themeColor="text1"/>
          <w:spacing w:val="8"/>
        </w:rPr>
        <w:t xml:space="preserve"> </w:t>
      </w:r>
      <w:r w:rsidRPr="004554AB">
        <w:rPr>
          <w:rFonts w:ascii="Arial" w:hAnsi="Arial" w:cs="Arial"/>
          <w:i/>
          <w:iCs/>
          <w:color w:val="000000" w:themeColor="text1"/>
          <w:spacing w:val="8"/>
        </w:rPr>
        <w:t>et al.</w:t>
      </w:r>
      <w:r w:rsidRPr="004554AB">
        <w:rPr>
          <w:rFonts w:ascii="Arial" w:hAnsi="Arial" w:cs="Arial"/>
          <w:color w:val="000000" w:themeColor="text1"/>
          <w:spacing w:val="8"/>
        </w:rPr>
        <w:t>, 2014). Systems that depend on memory, attention and manual checking are particularly vulnerable to failure. Instead, high-reliability organisations prioritise engineered safeguards that reduce reliance on individual performance. In this case, the lack of automated dose checking, standardised formulations and interoperable digital systems meant that the medication pathway remained dependent on human interpretation rather than system control</w:t>
      </w:r>
      <w:r w:rsidR="004869CB" w:rsidRPr="004554AB">
        <w:rPr>
          <w:rFonts w:ascii="Arial" w:hAnsi="Arial" w:cs="Arial"/>
          <w:color w:val="000000" w:themeColor="text1"/>
          <w:spacing w:val="8"/>
        </w:rPr>
        <w:t>.</w:t>
      </w:r>
    </w:p>
    <w:p w14:paraId="599D62FB" w14:textId="3B023172" w:rsidR="00C97664" w:rsidRPr="004554AB" w:rsidRDefault="00C97664"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r w:rsidRPr="004554AB">
        <w:rPr>
          <w:rFonts w:ascii="Arial" w:hAnsi="Arial" w:cs="Arial"/>
          <w:color w:val="000000" w:themeColor="text1"/>
          <w:spacing w:val="8"/>
        </w:rPr>
        <w:t xml:space="preserve">Overall, the infant morphine overdose illustrates how medication safety failures emerge from the interaction of multiple system weaknesses rather than a single point of error. The prescribing process introduced ambiguity, the dispensing process failed to detect it, communication across transitions was fragmented, and governance mechanisms did not enforce adequate safeguards. These </w:t>
      </w:r>
      <w:r w:rsidRPr="004554AB">
        <w:rPr>
          <w:rFonts w:ascii="Arial" w:hAnsi="Arial" w:cs="Arial"/>
          <w:color w:val="000000" w:themeColor="text1"/>
          <w:spacing w:val="8"/>
        </w:rPr>
        <w:lastRenderedPageBreak/>
        <w:t>failures were compounded by weak feedback loops and over-reliance on human vigilance. Consequently, improving medication safety requires system-level redesign that strengthens standardisation, enhances communication and integrates technological safeguards, rather than focusing solely on individual accountability.</w:t>
      </w:r>
    </w:p>
    <w:p w14:paraId="3797FE7B" w14:textId="77777777" w:rsidR="00491544" w:rsidRPr="004554AB" w:rsidRDefault="00D67849" w:rsidP="004554AB">
      <w:pPr>
        <w:pStyle w:val="Heading2"/>
        <w:spacing w:line="276" w:lineRule="auto"/>
        <w:jc w:val="both"/>
        <w:rPr>
          <w:rFonts w:ascii="Arial" w:hAnsi="Arial" w:cs="Arial"/>
          <w:color w:val="000000" w:themeColor="text1"/>
          <w:sz w:val="24"/>
          <w:szCs w:val="24"/>
          <w:shd w:val="clear" w:color="auto" w:fill="FFFFFF"/>
        </w:rPr>
      </w:pPr>
      <w:bookmarkStart w:id="4" w:name="_Toc228228537"/>
      <w:r w:rsidRPr="004554AB">
        <w:rPr>
          <w:rFonts w:ascii="Arial" w:hAnsi="Arial" w:cs="Arial"/>
          <w:color w:val="000000" w:themeColor="text1"/>
          <w:sz w:val="24"/>
          <w:szCs w:val="24"/>
          <w:shd w:val="clear" w:color="auto" w:fill="FFFFFF"/>
        </w:rPr>
        <w:t>2.1 Identify the problem and give systems context.</w:t>
      </w:r>
      <w:bookmarkEnd w:id="4"/>
    </w:p>
    <w:p w14:paraId="56D03E62" w14:textId="3154076E" w:rsidR="00400931" w:rsidRPr="004554AB" w:rsidRDefault="00400931"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p>
    <w:p w14:paraId="4CE70B5E" w14:textId="7FADE392" w:rsidR="009468D6" w:rsidRPr="004554AB" w:rsidRDefault="00400931"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 xml:space="preserve">Medication-related harm is a significant patient safety concern worldwide, with approximately one in twenty patients suffering preventable medication harm (World Health Organisation, 2017; 2023). This burden is both clinical and economic, with health systems spending billions annually, mainly among high-risk demographics, such as children. The infant morphine overdose, therefore, is not an arbitrary mistake in prescribing but a predictable consequence of structural deficits in the management of medications. It is symptomatic of a larger failure of health care systems, the medical care </w:t>
      </w:r>
      <w:r w:rsidR="009468D6" w:rsidRPr="004554AB">
        <w:rPr>
          <w:rFonts w:ascii="Arial" w:eastAsia="Times New Roman" w:hAnsi="Arial" w:cs="Arial"/>
          <w:color w:val="000000" w:themeColor="text1"/>
          <w:spacing w:val="8"/>
          <w:shd w:val="clear" w:color="auto" w:fill="FFFFFF"/>
        </w:rPr>
        <w:t>system, to</w:t>
      </w:r>
      <w:r w:rsidRPr="004554AB">
        <w:rPr>
          <w:rFonts w:ascii="Arial" w:eastAsia="Times New Roman" w:hAnsi="Arial" w:cs="Arial"/>
          <w:color w:val="000000" w:themeColor="text1"/>
          <w:spacing w:val="8"/>
          <w:shd w:val="clear" w:color="auto" w:fill="FFFFFF"/>
        </w:rPr>
        <w:t xml:space="preserve"> effectively regulate established high-risk drugs.</w:t>
      </w:r>
    </w:p>
    <w:p w14:paraId="32C815AF" w14:textId="1E71B4DD" w:rsidR="00531FD2" w:rsidRPr="004554AB" w:rsidRDefault="00400931"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 xml:space="preserve">At a national level, these data help anchor this systemic interpretation and point toward a broader societal understanding of medication error. More than 237 million medication errors occur each year in England and cause substantial avoidable harm, with a cost of around £98 million (Elliott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2021). Paediatric patients have a greater risk than adults (</w:t>
      </w:r>
      <w:proofErr w:type="spellStart"/>
      <w:r w:rsidRPr="004554AB">
        <w:rPr>
          <w:rFonts w:ascii="Arial" w:eastAsia="Times New Roman" w:hAnsi="Arial" w:cs="Arial"/>
          <w:color w:val="000000" w:themeColor="text1"/>
          <w:spacing w:val="8"/>
          <w:shd w:val="clear" w:color="auto" w:fill="FFFFFF"/>
        </w:rPr>
        <w:t>Kaushal</w:t>
      </w:r>
      <w:proofErr w:type="spellEnd"/>
      <w:r w:rsidRPr="004554AB">
        <w:rPr>
          <w:rFonts w:ascii="Arial" w:eastAsia="Times New Roman" w:hAnsi="Arial" w:cs="Arial"/>
          <w:color w:val="000000" w:themeColor="text1"/>
          <w:spacing w:val="8"/>
          <w:shd w:val="clear" w:color="auto" w:fill="FFFFFF"/>
        </w:rPr>
        <w:t xml:space="preserve">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2001), with errors being more than tripled due to weight-based dosing, variable pharmacokinetic profile and narrow therapeutic margins (</w:t>
      </w:r>
      <w:proofErr w:type="spellStart"/>
      <w:r w:rsidRPr="004554AB">
        <w:rPr>
          <w:rFonts w:ascii="Arial" w:eastAsia="Times New Roman" w:hAnsi="Arial" w:cs="Arial"/>
          <w:color w:val="000000" w:themeColor="text1"/>
          <w:spacing w:val="8"/>
          <w:shd w:val="clear" w:color="auto" w:fill="FFFFFF"/>
        </w:rPr>
        <w:t>D’Errico</w:t>
      </w:r>
      <w:proofErr w:type="spellEnd"/>
      <w:r w:rsidRPr="004554AB">
        <w:rPr>
          <w:rFonts w:ascii="Arial" w:eastAsia="Times New Roman" w:hAnsi="Arial" w:cs="Arial"/>
          <w:color w:val="000000" w:themeColor="text1"/>
          <w:spacing w:val="8"/>
          <w:shd w:val="clear" w:color="auto" w:fill="FFFFFF"/>
        </w:rPr>
        <w:t xml:space="preserve">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xml:space="preserve">, 2022; </w:t>
      </w:r>
      <w:proofErr w:type="spellStart"/>
      <w:r w:rsidRPr="004554AB">
        <w:rPr>
          <w:rFonts w:ascii="Arial" w:eastAsia="Times New Roman" w:hAnsi="Arial" w:cs="Arial"/>
          <w:color w:val="000000" w:themeColor="text1"/>
          <w:spacing w:val="8"/>
          <w:shd w:val="clear" w:color="auto" w:fill="FFFFFF"/>
        </w:rPr>
        <w:t>Huynh</w:t>
      </w:r>
      <w:proofErr w:type="spellEnd"/>
      <w:r w:rsidRPr="004554AB">
        <w:rPr>
          <w:rFonts w:ascii="Arial" w:eastAsia="Times New Roman" w:hAnsi="Arial" w:cs="Arial"/>
          <w:color w:val="000000" w:themeColor="text1"/>
          <w:spacing w:val="8"/>
          <w:shd w:val="clear" w:color="auto" w:fill="FFFFFF"/>
        </w:rPr>
        <w:t xml:space="preserve">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2017). The problem of morphine overdose occurs in this high-risk context where the dosing complexity should need system-level protections instead of individual calculation, which suggests that an entity that is known to be a vulnerable group may have been inadequately protected.</w:t>
      </w:r>
    </w:p>
    <w:p w14:paraId="0583A627" w14:textId="7A235620" w:rsidR="00531FD2" w:rsidRPr="004554AB" w:rsidRDefault="00400931"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 xml:space="preserve">At </w:t>
      </w:r>
      <w:r w:rsidR="00FF793E" w:rsidRPr="004554AB">
        <w:rPr>
          <w:rFonts w:ascii="Arial" w:eastAsia="Times New Roman" w:hAnsi="Arial" w:cs="Arial"/>
          <w:color w:val="000000" w:themeColor="text1"/>
          <w:spacing w:val="8"/>
          <w:shd w:val="clear" w:color="auto" w:fill="FFFFFF"/>
        </w:rPr>
        <w:t xml:space="preserve">the </w:t>
      </w:r>
      <w:r w:rsidRPr="004554AB">
        <w:rPr>
          <w:rFonts w:ascii="Arial" w:eastAsia="Times New Roman" w:hAnsi="Arial" w:cs="Arial"/>
          <w:color w:val="000000" w:themeColor="text1"/>
          <w:spacing w:val="8"/>
          <w:shd w:val="clear" w:color="auto" w:fill="FFFFFF"/>
        </w:rPr>
        <w:t xml:space="preserve">system level, the issue is not </w:t>
      </w:r>
      <w:r w:rsidR="00FA7018" w:rsidRPr="004554AB">
        <w:rPr>
          <w:rFonts w:ascii="Arial" w:eastAsia="Times New Roman" w:hAnsi="Arial" w:cs="Arial"/>
          <w:color w:val="000000" w:themeColor="text1"/>
          <w:spacing w:val="8"/>
          <w:shd w:val="clear" w:color="auto" w:fill="FFFFFF"/>
        </w:rPr>
        <w:t>dosage,</w:t>
      </w:r>
      <w:r w:rsidRPr="004554AB">
        <w:rPr>
          <w:rFonts w:ascii="Arial" w:eastAsia="Times New Roman" w:hAnsi="Arial" w:cs="Arial"/>
          <w:color w:val="000000" w:themeColor="text1"/>
          <w:spacing w:val="8"/>
          <w:shd w:val="clear" w:color="auto" w:fill="FFFFFF"/>
        </w:rPr>
        <w:t xml:space="preserve"> but a system </w:t>
      </w:r>
      <w:r w:rsidR="00FA7018" w:rsidRPr="004554AB">
        <w:rPr>
          <w:rFonts w:ascii="Arial" w:eastAsia="Times New Roman" w:hAnsi="Arial" w:cs="Arial"/>
          <w:color w:val="000000" w:themeColor="text1"/>
          <w:spacing w:val="8"/>
          <w:shd w:val="clear" w:color="auto" w:fill="FFFFFF"/>
        </w:rPr>
        <w:t>fails</w:t>
      </w:r>
      <w:r w:rsidRPr="004554AB">
        <w:rPr>
          <w:rFonts w:ascii="Arial" w:eastAsia="Times New Roman" w:hAnsi="Arial" w:cs="Arial"/>
          <w:color w:val="000000" w:themeColor="text1"/>
          <w:spacing w:val="8"/>
          <w:shd w:val="clear" w:color="auto" w:fill="FFFFFF"/>
        </w:rPr>
        <w:t xml:space="preserve"> over the failure to prevent, identify or rectify error at the medication pathway. Within the Swiss Cheese Model, the event reveals the overlap between these latent failures in prescribing, discharge, primary care and pharmacy dispensing (Reason, 2000). Defensive strategies were present at all stages, but they were weak or poorly </w:t>
      </w:r>
      <w:r w:rsidR="00FA7018" w:rsidRPr="004554AB">
        <w:rPr>
          <w:rFonts w:ascii="Arial" w:eastAsia="Times New Roman" w:hAnsi="Arial" w:cs="Arial"/>
          <w:color w:val="000000" w:themeColor="text1"/>
          <w:spacing w:val="8"/>
          <w:shd w:val="clear" w:color="auto" w:fill="FFFFFF"/>
        </w:rPr>
        <w:t>synchronised</w:t>
      </w:r>
      <w:r w:rsidRPr="004554AB">
        <w:rPr>
          <w:rFonts w:ascii="Arial" w:eastAsia="Times New Roman" w:hAnsi="Arial" w:cs="Arial"/>
          <w:color w:val="000000" w:themeColor="text1"/>
          <w:spacing w:val="8"/>
          <w:shd w:val="clear" w:color="auto" w:fill="FFFFFF"/>
        </w:rPr>
        <w:t>. In the morphine situation, the prescribing error went unfettered on in due time, which may be a structural system failure and not an individual human frailty.</w:t>
      </w:r>
    </w:p>
    <w:p w14:paraId="0A54E49C" w14:textId="6E60DB9A" w:rsidR="00531FD2" w:rsidRPr="004554AB" w:rsidRDefault="00400931"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 xml:space="preserve">The prescribing point of failure is the first essential failure. Prescribing errors in paediatric settings most frequently occur due to dose calculation errors, wrong mix and misuse of a treatment algorithm or misuse of guidelines (Alghamdi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xml:space="preserve"> 2019). Here, the use of the wrong morphine dose and/or concentration is the result of those known vulnerabilities. In environments of manual calculation under time pressure, such errors are structurally predictable. Furthermore, the </w:t>
      </w:r>
      <w:r w:rsidRPr="004554AB">
        <w:rPr>
          <w:rFonts w:ascii="Arial" w:eastAsia="Times New Roman" w:hAnsi="Arial" w:cs="Arial"/>
          <w:color w:val="000000" w:themeColor="text1"/>
          <w:spacing w:val="8"/>
          <w:shd w:val="clear" w:color="auto" w:fill="FFFFFF"/>
        </w:rPr>
        <w:lastRenderedPageBreak/>
        <w:t>lack of any standardised prescribing tools or automated validation systems meant the error escaped safe limits and got to the larger systems.</w:t>
      </w:r>
    </w:p>
    <w:p w14:paraId="58B7A80D" w14:textId="14D59A89" w:rsidR="00FA7018" w:rsidRPr="004554AB" w:rsidRDefault="00400931"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A second critical failure occurred at the transfer from hospital to community care. Transitions are high-risk areas for the spread of medication errors, with discrepancies occurring in as many as 60% of cases requiring discharge (</w:t>
      </w:r>
      <w:proofErr w:type="spellStart"/>
      <w:r w:rsidRPr="004554AB">
        <w:rPr>
          <w:rFonts w:ascii="Arial" w:eastAsia="Times New Roman" w:hAnsi="Arial" w:cs="Arial"/>
          <w:color w:val="000000" w:themeColor="text1"/>
          <w:spacing w:val="8"/>
          <w:shd w:val="clear" w:color="auto" w:fill="FFFFFF"/>
        </w:rPr>
        <w:t>Alqenae</w:t>
      </w:r>
      <w:proofErr w:type="spellEnd"/>
      <w:r w:rsidRPr="004554AB">
        <w:rPr>
          <w:rFonts w:ascii="Arial" w:eastAsia="Times New Roman" w:hAnsi="Arial" w:cs="Arial"/>
          <w:color w:val="000000" w:themeColor="text1"/>
          <w:spacing w:val="8"/>
          <w:shd w:val="clear" w:color="auto" w:fill="FFFFFF"/>
        </w:rPr>
        <w:t xml:space="preserve"> et</w:t>
      </w:r>
      <w:r w:rsidRPr="004554AB">
        <w:rPr>
          <w:rFonts w:ascii="Arial" w:eastAsia="Times New Roman" w:hAnsi="Arial" w:cs="Arial"/>
          <w:i/>
          <w:iCs/>
          <w:color w:val="000000" w:themeColor="text1"/>
          <w:spacing w:val="8"/>
          <w:shd w:val="clear" w:color="auto" w:fill="FFFFFF"/>
        </w:rPr>
        <w:t xml:space="preserve"> al.</w:t>
      </w:r>
      <w:r w:rsidRPr="004554AB">
        <w:rPr>
          <w:rFonts w:ascii="Arial" w:eastAsia="Times New Roman" w:hAnsi="Arial" w:cs="Arial"/>
          <w:color w:val="000000" w:themeColor="text1"/>
          <w:spacing w:val="8"/>
          <w:shd w:val="clear" w:color="auto" w:fill="FFFFFF"/>
        </w:rPr>
        <w:t>, 2023). In the morphine case, documentation of dose and concentration was not clear, leading to ambiguity and requiring downstream clinicians to interpret rather than confirm intent to prescribe opioids. Such failure of informational continuity allowed the same error to be transmitted within care settings.</w:t>
      </w:r>
    </w:p>
    <w:p w14:paraId="05100C74" w14:textId="58BD2248" w:rsidR="00B92EF6" w:rsidRPr="004554AB" w:rsidRDefault="00400931"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 xml:space="preserve">Failures in primary care and pharmacy in the following years reveal a deeper systemic weakness. Fragment data system and limited access to patient data decreases the freedom to independently verify data (Dinh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xml:space="preserve">, 2024). In this instance, neither the GP nor the pharmacist noticed this discrepancy, leading to the dispensing of wrong medication. This </w:t>
      </w:r>
      <w:r w:rsidR="00B92EF6" w:rsidRPr="004554AB">
        <w:rPr>
          <w:rFonts w:ascii="Arial" w:eastAsia="Times New Roman" w:hAnsi="Arial" w:cs="Arial"/>
          <w:color w:val="000000" w:themeColor="text1"/>
          <w:spacing w:val="8"/>
          <w:shd w:val="clear" w:color="auto" w:fill="FFFFFF"/>
        </w:rPr>
        <w:t>emphasises</w:t>
      </w:r>
      <w:r w:rsidRPr="004554AB">
        <w:rPr>
          <w:rFonts w:ascii="Arial" w:eastAsia="Times New Roman" w:hAnsi="Arial" w:cs="Arial"/>
          <w:color w:val="000000" w:themeColor="text1"/>
          <w:spacing w:val="8"/>
          <w:shd w:val="clear" w:color="auto" w:fill="FFFFFF"/>
        </w:rPr>
        <w:t xml:space="preserve"> the absence of integrated safety mechanisms across care boundaries. Human factors also explain </w:t>
      </w:r>
      <w:r w:rsidR="00B92EF6" w:rsidRPr="004554AB">
        <w:rPr>
          <w:rFonts w:ascii="Arial" w:eastAsia="Times New Roman" w:hAnsi="Arial" w:cs="Arial"/>
          <w:color w:val="000000" w:themeColor="text1"/>
          <w:spacing w:val="8"/>
          <w:shd w:val="clear" w:color="auto" w:fill="FFFFFF"/>
        </w:rPr>
        <w:t>these failures</w:t>
      </w:r>
      <w:r w:rsidRPr="004554AB">
        <w:rPr>
          <w:rFonts w:ascii="Arial" w:eastAsia="Times New Roman" w:hAnsi="Arial" w:cs="Arial"/>
          <w:color w:val="000000" w:themeColor="text1"/>
          <w:spacing w:val="8"/>
          <w:shd w:val="clear" w:color="auto" w:fill="FFFFFF"/>
        </w:rPr>
        <w:t>. Environments such as healthcare are characterised by high cognitive demand, interruptions, and time pressures which increase chances of error. The SEIPS model demonstrates how interrelationships of individuals, tasks, and systems contribute to the outcome (</w:t>
      </w:r>
      <w:proofErr w:type="spellStart"/>
      <w:r w:rsidRPr="004554AB">
        <w:rPr>
          <w:rFonts w:ascii="Arial" w:eastAsia="Times New Roman" w:hAnsi="Arial" w:cs="Arial"/>
          <w:color w:val="000000" w:themeColor="text1"/>
          <w:spacing w:val="8"/>
          <w:shd w:val="clear" w:color="auto" w:fill="FFFFFF"/>
        </w:rPr>
        <w:t>Carayon</w:t>
      </w:r>
      <w:proofErr w:type="spellEnd"/>
      <w:r w:rsidRPr="004554AB">
        <w:rPr>
          <w:rFonts w:ascii="Arial" w:eastAsia="Times New Roman" w:hAnsi="Arial" w:cs="Arial"/>
          <w:i/>
          <w:iCs/>
          <w:color w:val="000000" w:themeColor="text1"/>
          <w:spacing w:val="8"/>
          <w:shd w:val="clear" w:color="auto" w:fill="FFFFFF"/>
        </w:rPr>
        <w:t xml:space="preserve"> et al</w:t>
      </w:r>
      <w:r w:rsidRPr="004554AB">
        <w:rPr>
          <w:rFonts w:ascii="Arial" w:eastAsia="Times New Roman" w:hAnsi="Arial" w:cs="Arial"/>
          <w:color w:val="000000" w:themeColor="text1"/>
          <w:spacing w:val="8"/>
          <w:shd w:val="clear" w:color="auto" w:fill="FFFFFF"/>
        </w:rPr>
        <w:t>., 2006; 2014). The decision in this case, supported by manual procedures and lack of clear documentation, may result in a state where incorrect information is rather expected to develop.</w:t>
      </w:r>
    </w:p>
    <w:p w14:paraId="0B7D547C" w14:textId="77777777" w:rsidR="0062153E" w:rsidRPr="004554AB" w:rsidRDefault="00400931"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 xml:space="preserve">Governance and leadership issues compounded this risk. Access to medication Safety and medication safety are two areas of clear responsibility through the care pathway, but accountability has been piecemeal in a system without </w:t>
      </w:r>
      <w:r w:rsidR="00B92EF6" w:rsidRPr="004554AB">
        <w:rPr>
          <w:rFonts w:ascii="Arial" w:eastAsia="Times New Roman" w:hAnsi="Arial" w:cs="Arial"/>
          <w:color w:val="000000" w:themeColor="text1"/>
          <w:spacing w:val="8"/>
          <w:shd w:val="clear" w:color="auto" w:fill="FFFFFF"/>
        </w:rPr>
        <w:t>end-to-end</w:t>
      </w:r>
      <w:r w:rsidRPr="004554AB">
        <w:rPr>
          <w:rFonts w:ascii="Arial" w:eastAsia="Times New Roman" w:hAnsi="Arial" w:cs="Arial"/>
          <w:color w:val="000000" w:themeColor="text1"/>
          <w:spacing w:val="8"/>
          <w:shd w:val="clear" w:color="auto" w:fill="FFFFFF"/>
        </w:rPr>
        <w:t xml:space="preserve"> ownership (Murray and Cope, 2021). System pressures such as workload and resource limitations had taken a further toll on the quality of safety measures (NHS England, 2019). In summary, the morphine overdose illustrates how complex failures of systems design, communication, governance and human agency generated avoidable harm from within a high-risk medication pathway.</w:t>
      </w:r>
    </w:p>
    <w:p w14:paraId="1377E1C0" w14:textId="0AEEF017" w:rsidR="00DA3F6B" w:rsidRPr="004554AB" w:rsidRDefault="00D12F2B" w:rsidP="004554AB">
      <w:pPr>
        <w:pStyle w:val="Heading2"/>
        <w:jc w:val="both"/>
        <w:rPr>
          <w:rFonts w:ascii="Arial" w:hAnsi="Arial" w:cs="Arial"/>
          <w:color w:val="000000" w:themeColor="text1"/>
        </w:rPr>
      </w:pPr>
      <w:bookmarkStart w:id="5" w:name="_Toc228228538"/>
      <w:r w:rsidRPr="004554AB">
        <w:rPr>
          <w:rFonts w:ascii="Arial" w:hAnsi="Arial" w:cs="Arial"/>
          <w:noProof/>
          <w:color w:val="000000" w:themeColor="text1"/>
        </w:rPr>
        <w:lastRenderedPageBreak/>
        <w:drawing>
          <wp:anchor distT="0" distB="0" distL="114300" distR="114300" simplePos="0" relativeHeight="251658243" behindDoc="0" locked="0" layoutInCell="1" allowOverlap="1" wp14:anchorId="7B922E95" wp14:editId="069E8E19">
            <wp:simplePos x="0" y="0"/>
            <wp:positionH relativeFrom="column">
              <wp:posOffset>-298938</wp:posOffset>
            </wp:positionH>
            <wp:positionV relativeFrom="paragraph">
              <wp:posOffset>483108</wp:posOffset>
            </wp:positionV>
            <wp:extent cx="6438900" cy="4288408"/>
            <wp:effectExtent l="63500" t="63500" r="127000" b="131445"/>
            <wp:wrapTopAndBottom/>
            <wp:docPr id="888307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307747" name="Picture 1"/>
                    <pic:cNvPicPr/>
                  </pic:nvPicPr>
                  <pic:blipFill>
                    <a:blip r:embed="rId11"/>
                    <a:stretch>
                      <a:fillRect/>
                    </a:stretch>
                  </pic:blipFill>
                  <pic:spPr>
                    <a:xfrm>
                      <a:off x="0" y="0"/>
                      <a:ext cx="6438900" cy="42884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AA463A" w:rsidRPr="004554AB">
        <w:rPr>
          <w:rFonts w:ascii="Arial" w:hAnsi="Arial" w:cs="Arial"/>
          <w:color w:val="000000" w:themeColor="text1"/>
        </w:rPr>
        <w:t xml:space="preserve">2.1.1 </w:t>
      </w:r>
      <w:r w:rsidR="00547334" w:rsidRPr="004554AB">
        <w:rPr>
          <w:rFonts w:ascii="Arial" w:hAnsi="Arial" w:cs="Arial"/>
          <w:color w:val="000000" w:themeColor="text1"/>
        </w:rPr>
        <w:t>Figure 1</w:t>
      </w:r>
      <w:r w:rsidR="0006182D" w:rsidRPr="004554AB">
        <w:rPr>
          <w:rFonts w:ascii="Arial" w:hAnsi="Arial" w:cs="Arial"/>
          <w:color w:val="000000" w:themeColor="text1"/>
        </w:rPr>
        <w:t>:</w:t>
      </w:r>
      <w:r w:rsidR="00F9116F" w:rsidRPr="004554AB">
        <w:rPr>
          <w:rFonts w:ascii="Arial" w:hAnsi="Arial" w:cs="Arial"/>
          <w:color w:val="000000" w:themeColor="text1"/>
        </w:rPr>
        <w:t xml:space="preserve"> </w:t>
      </w:r>
      <w:r w:rsidR="00E60B46" w:rsidRPr="004554AB">
        <w:rPr>
          <w:rFonts w:ascii="Arial" w:hAnsi="Arial" w:cs="Arial"/>
          <w:color w:val="000000" w:themeColor="text1"/>
        </w:rPr>
        <w:t>Rich</w:t>
      </w:r>
      <w:r w:rsidR="00F9116F" w:rsidRPr="004554AB">
        <w:rPr>
          <w:rFonts w:ascii="Arial" w:hAnsi="Arial" w:cs="Arial"/>
          <w:color w:val="000000" w:themeColor="text1"/>
        </w:rPr>
        <w:t xml:space="preserve"> </w:t>
      </w:r>
      <w:r w:rsidR="00275249" w:rsidRPr="004554AB">
        <w:rPr>
          <w:rFonts w:ascii="Arial" w:hAnsi="Arial" w:cs="Arial"/>
          <w:color w:val="000000" w:themeColor="text1"/>
        </w:rPr>
        <w:t>Picture</w:t>
      </w:r>
      <w:r w:rsidR="00F9116F" w:rsidRPr="004554AB">
        <w:rPr>
          <w:rFonts w:ascii="Arial" w:hAnsi="Arial" w:cs="Arial"/>
          <w:color w:val="000000" w:themeColor="text1"/>
        </w:rPr>
        <w:t xml:space="preserve"> of</w:t>
      </w:r>
      <w:r w:rsidR="003006F3" w:rsidRPr="004554AB">
        <w:rPr>
          <w:rFonts w:ascii="Arial" w:hAnsi="Arial" w:cs="Arial"/>
          <w:color w:val="000000" w:themeColor="text1"/>
        </w:rPr>
        <w:t xml:space="preserve"> feedback </w:t>
      </w:r>
      <w:r w:rsidR="00003FE1" w:rsidRPr="004554AB">
        <w:rPr>
          <w:rFonts w:ascii="Arial" w:hAnsi="Arial" w:cs="Arial"/>
          <w:color w:val="000000" w:themeColor="text1"/>
        </w:rPr>
        <w:t>loops</w:t>
      </w:r>
      <w:bookmarkEnd w:id="5"/>
    </w:p>
    <w:p w14:paraId="2DB19A5C" w14:textId="77777777" w:rsidR="00851964" w:rsidRPr="004554AB" w:rsidRDefault="00851964"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p>
    <w:p w14:paraId="4959FD8F" w14:textId="77777777" w:rsidR="000F05E4" w:rsidRPr="004554AB" w:rsidRDefault="000F05E4" w:rsidP="004554AB">
      <w:pPr>
        <w:jc w:val="both"/>
        <w:rPr>
          <w:rFonts w:ascii="Arial" w:hAnsi="Arial" w:cs="Arial"/>
        </w:rPr>
      </w:pPr>
    </w:p>
    <w:p w14:paraId="4656F8A8" w14:textId="06CF01B6" w:rsidR="00970990" w:rsidRPr="004554AB" w:rsidRDefault="00803613" w:rsidP="004554AB">
      <w:pPr>
        <w:jc w:val="both"/>
        <w:rPr>
          <w:rFonts w:ascii="Arial" w:hAnsi="Arial" w:cs="Arial"/>
        </w:rPr>
      </w:pPr>
      <w:r w:rsidRPr="004554AB">
        <w:rPr>
          <w:rFonts w:ascii="Arial" w:hAnsi="Arial" w:cs="Arial"/>
        </w:rPr>
        <w:t>This diagram depicts the infant morphine overdose as a socio-technical system failure at play, describing the interaction between clinical processes, governance structures, human factors and organisational conditions. The infant at the centre of the medication pathway is positioned as the end-point in the medication pathway, which is also framed in terms of the consequence of system failure rather than of individual error, in keeping with the systems-based patient safety framework (</w:t>
      </w:r>
      <w:proofErr w:type="spellStart"/>
      <w:r w:rsidRPr="004554AB">
        <w:rPr>
          <w:rFonts w:ascii="Arial" w:hAnsi="Arial" w:cs="Arial"/>
        </w:rPr>
        <w:t>Carayon</w:t>
      </w:r>
      <w:proofErr w:type="spellEnd"/>
      <w:r w:rsidRPr="004554AB">
        <w:rPr>
          <w:rFonts w:ascii="Arial" w:hAnsi="Arial" w:cs="Arial"/>
        </w:rPr>
        <w:t xml:space="preserve"> </w:t>
      </w:r>
      <w:r w:rsidRPr="004554AB">
        <w:rPr>
          <w:rFonts w:ascii="Arial" w:hAnsi="Arial" w:cs="Arial"/>
          <w:i/>
          <w:iCs/>
        </w:rPr>
        <w:t>et al.</w:t>
      </w:r>
      <w:r w:rsidRPr="004554AB">
        <w:rPr>
          <w:rFonts w:ascii="Arial" w:hAnsi="Arial" w:cs="Arial"/>
        </w:rPr>
        <w:t xml:space="preserve">, 2014; Braithwaite </w:t>
      </w:r>
      <w:r w:rsidRPr="004554AB">
        <w:rPr>
          <w:rFonts w:ascii="Arial" w:hAnsi="Arial" w:cs="Arial"/>
          <w:i/>
          <w:iCs/>
        </w:rPr>
        <w:t>et al</w:t>
      </w:r>
      <w:r w:rsidRPr="004554AB">
        <w:rPr>
          <w:rFonts w:ascii="Arial" w:hAnsi="Arial" w:cs="Arial"/>
        </w:rPr>
        <w:t>., 2018).</w:t>
      </w:r>
    </w:p>
    <w:p w14:paraId="52CA5BF3" w14:textId="4901841C" w:rsidR="00803613" w:rsidRPr="004554AB" w:rsidRDefault="00803613" w:rsidP="004554AB">
      <w:pPr>
        <w:jc w:val="both"/>
        <w:rPr>
          <w:rFonts w:ascii="Arial" w:hAnsi="Arial" w:cs="Arial"/>
        </w:rPr>
      </w:pPr>
      <w:r w:rsidRPr="004554AB">
        <w:rPr>
          <w:rFonts w:ascii="Arial" w:hAnsi="Arial" w:cs="Arial"/>
        </w:rPr>
        <w:t xml:space="preserve">The medication pathway began at a specialist hospital prescribing level, prescribing low-dose morphine. A critical breakdown occurred at discharge, where ambiguity in documenting dose and concentration introduced uncertainty. This failure turned prescribing information from verifiable instruction into interpretive guidance. The general practitioner, therefore, reproduced the medication order as the prescription transitioned into primary care without independent validation, indicating an example of reliance on upstream decision-making rather than system-supported verification. This issue passed on to the community pharmacy with incorrect medication formulation and concentration dispensed and illustrates the </w:t>
      </w:r>
      <w:r w:rsidR="008C25ED" w:rsidRPr="004554AB">
        <w:rPr>
          <w:rFonts w:ascii="Arial" w:hAnsi="Arial" w:cs="Arial"/>
        </w:rPr>
        <w:t>use</w:t>
      </w:r>
      <w:r w:rsidRPr="004554AB">
        <w:rPr>
          <w:rFonts w:ascii="Arial" w:hAnsi="Arial" w:cs="Arial"/>
        </w:rPr>
        <w:t xml:space="preserve"> of manual checking processes that </w:t>
      </w:r>
      <w:r w:rsidRPr="004554AB">
        <w:rPr>
          <w:rFonts w:ascii="Arial" w:hAnsi="Arial" w:cs="Arial"/>
        </w:rPr>
        <w:lastRenderedPageBreak/>
        <w:t xml:space="preserve">are known to be unreliable in complex clinical practice settings (Dinh </w:t>
      </w:r>
      <w:r w:rsidRPr="004554AB">
        <w:rPr>
          <w:rFonts w:ascii="Arial" w:hAnsi="Arial" w:cs="Arial"/>
          <w:i/>
          <w:iCs/>
        </w:rPr>
        <w:t>et al</w:t>
      </w:r>
      <w:r w:rsidRPr="004554AB">
        <w:rPr>
          <w:rFonts w:ascii="Arial" w:hAnsi="Arial" w:cs="Arial"/>
        </w:rPr>
        <w:t xml:space="preserve">., 2024; </w:t>
      </w:r>
      <w:proofErr w:type="spellStart"/>
      <w:r w:rsidRPr="004554AB">
        <w:rPr>
          <w:rFonts w:ascii="Arial" w:hAnsi="Arial" w:cs="Arial"/>
        </w:rPr>
        <w:t>Alqenae</w:t>
      </w:r>
      <w:proofErr w:type="spellEnd"/>
      <w:r w:rsidRPr="004554AB">
        <w:rPr>
          <w:rFonts w:ascii="Arial" w:hAnsi="Arial" w:cs="Arial"/>
        </w:rPr>
        <w:t xml:space="preserve"> </w:t>
      </w:r>
      <w:r w:rsidRPr="004554AB">
        <w:rPr>
          <w:rFonts w:ascii="Arial" w:hAnsi="Arial" w:cs="Arial"/>
          <w:i/>
          <w:iCs/>
        </w:rPr>
        <w:t>et al.</w:t>
      </w:r>
      <w:r w:rsidRPr="004554AB">
        <w:rPr>
          <w:rFonts w:ascii="Arial" w:hAnsi="Arial" w:cs="Arial"/>
        </w:rPr>
        <w:t>, 2023).</w:t>
      </w:r>
    </w:p>
    <w:p w14:paraId="38365511" w14:textId="7AB73AE3" w:rsidR="00803613" w:rsidRPr="004554AB" w:rsidRDefault="00803613" w:rsidP="004554AB">
      <w:pPr>
        <w:jc w:val="both"/>
        <w:rPr>
          <w:rFonts w:ascii="Arial" w:hAnsi="Arial" w:cs="Arial"/>
        </w:rPr>
      </w:pPr>
      <w:r w:rsidRPr="004554AB">
        <w:rPr>
          <w:rFonts w:ascii="Arial" w:hAnsi="Arial" w:cs="Arial"/>
        </w:rPr>
        <w:t>Further, the diagram highlights governance mechanisms such as high-risk drug classification, prescribing restrictions and national patient safety policies. Although morphine is designated a high-alert medication with additional safeguards, these controls are framed as weak barriers that were not properly operationalised within care services. This indicates a pivotal mismatch between centralised policy and decentralised practice in which safety standards are in place, but decision-making in the field is rarely effective (NHS England, 2024).</w:t>
      </w:r>
    </w:p>
    <w:p w14:paraId="176A3436" w14:textId="566944A6" w:rsidR="00803613" w:rsidRPr="004554AB" w:rsidRDefault="00803613"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r w:rsidRPr="004554AB">
        <w:rPr>
          <w:rFonts w:ascii="Arial" w:hAnsi="Arial" w:cs="Arial"/>
          <w:color w:val="000000" w:themeColor="text1"/>
          <w:spacing w:val="8"/>
        </w:rPr>
        <w:t>Human and organisational factors are depicted as the amplifying contexts of the system. Challenges in handling the workload, time constraints and cognitive burden undermine error detection and escalation. The diagram also frames parents as vulnerable end users, relying on professionals to guide them, but with limited knowledge necessary to identify a discrepancy. This asymmetry amplifies the system’s responsibility for error prevention rather than patient-level safeguards (Stevens</w:t>
      </w:r>
      <w:r w:rsidRPr="004554AB">
        <w:rPr>
          <w:rFonts w:ascii="Arial" w:hAnsi="Arial" w:cs="Arial"/>
          <w:i/>
          <w:iCs/>
          <w:color w:val="000000" w:themeColor="text1"/>
          <w:spacing w:val="8"/>
        </w:rPr>
        <w:t xml:space="preserve"> et al.</w:t>
      </w:r>
      <w:r w:rsidRPr="004554AB">
        <w:rPr>
          <w:rFonts w:ascii="Arial" w:hAnsi="Arial" w:cs="Arial"/>
          <w:color w:val="000000" w:themeColor="text1"/>
          <w:spacing w:val="8"/>
        </w:rPr>
        <w:t>, 2023).</w:t>
      </w:r>
    </w:p>
    <w:p w14:paraId="6061B696" w14:textId="24E20B4A" w:rsidR="00803613" w:rsidRPr="004554AB" w:rsidRDefault="00803613"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r w:rsidRPr="004554AB">
        <w:rPr>
          <w:rFonts w:ascii="Arial" w:hAnsi="Arial" w:cs="Arial"/>
          <w:color w:val="000000" w:themeColor="text1"/>
          <w:spacing w:val="8"/>
        </w:rPr>
        <w:t xml:space="preserve">A prominent feature of the Rich Picture is the lack of effective feedback loops. Risks of exposure to paediatric opioid dosing are very well documented; the system did not transfer such knowledge to prevention. The persistence of uncertainties in morphine concentrations over time suggests an organisational failure of learning, with known threats failing to inform system redesign (Braithwaite </w:t>
      </w:r>
      <w:r w:rsidRPr="004554AB">
        <w:rPr>
          <w:rFonts w:ascii="Arial" w:hAnsi="Arial" w:cs="Arial"/>
          <w:i/>
          <w:iCs/>
          <w:color w:val="000000" w:themeColor="text1"/>
          <w:spacing w:val="8"/>
        </w:rPr>
        <w:t>et al.</w:t>
      </w:r>
      <w:r w:rsidRPr="004554AB">
        <w:rPr>
          <w:rFonts w:ascii="Arial" w:hAnsi="Arial" w:cs="Arial"/>
          <w:color w:val="000000" w:themeColor="text1"/>
          <w:spacing w:val="8"/>
        </w:rPr>
        <w:t xml:space="preserve">, 2018; World Health </w:t>
      </w:r>
      <w:r w:rsidR="00AA6718" w:rsidRPr="004554AB">
        <w:rPr>
          <w:rFonts w:ascii="Arial" w:hAnsi="Arial" w:cs="Arial"/>
          <w:color w:val="000000" w:themeColor="text1"/>
          <w:spacing w:val="8"/>
        </w:rPr>
        <w:t>Organisation</w:t>
      </w:r>
      <w:r w:rsidRPr="004554AB">
        <w:rPr>
          <w:rFonts w:ascii="Arial" w:hAnsi="Arial" w:cs="Arial"/>
          <w:color w:val="000000" w:themeColor="text1"/>
          <w:spacing w:val="8"/>
        </w:rPr>
        <w:t>, 2017).</w:t>
      </w:r>
    </w:p>
    <w:p w14:paraId="1FA67076" w14:textId="155C753E" w:rsidR="00803613" w:rsidRPr="004554AB" w:rsidRDefault="00392404"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r w:rsidRPr="004554AB">
        <w:rPr>
          <w:rFonts w:ascii="Arial" w:hAnsi="Arial" w:cs="Arial"/>
          <w:color w:val="000000" w:themeColor="text1"/>
          <w:spacing w:val="8"/>
        </w:rPr>
        <w:t>Overall</w:t>
      </w:r>
      <w:r w:rsidR="00803613" w:rsidRPr="004554AB">
        <w:rPr>
          <w:rFonts w:ascii="Arial" w:hAnsi="Arial" w:cs="Arial"/>
          <w:color w:val="000000" w:themeColor="text1"/>
          <w:spacing w:val="8"/>
        </w:rPr>
        <w:t xml:space="preserve">, Figure 1 suggests that the overdose constituted an interaction of failures in communication, governance, system design and human factors. The case illustrates an elaborate adaptive system where latent conditions could align at multiple levels and preventable mistakes propagated to patient harm (Reason, 2000; </w:t>
      </w:r>
      <w:proofErr w:type="spellStart"/>
      <w:r w:rsidR="00803613" w:rsidRPr="004554AB">
        <w:rPr>
          <w:rFonts w:ascii="Arial" w:hAnsi="Arial" w:cs="Arial"/>
          <w:color w:val="000000" w:themeColor="text1"/>
          <w:spacing w:val="8"/>
        </w:rPr>
        <w:t>Hollnagel</w:t>
      </w:r>
      <w:proofErr w:type="spellEnd"/>
      <w:r w:rsidR="00803613" w:rsidRPr="004554AB">
        <w:rPr>
          <w:rFonts w:ascii="Arial" w:hAnsi="Arial" w:cs="Arial"/>
          <w:color w:val="000000" w:themeColor="text1"/>
          <w:spacing w:val="8"/>
        </w:rPr>
        <w:t>, 2014).</w:t>
      </w:r>
    </w:p>
    <w:p w14:paraId="017706F7" w14:textId="019F7D8D" w:rsidR="00A252F5" w:rsidRPr="004554AB" w:rsidRDefault="0022098B" w:rsidP="004554AB">
      <w:pPr>
        <w:pStyle w:val="Heading2"/>
        <w:spacing w:line="276" w:lineRule="auto"/>
        <w:jc w:val="both"/>
        <w:rPr>
          <w:rFonts w:ascii="Arial" w:hAnsi="Arial" w:cs="Arial"/>
          <w:color w:val="000000" w:themeColor="text1"/>
          <w:sz w:val="24"/>
          <w:szCs w:val="24"/>
        </w:rPr>
      </w:pPr>
      <w:r w:rsidRPr="004554AB">
        <w:rPr>
          <w:rFonts w:ascii="Arial" w:hAnsi="Arial" w:cs="Arial"/>
          <w:color w:val="000000" w:themeColor="text1"/>
          <w:sz w:val="24"/>
          <w:szCs w:val="24"/>
        </w:rPr>
        <w:br/>
      </w:r>
      <w:bookmarkStart w:id="6" w:name="_Toc228228539"/>
      <w:r w:rsidRPr="004554AB">
        <w:rPr>
          <w:rFonts w:ascii="Arial" w:hAnsi="Arial" w:cs="Arial"/>
          <w:color w:val="000000" w:themeColor="text1"/>
          <w:sz w:val="24"/>
          <w:szCs w:val="24"/>
        </w:rPr>
        <w:t>2.2 Centralisation and Decentralisation in the Infant Morphine Overdose Case</w:t>
      </w:r>
      <w:bookmarkEnd w:id="6"/>
    </w:p>
    <w:p w14:paraId="4371B8F4" w14:textId="77777777" w:rsidR="00F22A60" w:rsidRPr="004554AB" w:rsidRDefault="00F22A60" w:rsidP="004554AB">
      <w:pPr>
        <w:spacing w:line="276" w:lineRule="auto"/>
        <w:jc w:val="both"/>
        <w:rPr>
          <w:rFonts w:ascii="Arial" w:hAnsi="Arial" w:cs="Arial"/>
          <w:color w:val="000000" w:themeColor="text1"/>
        </w:rPr>
      </w:pPr>
    </w:p>
    <w:p w14:paraId="1C9EEA05" w14:textId="0ED7D8F2" w:rsidR="00966D75" w:rsidRPr="004554AB" w:rsidRDefault="00966D75"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 xml:space="preserve">Medication safety governance is dependent on the interaction between centralised control, and decentralised, clinical decision-making, in contexts of risk such as paediatric prescribing. Centralisation is to take place at the system level when policy is developed with standardised procedures, national policies and regulation designed to minimise variation in clinical practice (Donaldson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xml:space="preserve">., 2017; NHS England, 2019). These consist of formulary constraints, medication prescribing guidelines, and high-alert medication classifications to limit dangerous practice (NICE, 2016; World Health Organisation, 2017). The use of weight-based dosing, variable pharmacokinetics, and narrow therapeutic margins significantly increased the risk for error in paediatric patients, and </w:t>
      </w:r>
      <w:r w:rsidRPr="004554AB">
        <w:rPr>
          <w:rFonts w:ascii="Arial" w:eastAsia="Times New Roman" w:hAnsi="Arial" w:cs="Arial"/>
          <w:color w:val="000000" w:themeColor="text1"/>
          <w:spacing w:val="8"/>
          <w:shd w:val="clear" w:color="auto" w:fill="FFFFFF"/>
        </w:rPr>
        <w:lastRenderedPageBreak/>
        <w:t>standardisation has proved crucial (</w:t>
      </w:r>
      <w:proofErr w:type="spellStart"/>
      <w:r w:rsidRPr="004554AB">
        <w:rPr>
          <w:rFonts w:ascii="Arial" w:eastAsia="Times New Roman" w:hAnsi="Arial" w:cs="Arial"/>
          <w:color w:val="000000" w:themeColor="text1"/>
          <w:spacing w:val="8"/>
          <w:shd w:val="clear" w:color="auto" w:fill="FFFFFF"/>
        </w:rPr>
        <w:t>Kaushal</w:t>
      </w:r>
      <w:proofErr w:type="spellEnd"/>
      <w:r w:rsidRPr="004554AB">
        <w:rPr>
          <w:rFonts w:ascii="Arial" w:eastAsia="Times New Roman" w:hAnsi="Arial" w:cs="Arial"/>
          <w:color w:val="000000" w:themeColor="text1"/>
          <w:spacing w:val="8"/>
          <w:shd w:val="clear" w:color="auto" w:fill="FFFFFF"/>
        </w:rPr>
        <w:t xml:space="preserve">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xml:space="preserve">., 2001; </w:t>
      </w:r>
      <w:proofErr w:type="spellStart"/>
      <w:r w:rsidRPr="004554AB">
        <w:rPr>
          <w:rFonts w:ascii="Arial" w:eastAsia="Times New Roman" w:hAnsi="Arial" w:cs="Arial"/>
          <w:color w:val="000000" w:themeColor="text1"/>
          <w:spacing w:val="8"/>
          <w:shd w:val="clear" w:color="auto" w:fill="FFFFFF"/>
        </w:rPr>
        <w:t>D’Errico</w:t>
      </w:r>
      <w:proofErr w:type="spellEnd"/>
      <w:r w:rsidRPr="004554AB">
        <w:rPr>
          <w:rFonts w:ascii="Arial" w:eastAsia="Times New Roman" w:hAnsi="Arial" w:cs="Arial"/>
          <w:color w:val="000000" w:themeColor="text1"/>
          <w:spacing w:val="8"/>
          <w:shd w:val="clear" w:color="auto" w:fill="FFFFFF"/>
        </w:rPr>
        <w:t xml:space="preserve">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xml:space="preserve">., 2022; </w:t>
      </w:r>
      <w:proofErr w:type="spellStart"/>
      <w:r w:rsidRPr="004554AB">
        <w:rPr>
          <w:rFonts w:ascii="Arial" w:eastAsia="Times New Roman" w:hAnsi="Arial" w:cs="Arial"/>
          <w:color w:val="000000" w:themeColor="text1"/>
          <w:spacing w:val="8"/>
          <w:shd w:val="clear" w:color="auto" w:fill="FFFFFF"/>
        </w:rPr>
        <w:t>Huynh</w:t>
      </w:r>
      <w:proofErr w:type="spellEnd"/>
      <w:r w:rsidRPr="004554AB">
        <w:rPr>
          <w:rFonts w:ascii="Arial" w:eastAsia="Times New Roman" w:hAnsi="Arial" w:cs="Arial"/>
          <w:color w:val="000000" w:themeColor="text1"/>
          <w:spacing w:val="8"/>
          <w:shd w:val="clear" w:color="auto" w:fill="FFFFFF"/>
        </w:rPr>
        <w:t xml:space="preserve">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2017). In this infant morphine overdose, the core bulwarks should have meant as fundamental barriers to overdosing but their breakdown implies not absence of policy, but instead, no actionable guidance being translated to practice.</w:t>
      </w:r>
    </w:p>
    <w:p w14:paraId="507822F8" w14:textId="09AA8533" w:rsidR="00966D75" w:rsidRPr="004554AB" w:rsidRDefault="00966D75"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Centralisation can be of benefit through safety boundaries but no guarantee that safe outcomes will result without effective at-the-point-of-care implementation. It has been established that governance systems are functional only when policies are operationalised within clinical workflows and supplemented by monitoring and feedback support (</w:t>
      </w:r>
      <w:proofErr w:type="spellStart"/>
      <w:r w:rsidRPr="004554AB">
        <w:rPr>
          <w:rFonts w:ascii="Arial" w:eastAsia="Times New Roman" w:hAnsi="Arial" w:cs="Arial"/>
          <w:color w:val="000000" w:themeColor="text1"/>
          <w:spacing w:val="8"/>
          <w:shd w:val="clear" w:color="auto" w:fill="FFFFFF"/>
        </w:rPr>
        <w:t>Hibbert</w:t>
      </w:r>
      <w:proofErr w:type="spellEnd"/>
      <w:r w:rsidRPr="004554AB">
        <w:rPr>
          <w:rFonts w:ascii="Arial" w:eastAsia="Times New Roman" w:hAnsi="Arial" w:cs="Arial"/>
          <w:color w:val="000000" w:themeColor="text1"/>
          <w:spacing w:val="8"/>
          <w:shd w:val="clear" w:color="auto" w:fill="FFFFFF"/>
        </w:rPr>
        <w:t xml:space="preserve">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2023; OECD, 2020). In the morphine case, while morphine is a high-alert drug with enhanced safeguards needed, those controls were not meaningful to constrain prescribing or dispensing decisions (both across care settings). This points to a failure in policy implementation where safety was not integrated into routine clinical procedures so the prescribing error spread unimpeded.</w:t>
      </w:r>
    </w:p>
    <w:p w14:paraId="379255A6" w14:textId="6DC49B5D" w:rsidR="00BE02A9" w:rsidRPr="004554AB" w:rsidRDefault="00966D75"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 xml:space="preserve">Decentralisation allows doctors to personalise based on patient needs, a critical concern for paediatric patients as their treatment is complex and the symptoms are heterogeneous (Panda and </w:t>
      </w:r>
      <w:proofErr w:type="spellStart"/>
      <w:r w:rsidRPr="004554AB">
        <w:rPr>
          <w:rFonts w:ascii="Arial" w:eastAsia="Times New Roman" w:hAnsi="Arial" w:cs="Arial"/>
          <w:color w:val="000000" w:themeColor="text1"/>
          <w:spacing w:val="8"/>
          <w:shd w:val="clear" w:color="auto" w:fill="FFFFFF"/>
        </w:rPr>
        <w:t>Thakur</w:t>
      </w:r>
      <w:proofErr w:type="spellEnd"/>
      <w:r w:rsidRPr="004554AB">
        <w:rPr>
          <w:rFonts w:ascii="Arial" w:eastAsia="Times New Roman" w:hAnsi="Arial" w:cs="Arial"/>
          <w:color w:val="000000" w:themeColor="text1"/>
          <w:spacing w:val="8"/>
          <w:shd w:val="clear" w:color="auto" w:fill="FFFFFF"/>
        </w:rPr>
        <w:t xml:space="preserve">, 2016). </w:t>
      </w:r>
      <w:r w:rsidR="005834EC" w:rsidRPr="004554AB">
        <w:rPr>
          <w:rFonts w:ascii="Arial" w:eastAsia="Times New Roman" w:hAnsi="Arial" w:cs="Arial"/>
          <w:color w:val="000000" w:themeColor="text1"/>
          <w:spacing w:val="8"/>
          <w:shd w:val="clear" w:color="auto" w:fill="FFFFFF"/>
        </w:rPr>
        <w:t>Also</w:t>
      </w:r>
      <w:r w:rsidRPr="004554AB">
        <w:rPr>
          <w:rFonts w:ascii="Arial" w:eastAsia="Times New Roman" w:hAnsi="Arial" w:cs="Arial"/>
          <w:color w:val="000000" w:themeColor="text1"/>
          <w:spacing w:val="8"/>
          <w:shd w:val="clear" w:color="auto" w:fill="FFFFFF"/>
        </w:rPr>
        <w:t xml:space="preserve">, when decision-making is decentralised, variability is introduced and the risk is heightened when unanchored from stringent system constraints. There is empirical evidence to suggest that while decentralisation can enhance responsiveness, there is also a risk for fragmentation and loss of consistency and oversight in </w:t>
      </w:r>
      <w:r w:rsidR="00BE02A9" w:rsidRPr="004554AB">
        <w:rPr>
          <w:rFonts w:ascii="Arial" w:eastAsia="Times New Roman" w:hAnsi="Arial" w:cs="Arial"/>
          <w:color w:val="000000" w:themeColor="text1"/>
          <w:spacing w:val="8"/>
          <w:shd w:val="clear" w:color="auto" w:fill="FFFFFF"/>
        </w:rPr>
        <w:t>organisations</w:t>
      </w:r>
      <w:r w:rsidRPr="004554AB">
        <w:rPr>
          <w:rFonts w:ascii="Arial" w:eastAsia="Times New Roman" w:hAnsi="Arial" w:cs="Arial"/>
          <w:color w:val="000000" w:themeColor="text1"/>
          <w:spacing w:val="8"/>
          <w:shd w:val="clear" w:color="auto" w:fill="FFFFFF"/>
        </w:rPr>
        <w:t xml:space="preserve"> where governance structures are not well-integrated (OECD, 2019; </w:t>
      </w:r>
      <w:proofErr w:type="spellStart"/>
      <w:r w:rsidRPr="004554AB">
        <w:rPr>
          <w:rFonts w:ascii="Arial" w:eastAsia="Times New Roman" w:hAnsi="Arial" w:cs="Arial"/>
          <w:color w:val="000000" w:themeColor="text1"/>
          <w:spacing w:val="8"/>
          <w:shd w:val="clear" w:color="auto" w:fill="FFFFFF"/>
        </w:rPr>
        <w:t>Matenga</w:t>
      </w:r>
      <w:proofErr w:type="spellEnd"/>
      <w:r w:rsidRPr="004554AB">
        <w:rPr>
          <w:rFonts w:ascii="Arial" w:eastAsia="Times New Roman" w:hAnsi="Arial" w:cs="Arial"/>
          <w:color w:val="000000" w:themeColor="text1"/>
          <w:spacing w:val="8"/>
          <w:shd w:val="clear" w:color="auto" w:fill="FFFFFF"/>
        </w:rPr>
        <w:t xml:space="preserve">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2025). In the morphine case, prescribing decisions took place locally, without effective system-level validation, showcasing how autonomy, in the absence of systematic precautions, can be conducive to unsafe practice.</w:t>
      </w:r>
    </w:p>
    <w:p w14:paraId="71A68AF3" w14:textId="2A893493" w:rsidR="00FF490D" w:rsidRPr="004554AB" w:rsidRDefault="00966D75"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 xml:space="preserve">Patient safety outcomes depend greatly on this </w:t>
      </w:r>
      <w:r w:rsidR="00F67B41" w:rsidRPr="004554AB">
        <w:rPr>
          <w:rFonts w:ascii="Arial" w:eastAsia="Times New Roman" w:hAnsi="Arial" w:cs="Arial"/>
          <w:color w:val="000000" w:themeColor="text1"/>
          <w:spacing w:val="8"/>
          <w:shd w:val="clear" w:color="auto" w:fill="FFFFFF"/>
        </w:rPr>
        <w:t>approach</w:t>
      </w:r>
      <w:r w:rsidRPr="004554AB">
        <w:rPr>
          <w:rFonts w:ascii="Arial" w:eastAsia="Times New Roman" w:hAnsi="Arial" w:cs="Arial"/>
          <w:color w:val="000000" w:themeColor="text1"/>
          <w:spacing w:val="8"/>
          <w:shd w:val="clear" w:color="auto" w:fill="FFFFFF"/>
        </w:rPr>
        <w:t>, the failure to centralise or decentralise only dictates what goes wrong. High-performing health systems connect central principles with local adaptation via embedded safety controls, ongoing monitoring, and feedback loops (</w:t>
      </w:r>
      <w:proofErr w:type="spellStart"/>
      <w:r w:rsidRPr="004554AB">
        <w:rPr>
          <w:rFonts w:ascii="Arial" w:eastAsia="Times New Roman" w:hAnsi="Arial" w:cs="Arial"/>
          <w:color w:val="000000" w:themeColor="text1"/>
          <w:spacing w:val="8"/>
          <w:shd w:val="clear" w:color="auto" w:fill="FFFFFF"/>
        </w:rPr>
        <w:t>Hibbert</w:t>
      </w:r>
      <w:proofErr w:type="spellEnd"/>
      <w:r w:rsidRPr="004554AB">
        <w:rPr>
          <w:rFonts w:ascii="Arial" w:eastAsia="Times New Roman" w:hAnsi="Arial" w:cs="Arial"/>
          <w:color w:val="000000" w:themeColor="text1"/>
          <w:spacing w:val="8"/>
          <w:shd w:val="clear" w:color="auto" w:fill="FFFFFF"/>
        </w:rPr>
        <w:t xml:space="preserve">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xml:space="preserve">, 2023; Braithwaite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2018). The morphine overdose highlights the inadequacy of this integration: At the frontline, central policies were not translated into enforceable constraints, and decentralised decision-making could not be properly supported by verification systems. Consequently, the prescribing error was not prevented or intercepted at different levels of care.</w:t>
      </w:r>
    </w:p>
    <w:p w14:paraId="0E8F94C6" w14:textId="6CB2B38E" w:rsidR="000A70E5" w:rsidRPr="004554AB" w:rsidRDefault="00966D75"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The governance effectiveness also relies on the organisation’s ability to carry out and maintain the safety practices. Obstacles and constraints including poor communication, inadequate education and weak safety cultures, detract policies from becoming practice and result in ineffective incident reporting and learning mechanisms (</w:t>
      </w:r>
      <w:proofErr w:type="spellStart"/>
      <w:r w:rsidRPr="004554AB">
        <w:rPr>
          <w:rFonts w:ascii="Arial" w:eastAsia="Times New Roman" w:hAnsi="Arial" w:cs="Arial"/>
          <w:color w:val="000000" w:themeColor="text1"/>
          <w:spacing w:val="8"/>
          <w:shd w:val="clear" w:color="auto" w:fill="FFFFFF"/>
        </w:rPr>
        <w:t>Gqaleni</w:t>
      </w:r>
      <w:proofErr w:type="spellEnd"/>
      <w:r w:rsidRPr="004554AB">
        <w:rPr>
          <w:rFonts w:ascii="Arial" w:eastAsia="Times New Roman" w:hAnsi="Arial" w:cs="Arial"/>
          <w:color w:val="000000" w:themeColor="text1"/>
          <w:spacing w:val="8"/>
          <w:shd w:val="clear" w:color="auto" w:fill="FFFFFF"/>
        </w:rPr>
        <w:t xml:space="preserve"> and </w:t>
      </w:r>
      <w:proofErr w:type="spellStart"/>
      <w:r w:rsidRPr="004554AB">
        <w:rPr>
          <w:rFonts w:ascii="Arial" w:eastAsia="Times New Roman" w:hAnsi="Arial" w:cs="Arial"/>
          <w:color w:val="000000" w:themeColor="text1"/>
          <w:spacing w:val="8"/>
          <w:shd w:val="clear" w:color="auto" w:fill="FFFFFF"/>
        </w:rPr>
        <w:t>Mkhize</w:t>
      </w:r>
      <w:proofErr w:type="spellEnd"/>
      <w:r w:rsidRPr="004554AB">
        <w:rPr>
          <w:rFonts w:ascii="Arial" w:eastAsia="Times New Roman" w:hAnsi="Arial" w:cs="Arial"/>
          <w:color w:val="000000" w:themeColor="text1"/>
          <w:spacing w:val="8"/>
          <w:shd w:val="clear" w:color="auto" w:fill="FFFFFF"/>
        </w:rPr>
        <w:t xml:space="preserve">, 2024). In the morphine situation, the lack of escalation, confirmation and a multidisciplinary check by another would suggest that governance was not running and functioning as planned at the point of care. </w:t>
      </w:r>
      <w:r w:rsidRPr="004554AB">
        <w:rPr>
          <w:rFonts w:ascii="Arial" w:eastAsia="Times New Roman" w:hAnsi="Arial" w:cs="Arial"/>
          <w:color w:val="000000" w:themeColor="text1"/>
          <w:spacing w:val="8"/>
          <w:shd w:val="clear" w:color="auto" w:fill="FFFFFF"/>
        </w:rPr>
        <w:lastRenderedPageBreak/>
        <w:t>This is consistent with evidence on a wider scale that patient safety failures are often more the result of gaps in execution than poor policy design (</w:t>
      </w:r>
      <w:proofErr w:type="spellStart"/>
      <w:r w:rsidRPr="004554AB">
        <w:rPr>
          <w:rFonts w:ascii="Arial" w:eastAsia="Times New Roman" w:hAnsi="Arial" w:cs="Arial"/>
          <w:color w:val="000000" w:themeColor="text1"/>
          <w:spacing w:val="8"/>
          <w:shd w:val="clear" w:color="auto" w:fill="FFFFFF"/>
        </w:rPr>
        <w:t>Hibbert</w:t>
      </w:r>
      <w:proofErr w:type="spellEnd"/>
      <w:r w:rsidRPr="004554AB">
        <w:rPr>
          <w:rFonts w:ascii="Arial" w:eastAsia="Times New Roman" w:hAnsi="Arial" w:cs="Arial"/>
          <w:color w:val="000000" w:themeColor="text1"/>
          <w:spacing w:val="8"/>
          <w:shd w:val="clear" w:color="auto" w:fill="FFFFFF"/>
        </w:rPr>
        <w:t xml:space="preserve">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2023).</w:t>
      </w:r>
    </w:p>
    <w:p w14:paraId="3A4262E3" w14:textId="6028925B" w:rsidR="007534C3" w:rsidRPr="004554AB" w:rsidRDefault="007534C3"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In addition</w:t>
      </w:r>
      <w:r w:rsidR="00966D75" w:rsidRPr="004554AB">
        <w:rPr>
          <w:rFonts w:ascii="Arial" w:eastAsia="Times New Roman" w:hAnsi="Arial" w:cs="Arial"/>
          <w:color w:val="000000" w:themeColor="text1"/>
          <w:spacing w:val="8"/>
          <w:shd w:val="clear" w:color="auto" w:fill="FFFFFF"/>
        </w:rPr>
        <w:t>, both ends of the spectrum of governance face danger. Such excessive centralisation may lead to rigidity which limits responsiveness and innovation in complex clinical settings and excessive decentralisation can result in fragmented and inconsistent practice (</w:t>
      </w:r>
      <w:proofErr w:type="spellStart"/>
      <w:r w:rsidR="00966D75" w:rsidRPr="004554AB">
        <w:rPr>
          <w:rFonts w:ascii="Arial" w:eastAsia="Times New Roman" w:hAnsi="Arial" w:cs="Arial"/>
          <w:color w:val="000000" w:themeColor="text1"/>
          <w:spacing w:val="8"/>
          <w:shd w:val="clear" w:color="auto" w:fill="FFFFFF"/>
        </w:rPr>
        <w:t>Scarffe</w:t>
      </w:r>
      <w:proofErr w:type="spellEnd"/>
      <w:r w:rsidR="00966D75" w:rsidRPr="004554AB">
        <w:rPr>
          <w:rFonts w:ascii="Arial" w:eastAsia="Times New Roman" w:hAnsi="Arial" w:cs="Arial"/>
          <w:color w:val="000000" w:themeColor="text1"/>
          <w:spacing w:val="8"/>
          <w:shd w:val="clear" w:color="auto" w:fill="FFFFFF"/>
        </w:rPr>
        <w:t xml:space="preserve"> </w:t>
      </w:r>
      <w:r w:rsidR="00966D75" w:rsidRPr="004554AB">
        <w:rPr>
          <w:rFonts w:ascii="Arial" w:eastAsia="Times New Roman" w:hAnsi="Arial" w:cs="Arial"/>
          <w:i/>
          <w:iCs/>
          <w:color w:val="000000" w:themeColor="text1"/>
          <w:spacing w:val="8"/>
          <w:shd w:val="clear" w:color="auto" w:fill="FFFFFF"/>
        </w:rPr>
        <w:t>et al.</w:t>
      </w:r>
      <w:r w:rsidR="00966D75" w:rsidRPr="004554AB">
        <w:rPr>
          <w:rFonts w:ascii="Arial" w:eastAsia="Times New Roman" w:hAnsi="Arial" w:cs="Arial"/>
          <w:color w:val="000000" w:themeColor="text1"/>
          <w:spacing w:val="8"/>
          <w:shd w:val="clear" w:color="auto" w:fill="FFFFFF"/>
        </w:rPr>
        <w:t xml:space="preserve">, 2022; </w:t>
      </w:r>
      <w:proofErr w:type="spellStart"/>
      <w:r w:rsidR="00966D75" w:rsidRPr="004554AB">
        <w:rPr>
          <w:rFonts w:ascii="Arial" w:eastAsia="Times New Roman" w:hAnsi="Arial" w:cs="Arial"/>
          <w:color w:val="000000" w:themeColor="text1"/>
          <w:spacing w:val="8"/>
          <w:shd w:val="clear" w:color="auto" w:fill="FFFFFF"/>
        </w:rPr>
        <w:t>Krenyacz</w:t>
      </w:r>
      <w:proofErr w:type="spellEnd"/>
      <w:r w:rsidR="00966D75" w:rsidRPr="004554AB">
        <w:rPr>
          <w:rFonts w:ascii="Arial" w:eastAsia="Times New Roman" w:hAnsi="Arial" w:cs="Arial"/>
          <w:color w:val="000000" w:themeColor="text1"/>
          <w:spacing w:val="8"/>
          <w:shd w:val="clear" w:color="auto" w:fill="FFFFFF"/>
        </w:rPr>
        <w:t xml:space="preserve"> and </w:t>
      </w:r>
      <w:proofErr w:type="spellStart"/>
      <w:r w:rsidR="00966D75" w:rsidRPr="004554AB">
        <w:rPr>
          <w:rFonts w:ascii="Arial" w:eastAsia="Times New Roman" w:hAnsi="Arial" w:cs="Arial"/>
          <w:color w:val="000000" w:themeColor="text1"/>
          <w:spacing w:val="8"/>
          <w:shd w:val="clear" w:color="auto" w:fill="FFFFFF"/>
        </w:rPr>
        <w:t>Revesz</w:t>
      </w:r>
      <w:proofErr w:type="spellEnd"/>
      <w:r w:rsidR="00966D75" w:rsidRPr="004554AB">
        <w:rPr>
          <w:rFonts w:ascii="Arial" w:eastAsia="Times New Roman" w:hAnsi="Arial" w:cs="Arial"/>
          <w:color w:val="000000" w:themeColor="text1"/>
          <w:spacing w:val="8"/>
          <w:shd w:val="clear" w:color="auto" w:fill="FFFFFF"/>
        </w:rPr>
        <w:t xml:space="preserve">, 2025). </w:t>
      </w:r>
      <w:r w:rsidR="008733B5" w:rsidRPr="004554AB">
        <w:rPr>
          <w:rFonts w:ascii="Arial" w:eastAsia="Times New Roman" w:hAnsi="Arial" w:cs="Arial"/>
          <w:color w:val="000000" w:themeColor="text1"/>
          <w:spacing w:val="8"/>
          <w:shd w:val="clear" w:color="auto" w:fill="FFFFFF"/>
        </w:rPr>
        <w:t>Therefore</w:t>
      </w:r>
      <w:r w:rsidR="001B5B49" w:rsidRPr="004554AB">
        <w:rPr>
          <w:rFonts w:ascii="Arial" w:eastAsia="Times New Roman" w:hAnsi="Arial" w:cs="Arial"/>
          <w:color w:val="000000" w:themeColor="text1"/>
          <w:spacing w:val="8"/>
          <w:shd w:val="clear" w:color="auto" w:fill="FFFFFF"/>
        </w:rPr>
        <w:t xml:space="preserve">, a </w:t>
      </w:r>
      <w:r w:rsidR="00966D75" w:rsidRPr="004554AB">
        <w:rPr>
          <w:rFonts w:ascii="Arial" w:eastAsia="Times New Roman" w:hAnsi="Arial" w:cs="Arial"/>
          <w:color w:val="000000" w:themeColor="text1"/>
          <w:spacing w:val="8"/>
          <w:shd w:val="clear" w:color="auto" w:fill="FFFFFF"/>
        </w:rPr>
        <w:t>well-founded governance model in which centralised controls enforce clear guidelines in safety and decentralised decision-making works within those constraints is required for medication safety to be successful. The balancing act with respect to the morphine involved weak system boundaries, leading to prescribing error propagation across stages without interception.</w:t>
      </w:r>
    </w:p>
    <w:p w14:paraId="2F5A8039" w14:textId="6198AAFC" w:rsidR="00966D75" w:rsidRPr="004554AB" w:rsidRDefault="007534C3"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Overall</w:t>
      </w:r>
      <w:r w:rsidR="00E968DC" w:rsidRPr="004554AB">
        <w:rPr>
          <w:rFonts w:ascii="Arial" w:eastAsia="Times New Roman" w:hAnsi="Arial" w:cs="Arial"/>
          <w:color w:val="000000" w:themeColor="text1"/>
          <w:spacing w:val="8"/>
          <w:shd w:val="clear" w:color="auto" w:fill="FFFFFF"/>
        </w:rPr>
        <w:t xml:space="preserve">, </w:t>
      </w:r>
      <w:r w:rsidR="00966D75" w:rsidRPr="004554AB">
        <w:rPr>
          <w:rFonts w:ascii="Arial" w:eastAsia="Times New Roman" w:hAnsi="Arial" w:cs="Arial"/>
          <w:color w:val="000000" w:themeColor="text1"/>
          <w:spacing w:val="8"/>
          <w:shd w:val="clear" w:color="auto" w:fill="FFFFFF"/>
        </w:rPr>
        <w:t>the infant morphine overdose shows that medication safety failures stem from an incongruity between central governance and local practice. The question was not whether controls existed, but if they were actually connected at all to clinical workflows. Without such an integrative, central polity, central policies are just theories, and decentralised decision-making does not have sufficient control where preventable harm can occur.</w:t>
      </w:r>
    </w:p>
    <w:p w14:paraId="0307875C" w14:textId="0F8395F6" w:rsidR="004E1C70" w:rsidRPr="004554AB" w:rsidRDefault="0022098B" w:rsidP="004554AB">
      <w:pPr>
        <w:pStyle w:val="Heading2"/>
        <w:spacing w:line="276" w:lineRule="auto"/>
        <w:jc w:val="both"/>
        <w:rPr>
          <w:rFonts w:ascii="Arial" w:hAnsi="Arial" w:cs="Arial"/>
          <w:color w:val="000000" w:themeColor="text1"/>
          <w:sz w:val="24"/>
          <w:szCs w:val="24"/>
        </w:rPr>
      </w:pPr>
      <w:bookmarkStart w:id="7" w:name="_Toc228228540"/>
      <w:r w:rsidRPr="004554AB">
        <w:rPr>
          <w:rFonts w:ascii="Arial" w:hAnsi="Arial" w:cs="Arial"/>
          <w:color w:val="000000" w:themeColor="text1"/>
          <w:sz w:val="24"/>
          <w:szCs w:val="24"/>
        </w:rPr>
        <w:t>2.3 Leadership Failures and Lessons in the Infant Morphine Overdose Case</w:t>
      </w:r>
      <w:bookmarkEnd w:id="7"/>
    </w:p>
    <w:p w14:paraId="61597B5C" w14:textId="461CBD3B" w:rsidR="00B25651" w:rsidRPr="004554AB" w:rsidRDefault="00B959BE"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Quality of leadership is an important factor in drug safety, it determines how governance structures are enacted, risk behaviour and responsibility is mitigated and shared over complex care system. Strong leadership is essential for medication safety and is associated with the enactment of governance structures and risk reduction, as well as accountability across complex care networks. In high-risk settings including paediatric medication management, proper leadership is as critical to the safety as policy adherence as it is across the medication journey. The infant morphine overdose highlights a lack of such coordination: no one leadership structure facilitated a continuum of oversight: across prescribing to dispensing and administration. It reflects a broader systems issue through which leadership failed to translate safety priorities into integrated operational control (Murray and Cope, 2021).</w:t>
      </w:r>
    </w:p>
    <w:p w14:paraId="0F9C5692" w14:textId="739F86D8" w:rsidR="00B25651" w:rsidRPr="004554AB" w:rsidRDefault="00B959BE"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Transformational leadership is crucial in supporting psychological safety because it fosters challenges to decisions, the raising of concerns and the reporting of potential risks (Edmondson, 1999). The literature demonstrates that such cultures significantly enhance improved patient safety results through the proactive detection of errors and communication (</w:t>
      </w:r>
      <w:proofErr w:type="spellStart"/>
      <w:r w:rsidRPr="004554AB">
        <w:rPr>
          <w:rFonts w:ascii="Arial" w:eastAsia="Times New Roman" w:hAnsi="Arial" w:cs="Arial"/>
          <w:color w:val="000000" w:themeColor="text1"/>
          <w:spacing w:val="8"/>
          <w:shd w:val="clear" w:color="auto" w:fill="FFFFFF"/>
        </w:rPr>
        <w:t>Ystaas</w:t>
      </w:r>
      <w:proofErr w:type="spellEnd"/>
      <w:r w:rsidRPr="004554AB">
        <w:rPr>
          <w:rFonts w:ascii="Arial" w:eastAsia="Times New Roman" w:hAnsi="Arial" w:cs="Arial"/>
          <w:color w:val="000000" w:themeColor="text1"/>
          <w:spacing w:val="8"/>
          <w:shd w:val="clear" w:color="auto" w:fill="FFFFFF"/>
        </w:rPr>
        <w:t xml:space="preserve">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xml:space="preserve">, 2023). But the absence of voice was not only the problem in the morphine scenario, the lack of systems of voice in the morphine case was also the problem, the lack of processes that gave the authority to pursue concerns. Even when people had known that an indication that prescription/dispensing was ambiguous, the </w:t>
      </w:r>
      <w:r w:rsidRPr="004554AB">
        <w:rPr>
          <w:rFonts w:ascii="Arial" w:eastAsia="Times New Roman" w:hAnsi="Arial" w:cs="Arial"/>
          <w:color w:val="000000" w:themeColor="text1"/>
          <w:spacing w:val="8"/>
          <w:shd w:val="clear" w:color="auto" w:fill="FFFFFF"/>
        </w:rPr>
        <w:lastRenderedPageBreak/>
        <w:t>system did not have coordinated mechanisms in place to confirm or to contest an indication, it was reported. Which exposes the flaw of relying on a culture that does not create formal accountability structures.</w:t>
      </w:r>
    </w:p>
    <w:p w14:paraId="611BB2C4" w14:textId="3FCF4821" w:rsidR="00B25651" w:rsidRPr="004554AB" w:rsidRDefault="00B959BE"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The distributed leadership model addresses this limitation by dispersing responsibility among multidisciplinary medical teams engaged in medication management. Shared leadership is proposed with a view to increased coordination amongst clinicians, pharmacists and system designers, especially at high-risk points of transitions (</w:t>
      </w:r>
      <w:proofErr w:type="spellStart"/>
      <w:r w:rsidRPr="004554AB">
        <w:rPr>
          <w:rFonts w:ascii="Arial" w:eastAsia="Times New Roman" w:hAnsi="Arial" w:cs="Arial"/>
          <w:color w:val="000000" w:themeColor="text1"/>
          <w:spacing w:val="8"/>
          <w:shd w:val="clear" w:color="auto" w:fill="FFFFFF"/>
        </w:rPr>
        <w:t>Carstensen</w:t>
      </w:r>
      <w:proofErr w:type="spellEnd"/>
      <w:r w:rsidRPr="004554AB">
        <w:rPr>
          <w:rFonts w:ascii="Arial" w:eastAsia="Times New Roman" w:hAnsi="Arial" w:cs="Arial"/>
          <w:color w:val="000000" w:themeColor="text1"/>
          <w:spacing w:val="8"/>
          <w:shd w:val="clear" w:color="auto" w:fill="FFFFFF"/>
        </w:rPr>
        <w:t xml:space="preserve">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xml:space="preserve"> 2024; Curșeu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xml:space="preserve">., 2025). </w:t>
      </w:r>
      <w:r w:rsidR="00BA3C66" w:rsidRPr="004554AB">
        <w:rPr>
          <w:rFonts w:ascii="Arial" w:eastAsia="Times New Roman" w:hAnsi="Arial" w:cs="Arial"/>
          <w:color w:val="000000" w:themeColor="text1"/>
          <w:spacing w:val="8"/>
          <w:shd w:val="clear" w:color="auto" w:fill="FFFFFF"/>
        </w:rPr>
        <w:t>However,</w:t>
      </w:r>
      <w:r w:rsidRPr="004554AB">
        <w:rPr>
          <w:rFonts w:ascii="Arial" w:eastAsia="Times New Roman" w:hAnsi="Arial" w:cs="Arial"/>
          <w:color w:val="000000" w:themeColor="text1"/>
          <w:spacing w:val="8"/>
          <w:shd w:val="clear" w:color="auto" w:fill="FFFFFF"/>
        </w:rPr>
        <w:t xml:space="preserve"> there is evidence that distributed leadership can lead to fragmentation, when roles, and responsibilities are not sufficiently clear or connected. In the morphine case, responsibility was spread amongst hospital clinicians, general practitioners and pharmacists, and with no clear responsibility in the full continuum of medication safety. That created a power gap where actors assumed right or wrong to previous decisions, and the prescribing mistake just went on and on.</w:t>
      </w:r>
    </w:p>
    <w:p w14:paraId="288CF976" w14:textId="0E0EF3C1" w:rsidR="000B6D18" w:rsidRPr="004554AB" w:rsidRDefault="005A1BBB"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Moreover</w:t>
      </w:r>
      <w:r w:rsidR="00B959BE" w:rsidRPr="004554AB">
        <w:rPr>
          <w:rFonts w:ascii="Arial" w:eastAsia="Times New Roman" w:hAnsi="Arial" w:cs="Arial"/>
          <w:color w:val="000000" w:themeColor="text1"/>
          <w:spacing w:val="8"/>
          <w:shd w:val="clear" w:color="auto" w:fill="FFFFFF"/>
        </w:rPr>
        <w:t xml:space="preserve">, effective leadership in medication safety entails both distribution and coordination. Systems need to delineate clear accountability checkpoints along the medication pathway, ensuring that mission-critical </w:t>
      </w:r>
      <w:r w:rsidRPr="004554AB">
        <w:rPr>
          <w:rFonts w:ascii="Arial" w:eastAsia="Times New Roman" w:hAnsi="Arial" w:cs="Arial"/>
          <w:color w:val="000000" w:themeColor="text1"/>
          <w:spacing w:val="8"/>
          <w:shd w:val="clear" w:color="auto" w:fill="FFFFFF"/>
        </w:rPr>
        <w:t>decision</w:t>
      </w:r>
      <w:r w:rsidR="00ED0B11" w:rsidRPr="004554AB">
        <w:rPr>
          <w:rFonts w:ascii="Arial" w:eastAsia="Times New Roman" w:hAnsi="Arial" w:cs="Arial"/>
          <w:color w:val="000000" w:themeColor="text1"/>
          <w:spacing w:val="8"/>
          <w:shd w:val="clear" w:color="auto" w:fill="FFFFFF"/>
        </w:rPr>
        <w:t>s</w:t>
      </w:r>
      <w:r w:rsidRPr="004554AB">
        <w:rPr>
          <w:rFonts w:ascii="Arial" w:eastAsia="Times New Roman" w:hAnsi="Arial" w:cs="Arial"/>
          <w:color w:val="000000" w:themeColor="text1"/>
          <w:spacing w:val="8"/>
          <w:shd w:val="clear" w:color="auto" w:fill="FFFFFF"/>
        </w:rPr>
        <w:t xml:space="preserve">, </w:t>
      </w:r>
      <w:r w:rsidR="00ED0B11" w:rsidRPr="004554AB">
        <w:rPr>
          <w:rFonts w:ascii="Arial" w:eastAsia="Times New Roman" w:hAnsi="Arial" w:cs="Arial"/>
          <w:color w:val="000000" w:themeColor="text1"/>
          <w:spacing w:val="8"/>
          <w:shd w:val="clear" w:color="auto" w:fill="FFFFFF"/>
        </w:rPr>
        <w:t>i.e.,</w:t>
      </w:r>
      <w:r w:rsidR="00B959BE" w:rsidRPr="004554AB">
        <w:rPr>
          <w:rFonts w:ascii="Arial" w:eastAsia="Times New Roman" w:hAnsi="Arial" w:cs="Arial"/>
          <w:color w:val="000000" w:themeColor="text1"/>
          <w:spacing w:val="8"/>
          <w:shd w:val="clear" w:color="auto" w:fill="FFFFFF"/>
        </w:rPr>
        <w:t xml:space="preserve"> verifying levels and choosing formulations</w:t>
      </w:r>
      <w:r w:rsidRPr="004554AB">
        <w:rPr>
          <w:rFonts w:ascii="Arial" w:eastAsia="Times New Roman" w:hAnsi="Arial" w:cs="Arial"/>
          <w:color w:val="000000" w:themeColor="text1"/>
          <w:spacing w:val="8"/>
          <w:shd w:val="clear" w:color="auto" w:fill="FFFFFF"/>
        </w:rPr>
        <w:t xml:space="preserve">, </w:t>
      </w:r>
      <w:r w:rsidR="00B959BE" w:rsidRPr="004554AB">
        <w:rPr>
          <w:rFonts w:ascii="Arial" w:eastAsia="Times New Roman" w:hAnsi="Arial" w:cs="Arial"/>
          <w:color w:val="000000" w:themeColor="text1"/>
          <w:spacing w:val="8"/>
          <w:shd w:val="clear" w:color="auto" w:fill="FFFFFF"/>
        </w:rPr>
        <w:t xml:space="preserve">are validated, not simply accepted. Studies on care transitions point to the need for coordinated leadership to preserve information consistency and avoid crossing organisational boundaries (Dinh </w:t>
      </w:r>
      <w:r w:rsidR="00B959BE" w:rsidRPr="004554AB">
        <w:rPr>
          <w:rFonts w:ascii="Arial" w:eastAsia="Times New Roman" w:hAnsi="Arial" w:cs="Arial"/>
          <w:i/>
          <w:iCs/>
          <w:color w:val="000000" w:themeColor="text1"/>
          <w:spacing w:val="8"/>
          <w:shd w:val="clear" w:color="auto" w:fill="FFFFFF"/>
        </w:rPr>
        <w:t>et al.</w:t>
      </w:r>
      <w:r w:rsidR="00B959BE" w:rsidRPr="004554AB">
        <w:rPr>
          <w:rFonts w:ascii="Arial" w:eastAsia="Times New Roman" w:hAnsi="Arial" w:cs="Arial"/>
          <w:color w:val="000000" w:themeColor="text1"/>
          <w:spacing w:val="8"/>
          <w:shd w:val="clear" w:color="auto" w:fill="FFFFFF"/>
        </w:rPr>
        <w:t>, 2024). In the morphine case, where no coordination went place in the various stages, no stage was a robust safety checkpoint</w:t>
      </w:r>
      <w:r w:rsidR="007A0F50" w:rsidRPr="004554AB">
        <w:rPr>
          <w:rFonts w:ascii="Arial" w:eastAsia="Times New Roman" w:hAnsi="Arial" w:cs="Arial"/>
          <w:color w:val="000000" w:themeColor="text1"/>
          <w:spacing w:val="8"/>
          <w:shd w:val="clear" w:color="auto" w:fill="FFFFFF"/>
        </w:rPr>
        <w:t>,</w:t>
      </w:r>
      <w:r w:rsidR="00B959BE" w:rsidRPr="004554AB">
        <w:rPr>
          <w:rFonts w:ascii="Arial" w:eastAsia="Times New Roman" w:hAnsi="Arial" w:cs="Arial"/>
          <w:color w:val="000000" w:themeColor="text1"/>
          <w:spacing w:val="8"/>
          <w:shd w:val="clear" w:color="auto" w:fill="FFFFFF"/>
        </w:rPr>
        <w:t xml:space="preserve"> demonstrating leadership not personal performance.</w:t>
      </w:r>
    </w:p>
    <w:p w14:paraId="002E15A3" w14:textId="534A5E5C" w:rsidR="007A0F50" w:rsidRPr="004554AB" w:rsidRDefault="00B959BE"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Leadership effectiveness is further influenced by organisational context. High workload and time pressure with cognitive demand also decrease the reliability of safety behaviours including double-checking and escalation, specifically in paediatric settings where calculations tend to be complex (Stevens et</w:t>
      </w:r>
      <w:r w:rsidRPr="004554AB">
        <w:rPr>
          <w:rFonts w:ascii="Arial" w:eastAsia="Times New Roman" w:hAnsi="Arial" w:cs="Arial"/>
          <w:i/>
          <w:iCs/>
          <w:color w:val="000000" w:themeColor="text1"/>
          <w:spacing w:val="8"/>
          <w:shd w:val="clear" w:color="auto" w:fill="FFFFFF"/>
        </w:rPr>
        <w:t xml:space="preserve"> al.</w:t>
      </w:r>
      <w:r w:rsidRPr="004554AB">
        <w:rPr>
          <w:rFonts w:ascii="Arial" w:eastAsia="Times New Roman" w:hAnsi="Arial" w:cs="Arial"/>
          <w:color w:val="000000" w:themeColor="text1"/>
          <w:spacing w:val="8"/>
          <w:shd w:val="clear" w:color="auto" w:fill="FFFFFF"/>
        </w:rPr>
        <w:t xml:space="preserve">, 2023). In other </w:t>
      </w:r>
      <w:r w:rsidR="007A7EE2" w:rsidRPr="004554AB">
        <w:rPr>
          <w:rFonts w:ascii="Arial" w:eastAsia="Times New Roman" w:hAnsi="Arial" w:cs="Arial"/>
          <w:color w:val="000000" w:themeColor="text1"/>
          <w:spacing w:val="8"/>
          <w:shd w:val="clear" w:color="auto" w:fill="FFFFFF"/>
        </w:rPr>
        <w:t>words,</w:t>
      </w:r>
      <w:r w:rsidRPr="004554AB">
        <w:rPr>
          <w:rFonts w:ascii="Arial" w:eastAsia="Times New Roman" w:hAnsi="Arial" w:cs="Arial"/>
          <w:color w:val="000000" w:themeColor="text1"/>
          <w:spacing w:val="8"/>
          <w:shd w:val="clear" w:color="auto" w:fill="FFFFFF"/>
        </w:rPr>
        <w:t xml:space="preserve"> leadership must go beyond behavioural standards to system design allowing enabling conducive environments that support safe practices to occur. In the morphine system the dependence on manual verification methods in a high stress environment led to greater error susceptibility, suggesting that management did not align physical environment with the requirements of safety.</w:t>
      </w:r>
    </w:p>
    <w:p w14:paraId="58DA5E2F" w14:textId="0A7B1871" w:rsidR="00792F27" w:rsidRPr="004554AB" w:rsidRDefault="00B959BE"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 xml:space="preserve">Leadership is also instrumental in integrating learning in health care systems. Key organisations continuously translate incident data into system improvement through structured feedback loops and adaptive change processes (Braithwaite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2018). Nevertheless, the recurring risk in paediatric opioid dosing in the morphine case indicates that there was an insufficient operationalisation of organisational learning. This is a failure by leadership to translate knowledge into preventative controls, thus not addressing predictable risks.</w:t>
      </w:r>
    </w:p>
    <w:p w14:paraId="3BD2E2B9" w14:textId="2EB0957A" w:rsidR="00B959BE" w:rsidRPr="004554AB" w:rsidRDefault="00792F27"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lastRenderedPageBreak/>
        <w:t>Overall</w:t>
      </w:r>
      <w:r w:rsidR="00B959BE" w:rsidRPr="004554AB">
        <w:rPr>
          <w:rFonts w:ascii="Arial" w:eastAsia="Times New Roman" w:hAnsi="Arial" w:cs="Arial"/>
          <w:color w:val="000000" w:themeColor="text1"/>
          <w:spacing w:val="8"/>
          <w:shd w:val="clear" w:color="auto" w:fill="FFFFFF"/>
        </w:rPr>
        <w:t>, the morphine overdose shows that medication safety is not dependent purely on individual competence</w:t>
      </w:r>
      <w:r w:rsidRPr="004554AB">
        <w:rPr>
          <w:rFonts w:ascii="Arial" w:eastAsia="Times New Roman" w:hAnsi="Arial" w:cs="Arial"/>
          <w:color w:val="000000" w:themeColor="text1"/>
          <w:spacing w:val="8"/>
          <w:shd w:val="clear" w:color="auto" w:fill="FFFFFF"/>
        </w:rPr>
        <w:t>,</w:t>
      </w:r>
      <w:r w:rsidR="00B959BE" w:rsidRPr="004554AB">
        <w:rPr>
          <w:rFonts w:ascii="Arial" w:eastAsia="Times New Roman" w:hAnsi="Arial" w:cs="Arial"/>
          <w:color w:val="000000" w:themeColor="text1"/>
          <w:spacing w:val="8"/>
          <w:shd w:val="clear" w:color="auto" w:fill="FFFFFF"/>
        </w:rPr>
        <w:t xml:space="preserve"> it relies on leadership systems that coordinate, hold the other to account, and require learning through complex care pathways. But the failure was not missing leadership models, the absence of which was also evidenced in the implementation and implementation failures</w:t>
      </w:r>
      <w:r w:rsidR="005D3B1C" w:rsidRPr="004554AB">
        <w:rPr>
          <w:rFonts w:ascii="Arial" w:eastAsia="Times New Roman" w:hAnsi="Arial" w:cs="Arial"/>
          <w:color w:val="000000" w:themeColor="text1"/>
          <w:spacing w:val="8"/>
          <w:shd w:val="clear" w:color="auto" w:fill="FFFFFF"/>
        </w:rPr>
        <w:t xml:space="preserve">, </w:t>
      </w:r>
      <w:r w:rsidR="00B959BE" w:rsidRPr="004554AB">
        <w:rPr>
          <w:rFonts w:ascii="Arial" w:eastAsia="Times New Roman" w:hAnsi="Arial" w:cs="Arial"/>
          <w:color w:val="000000" w:themeColor="text1"/>
          <w:spacing w:val="8"/>
          <w:shd w:val="clear" w:color="auto" w:fill="FFFFFF"/>
        </w:rPr>
        <w:t>with no effective institutional integration leading to fragmented oversight, and with unmitigated risk.</w:t>
      </w:r>
    </w:p>
    <w:p w14:paraId="7B5AD7EB" w14:textId="3660D4DD" w:rsidR="00683609" w:rsidRPr="004554AB" w:rsidRDefault="00D0786A"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r w:rsidRPr="004554AB">
        <w:rPr>
          <w:rFonts w:ascii="Arial" w:eastAsia="Times New Roman" w:hAnsi="Arial" w:cs="Arial"/>
          <w:color w:val="000000" w:themeColor="text1"/>
          <w:spacing w:val="8"/>
        </w:rPr>
        <w:br/>
      </w:r>
      <w:bookmarkStart w:id="8" w:name="_Toc228228541"/>
      <w:r w:rsidR="41D6329D" w:rsidRPr="004554AB">
        <w:rPr>
          <w:rStyle w:val="Heading2Char"/>
          <w:rFonts w:ascii="Arial" w:hAnsi="Arial" w:cs="Arial"/>
          <w:color w:val="000000" w:themeColor="text1"/>
          <w:sz w:val="24"/>
          <w:szCs w:val="24"/>
        </w:rPr>
        <w:t>2.4 Critique, Improvements and Lessons Learned</w:t>
      </w:r>
      <w:bookmarkEnd w:id="8"/>
    </w:p>
    <w:p w14:paraId="0CEAC92B" w14:textId="77777777" w:rsidR="001F0947" w:rsidRPr="004554AB" w:rsidRDefault="001F0947"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r w:rsidRPr="004554AB">
        <w:rPr>
          <w:rFonts w:ascii="Arial" w:hAnsi="Arial" w:cs="Arial"/>
          <w:color w:val="000000" w:themeColor="text1"/>
          <w:spacing w:val="8"/>
        </w:rPr>
        <w:t>The case of infant morphine overdose shows a fundamental mismatch between the design of systems and human capability used along the medication pathway. Its implementation needed human vigilance to identify and correct errors, with a high-risk environment including complexity and uncertainty. Systems thinking underlines the variability of human performance and suggests that it must not become a barrier to error avoidance (</w:t>
      </w:r>
      <w:proofErr w:type="spellStart"/>
      <w:r w:rsidRPr="004554AB">
        <w:rPr>
          <w:rFonts w:ascii="Arial" w:hAnsi="Arial" w:cs="Arial"/>
          <w:color w:val="000000" w:themeColor="text1"/>
          <w:spacing w:val="8"/>
        </w:rPr>
        <w:t>Carayon</w:t>
      </w:r>
      <w:proofErr w:type="spellEnd"/>
      <w:r w:rsidRPr="004554AB">
        <w:rPr>
          <w:rFonts w:ascii="Arial" w:hAnsi="Arial" w:cs="Arial"/>
          <w:color w:val="000000" w:themeColor="text1"/>
          <w:spacing w:val="8"/>
        </w:rPr>
        <w:t xml:space="preserve"> </w:t>
      </w:r>
      <w:r w:rsidRPr="004554AB">
        <w:rPr>
          <w:rFonts w:ascii="Arial" w:hAnsi="Arial" w:cs="Arial"/>
          <w:i/>
          <w:iCs/>
          <w:color w:val="000000" w:themeColor="text1"/>
          <w:spacing w:val="8"/>
        </w:rPr>
        <w:t>et al</w:t>
      </w:r>
      <w:r w:rsidRPr="004554AB">
        <w:rPr>
          <w:rFonts w:ascii="Arial" w:hAnsi="Arial" w:cs="Arial"/>
          <w:color w:val="000000" w:themeColor="text1"/>
          <w:spacing w:val="8"/>
        </w:rPr>
        <w:t xml:space="preserve">., 2014; </w:t>
      </w:r>
      <w:proofErr w:type="spellStart"/>
      <w:r w:rsidRPr="004554AB">
        <w:rPr>
          <w:rFonts w:ascii="Arial" w:hAnsi="Arial" w:cs="Arial"/>
          <w:color w:val="000000" w:themeColor="text1"/>
          <w:spacing w:val="8"/>
        </w:rPr>
        <w:t>Hollnagel</w:t>
      </w:r>
      <w:proofErr w:type="spellEnd"/>
      <w:r w:rsidRPr="004554AB">
        <w:rPr>
          <w:rFonts w:ascii="Arial" w:hAnsi="Arial" w:cs="Arial"/>
          <w:color w:val="000000" w:themeColor="text1"/>
          <w:spacing w:val="8"/>
        </w:rPr>
        <w:t>, 2014).</w:t>
      </w:r>
    </w:p>
    <w:p w14:paraId="26342142" w14:textId="4C7A67AC" w:rsidR="001F0947" w:rsidRPr="004554AB" w:rsidRDefault="001F0947"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r w:rsidRPr="004554AB">
        <w:rPr>
          <w:rFonts w:ascii="Arial" w:hAnsi="Arial" w:cs="Arial"/>
          <w:color w:val="000000" w:themeColor="text1"/>
          <w:spacing w:val="8"/>
        </w:rPr>
        <w:t>Complexity of the paediatric drug system was a significant structural weakness. Weight-based dosing, varying concentration of drugs and narrow margin of therapy are major risk factors for errors (Alghamdi e</w:t>
      </w:r>
      <w:r w:rsidRPr="004554AB">
        <w:rPr>
          <w:rFonts w:ascii="Arial" w:hAnsi="Arial" w:cs="Arial"/>
          <w:i/>
          <w:iCs/>
          <w:color w:val="000000" w:themeColor="text1"/>
          <w:spacing w:val="8"/>
        </w:rPr>
        <w:t>t al</w:t>
      </w:r>
      <w:r w:rsidRPr="004554AB">
        <w:rPr>
          <w:rFonts w:ascii="Arial" w:hAnsi="Arial" w:cs="Arial"/>
          <w:color w:val="000000" w:themeColor="text1"/>
          <w:spacing w:val="8"/>
        </w:rPr>
        <w:t xml:space="preserve">., 2019; </w:t>
      </w:r>
      <w:proofErr w:type="spellStart"/>
      <w:r w:rsidRPr="004554AB">
        <w:rPr>
          <w:rFonts w:ascii="Arial" w:hAnsi="Arial" w:cs="Arial"/>
          <w:color w:val="000000" w:themeColor="text1"/>
          <w:spacing w:val="8"/>
        </w:rPr>
        <w:t>Kaushal</w:t>
      </w:r>
      <w:proofErr w:type="spellEnd"/>
      <w:r w:rsidRPr="004554AB">
        <w:rPr>
          <w:rFonts w:ascii="Arial" w:hAnsi="Arial" w:cs="Arial"/>
          <w:color w:val="000000" w:themeColor="text1"/>
          <w:spacing w:val="8"/>
        </w:rPr>
        <w:t xml:space="preserve"> </w:t>
      </w:r>
      <w:r w:rsidRPr="004554AB">
        <w:rPr>
          <w:rFonts w:ascii="Arial" w:hAnsi="Arial" w:cs="Arial"/>
          <w:i/>
          <w:iCs/>
          <w:color w:val="000000" w:themeColor="text1"/>
          <w:spacing w:val="8"/>
        </w:rPr>
        <w:t>et al</w:t>
      </w:r>
      <w:r w:rsidRPr="004554AB">
        <w:rPr>
          <w:rFonts w:ascii="Arial" w:hAnsi="Arial" w:cs="Arial"/>
          <w:color w:val="000000" w:themeColor="text1"/>
          <w:spacing w:val="8"/>
        </w:rPr>
        <w:t>., 2001). Prescribing and dispensing procedures here entailed the interpretation of the dosing data by both clinicians and pharmacists by human experts, adding to the cognitive burden and the risk of miscalculation. As such, these factors are associated with paediatric errors and, in fact, their number and severity are higher (</w:t>
      </w:r>
      <w:proofErr w:type="spellStart"/>
      <w:r w:rsidRPr="004554AB">
        <w:rPr>
          <w:rFonts w:ascii="Arial" w:hAnsi="Arial" w:cs="Arial"/>
          <w:color w:val="000000" w:themeColor="text1"/>
          <w:spacing w:val="8"/>
        </w:rPr>
        <w:t>D’Errico</w:t>
      </w:r>
      <w:proofErr w:type="spellEnd"/>
      <w:r w:rsidRPr="004554AB">
        <w:rPr>
          <w:rFonts w:ascii="Arial" w:hAnsi="Arial" w:cs="Arial"/>
          <w:color w:val="000000" w:themeColor="text1"/>
          <w:spacing w:val="8"/>
        </w:rPr>
        <w:t xml:space="preserve"> </w:t>
      </w:r>
      <w:r w:rsidRPr="004554AB">
        <w:rPr>
          <w:rFonts w:ascii="Arial" w:hAnsi="Arial" w:cs="Arial"/>
          <w:i/>
          <w:iCs/>
          <w:color w:val="000000" w:themeColor="text1"/>
          <w:spacing w:val="8"/>
        </w:rPr>
        <w:t>et al</w:t>
      </w:r>
      <w:r w:rsidRPr="004554AB">
        <w:rPr>
          <w:rFonts w:ascii="Arial" w:hAnsi="Arial" w:cs="Arial"/>
          <w:color w:val="000000" w:themeColor="text1"/>
          <w:spacing w:val="8"/>
        </w:rPr>
        <w:t>., 2022).</w:t>
      </w:r>
    </w:p>
    <w:p w14:paraId="38ECA204" w14:textId="77777777" w:rsidR="001F0947" w:rsidRPr="004554AB" w:rsidRDefault="001F0947"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r w:rsidRPr="004554AB">
        <w:rPr>
          <w:rFonts w:ascii="Arial" w:hAnsi="Arial" w:cs="Arial"/>
          <w:color w:val="000000" w:themeColor="text1"/>
          <w:spacing w:val="8"/>
        </w:rPr>
        <w:t>A second major threat involved care switch is transfer of care. The pathway to medication intervention involved hospital discharge, primary care and community pharmacy, with distinct mechanisms and communication methods (i.e., with distinct systems and systems). Fragmented information transfer is a well-established source of medication errors, especially after discharge (</w:t>
      </w:r>
      <w:proofErr w:type="spellStart"/>
      <w:r w:rsidRPr="004554AB">
        <w:rPr>
          <w:rFonts w:ascii="Arial" w:hAnsi="Arial" w:cs="Arial"/>
          <w:color w:val="000000" w:themeColor="text1"/>
          <w:spacing w:val="8"/>
        </w:rPr>
        <w:t>Alqenae</w:t>
      </w:r>
      <w:proofErr w:type="spellEnd"/>
      <w:r w:rsidRPr="004554AB">
        <w:rPr>
          <w:rFonts w:ascii="Arial" w:hAnsi="Arial" w:cs="Arial"/>
          <w:color w:val="000000" w:themeColor="text1"/>
          <w:spacing w:val="8"/>
        </w:rPr>
        <w:t xml:space="preserve"> </w:t>
      </w:r>
      <w:r w:rsidRPr="004554AB">
        <w:rPr>
          <w:rFonts w:ascii="Arial" w:hAnsi="Arial" w:cs="Arial"/>
          <w:i/>
          <w:iCs/>
          <w:color w:val="000000" w:themeColor="text1"/>
          <w:spacing w:val="8"/>
        </w:rPr>
        <w:t>et al</w:t>
      </w:r>
      <w:r w:rsidRPr="004554AB">
        <w:rPr>
          <w:rFonts w:ascii="Arial" w:hAnsi="Arial" w:cs="Arial"/>
          <w:color w:val="000000" w:themeColor="text1"/>
          <w:spacing w:val="8"/>
        </w:rPr>
        <w:t xml:space="preserve">., 2023; Dinh </w:t>
      </w:r>
      <w:r w:rsidRPr="004554AB">
        <w:rPr>
          <w:rFonts w:ascii="Arial" w:hAnsi="Arial" w:cs="Arial"/>
          <w:i/>
          <w:iCs/>
          <w:color w:val="000000" w:themeColor="text1"/>
          <w:spacing w:val="8"/>
        </w:rPr>
        <w:t>et al.</w:t>
      </w:r>
      <w:r w:rsidRPr="004554AB">
        <w:rPr>
          <w:rFonts w:ascii="Arial" w:hAnsi="Arial" w:cs="Arial"/>
          <w:color w:val="000000" w:themeColor="text1"/>
          <w:spacing w:val="8"/>
        </w:rPr>
        <w:t>, 2024). Ambiguous discharge instructions in this case created ambiguity and this was compounded by the fact that the follow up work did not have standardised information communication and interoperable systems that could be taken advantage of later.</w:t>
      </w:r>
    </w:p>
    <w:p w14:paraId="69104067" w14:textId="23DAE087" w:rsidR="001F0947" w:rsidRPr="004554AB" w:rsidRDefault="001F0947"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r w:rsidRPr="004554AB">
        <w:rPr>
          <w:rFonts w:ascii="Arial" w:hAnsi="Arial" w:cs="Arial"/>
          <w:color w:val="000000" w:themeColor="text1"/>
          <w:spacing w:val="8"/>
        </w:rPr>
        <w:t xml:space="preserve">Finally, the case demonstrates a lack of organisational learning. Although awareness of medication safety risks is extensive, such incidents continued suggesting that feedback mechanisms are inadequate. Positive feedback loops that connect the reporting of incidents to system redesign are essential for effective safety improvement (Braithwaite </w:t>
      </w:r>
      <w:r w:rsidRPr="004554AB">
        <w:rPr>
          <w:rFonts w:ascii="Arial" w:hAnsi="Arial" w:cs="Arial"/>
          <w:i/>
          <w:iCs/>
          <w:color w:val="000000" w:themeColor="text1"/>
          <w:spacing w:val="8"/>
        </w:rPr>
        <w:t>et al.</w:t>
      </w:r>
      <w:r w:rsidRPr="004554AB">
        <w:rPr>
          <w:rFonts w:ascii="Arial" w:hAnsi="Arial" w:cs="Arial"/>
          <w:color w:val="000000" w:themeColor="text1"/>
          <w:spacing w:val="8"/>
        </w:rPr>
        <w:t>, 2018). In this case, identified effects of concentrating morphine were not turned into measures to prevent the risks, which can be interpreted as a failure to integrate learning into clinical practice.</w:t>
      </w:r>
    </w:p>
    <w:p w14:paraId="2F839E2A" w14:textId="0C2344B7" w:rsidR="001F0947" w:rsidRPr="004554AB" w:rsidRDefault="001F0947"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r w:rsidRPr="004554AB">
        <w:rPr>
          <w:rFonts w:ascii="Arial" w:hAnsi="Arial" w:cs="Arial"/>
          <w:color w:val="000000" w:themeColor="text1"/>
          <w:spacing w:val="8"/>
        </w:rPr>
        <w:lastRenderedPageBreak/>
        <w:t xml:space="preserve">Although double-checking is a common safety strategy, when there is a high amount of labour and pressure, testing </w:t>
      </w:r>
      <w:r w:rsidR="004E1C70" w:rsidRPr="004554AB">
        <w:rPr>
          <w:rFonts w:ascii="Arial" w:hAnsi="Arial" w:cs="Arial"/>
          <w:color w:val="000000" w:themeColor="text1"/>
          <w:spacing w:val="8"/>
        </w:rPr>
        <w:t>is</w:t>
      </w:r>
      <w:r w:rsidRPr="004554AB">
        <w:rPr>
          <w:rFonts w:ascii="Arial" w:hAnsi="Arial" w:cs="Arial"/>
          <w:color w:val="000000" w:themeColor="text1"/>
          <w:spacing w:val="8"/>
        </w:rPr>
        <w:t xml:space="preserve"> unreliable (Stevens </w:t>
      </w:r>
      <w:r w:rsidRPr="004554AB">
        <w:rPr>
          <w:rFonts w:ascii="Arial" w:hAnsi="Arial" w:cs="Arial"/>
          <w:i/>
          <w:iCs/>
          <w:color w:val="000000" w:themeColor="text1"/>
          <w:spacing w:val="8"/>
        </w:rPr>
        <w:t xml:space="preserve">et al., </w:t>
      </w:r>
      <w:r w:rsidRPr="004554AB">
        <w:rPr>
          <w:rFonts w:ascii="Arial" w:hAnsi="Arial" w:cs="Arial"/>
          <w:color w:val="000000" w:themeColor="text1"/>
          <w:spacing w:val="8"/>
        </w:rPr>
        <w:t>2023). This gives the false feeling of trust. Error can go through multiple tests without being detected. In the morphine case, during multiple stages of manual verification, the incorrect concentration was not detected.</w:t>
      </w:r>
    </w:p>
    <w:p w14:paraId="67577690" w14:textId="77777777" w:rsidR="001F0947" w:rsidRPr="004554AB" w:rsidRDefault="001F0947"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r w:rsidRPr="004554AB">
        <w:rPr>
          <w:rFonts w:ascii="Arial" w:hAnsi="Arial" w:cs="Arial"/>
          <w:color w:val="000000" w:themeColor="text1"/>
          <w:spacing w:val="8"/>
        </w:rPr>
        <w:t xml:space="preserve">The critical lesson from this specific case is that medication safety needs to be addressed as a system design problem instead of a behavioural issue. These improvements must include less human intervention, improved communication for transitions, ensuring safeguards and other preventative features become part of the organisational digital system or that learning from organisations makes it a real effect on the systems. These range from standardisation of drug concentrations through electronic prescribing with clinical decision support and interoperable health records to ease continuity of care (Bates </w:t>
      </w:r>
      <w:r w:rsidRPr="004554AB">
        <w:rPr>
          <w:rFonts w:ascii="Arial" w:hAnsi="Arial" w:cs="Arial"/>
          <w:i/>
          <w:iCs/>
          <w:color w:val="000000" w:themeColor="text1"/>
          <w:spacing w:val="8"/>
        </w:rPr>
        <w:t>et al</w:t>
      </w:r>
      <w:r w:rsidRPr="004554AB">
        <w:rPr>
          <w:rFonts w:ascii="Arial" w:hAnsi="Arial" w:cs="Arial"/>
          <w:color w:val="000000" w:themeColor="text1"/>
          <w:spacing w:val="8"/>
        </w:rPr>
        <w:t xml:space="preserve">., 1998; </w:t>
      </w:r>
      <w:proofErr w:type="spellStart"/>
      <w:r w:rsidRPr="004554AB">
        <w:rPr>
          <w:rFonts w:ascii="Arial" w:hAnsi="Arial" w:cs="Arial"/>
          <w:color w:val="000000" w:themeColor="text1"/>
          <w:spacing w:val="8"/>
        </w:rPr>
        <w:t>Taheri</w:t>
      </w:r>
      <w:proofErr w:type="spellEnd"/>
      <w:r w:rsidRPr="004554AB">
        <w:rPr>
          <w:rFonts w:ascii="Arial" w:hAnsi="Arial" w:cs="Arial"/>
          <w:color w:val="000000" w:themeColor="text1"/>
          <w:spacing w:val="8"/>
        </w:rPr>
        <w:t xml:space="preserve"> </w:t>
      </w:r>
      <w:proofErr w:type="spellStart"/>
      <w:r w:rsidRPr="004554AB">
        <w:rPr>
          <w:rFonts w:ascii="Arial" w:hAnsi="Arial" w:cs="Arial"/>
          <w:color w:val="000000" w:themeColor="text1"/>
          <w:spacing w:val="8"/>
        </w:rPr>
        <w:t>Moghadam</w:t>
      </w:r>
      <w:proofErr w:type="spellEnd"/>
      <w:r w:rsidRPr="004554AB">
        <w:rPr>
          <w:rFonts w:ascii="Arial" w:hAnsi="Arial" w:cs="Arial"/>
          <w:color w:val="000000" w:themeColor="text1"/>
          <w:spacing w:val="8"/>
        </w:rPr>
        <w:t xml:space="preserve"> </w:t>
      </w:r>
      <w:r w:rsidRPr="004554AB">
        <w:rPr>
          <w:rFonts w:ascii="Arial" w:hAnsi="Arial" w:cs="Arial"/>
          <w:i/>
          <w:iCs/>
          <w:color w:val="000000" w:themeColor="text1"/>
          <w:spacing w:val="8"/>
        </w:rPr>
        <w:t>et al.,</w:t>
      </w:r>
      <w:r w:rsidRPr="004554AB">
        <w:rPr>
          <w:rFonts w:ascii="Arial" w:hAnsi="Arial" w:cs="Arial"/>
          <w:color w:val="000000" w:themeColor="text1"/>
          <w:spacing w:val="8"/>
        </w:rPr>
        <w:t xml:space="preserve"> 2021).</w:t>
      </w:r>
    </w:p>
    <w:p w14:paraId="216C7331" w14:textId="342BCF2B" w:rsidR="001F0947" w:rsidRPr="004554AB" w:rsidRDefault="001F0947"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r w:rsidRPr="004554AB">
        <w:rPr>
          <w:rFonts w:ascii="Arial" w:hAnsi="Arial" w:cs="Arial"/>
          <w:color w:val="000000" w:themeColor="text1"/>
          <w:spacing w:val="8"/>
        </w:rPr>
        <w:t>The case as a whole illustrates how sustainable improvement requires taking systemic responsibility for integrating the human, the governance and the technology to create systems-level change. This will probably recur in the future, even with heightened awareness and policy attention.</w:t>
      </w:r>
    </w:p>
    <w:p w14:paraId="741A25E1" w14:textId="77777777" w:rsidR="00997798" w:rsidRPr="004554AB" w:rsidRDefault="00997798" w:rsidP="004554AB">
      <w:pPr>
        <w:spacing w:line="276" w:lineRule="auto"/>
        <w:jc w:val="both"/>
        <w:rPr>
          <w:rFonts w:ascii="Arial" w:hAnsi="Arial" w:cs="Arial"/>
          <w:color w:val="000000" w:themeColor="text1"/>
        </w:rPr>
      </w:pPr>
    </w:p>
    <w:p w14:paraId="792EAE1C" w14:textId="77777777" w:rsidR="00997798" w:rsidRPr="004554AB" w:rsidRDefault="00997798" w:rsidP="004554AB">
      <w:pPr>
        <w:spacing w:line="276" w:lineRule="auto"/>
        <w:jc w:val="both"/>
        <w:rPr>
          <w:rFonts w:ascii="Arial" w:hAnsi="Arial" w:cs="Arial"/>
          <w:color w:val="000000" w:themeColor="text1"/>
        </w:rPr>
      </w:pPr>
    </w:p>
    <w:p w14:paraId="1BDE38A9" w14:textId="77777777" w:rsidR="00997798" w:rsidRPr="004554AB" w:rsidRDefault="00997798" w:rsidP="004554AB">
      <w:pPr>
        <w:spacing w:line="276" w:lineRule="auto"/>
        <w:jc w:val="both"/>
        <w:rPr>
          <w:rFonts w:ascii="Arial" w:hAnsi="Arial" w:cs="Arial"/>
          <w:color w:val="000000" w:themeColor="text1"/>
        </w:rPr>
      </w:pPr>
    </w:p>
    <w:p w14:paraId="2EF24778" w14:textId="77777777" w:rsidR="00997798" w:rsidRPr="004554AB" w:rsidRDefault="00997798" w:rsidP="004554AB">
      <w:pPr>
        <w:spacing w:line="276" w:lineRule="auto"/>
        <w:jc w:val="both"/>
        <w:rPr>
          <w:rFonts w:ascii="Arial" w:hAnsi="Arial" w:cs="Arial"/>
          <w:color w:val="000000" w:themeColor="text1"/>
        </w:rPr>
      </w:pPr>
    </w:p>
    <w:p w14:paraId="0DD84E8E" w14:textId="77777777" w:rsidR="000F0837" w:rsidRPr="004554AB" w:rsidRDefault="000F0837" w:rsidP="004554AB">
      <w:pPr>
        <w:spacing w:line="276" w:lineRule="auto"/>
        <w:jc w:val="both"/>
        <w:rPr>
          <w:rFonts w:ascii="Arial" w:hAnsi="Arial" w:cs="Arial"/>
          <w:color w:val="000000" w:themeColor="text1"/>
        </w:rPr>
      </w:pPr>
    </w:p>
    <w:p w14:paraId="4775DD8F" w14:textId="77777777" w:rsidR="000F0837" w:rsidRPr="004554AB" w:rsidRDefault="000F0837" w:rsidP="004554AB">
      <w:pPr>
        <w:spacing w:line="276" w:lineRule="auto"/>
        <w:jc w:val="both"/>
        <w:rPr>
          <w:rFonts w:ascii="Arial" w:hAnsi="Arial" w:cs="Arial"/>
          <w:color w:val="000000" w:themeColor="text1"/>
        </w:rPr>
      </w:pPr>
    </w:p>
    <w:p w14:paraId="0DDF9DF3" w14:textId="77777777" w:rsidR="000F0837" w:rsidRPr="004554AB" w:rsidRDefault="000F0837" w:rsidP="004554AB">
      <w:pPr>
        <w:spacing w:line="276" w:lineRule="auto"/>
        <w:jc w:val="both"/>
        <w:rPr>
          <w:rFonts w:ascii="Arial" w:hAnsi="Arial" w:cs="Arial"/>
          <w:color w:val="000000" w:themeColor="text1"/>
        </w:rPr>
      </w:pPr>
    </w:p>
    <w:p w14:paraId="7EF9733E" w14:textId="77777777" w:rsidR="00997798" w:rsidRPr="004554AB" w:rsidRDefault="00997798" w:rsidP="004554AB">
      <w:pPr>
        <w:spacing w:line="276" w:lineRule="auto"/>
        <w:jc w:val="both"/>
        <w:rPr>
          <w:rFonts w:ascii="Arial" w:hAnsi="Arial" w:cs="Arial"/>
          <w:color w:val="000000" w:themeColor="text1"/>
        </w:rPr>
      </w:pPr>
    </w:p>
    <w:p w14:paraId="498745AE" w14:textId="77777777" w:rsidR="00522417" w:rsidRPr="004554AB" w:rsidRDefault="00522417" w:rsidP="004554AB">
      <w:pPr>
        <w:spacing w:line="276" w:lineRule="auto"/>
        <w:jc w:val="both"/>
        <w:rPr>
          <w:rFonts w:ascii="Arial" w:hAnsi="Arial" w:cs="Arial"/>
          <w:color w:val="000000" w:themeColor="text1"/>
        </w:rPr>
      </w:pPr>
    </w:p>
    <w:p w14:paraId="54E2DABF" w14:textId="77777777" w:rsidR="00522417" w:rsidRPr="004554AB" w:rsidRDefault="00522417" w:rsidP="004554AB">
      <w:pPr>
        <w:spacing w:line="276" w:lineRule="auto"/>
        <w:jc w:val="both"/>
        <w:rPr>
          <w:rFonts w:ascii="Arial" w:hAnsi="Arial" w:cs="Arial"/>
          <w:color w:val="000000" w:themeColor="text1"/>
        </w:rPr>
      </w:pPr>
    </w:p>
    <w:p w14:paraId="085B7A05" w14:textId="77777777" w:rsidR="00A86251" w:rsidRPr="004554AB" w:rsidRDefault="00A86251" w:rsidP="004554AB">
      <w:pPr>
        <w:spacing w:line="276" w:lineRule="auto"/>
        <w:jc w:val="both"/>
        <w:rPr>
          <w:rFonts w:ascii="Arial" w:hAnsi="Arial" w:cs="Arial"/>
          <w:color w:val="000000" w:themeColor="text1"/>
        </w:rPr>
      </w:pPr>
    </w:p>
    <w:p w14:paraId="63F51ED0" w14:textId="77777777" w:rsidR="003824EB" w:rsidRPr="004554AB" w:rsidRDefault="003824EB" w:rsidP="004554AB">
      <w:pPr>
        <w:spacing w:line="276" w:lineRule="auto"/>
        <w:jc w:val="both"/>
        <w:rPr>
          <w:rFonts w:ascii="Arial" w:hAnsi="Arial" w:cs="Arial"/>
          <w:color w:val="000000" w:themeColor="text1"/>
        </w:rPr>
      </w:pPr>
    </w:p>
    <w:p w14:paraId="5BA88F97" w14:textId="77777777" w:rsidR="003824EB" w:rsidRPr="004554AB" w:rsidRDefault="003824EB" w:rsidP="004554AB">
      <w:pPr>
        <w:spacing w:line="276" w:lineRule="auto"/>
        <w:jc w:val="both"/>
        <w:rPr>
          <w:rFonts w:ascii="Arial" w:hAnsi="Arial" w:cs="Arial"/>
          <w:color w:val="000000" w:themeColor="text1"/>
        </w:rPr>
      </w:pPr>
    </w:p>
    <w:p w14:paraId="591FC8A6" w14:textId="77777777" w:rsidR="003824EB" w:rsidRPr="004554AB" w:rsidRDefault="003824EB" w:rsidP="004554AB">
      <w:pPr>
        <w:spacing w:line="276" w:lineRule="auto"/>
        <w:jc w:val="both"/>
        <w:rPr>
          <w:rFonts w:ascii="Arial" w:hAnsi="Arial" w:cs="Arial"/>
          <w:color w:val="000000" w:themeColor="text1"/>
        </w:rPr>
      </w:pPr>
    </w:p>
    <w:p w14:paraId="11B8DA47" w14:textId="182CC8BC" w:rsidR="134C751A" w:rsidRPr="004554AB" w:rsidRDefault="134C751A" w:rsidP="004554AB">
      <w:pPr>
        <w:spacing w:line="276" w:lineRule="auto"/>
        <w:jc w:val="both"/>
        <w:rPr>
          <w:rFonts w:ascii="Arial" w:hAnsi="Arial" w:cs="Arial"/>
          <w:color w:val="000000" w:themeColor="text1"/>
        </w:rPr>
      </w:pPr>
    </w:p>
    <w:p w14:paraId="77AB39A6" w14:textId="2F654E8A" w:rsidR="00FD3931" w:rsidRPr="004554AB" w:rsidRDefault="00C15087" w:rsidP="004554AB">
      <w:pPr>
        <w:pStyle w:val="Heading2"/>
        <w:spacing w:line="276" w:lineRule="auto"/>
        <w:jc w:val="both"/>
        <w:rPr>
          <w:rFonts w:ascii="Arial" w:hAnsi="Arial" w:cs="Arial"/>
          <w:color w:val="000000" w:themeColor="text1"/>
          <w:sz w:val="24"/>
          <w:szCs w:val="24"/>
        </w:rPr>
      </w:pPr>
      <w:bookmarkStart w:id="9" w:name="_Toc228228542"/>
      <w:r w:rsidRPr="004554AB">
        <w:rPr>
          <w:rFonts w:ascii="Arial" w:hAnsi="Arial" w:cs="Arial"/>
          <w:color w:val="000000" w:themeColor="text1"/>
          <w:sz w:val="24"/>
          <w:szCs w:val="24"/>
        </w:rPr>
        <w:lastRenderedPageBreak/>
        <w:t>3.0 Recommendations</w:t>
      </w:r>
      <w:bookmarkEnd w:id="9"/>
    </w:p>
    <w:p w14:paraId="22E15A50" w14:textId="3BC91628" w:rsidR="00FD3931" w:rsidRPr="004554AB" w:rsidRDefault="003A2C23"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r w:rsidRPr="004554AB">
        <w:rPr>
          <w:rFonts w:ascii="Arial" w:hAnsi="Arial" w:cs="Arial"/>
          <w:color w:val="000000" w:themeColor="text1"/>
          <w:spacing w:val="8"/>
        </w:rPr>
        <w:t>To</w:t>
      </w:r>
      <w:r w:rsidR="00353D37" w:rsidRPr="004554AB">
        <w:rPr>
          <w:rFonts w:ascii="Arial" w:hAnsi="Arial" w:cs="Arial"/>
          <w:color w:val="000000" w:themeColor="text1"/>
          <w:spacing w:val="8"/>
        </w:rPr>
        <w:t xml:space="preserve"> improve, </w:t>
      </w:r>
      <w:r w:rsidR="00BA5089" w:rsidRPr="004554AB">
        <w:rPr>
          <w:rFonts w:ascii="Arial" w:hAnsi="Arial" w:cs="Arial"/>
          <w:color w:val="000000" w:themeColor="text1"/>
          <w:spacing w:val="8"/>
        </w:rPr>
        <w:t>it is recommended</w:t>
      </w:r>
      <w:r w:rsidR="00896F4F" w:rsidRPr="004554AB">
        <w:rPr>
          <w:rFonts w:ascii="Arial" w:hAnsi="Arial" w:cs="Arial"/>
          <w:color w:val="000000" w:themeColor="text1"/>
          <w:spacing w:val="8"/>
        </w:rPr>
        <w:t xml:space="preserve"> </w:t>
      </w:r>
      <w:r w:rsidR="00FD3931" w:rsidRPr="004554AB">
        <w:rPr>
          <w:rFonts w:ascii="Arial" w:hAnsi="Arial" w:cs="Arial"/>
          <w:color w:val="000000" w:themeColor="text1"/>
          <w:spacing w:val="8"/>
        </w:rPr>
        <w:t xml:space="preserve">that high-alert paediatric medication errors be avoided in a coordinated systems approach rather than in isolated interventions. The infant morphine overdose illustrates that harm resulted from interdependent failures of leadership, governance, </w:t>
      </w:r>
      <w:r w:rsidR="000C791F" w:rsidRPr="004554AB">
        <w:rPr>
          <w:rFonts w:ascii="Arial" w:hAnsi="Arial" w:cs="Arial"/>
          <w:color w:val="000000" w:themeColor="text1"/>
          <w:spacing w:val="8"/>
        </w:rPr>
        <w:t>communication,</w:t>
      </w:r>
      <w:r w:rsidR="00FD3931" w:rsidRPr="004554AB">
        <w:rPr>
          <w:rFonts w:ascii="Arial" w:hAnsi="Arial" w:cs="Arial"/>
          <w:color w:val="000000" w:themeColor="text1"/>
          <w:spacing w:val="8"/>
        </w:rPr>
        <w:t xml:space="preserve"> and system design; thus, policies and recommendations have to target these interlinked shortcomings directly (</w:t>
      </w:r>
      <w:proofErr w:type="spellStart"/>
      <w:r w:rsidR="00FD3931" w:rsidRPr="004554AB">
        <w:rPr>
          <w:rFonts w:ascii="Arial" w:hAnsi="Arial" w:cs="Arial"/>
          <w:color w:val="000000" w:themeColor="text1"/>
          <w:spacing w:val="8"/>
        </w:rPr>
        <w:t>Carayon</w:t>
      </w:r>
      <w:proofErr w:type="spellEnd"/>
      <w:r w:rsidR="00FD3931" w:rsidRPr="004554AB">
        <w:rPr>
          <w:rFonts w:ascii="Arial" w:hAnsi="Arial" w:cs="Arial"/>
          <w:color w:val="000000" w:themeColor="text1"/>
          <w:spacing w:val="8"/>
        </w:rPr>
        <w:t xml:space="preserve"> </w:t>
      </w:r>
      <w:r w:rsidR="00FD3931" w:rsidRPr="004554AB">
        <w:rPr>
          <w:rFonts w:ascii="Arial" w:hAnsi="Arial" w:cs="Arial"/>
          <w:i/>
          <w:iCs/>
          <w:color w:val="000000" w:themeColor="text1"/>
          <w:spacing w:val="8"/>
        </w:rPr>
        <w:t>et al.</w:t>
      </w:r>
      <w:r w:rsidR="00FD3931" w:rsidRPr="004554AB">
        <w:rPr>
          <w:rFonts w:ascii="Arial" w:hAnsi="Arial" w:cs="Arial"/>
          <w:color w:val="000000" w:themeColor="text1"/>
          <w:spacing w:val="8"/>
        </w:rPr>
        <w:t xml:space="preserve">, 2014; Braithwaite </w:t>
      </w:r>
      <w:r w:rsidR="00FD3931" w:rsidRPr="004554AB">
        <w:rPr>
          <w:rFonts w:ascii="Arial" w:hAnsi="Arial" w:cs="Arial"/>
          <w:i/>
          <w:iCs/>
          <w:color w:val="000000" w:themeColor="text1"/>
          <w:spacing w:val="8"/>
        </w:rPr>
        <w:t>et al.</w:t>
      </w:r>
      <w:r w:rsidR="00FD3931" w:rsidRPr="004554AB">
        <w:rPr>
          <w:rFonts w:ascii="Arial" w:hAnsi="Arial" w:cs="Arial"/>
          <w:color w:val="000000" w:themeColor="text1"/>
          <w:spacing w:val="8"/>
        </w:rPr>
        <w:t xml:space="preserve">, 2018; Stevens </w:t>
      </w:r>
      <w:r w:rsidR="00FD3931" w:rsidRPr="004554AB">
        <w:rPr>
          <w:rFonts w:ascii="Arial" w:hAnsi="Arial" w:cs="Arial"/>
          <w:i/>
          <w:iCs/>
          <w:color w:val="000000" w:themeColor="text1"/>
          <w:spacing w:val="8"/>
        </w:rPr>
        <w:t>et al.</w:t>
      </w:r>
      <w:r w:rsidR="00FD3931" w:rsidRPr="004554AB">
        <w:rPr>
          <w:rFonts w:ascii="Arial" w:hAnsi="Arial" w:cs="Arial"/>
          <w:color w:val="000000" w:themeColor="text1"/>
          <w:spacing w:val="8"/>
        </w:rPr>
        <w:t>, 2023).</w:t>
      </w:r>
    </w:p>
    <w:p w14:paraId="43FECA88" w14:textId="0DA68DE4" w:rsidR="00CA1B58" w:rsidRPr="004554AB" w:rsidRDefault="00FD3931" w:rsidP="004554AB">
      <w:pPr>
        <w:pStyle w:val="Heading2"/>
        <w:spacing w:line="276" w:lineRule="auto"/>
        <w:jc w:val="both"/>
        <w:rPr>
          <w:rFonts w:ascii="Arial" w:hAnsi="Arial" w:cs="Arial"/>
          <w:color w:val="000000" w:themeColor="text1"/>
          <w:sz w:val="24"/>
          <w:szCs w:val="24"/>
        </w:rPr>
      </w:pPr>
      <w:bookmarkStart w:id="10" w:name="_Toc228228543"/>
      <w:r w:rsidRPr="004554AB">
        <w:rPr>
          <w:rFonts w:ascii="Arial" w:hAnsi="Arial" w:cs="Arial"/>
          <w:color w:val="000000" w:themeColor="text1"/>
          <w:sz w:val="24"/>
          <w:szCs w:val="24"/>
        </w:rPr>
        <w:t>3.1 Strengthening leadership through integrated transformational and distributed models</w:t>
      </w:r>
      <w:bookmarkEnd w:id="10"/>
    </w:p>
    <w:p w14:paraId="0727C7F6" w14:textId="145D22E7" w:rsidR="00FD3931" w:rsidRPr="004554AB" w:rsidRDefault="00B3392F"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 xml:space="preserve">Healthcare organisations should implement leadership models combining psychological safety with formal accountability. While transformational leadership supports escalation of concerns (Edmondson, 1999), the morphine case demonstrated absence of coordinated oversight. Distributed leadership must therefore include defined verification checkpoints across prescribing, dispensing, and administration to ensure active validation (Dinh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2024).</w:t>
      </w:r>
    </w:p>
    <w:p w14:paraId="5964EA8D" w14:textId="77777777" w:rsidR="00B3392F" w:rsidRPr="004554AB" w:rsidRDefault="00B3392F"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p>
    <w:p w14:paraId="1C2EE224" w14:textId="2CEDE3EC" w:rsidR="00FD3931" w:rsidRPr="004554AB" w:rsidRDefault="00FD3931" w:rsidP="004554AB">
      <w:pPr>
        <w:pStyle w:val="Heading2"/>
        <w:spacing w:line="276" w:lineRule="auto"/>
        <w:jc w:val="both"/>
        <w:rPr>
          <w:rFonts w:ascii="Arial" w:hAnsi="Arial" w:cs="Arial"/>
          <w:color w:val="000000" w:themeColor="text1"/>
          <w:sz w:val="24"/>
          <w:szCs w:val="24"/>
        </w:rPr>
      </w:pPr>
      <w:bookmarkStart w:id="11" w:name="_Toc228228544"/>
      <w:r w:rsidRPr="004554AB">
        <w:rPr>
          <w:rFonts w:ascii="Arial" w:hAnsi="Arial" w:cs="Arial"/>
          <w:color w:val="000000" w:themeColor="text1"/>
          <w:sz w:val="24"/>
          <w:szCs w:val="24"/>
        </w:rPr>
        <w:t>3.2 Enhancing electronic prescribing and clinical decision support systems</w:t>
      </w:r>
      <w:bookmarkEnd w:id="11"/>
    </w:p>
    <w:p w14:paraId="15E6301F" w14:textId="1F192C52" w:rsidR="00895EFF" w:rsidRPr="004554AB" w:rsidRDefault="00895EFF"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r w:rsidRPr="004554AB">
        <w:rPr>
          <w:rFonts w:ascii="Arial" w:eastAsia="Times New Roman" w:hAnsi="Arial" w:cs="Arial"/>
          <w:color w:val="000000" w:themeColor="text1"/>
          <w:spacing w:val="8"/>
          <w:shd w:val="clear" w:color="auto" w:fill="FFFFFF"/>
        </w:rPr>
        <w:t xml:space="preserve">Electronic prescribing systems with integrated clinical decision support should be implemented to reduce reliance on manual calculation. Features such as weight-based dosing and automated alerts enable real-time error interception (Bates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xml:space="preserve">, 1998; </w:t>
      </w:r>
      <w:proofErr w:type="spellStart"/>
      <w:r w:rsidRPr="004554AB">
        <w:rPr>
          <w:rFonts w:ascii="Arial" w:eastAsia="Times New Roman" w:hAnsi="Arial" w:cs="Arial"/>
          <w:color w:val="000000" w:themeColor="text1"/>
          <w:spacing w:val="8"/>
          <w:shd w:val="clear" w:color="auto" w:fill="FFFFFF"/>
        </w:rPr>
        <w:t>Taheri</w:t>
      </w:r>
      <w:proofErr w:type="spellEnd"/>
      <w:r w:rsidRPr="004554AB">
        <w:rPr>
          <w:rFonts w:ascii="Arial" w:eastAsia="Times New Roman" w:hAnsi="Arial" w:cs="Arial"/>
          <w:color w:val="000000" w:themeColor="text1"/>
          <w:spacing w:val="8"/>
          <w:shd w:val="clear" w:color="auto" w:fill="FFFFFF"/>
        </w:rPr>
        <w:t xml:space="preserve"> </w:t>
      </w:r>
      <w:proofErr w:type="spellStart"/>
      <w:r w:rsidRPr="004554AB">
        <w:rPr>
          <w:rFonts w:ascii="Arial" w:eastAsia="Times New Roman" w:hAnsi="Arial" w:cs="Arial"/>
          <w:color w:val="000000" w:themeColor="text1"/>
          <w:spacing w:val="8"/>
          <w:shd w:val="clear" w:color="auto" w:fill="FFFFFF"/>
        </w:rPr>
        <w:t>Moghadam</w:t>
      </w:r>
      <w:proofErr w:type="spellEnd"/>
      <w:r w:rsidRPr="004554AB">
        <w:rPr>
          <w:rFonts w:ascii="Arial" w:eastAsia="Times New Roman" w:hAnsi="Arial" w:cs="Arial"/>
          <w:color w:val="000000" w:themeColor="text1"/>
          <w:spacing w:val="8"/>
          <w:shd w:val="clear" w:color="auto" w:fill="FFFFFF"/>
        </w:rPr>
        <w:t xml:space="preserve">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xml:space="preserve">, 2021). In the morphine case, such systems would likely have identified the incorrect dose before progression. However, usability must be optimised to minimise alert fatigue and maintain effectiveness (Hussain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2019).</w:t>
      </w:r>
    </w:p>
    <w:p w14:paraId="4DA63447" w14:textId="7547C4E6" w:rsidR="00FD3931" w:rsidRPr="004554AB" w:rsidRDefault="00FD3931"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p>
    <w:p w14:paraId="5E0CAB73" w14:textId="21F51D5E" w:rsidR="00BC79BF" w:rsidRPr="004554AB" w:rsidRDefault="00FD3931" w:rsidP="004554AB">
      <w:pPr>
        <w:pStyle w:val="Heading2"/>
        <w:spacing w:line="276" w:lineRule="auto"/>
        <w:jc w:val="both"/>
        <w:rPr>
          <w:rFonts w:ascii="Arial" w:hAnsi="Arial" w:cs="Arial"/>
          <w:color w:val="000000" w:themeColor="text1"/>
          <w:sz w:val="24"/>
          <w:szCs w:val="24"/>
        </w:rPr>
      </w:pPr>
      <w:bookmarkStart w:id="12" w:name="_Toc228228545"/>
      <w:r w:rsidRPr="004554AB">
        <w:rPr>
          <w:rFonts w:ascii="Arial" w:hAnsi="Arial" w:cs="Arial"/>
          <w:color w:val="000000" w:themeColor="text1"/>
          <w:sz w:val="24"/>
          <w:szCs w:val="24"/>
        </w:rPr>
        <w:t>3.3 Improving communication and continuity across transitions of care.</w:t>
      </w:r>
      <w:bookmarkEnd w:id="12"/>
    </w:p>
    <w:p w14:paraId="66EA97D9" w14:textId="57DF47A9" w:rsidR="00FD3931" w:rsidRPr="004554AB" w:rsidRDefault="00621944" w:rsidP="004554AB">
      <w:pPr>
        <w:pStyle w:val="w7sjnrxzl6krnffuzhqe"/>
        <w:spacing w:before="0" w:beforeAutospacing="0" w:after="150" w:afterAutospacing="0" w:line="276" w:lineRule="auto"/>
        <w:jc w:val="both"/>
        <w:textAlignment w:val="baseline"/>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Improving communication at transitions of care is critical. Standardised discharge summaries and interoperable records reduce ambiguity and support verification (</w:t>
      </w:r>
      <w:proofErr w:type="spellStart"/>
      <w:r w:rsidRPr="004554AB">
        <w:rPr>
          <w:rFonts w:ascii="Arial" w:eastAsia="Times New Roman" w:hAnsi="Arial" w:cs="Arial"/>
          <w:color w:val="000000" w:themeColor="text1"/>
          <w:spacing w:val="8"/>
          <w:shd w:val="clear" w:color="auto" w:fill="FFFFFF"/>
        </w:rPr>
        <w:t>Alqenae</w:t>
      </w:r>
      <w:proofErr w:type="spellEnd"/>
      <w:r w:rsidRPr="004554AB">
        <w:rPr>
          <w:rFonts w:ascii="Arial" w:eastAsia="Times New Roman" w:hAnsi="Arial" w:cs="Arial"/>
          <w:color w:val="000000" w:themeColor="text1"/>
          <w:spacing w:val="8"/>
          <w:shd w:val="clear" w:color="auto" w:fill="FFFFFF"/>
        </w:rPr>
        <w:t xml:space="preserve">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2023). In the morphine case, unclear documentation allowed error propagation, demonstrating failure of informational continuity.</w:t>
      </w:r>
    </w:p>
    <w:p w14:paraId="16E18175" w14:textId="77777777" w:rsidR="00846330" w:rsidRPr="004554AB" w:rsidRDefault="00846330"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p>
    <w:p w14:paraId="60969E68" w14:textId="537457CB" w:rsidR="007550C9" w:rsidRPr="004554AB" w:rsidRDefault="00FD3931" w:rsidP="004554AB">
      <w:pPr>
        <w:pStyle w:val="Heading2"/>
        <w:spacing w:line="276" w:lineRule="auto"/>
        <w:jc w:val="both"/>
        <w:rPr>
          <w:rFonts w:ascii="Arial" w:hAnsi="Arial" w:cs="Arial"/>
          <w:color w:val="000000" w:themeColor="text1"/>
          <w:sz w:val="24"/>
          <w:szCs w:val="24"/>
        </w:rPr>
      </w:pPr>
      <w:bookmarkStart w:id="13" w:name="_Toc228228546"/>
      <w:r w:rsidRPr="004554AB">
        <w:rPr>
          <w:rFonts w:ascii="Arial" w:hAnsi="Arial" w:cs="Arial"/>
          <w:color w:val="000000" w:themeColor="text1"/>
          <w:sz w:val="24"/>
          <w:szCs w:val="24"/>
        </w:rPr>
        <w:t>3.4 Redesigning medication systems using human factors principles.</w:t>
      </w:r>
      <w:bookmarkEnd w:id="13"/>
    </w:p>
    <w:p w14:paraId="4E9B404E" w14:textId="77777777" w:rsidR="006F319B" w:rsidRPr="004554AB" w:rsidRDefault="006F319B"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p>
    <w:p w14:paraId="50D05D09" w14:textId="40491444" w:rsidR="00FD3931" w:rsidRPr="004554AB" w:rsidRDefault="007550C9"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r w:rsidRPr="004554AB">
        <w:rPr>
          <w:rFonts w:ascii="Arial" w:hAnsi="Arial" w:cs="Arial"/>
          <w:color w:val="000000" w:themeColor="text1"/>
          <w:spacing w:val="8"/>
        </w:rPr>
        <w:t>Recognising</w:t>
      </w:r>
      <w:r w:rsidR="00FD3931" w:rsidRPr="004554AB">
        <w:rPr>
          <w:rFonts w:ascii="Arial" w:hAnsi="Arial" w:cs="Arial"/>
          <w:color w:val="000000" w:themeColor="text1"/>
          <w:spacing w:val="8"/>
        </w:rPr>
        <w:t xml:space="preserve"> that human error is inevitable in complex environments, human factors principles </w:t>
      </w:r>
      <w:r w:rsidR="004B2B49" w:rsidRPr="004554AB">
        <w:rPr>
          <w:rFonts w:ascii="Arial" w:hAnsi="Arial" w:cs="Arial"/>
          <w:color w:val="000000" w:themeColor="text1"/>
          <w:spacing w:val="8"/>
        </w:rPr>
        <w:t xml:space="preserve">should </w:t>
      </w:r>
      <w:r w:rsidR="00FD3931" w:rsidRPr="004554AB">
        <w:rPr>
          <w:rFonts w:ascii="Arial" w:hAnsi="Arial" w:cs="Arial"/>
          <w:color w:val="000000" w:themeColor="text1"/>
          <w:spacing w:val="8"/>
        </w:rPr>
        <w:t>be applied to design drug safety systems (</w:t>
      </w:r>
      <w:proofErr w:type="spellStart"/>
      <w:r w:rsidR="00FD3931" w:rsidRPr="004554AB">
        <w:rPr>
          <w:rFonts w:ascii="Arial" w:hAnsi="Arial" w:cs="Arial"/>
          <w:color w:val="000000" w:themeColor="text1"/>
          <w:spacing w:val="8"/>
        </w:rPr>
        <w:t>Carayon</w:t>
      </w:r>
      <w:proofErr w:type="spellEnd"/>
      <w:r w:rsidR="00FD3931" w:rsidRPr="004554AB">
        <w:rPr>
          <w:rFonts w:ascii="Arial" w:hAnsi="Arial" w:cs="Arial"/>
          <w:color w:val="000000" w:themeColor="text1"/>
          <w:spacing w:val="8"/>
        </w:rPr>
        <w:t xml:space="preserve"> </w:t>
      </w:r>
      <w:r w:rsidR="00FD3931" w:rsidRPr="004554AB">
        <w:rPr>
          <w:rFonts w:ascii="Arial" w:hAnsi="Arial" w:cs="Arial"/>
          <w:i/>
          <w:iCs/>
          <w:color w:val="000000" w:themeColor="text1"/>
          <w:spacing w:val="8"/>
        </w:rPr>
        <w:t>et al.</w:t>
      </w:r>
      <w:r w:rsidR="00FD3931" w:rsidRPr="004554AB">
        <w:rPr>
          <w:rFonts w:ascii="Arial" w:hAnsi="Arial" w:cs="Arial"/>
          <w:color w:val="000000" w:themeColor="text1"/>
          <w:spacing w:val="8"/>
        </w:rPr>
        <w:t xml:space="preserve">, 2014; Reason, 2000; Stevens </w:t>
      </w:r>
      <w:r w:rsidR="00FD3931" w:rsidRPr="004554AB">
        <w:rPr>
          <w:rFonts w:ascii="Arial" w:hAnsi="Arial" w:cs="Arial"/>
          <w:i/>
          <w:iCs/>
          <w:color w:val="000000" w:themeColor="text1"/>
          <w:spacing w:val="8"/>
        </w:rPr>
        <w:t>et al.</w:t>
      </w:r>
      <w:r w:rsidR="00FD3931" w:rsidRPr="004554AB">
        <w:rPr>
          <w:rFonts w:ascii="Arial" w:hAnsi="Arial" w:cs="Arial"/>
          <w:color w:val="000000" w:themeColor="text1"/>
          <w:spacing w:val="8"/>
        </w:rPr>
        <w:t xml:space="preserve">, 2023). The morphine case highlighted an over-reliance upon manual verification processes, which prove to be inherently unreliable when confronted with workload and demands on cognition. </w:t>
      </w:r>
      <w:r w:rsidR="00FD3931" w:rsidRPr="004554AB">
        <w:rPr>
          <w:rFonts w:ascii="Arial" w:hAnsi="Arial" w:cs="Arial"/>
          <w:color w:val="000000" w:themeColor="text1"/>
          <w:spacing w:val="8"/>
        </w:rPr>
        <w:lastRenderedPageBreak/>
        <w:t xml:space="preserve">System redesign should include error-prevention mechanisms such as barcode drug administration, standard </w:t>
      </w:r>
      <w:r w:rsidR="00CF4286" w:rsidRPr="004554AB">
        <w:rPr>
          <w:rFonts w:ascii="Arial" w:hAnsi="Arial" w:cs="Arial"/>
          <w:color w:val="000000" w:themeColor="text1"/>
          <w:spacing w:val="8"/>
        </w:rPr>
        <w:t>labelling,</w:t>
      </w:r>
      <w:r w:rsidR="00FD3931" w:rsidRPr="004554AB">
        <w:rPr>
          <w:rFonts w:ascii="Arial" w:hAnsi="Arial" w:cs="Arial"/>
          <w:color w:val="000000" w:themeColor="text1"/>
          <w:spacing w:val="8"/>
        </w:rPr>
        <w:t xml:space="preserve"> and high-risk formulation restrictions. Interventions like these operate by error-proofing and decrease the chance of erroneous drug selection or dosing. Restricting access to high-concentration morphine preparations and standardising labelling would have further </w:t>
      </w:r>
      <w:r w:rsidR="00CF4286" w:rsidRPr="004554AB">
        <w:rPr>
          <w:rFonts w:ascii="Arial" w:hAnsi="Arial" w:cs="Arial"/>
          <w:color w:val="000000" w:themeColor="text1"/>
          <w:spacing w:val="8"/>
        </w:rPr>
        <w:t>minimised</w:t>
      </w:r>
      <w:r w:rsidR="00FD3931" w:rsidRPr="004554AB">
        <w:rPr>
          <w:rFonts w:ascii="Arial" w:hAnsi="Arial" w:cs="Arial"/>
          <w:color w:val="000000" w:themeColor="text1"/>
          <w:spacing w:val="8"/>
        </w:rPr>
        <w:t xml:space="preserve"> the chances of misinterpretation, thus addressing the systemic shortcomings through which the error occurred.</w:t>
      </w:r>
    </w:p>
    <w:p w14:paraId="648E101D" w14:textId="48FCA561" w:rsidR="00FD3931" w:rsidRPr="004554AB" w:rsidRDefault="00FD3931"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p>
    <w:p w14:paraId="202CA49E" w14:textId="3158ECE0" w:rsidR="00835FD2" w:rsidRPr="004554AB" w:rsidRDefault="00FD3931" w:rsidP="004554AB">
      <w:pPr>
        <w:pStyle w:val="Heading2"/>
        <w:spacing w:line="276" w:lineRule="auto"/>
        <w:jc w:val="both"/>
        <w:rPr>
          <w:rFonts w:ascii="Arial" w:hAnsi="Arial" w:cs="Arial"/>
          <w:color w:val="000000" w:themeColor="text1"/>
          <w:sz w:val="24"/>
          <w:szCs w:val="24"/>
        </w:rPr>
      </w:pPr>
      <w:bookmarkStart w:id="14" w:name="_Toc228228547"/>
      <w:r w:rsidRPr="004554AB">
        <w:rPr>
          <w:rFonts w:ascii="Arial" w:hAnsi="Arial" w:cs="Arial"/>
          <w:color w:val="000000" w:themeColor="text1"/>
          <w:sz w:val="24"/>
          <w:szCs w:val="24"/>
        </w:rPr>
        <w:t>3.5 Strengthening organisational learning and feedback systems.</w:t>
      </w:r>
      <w:bookmarkEnd w:id="14"/>
    </w:p>
    <w:p w14:paraId="640329EC" w14:textId="77777777" w:rsidR="00846330" w:rsidRPr="004554AB" w:rsidRDefault="00846330"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p>
    <w:p w14:paraId="390D0D51" w14:textId="79C3B4FC" w:rsidR="00FD3931" w:rsidRPr="004554AB" w:rsidRDefault="00FD3931"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r w:rsidRPr="004554AB">
        <w:rPr>
          <w:rFonts w:ascii="Arial" w:hAnsi="Arial" w:cs="Arial"/>
          <w:color w:val="000000" w:themeColor="text1"/>
          <w:spacing w:val="8"/>
        </w:rPr>
        <w:t xml:space="preserve">Healthcare </w:t>
      </w:r>
      <w:r w:rsidR="00CF4286" w:rsidRPr="004554AB">
        <w:rPr>
          <w:rFonts w:ascii="Arial" w:hAnsi="Arial" w:cs="Arial"/>
          <w:color w:val="000000" w:themeColor="text1"/>
          <w:spacing w:val="8"/>
        </w:rPr>
        <w:t>organisations</w:t>
      </w:r>
      <w:r w:rsidRPr="004554AB">
        <w:rPr>
          <w:rFonts w:ascii="Arial" w:hAnsi="Arial" w:cs="Arial"/>
          <w:color w:val="000000" w:themeColor="text1"/>
          <w:spacing w:val="8"/>
        </w:rPr>
        <w:t xml:space="preserve"> need to enhance learning systems to turn known risks into preventative measures. Experiences can be learned from incidents so long as the structured feedback loops linking front-line experience to system design help shape high-performing systems (Braithwaite </w:t>
      </w:r>
      <w:r w:rsidRPr="004554AB">
        <w:rPr>
          <w:rFonts w:ascii="Arial" w:hAnsi="Arial" w:cs="Arial"/>
          <w:i/>
          <w:iCs/>
          <w:color w:val="000000" w:themeColor="text1"/>
          <w:spacing w:val="8"/>
        </w:rPr>
        <w:t>et al</w:t>
      </w:r>
      <w:r w:rsidRPr="004554AB">
        <w:rPr>
          <w:rFonts w:ascii="Arial" w:hAnsi="Arial" w:cs="Arial"/>
          <w:color w:val="000000" w:themeColor="text1"/>
          <w:spacing w:val="8"/>
        </w:rPr>
        <w:t xml:space="preserve">., 2018; </w:t>
      </w:r>
      <w:proofErr w:type="spellStart"/>
      <w:r w:rsidRPr="004554AB">
        <w:rPr>
          <w:rFonts w:ascii="Arial" w:hAnsi="Arial" w:cs="Arial"/>
          <w:color w:val="000000" w:themeColor="text1"/>
          <w:spacing w:val="8"/>
        </w:rPr>
        <w:t>Hibbert</w:t>
      </w:r>
      <w:proofErr w:type="spellEnd"/>
      <w:r w:rsidRPr="004554AB">
        <w:rPr>
          <w:rFonts w:ascii="Arial" w:hAnsi="Arial" w:cs="Arial"/>
          <w:color w:val="000000" w:themeColor="text1"/>
          <w:spacing w:val="8"/>
        </w:rPr>
        <w:t xml:space="preserve"> </w:t>
      </w:r>
      <w:r w:rsidRPr="004554AB">
        <w:rPr>
          <w:rFonts w:ascii="Arial" w:hAnsi="Arial" w:cs="Arial"/>
          <w:i/>
          <w:iCs/>
          <w:color w:val="000000" w:themeColor="text1"/>
          <w:spacing w:val="8"/>
        </w:rPr>
        <w:t>et al.</w:t>
      </w:r>
      <w:r w:rsidRPr="004554AB">
        <w:rPr>
          <w:rFonts w:ascii="Arial" w:hAnsi="Arial" w:cs="Arial"/>
          <w:color w:val="000000" w:themeColor="text1"/>
          <w:spacing w:val="8"/>
        </w:rPr>
        <w:t xml:space="preserve">, 2023). The morphine case is less about lack of knowledge than learning translation failure, as per well established risks in opioid prescribing and paediatric dosing. Strong incident reporting mechanisms, with a multidisciplinary review process, is </w:t>
      </w:r>
      <w:r w:rsidR="00E64D04" w:rsidRPr="004554AB">
        <w:rPr>
          <w:rFonts w:ascii="Arial" w:hAnsi="Arial" w:cs="Arial"/>
          <w:color w:val="000000" w:themeColor="text1"/>
          <w:spacing w:val="8"/>
        </w:rPr>
        <w:t>needed</w:t>
      </w:r>
      <w:r w:rsidRPr="004554AB">
        <w:rPr>
          <w:rFonts w:ascii="Arial" w:hAnsi="Arial" w:cs="Arial"/>
          <w:color w:val="000000" w:themeColor="text1"/>
          <w:spacing w:val="8"/>
        </w:rPr>
        <w:t xml:space="preserve"> to </w:t>
      </w:r>
      <w:r w:rsidR="00CF4286" w:rsidRPr="004554AB">
        <w:rPr>
          <w:rFonts w:ascii="Arial" w:hAnsi="Arial" w:cs="Arial"/>
          <w:color w:val="000000" w:themeColor="text1"/>
          <w:spacing w:val="8"/>
        </w:rPr>
        <w:t>recognise</w:t>
      </w:r>
      <w:r w:rsidRPr="004554AB">
        <w:rPr>
          <w:rFonts w:ascii="Arial" w:hAnsi="Arial" w:cs="Arial"/>
          <w:color w:val="000000" w:themeColor="text1"/>
          <w:spacing w:val="8"/>
        </w:rPr>
        <w:t xml:space="preserve"> patterns and make system-level change. This is through adaptive learning. Organisations can prevent recurrence by turning incidents into actionable improvements. In this scenario, identification of potential risk associated with drug concentration could have guided standardised prescribing protocols and digital safeguards through the medication pathway.</w:t>
      </w:r>
    </w:p>
    <w:p w14:paraId="7E341C1F" w14:textId="77777777" w:rsidR="00FD3931" w:rsidRPr="004554AB" w:rsidRDefault="00FD3931"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p>
    <w:p w14:paraId="469958D6" w14:textId="77777777" w:rsidR="007814F7" w:rsidRPr="004554AB" w:rsidRDefault="007814F7"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p>
    <w:p w14:paraId="74AB7AA8" w14:textId="77777777" w:rsidR="007814F7" w:rsidRPr="004554AB" w:rsidRDefault="007814F7"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p>
    <w:p w14:paraId="5A34CB1D" w14:textId="77777777" w:rsidR="007814F7" w:rsidRPr="004554AB" w:rsidRDefault="007814F7"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p>
    <w:p w14:paraId="43715B02" w14:textId="77777777" w:rsidR="007814F7" w:rsidRPr="004554AB" w:rsidRDefault="007814F7"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p>
    <w:p w14:paraId="6B9A4EE6" w14:textId="77777777" w:rsidR="007814F7" w:rsidRPr="004554AB" w:rsidRDefault="007814F7"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p>
    <w:p w14:paraId="03BE3E32" w14:textId="77777777" w:rsidR="005C6F32" w:rsidRDefault="005C6F32"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p>
    <w:p w14:paraId="7F2BC285" w14:textId="77777777" w:rsidR="00314F41" w:rsidRPr="004554AB" w:rsidRDefault="00314F41"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p>
    <w:p w14:paraId="18922CFC" w14:textId="77777777" w:rsidR="005C6F32" w:rsidRPr="004554AB" w:rsidRDefault="005C6F32"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p>
    <w:p w14:paraId="0333A005" w14:textId="77777777" w:rsidR="005C6F32" w:rsidRPr="004554AB" w:rsidRDefault="005C6F32" w:rsidP="004554AB">
      <w:pPr>
        <w:pStyle w:val="w7sjnrxzl6krnffuzhqe"/>
        <w:spacing w:before="0" w:beforeAutospacing="0" w:after="150" w:afterAutospacing="0" w:line="276" w:lineRule="auto"/>
        <w:jc w:val="both"/>
        <w:textAlignment w:val="baseline"/>
        <w:rPr>
          <w:rFonts w:ascii="Arial" w:hAnsi="Arial" w:cs="Arial"/>
          <w:color w:val="000000" w:themeColor="text1"/>
          <w:spacing w:val="8"/>
        </w:rPr>
      </w:pPr>
    </w:p>
    <w:p w14:paraId="2603ED3D" w14:textId="77777777" w:rsidR="00F1372A" w:rsidRPr="004554AB" w:rsidRDefault="00F1372A" w:rsidP="004554AB">
      <w:pPr>
        <w:spacing w:line="276" w:lineRule="auto"/>
        <w:jc w:val="both"/>
        <w:rPr>
          <w:rFonts w:ascii="Arial" w:hAnsi="Arial" w:cs="Arial"/>
          <w:color w:val="000000" w:themeColor="text1"/>
        </w:rPr>
      </w:pPr>
    </w:p>
    <w:p w14:paraId="6917895E" w14:textId="1D020E32" w:rsidR="00F1372A" w:rsidRPr="004554AB" w:rsidRDefault="004838F6" w:rsidP="004554AB">
      <w:pPr>
        <w:pStyle w:val="Heading2"/>
        <w:spacing w:line="276" w:lineRule="auto"/>
        <w:jc w:val="both"/>
        <w:rPr>
          <w:rFonts w:ascii="Arial" w:hAnsi="Arial" w:cs="Arial"/>
          <w:color w:val="000000" w:themeColor="text1"/>
          <w:sz w:val="24"/>
          <w:szCs w:val="24"/>
        </w:rPr>
      </w:pPr>
      <w:bookmarkStart w:id="15" w:name="_Toc228228548"/>
      <w:r w:rsidRPr="004554AB">
        <w:rPr>
          <w:rFonts w:ascii="Arial" w:hAnsi="Arial" w:cs="Arial"/>
          <w:color w:val="000000" w:themeColor="text1"/>
          <w:sz w:val="24"/>
          <w:szCs w:val="24"/>
        </w:rPr>
        <w:lastRenderedPageBreak/>
        <w:t>4.0 Conclusion</w:t>
      </w:r>
      <w:bookmarkEnd w:id="15"/>
    </w:p>
    <w:p w14:paraId="6C01190B" w14:textId="3B8416F5" w:rsidR="003B5172" w:rsidRPr="004554AB" w:rsidRDefault="00760BA2" w:rsidP="004554AB">
      <w:pPr>
        <w:spacing w:line="276" w:lineRule="auto"/>
        <w:jc w:val="both"/>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 xml:space="preserve">The infant morphine overdose case illustrates how medication-related harm is not the product of individual human mistakes, but of systemic failures in complex socio-technical systems. As a systems issue, there is an intertwining of weaknesses in prescribing, communication, and verification processes that enabled the implementation of a known high-risk medication error, which proceeded to occur without being detected (Reason, 2000; </w:t>
      </w:r>
      <w:proofErr w:type="spellStart"/>
      <w:r w:rsidRPr="004554AB">
        <w:rPr>
          <w:rFonts w:ascii="Arial" w:eastAsia="Times New Roman" w:hAnsi="Arial" w:cs="Arial"/>
          <w:color w:val="000000" w:themeColor="text1"/>
          <w:spacing w:val="8"/>
          <w:shd w:val="clear" w:color="auto" w:fill="FFFFFF"/>
        </w:rPr>
        <w:t>Carayon</w:t>
      </w:r>
      <w:proofErr w:type="spellEnd"/>
      <w:r w:rsidRPr="004554AB">
        <w:rPr>
          <w:rFonts w:ascii="Arial" w:eastAsia="Times New Roman" w:hAnsi="Arial" w:cs="Arial"/>
          <w:color w:val="000000" w:themeColor="text1"/>
          <w:spacing w:val="8"/>
          <w:shd w:val="clear" w:color="auto" w:fill="FFFFFF"/>
        </w:rPr>
        <w:t xml:space="preserve">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xml:space="preserve"> 2014).</w:t>
      </w:r>
    </w:p>
    <w:p w14:paraId="5AB78740" w14:textId="557176B7" w:rsidR="00895132" w:rsidRPr="004554AB" w:rsidRDefault="00760BA2" w:rsidP="004554AB">
      <w:pPr>
        <w:spacing w:line="276" w:lineRule="auto"/>
        <w:jc w:val="both"/>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The analysis also discusses the governance integration failure. Whilst there were centralised safety controls, including prescribing standards and patient safety policies, such controls did not translate well to local practice (NHS England, 2019; Murray and Cope, 2021). This policy-practice inconsistency diminished system reliability and facilitated the taking of unsafe prescribing decisions.</w:t>
      </w:r>
    </w:p>
    <w:p w14:paraId="76B166EF" w14:textId="7CE42FC8" w:rsidR="00782F86" w:rsidRPr="004554AB" w:rsidRDefault="00760BA2" w:rsidP="004554AB">
      <w:pPr>
        <w:spacing w:line="276" w:lineRule="auto"/>
        <w:jc w:val="both"/>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 xml:space="preserve">Leadership analysis additionally shows, as did systemic failure, that fragmented accountability led to failure. Leadership styles can promote the culture of safety and compliance, and this absence of coordinated oversight meant that the system </w:t>
      </w:r>
      <w:r w:rsidR="00323104" w:rsidRPr="004554AB">
        <w:rPr>
          <w:rFonts w:ascii="Arial" w:eastAsia="Times New Roman" w:hAnsi="Arial" w:cs="Arial"/>
          <w:color w:val="000000" w:themeColor="text1"/>
          <w:spacing w:val="8"/>
          <w:shd w:val="clear" w:color="auto" w:fill="FFFFFF"/>
        </w:rPr>
        <w:t>did</w:t>
      </w:r>
      <w:r w:rsidRPr="004554AB">
        <w:rPr>
          <w:rFonts w:ascii="Arial" w:eastAsia="Times New Roman" w:hAnsi="Arial" w:cs="Arial"/>
          <w:color w:val="000000" w:themeColor="text1"/>
          <w:spacing w:val="8"/>
          <w:shd w:val="clear" w:color="auto" w:fill="FFFFFF"/>
        </w:rPr>
        <w:t xml:space="preserve"> not ensure end-to-end medication safety (Braithwaite </w:t>
      </w:r>
      <w:r w:rsidRPr="004554AB">
        <w:rPr>
          <w:rFonts w:ascii="Arial" w:eastAsia="Times New Roman" w:hAnsi="Arial" w:cs="Arial"/>
          <w:i/>
          <w:iCs/>
          <w:color w:val="000000" w:themeColor="text1"/>
          <w:spacing w:val="8"/>
          <w:shd w:val="clear" w:color="auto" w:fill="FFFFFF"/>
        </w:rPr>
        <w:t>et al.</w:t>
      </w:r>
      <w:r w:rsidRPr="004554AB">
        <w:rPr>
          <w:rFonts w:ascii="Arial" w:eastAsia="Times New Roman" w:hAnsi="Arial" w:cs="Arial"/>
          <w:color w:val="000000" w:themeColor="text1"/>
          <w:spacing w:val="8"/>
          <w:shd w:val="clear" w:color="auto" w:fill="FFFFFF"/>
        </w:rPr>
        <w:t>, 2018; Dinh</w:t>
      </w:r>
      <w:r w:rsidRPr="004554AB">
        <w:rPr>
          <w:rFonts w:ascii="Arial" w:eastAsia="Times New Roman" w:hAnsi="Arial" w:cs="Arial"/>
          <w:i/>
          <w:iCs/>
          <w:color w:val="000000" w:themeColor="text1"/>
          <w:spacing w:val="8"/>
          <w:shd w:val="clear" w:color="auto" w:fill="FFFFFF"/>
        </w:rPr>
        <w:t xml:space="preserve"> et al</w:t>
      </w:r>
      <w:r w:rsidRPr="004554AB">
        <w:rPr>
          <w:rFonts w:ascii="Arial" w:eastAsia="Times New Roman" w:hAnsi="Arial" w:cs="Arial"/>
          <w:color w:val="000000" w:themeColor="text1"/>
          <w:spacing w:val="8"/>
          <w:shd w:val="clear" w:color="auto" w:fill="FFFFFF"/>
        </w:rPr>
        <w:t>., 2024).</w:t>
      </w:r>
    </w:p>
    <w:p w14:paraId="6036C8C5" w14:textId="5909FBAC" w:rsidR="00895132" w:rsidRPr="004554AB" w:rsidRDefault="00760BA2" w:rsidP="004554AB">
      <w:pPr>
        <w:spacing w:line="276" w:lineRule="auto"/>
        <w:jc w:val="both"/>
        <w:rPr>
          <w:rFonts w:ascii="Arial" w:eastAsia="Times New Roman" w:hAnsi="Arial" w:cs="Arial"/>
          <w:color w:val="000000" w:themeColor="text1"/>
          <w:spacing w:val="8"/>
          <w:shd w:val="clear" w:color="auto" w:fill="FFFFFF"/>
        </w:rPr>
      </w:pPr>
      <w:r w:rsidRPr="004554AB">
        <w:rPr>
          <w:rFonts w:ascii="Arial" w:eastAsia="Times New Roman" w:hAnsi="Arial" w:cs="Arial"/>
          <w:color w:val="000000" w:themeColor="text1"/>
          <w:spacing w:val="8"/>
          <w:shd w:val="clear" w:color="auto" w:fill="FFFFFF"/>
        </w:rPr>
        <w:t>As this case demonstrates, improving medication safety rests on collective enterprise through governance, leadership, and design of the system. Efficient prevention relies on the integration of safety measures throughout clinical care, improvement in inter-care transition communication, and organisational learning for system reinvention.</w:t>
      </w:r>
    </w:p>
    <w:p w14:paraId="1BD1244E" w14:textId="53899570" w:rsidR="005C1273" w:rsidRPr="004554AB" w:rsidRDefault="00760BA2" w:rsidP="004554AB">
      <w:pPr>
        <w:spacing w:line="276" w:lineRule="auto"/>
        <w:jc w:val="both"/>
        <w:rPr>
          <w:rFonts w:ascii="Arial" w:hAnsi="Arial" w:cs="Arial"/>
          <w:color w:val="000000" w:themeColor="text1"/>
        </w:rPr>
      </w:pPr>
      <w:r w:rsidRPr="004554AB">
        <w:rPr>
          <w:rFonts w:ascii="Arial" w:eastAsia="Times New Roman" w:hAnsi="Arial" w:cs="Arial"/>
          <w:color w:val="000000" w:themeColor="text1"/>
          <w:spacing w:val="8"/>
          <w:shd w:val="clear" w:color="auto" w:fill="FFFFFF"/>
        </w:rPr>
        <w:t>Resilient systems are also not predicated on personal vigilance; rather, they are tailored to recognise, assess, and prevent risk. For high-risk environments such as paediatric medication, safety should be incorporated into the system process thus avoiding avoidable harm.</w:t>
      </w:r>
    </w:p>
    <w:p w14:paraId="1A7F5390" w14:textId="7BE63825" w:rsidR="134C751A" w:rsidRPr="004554AB" w:rsidRDefault="134C751A" w:rsidP="004554AB">
      <w:pPr>
        <w:spacing w:line="276" w:lineRule="auto"/>
        <w:jc w:val="both"/>
        <w:rPr>
          <w:rFonts w:ascii="Arial" w:hAnsi="Arial" w:cs="Arial"/>
          <w:color w:val="000000" w:themeColor="text1"/>
        </w:rPr>
      </w:pPr>
    </w:p>
    <w:p w14:paraId="37F9B4B5" w14:textId="77777777" w:rsidR="00330B94" w:rsidRPr="004554AB" w:rsidRDefault="00330B94" w:rsidP="004554AB">
      <w:pPr>
        <w:spacing w:line="276" w:lineRule="auto"/>
        <w:jc w:val="both"/>
        <w:rPr>
          <w:rFonts w:ascii="Arial" w:hAnsi="Arial" w:cs="Arial"/>
          <w:color w:val="000000" w:themeColor="text1"/>
        </w:rPr>
      </w:pPr>
    </w:p>
    <w:p w14:paraId="7E2A3D90" w14:textId="77777777" w:rsidR="00330B94" w:rsidRPr="004554AB" w:rsidRDefault="00330B94" w:rsidP="004554AB">
      <w:pPr>
        <w:spacing w:line="276" w:lineRule="auto"/>
        <w:jc w:val="both"/>
        <w:rPr>
          <w:rFonts w:ascii="Arial" w:hAnsi="Arial" w:cs="Arial"/>
          <w:color w:val="000000" w:themeColor="text1"/>
        </w:rPr>
      </w:pPr>
    </w:p>
    <w:p w14:paraId="59B8CFA4" w14:textId="77777777" w:rsidR="00330B94" w:rsidRPr="004554AB" w:rsidRDefault="00330B94" w:rsidP="004554AB">
      <w:pPr>
        <w:spacing w:line="276" w:lineRule="auto"/>
        <w:jc w:val="both"/>
        <w:rPr>
          <w:rFonts w:ascii="Arial" w:hAnsi="Arial" w:cs="Arial"/>
          <w:color w:val="000000" w:themeColor="text1"/>
        </w:rPr>
      </w:pPr>
    </w:p>
    <w:p w14:paraId="5A359604" w14:textId="77777777" w:rsidR="00330B94" w:rsidRDefault="00330B94" w:rsidP="004554AB">
      <w:pPr>
        <w:spacing w:line="276" w:lineRule="auto"/>
        <w:jc w:val="both"/>
        <w:rPr>
          <w:rFonts w:ascii="Arial" w:hAnsi="Arial" w:cs="Arial"/>
          <w:color w:val="000000" w:themeColor="text1"/>
        </w:rPr>
      </w:pPr>
    </w:p>
    <w:p w14:paraId="3AD81C0E" w14:textId="77777777" w:rsidR="00134965" w:rsidRDefault="00134965" w:rsidP="004554AB">
      <w:pPr>
        <w:spacing w:line="276" w:lineRule="auto"/>
        <w:jc w:val="both"/>
        <w:rPr>
          <w:rFonts w:ascii="Arial" w:hAnsi="Arial" w:cs="Arial"/>
          <w:color w:val="000000" w:themeColor="text1"/>
        </w:rPr>
      </w:pPr>
    </w:p>
    <w:p w14:paraId="4D542B37" w14:textId="77777777" w:rsidR="00134965" w:rsidRPr="004554AB" w:rsidRDefault="00134965" w:rsidP="004554AB">
      <w:pPr>
        <w:spacing w:line="276" w:lineRule="auto"/>
        <w:jc w:val="both"/>
        <w:rPr>
          <w:rFonts w:ascii="Arial" w:hAnsi="Arial" w:cs="Arial"/>
          <w:color w:val="000000" w:themeColor="text1"/>
        </w:rPr>
      </w:pPr>
    </w:p>
    <w:p w14:paraId="3D2DECCA" w14:textId="77777777" w:rsidR="00330B94" w:rsidRPr="004554AB" w:rsidRDefault="00330B94" w:rsidP="004554AB">
      <w:pPr>
        <w:spacing w:line="276" w:lineRule="auto"/>
        <w:jc w:val="both"/>
        <w:rPr>
          <w:rFonts w:ascii="Arial" w:hAnsi="Arial" w:cs="Arial"/>
          <w:color w:val="000000" w:themeColor="text1"/>
        </w:rPr>
      </w:pPr>
    </w:p>
    <w:p w14:paraId="45E14BFC" w14:textId="77777777" w:rsidR="00991CB5" w:rsidRPr="004554AB" w:rsidRDefault="00991CB5" w:rsidP="004554AB">
      <w:pPr>
        <w:spacing w:line="276" w:lineRule="auto"/>
        <w:jc w:val="both"/>
        <w:rPr>
          <w:rFonts w:ascii="Arial" w:hAnsi="Arial" w:cs="Arial"/>
          <w:color w:val="000000" w:themeColor="text1"/>
        </w:rPr>
      </w:pPr>
    </w:p>
    <w:p w14:paraId="645F71CB" w14:textId="4586D0CA" w:rsidR="007165E4" w:rsidRPr="004554AB" w:rsidRDefault="31E14779" w:rsidP="004554AB">
      <w:pPr>
        <w:pStyle w:val="Heading2"/>
        <w:spacing w:line="276" w:lineRule="auto"/>
        <w:jc w:val="both"/>
        <w:rPr>
          <w:rFonts w:ascii="Arial" w:hAnsi="Arial" w:cs="Arial"/>
          <w:color w:val="000000" w:themeColor="text1"/>
          <w:sz w:val="24"/>
          <w:szCs w:val="24"/>
        </w:rPr>
      </w:pPr>
      <w:bookmarkStart w:id="16" w:name="_Toc228228549"/>
      <w:r w:rsidRPr="004554AB">
        <w:rPr>
          <w:rFonts w:ascii="Arial" w:hAnsi="Arial" w:cs="Arial"/>
          <w:color w:val="000000" w:themeColor="text1"/>
          <w:sz w:val="24"/>
          <w:szCs w:val="24"/>
        </w:rPr>
        <w:lastRenderedPageBreak/>
        <w:t xml:space="preserve">5 </w:t>
      </w:r>
      <w:r w:rsidR="3CA3C472" w:rsidRPr="004554AB">
        <w:rPr>
          <w:rFonts w:ascii="Arial" w:hAnsi="Arial" w:cs="Arial"/>
          <w:color w:val="000000" w:themeColor="text1"/>
          <w:sz w:val="24"/>
          <w:szCs w:val="24"/>
        </w:rPr>
        <w:t>References</w:t>
      </w:r>
      <w:bookmarkEnd w:id="16"/>
    </w:p>
    <w:p w14:paraId="0B13D99D" w14:textId="6E0EDFED"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Alghamdi, A.A., Keers, R.N., Sutherland, A. and Ashcroft, D.M. (2019) ‘Prevalence and nature of medication errors and preventable adverse drug events in paediatric and neonatal intensive care settings: A systematic review’, Drug Safety, 42(12), pp. 1423–1436. https://doi.org/10.1007/s40264-019-00856-9</w:t>
      </w:r>
    </w:p>
    <w:p w14:paraId="210EA36D" w14:textId="3A02E6E9"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Alghamdi, A.A., Keers, R.N., Sutherland, A. and Ashcroft, D.M. (2021) ‘A mixed-methods analysis of medication safety incidents reported in neonatal and children’s intensive care’, Paediatric Drugs, 23(3), pp. 287–297. https://doi.org/10.1007/s40272-021-00442-6</w:t>
      </w:r>
    </w:p>
    <w:p w14:paraId="61FD0621" w14:textId="09637FC2"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Alqenae, F.A., Steinke, D., Carson-Stevens, A. and Keers, R.N. (2023) ‘Medication safety incidents following hospital discharge’, Therapeutic Advances in Drug Safety, 14. https://doi.org/10.1177/20420986231154365</w:t>
      </w:r>
    </w:p>
    <w:p w14:paraId="18EB2AA3" w14:textId="695ABEB9"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Aveling, E.-L., McCulloch, P. and Dixon-Woods, M. (2013) ‘A qualitative study comparing experiences of the surgical safety checklist’, BMJ Open, 3(8), e003039. https://doi.org/10.1136/bmjopen-2013-003039</w:t>
      </w:r>
    </w:p>
    <w:p w14:paraId="55C26EB6" w14:textId="434AFDB8"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Bates, D.W., Leape, L.L., Cullen, D.J. et al. (1998) ‘Effect of computerized physician order entry on medication errors’, JAMA, 280(15), pp. 1311–1316. https://doi.org/10.1001/jama.280.15.1311</w:t>
      </w:r>
    </w:p>
    <w:p w14:paraId="288A5219" w14:textId="0FB49A0D"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Boamah, S. (2018) ‘Linking nurses’ clinical leadership to patient care quality’, Canadian Journal of Nursing Research, 50(1), pp. 9–19. https://doi.org/10.1177/0844562117732490</w:t>
      </w:r>
    </w:p>
    <w:p w14:paraId="4C5EEC4C" w14:textId="4E79A6AF"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 xml:space="preserve">Braithwaite, J., Wears, R.L. and Hollnagel, E. (2015) ‘Resilient health care: turning patient safety on its head’, International Journal for Quality in Health Care, 27(5), pp. 418–420. </w:t>
      </w:r>
      <w:hyperlink r:id="rId12" w:history="1">
        <w:r w:rsidR="004B6351" w:rsidRPr="004554AB">
          <w:rPr>
            <w:rStyle w:val="Hyperlink"/>
            <w:rFonts w:ascii="Arial" w:eastAsia="Arial" w:hAnsi="Arial" w:cs="Arial"/>
            <w:color w:val="000000" w:themeColor="text1"/>
          </w:rPr>
          <w:t>https://doi.org/10.1093/intqhc/mzv063</w:t>
        </w:r>
      </w:hyperlink>
      <w:r w:rsidR="004B6351" w:rsidRPr="004554AB">
        <w:rPr>
          <w:rFonts w:ascii="Arial" w:eastAsia="Arial" w:hAnsi="Arial" w:cs="Arial"/>
          <w:color w:val="000000" w:themeColor="text1"/>
        </w:rPr>
        <w:t xml:space="preserve"> </w:t>
      </w:r>
      <w:r w:rsidR="004B6351" w:rsidRPr="004554AB">
        <w:rPr>
          <w:rStyle w:val="s1"/>
          <w:rFonts w:ascii="Arial" w:hAnsi="Arial" w:cs="Arial"/>
          <w:color w:val="000000" w:themeColor="text1"/>
        </w:rPr>
        <w:t xml:space="preserve">(Accessed : 15 April 2026) </w:t>
      </w:r>
    </w:p>
    <w:p w14:paraId="40D3A445" w14:textId="301C0A42"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 xml:space="preserve">Braithwaite, J., Churruca, K., Long, J.C., Ellis, L.A. and Herkes, J. (2018) ‘When complexity science meets implementation science’, BMC Medicine, 16(63). </w:t>
      </w:r>
      <w:hyperlink r:id="rId13" w:history="1">
        <w:r w:rsidR="004B6351" w:rsidRPr="004554AB">
          <w:rPr>
            <w:rStyle w:val="Hyperlink"/>
            <w:rFonts w:ascii="Arial" w:eastAsia="Arial" w:hAnsi="Arial" w:cs="Arial"/>
            <w:color w:val="000000" w:themeColor="text1"/>
          </w:rPr>
          <w:t>https://doi.org/10.1186/s12916-018-1057-z</w:t>
        </w:r>
      </w:hyperlink>
      <w:r w:rsidR="004B6351" w:rsidRPr="004554AB">
        <w:rPr>
          <w:rFonts w:ascii="Arial" w:eastAsia="Arial" w:hAnsi="Arial" w:cs="Arial"/>
          <w:color w:val="000000" w:themeColor="text1"/>
        </w:rPr>
        <w:t xml:space="preserve"> </w:t>
      </w:r>
      <w:r w:rsidR="004B6351" w:rsidRPr="004554AB">
        <w:rPr>
          <w:rStyle w:val="s1"/>
          <w:rFonts w:ascii="Arial" w:hAnsi="Arial" w:cs="Arial"/>
          <w:color w:val="000000" w:themeColor="text1"/>
        </w:rPr>
        <w:t xml:space="preserve">(Accessed: </w:t>
      </w:r>
      <w:r w:rsidR="00A1252D" w:rsidRPr="004554AB">
        <w:rPr>
          <w:rStyle w:val="s1"/>
          <w:rFonts w:ascii="Arial" w:hAnsi="Arial" w:cs="Arial"/>
          <w:color w:val="000000" w:themeColor="text1"/>
        </w:rPr>
        <w:t>17</w:t>
      </w:r>
      <w:r w:rsidR="004B6351" w:rsidRPr="004554AB">
        <w:rPr>
          <w:rStyle w:val="s1"/>
          <w:rFonts w:ascii="Arial" w:hAnsi="Arial" w:cs="Arial"/>
          <w:color w:val="000000" w:themeColor="text1"/>
        </w:rPr>
        <w:t xml:space="preserve"> April 2026) </w:t>
      </w:r>
    </w:p>
    <w:p w14:paraId="0E3ED583" w14:textId="3EC248A0"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 xml:space="preserve">Carayon, P. et al. (2006) ‘Work system design for patient safety: The SEIPS model’, Quality &amp; Safety in Health Care, 15(Suppl 1), pp. i50–i58. </w:t>
      </w:r>
      <w:hyperlink r:id="rId14" w:history="1">
        <w:r w:rsidR="004B6351" w:rsidRPr="004554AB">
          <w:rPr>
            <w:rStyle w:val="Hyperlink"/>
            <w:rFonts w:ascii="Arial" w:eastAsia="Arial" w:hAnsi="Arial" w:cs="Arial"/>
            <w:color w:val="000000" w:themeColor="text1"/>
          </w:rPr>
          <w:t>https://doi.org/10.1136/qshc.2005.015842</w:t>
        </w:r>
      </w:hyperlink>
      <w:r w:rsidR="004B6351" w:rsidRPr="004554AB">
        <w:rPr>
          <w:rFonts w:ascii="Arial" w:eastAsia="Arial" w:hAnsi="Arial" w:cs="Arial"/>
          <w:color w:val="000000" w:themeColor="text1"/>
        </w:rPr>
        <w:t xml:space="preserve"> </w:t>
      </w:r>
      <w:r w:rsidR="004B6351" w:rsidRPr="004554AB">
        <w:rPr>
          <w:rStyle w:val="s1"/>
          <w:rFonts w:ascii="Arial" w:hAnsi="Arial" w:cs="Arial"/>
          <w:color w:val="000000" w:themeColor="text1"/>
        </w:rPr>
        <w:t>(Accessed: 19 April 2026</w:t>
      </w:r>
    </w:p>
    <w:p w14:paraId="26A8BAF8" w14:textId="4EEB0E25" w:rsidR="00503724" w:rsidRPr="004554AB" w:rsidRDefault="257F97C1" w:rsidP="004554AB">
      <w:pPr>
        <w:pStyle w:val="p1"/>
        <w:spacing w:line="276" w:lineRule="auto"/>
        <w:jc w:val="both"/>
        <w:rPr>
          <w:rStyle w:val="s1"/>
          <w:rFonts w:ascii="Arial" w:hAnsi="Arial" w:cs="Arial"/>
          <w:color w:val="000000" w:themeColor="text1"/>
        </w:rPr>
      </w:pPr>
      <w:r w:rsidRPr="004554AB">
        <w:rPr>
          <w:rFonts w:ascii="Arial" w:eastAsia="Arial" w:hAnsi="Arial" w:cs="Arial"/>
          <w:color w:val="000000" w:themeColor="text1"/>
        </w:rPr>
        <w:t xml:space="preserve">Carayon, P. et al. (2014) ‘Human factors systems approach to healthcare quality and patient safety’, Applied Ergonomics, 45(1), pp. 14–25. </w:t>
      </w:r>
      <w:hyperlink r:id="rId15" w:history="1">
        <w:r w:rsidR="00275B9A" w:rsidRPr="004554AB">
          <w:rPr>
            <w:rStyle w:val="Hyperlink"/>
            <w:rFonts w:ascii="Arial" w:eastAsia="Arial" w:hAnsi="Arial" w:cs="Arial"/>
            <w:color w:val="000000" w:themeColor="text1"/>
          </w:rPr>
          <w:t>https://doi.org/10.1016/j.apergo.2013.04.023</w:t>
        </w:r>
      </w:hyperlink>
      <w:r w:rsidR="00275B9A" w:rsidRPr="004554AB">
        <w:rPr>
          <w:rFonts w:ascii="Arial" w:eastAsia="Arial" w:hAnsi="Arial" w:cs="Arial"/>
          <w:color w:val="000000" w:themeColor="text1"/>
        </w:rPr>
        <w:t xml:space="preserve"> </w:t>
      </w:r>
      <w:r w:rsidR="00275B9A" w:rsidRPr="004554AB">
        <w:rPr>
          <w:rStyle w:val="s1"/>
          <w:rFonts w:ascii="Arial" w:hAnsi="Arial" w:cs="Arial"/>
          <w:color w:val="000000" w:themeColor="text1"/>
        </w:rPr>
        <w:t xml:space="preserve">(Accessed: </w:t>
      </w:r>
      <w:r w:rsidR="004B6351" w:rsidRPr="004554AB">
        <w:rPr>
          <w:rStyle w:val="s1"/>
          <w:rFonts w:ascii="Arial" w:hAnsi="Arial" w:cs="Arial"/>
          <w:color w:val="000000" w:themeColor="text1"/>
        </w:rPr>
        <w:t>18</w:t>
      </w:r>
      <w:r w:rsidR="00275B9A" w:rsidRPr="004554AB">
        <w:rPr>
          <w:rStyle w:val="s1"/>
          <w:rFonts w:ascii="Arial" w:hAnsi="Arial" w:cs="Arial"/>
          <w:color w:val="000000" w:themeColor="text1"/>
        </w:rPr>
        <w:t xml:space="preserve"> April 2026) </w:t>
      </w:r>
    </w:p>
    <w:p w14:paraId="4EF23B2F" w14:textId="635758B2" w:rsidR="00207721" w:rsidRPr="004554AB" w:rsidRDefault="00207721" w:rsidP="004554AB">
      <w:pPr>
        <w:pStyle w:val="p1"/>
        <w:jc w:val="both"/>
        <w:rPr>
          <w:rFonts w:ascii="Arial" w:hAnsi="Arial" w:cs="Arial"/>
        </w:rPr>
      </w:pPr>
      <w:proofErr w:type="spellStart"/>
      <w:r w:rsidRPr="004554AB">
        <w:rPr>
          <w:rFonts w:ascii="Arial" w:hAnsi="Arial" w:cs="Arial"/>
        </w:rPr>
        <w:lastRenderedPageBreak/>
        <w:t>Carstensen</w:t>
      </w:r>
      <w:proofErr w:type="spellEnd"/>
      <w:r w:rsidRPr="004554AB">
        <w:rPr>
          <w:rFonts w:ascii="Arial" w:hAnsi="Arial" w:cs="Arial"/>
        </w:rPr>
        <w:t xml:space="preserve">, K., </w:t>
      </w:r>
      <w:proofErr w:type="spellStart"/>
      <w:r w:rsidRPr="004554AB">
        <w:rPr>
          <w:rFonts w:ascii="Arial" w:hAnsi="Arial" w:cs="Arial"/>
        </w:rPr>
        <w:t>Kjeldsen</w:t>
      </w:r>
      <w:proofErr w:type="spellEnd"/>
      <w:r w:rsidRPr="004554AB">
        <w:rPr>
          <w:rFonts w:ascii="Arial" w:hAnsi="Arial" w:cs="Arial"/>
        </w:rPr>
        <w:t>, A.M. and Nielsen, C.P. (2024)</w:t>
      </w:r>
      <w:r w:rsidRPr="004554AB">
        <w:rPr>
          <w:rFonts w:ascii="Arial" w:hAnsi="Arial" w:cs="Arial"/>
        </w:rPr>
        <w:br/>
      </w:r>
      <w:r w:rsidRPr="004554AB">
        <w:rPr>
          <w:rStyle w:val="s2"/>
          <w:rFonts w:ascii="Arial" w:hAnsi="Arial" w:cs="Arial"/>
        </w:rPr>
        <w:t xml:space="preserve">Distributed leadership in health quality improvement collaboratives. </w:t>
      </w:r>
      <w:r w:rsidRPr="004554AB">
        <w:rPr>
          <w:rStyle w:val="s1"/>
          <w:rFonts w:ascii="Arial" w:hAnsi="Arial" w:cs="Arial"/>
          <w:i/>
          <w:iCs/>
        </w:rPr>
        <w:t>Health Care Management Review</w:t>
      </w:r>
      <w:r w:rsidRPr="004554AB">
        <w:rPr>
          <w:rStyle w:val="s2"/>
          <w:rFonts w:ascii="Arial" w:hAnsi="Arial" w:cs="Arial"/>
        </w:rPr>
        <w:t xml:space="preserve">, 49(1), pp.46–58. </w:t>
      </w:r>
      <w:hyperlink r:id="rId16" w:history="1">
        <w:r w:rsidR="00CA1B0E" w:rsidRPr="004554AB">
          <w:rPr>
            <w:rStyle w:val="Hyperlink"/>
            <w:rFonts w:ascii="Arial" w:hAnsi="Arial" w:cs="Arial"/>
          </w:rPr>
          <w:t>https://doi.org/10.1097/HMR.0000000000000385</w:t>
        </w:r>
      </w:hyperlink>
      <w:r w:rsidR="00CA1B0E" w:rsidRPr="004554AB">
        <w:rPr>
          <w:rStyle w:val="s2"/>
          <w:rFonts w:ascii="Arial" w:hAnsi="Arial" w:cs="Arial"/>
        </w:rPr>
        <w:t xml:space="preserve"> </w:t>
      </w:r>
      <w:r w:rsidR="009D7407" w:rsidRPr="004554AB">
        <w:rPr>
          <w:rStyle w:val="s2"/>
          <w:rFonts w:ascii="Arial" w:hAnsi="Arial" w:cs="Arial"/>
        </w:rPr>
        <w:t>(Accessed: 27 April 2026)</w:t>
      </w:r>
    </w:p>
    <w:p w14:paraId="4F75C280" w14:textId="524F9BD5"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 xml:space="preserve">D’Errico, S. et al. (2022) ‘Medication errors in pediatrics’, Frontiers in Medicine, 8, 814100. </w:t>
      </w:r>
      <w:hyperlink r:id="rId17" w:history="1">
        <w:r w:rsidR="00275B9A" w:rsidRPr="004554AB">
          <w:rPr>
            <w:rStyle w:val="Hyperlink"/>
            <w:rFonts w:ascii="Arial" w:eastAsia="Arial" w:hAnsi="Arial" w:cs="Arial"/>
            <w:color w:val="000000" w:themeColor="text1"/>
          </w:rPr>
          <w:t>https://doi.org/10.3389/fmed.2021.814100</w:t>
        </w:r>
      </w:hyperlink>
      <w:r w:rsidR="00275B9A" w:rsidRPr="004554AB">
        <w:rPr>
          <w:rFonts w:ascii="Arial" w:eastAsia="Arial" w:hAnsi="Arial" w:cs="Arial"/>
          <w:color w:val="000000" w:themeColor="text1"/>
        </w:rPr>
        <w:t xml:space="preserve"> </w:t>
      </w:r>
      <w:r w:rsidR="00275B9A" w:rsidRPr="004554AB">
        <w:rPr>
          <w:rStyle w:val="s1"/>
          <w:rFonts w:ascii="Arial" w:hAnsi="Arial" w:cs="Arial"/>
          <w:color w:val="000000" w:themeColor="text1"/>
        </w:rPr>
        <w:t xml:space="preserve">(Accessed : 20 April 2026) </w:t>
      </w:r>
    </w:p>
    <w:p w14:paraId="10879E8A" w14:textId="1FCA7242"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 xml:space="preserve">Dinh, T.S. et al. (2024) ‘Informational continuity of medication management in transitions of care’, PLOS ONE, 19(4), e0300047. </w:t>
      </w:r>
      <w:hyperlink r:id="rId18" w:history="1">
        <w:r w:rsidR="00275B9A" w:rsidRPr="004554AB">
          <w:rPr>
            <w:rStyle w:val="Hyperlink"/>
            <w:rFonts w:ascii="Arial" w:eastAsia="Arial" w:hAnsi="Arial" w:cs="Arial"/>
            <w:color w:val="000000" w:themeColor="text1"/>
          </w:rPr>
          <w:t>https://doi.org/10.1371/journal.pone.0300047</w:t>
        </w:r>
      </w:hyperlink>
      <w:r w:rsidR="00275B9A" w:rsidRPr="004554AB">
        <w:rPr>
          <w:rFonts w:ascii="Arial" w:eastAsia="Arial" w:hAnsi="Arial" w:cs="Arial"/>
          <w:color w:val="000000" w:themeColor="text1"/>
        </w:rPr>
        <w:t xml:space="preserve"> </w:t>
      </w:r>
      <w:r w:rsidR="00275B9A" w:rsidRPr="004554AB">
        <w:rPr>
          <w:rStyle w:val="s1"/>
          <w:rFonts w:ascii="Arial" w:hAnsi="Arial" w:cs="Arial"/>
          <w:color w:val="000000" w:themeColor="text1"/>
        </w:rPr>
        <w:t>(</w:t>
      </w:r>
      <w:proofErr w:type="spellStart"/>
      <w:r w:rsidR="00FA4B59" w:rsidRPr="004554AB">
        <w:rPr>
          <w:rStyle w:val="s1"/>
          <w:rFonts w:ascii="Arial" w:hAnsi="Arial" w:cs="Arial"/>
          <w:color w:val="000000" w:themeColor="text1"/>
        </w:rPr>
        <w:t>Accesse</w:t>
      </w:r>
      <w:proofErr w:type="spellEnd"/>
      <w:r w:rsidR="00275B9A" w:rsidRPr="004554AB">
        <w:rPr>
          <w:rStyle w:val="s1"/>
          <w:rFonts w:ascii="Arial" w:hAnsi="Arial" w:cs="Arial"/>
          <w:color w:val="000000" w:themeColor="text1"/>
        </w:rPr>
        <w:t xml:space="preserve"> : 20 April 2026) </w:t>
      </w:r>
    </w:p>
    <w:p w14:paraId="4BF5B2E2" w14:textId="348E17A2"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 xml:space="preserve">Donaldson, L.J. et al. (2017) ‘Medication Without Harm’, The Lancet, 389(10080), pp. 1680–1681. </w:t>
      </w:r>
      <w:hyperlink r:id="rId19" w:history="1">
        <w:r w:rsidR="00275B9A" w:rsidRPr="004554AB">
          <w:rPr>
            <w:rStyle w:val="Hyperlink"/>
            <w:rFonts w:ascii="Arial" w:eastAsia="Arial" w:hAnsi="Arial" w:cs="Arial"/>
            <w:color w:val="000000" w:themeColor="text1"/>
          </w:rPr>
          <w:t>https://doi.org/10.1016/S0140-6736(17)31047-4</w:t>
        </w:r>
      </w:hyperlink>
      <w:r w:rsidR="00275B9A" w:rsidRPr="004554AB">
        <w:rPr>
          <w:rFonts w:ascii="Arial" w:eastAsia="Arial" w:hAnsi="Arial" w:cs="Arial"/>
          <w:color w:val="000000" w:themeColor="text1"/>
        </w:rPr>
        <w:t xml:space="preserve"> </w:t>
      </w:r>
      <w:r w:rsidR="00275B9A" w:rsidRPr="004554AB">
        <w:rPr>
          <w:rStyle w:val="s1"/>
          <w:rFonts w:ascii="Arial" w:hAnsi="Arial" w:cs="Arial"/>
          <w:color w:val="000000" w:themeColor="text1"/>
        </w:rPr>
        <w:t xml:space="preserve">(Accessed: 20 April 2026) </w:t>
      </w:r>
    </w:p>
    <w:p w14:paraId="674B0892" w14:textId="4A2D6A88"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 xml:space="preserve">Edmondson, A. (1999) ‘Psychological safety and learning behavior’, Administrative Science Quarterly, 44(2), pp. 350–383. </w:t>
      </w:r>
      <w:hyperlink r:id="rId20" w:history="1">
        <w:r w:rsidR="00275B9A" w:rsidRPr="004554AB">
          <w:rPr>
            <w:rStyle w:val="Hyperlink"/>
            <w:rFonts w:ascii="Arial" w:eastAsia="Arial" w:hAnsi="Arial" w:cs="Arial"/>
            <w:color w:val="000000" w:themeColor="text1"/>
          </w:rPr>
          <w:t>https://doi.org/10.2307/2666999</w:t>
        </w:r>
      </w:hyperlink>
      <w:r w:rsidR="00275B9A" w:rsidRPr="004554AB">
        <w:rPr>
          <w:rFonts w:ascii="Arial" w:eastAsia="Arial" w:hAnsi="Arial" w:cs="Arial"/>
          <w:color w:val="000000" w:themeColor="text1"/>
        </w:rPr>
        <w:t xml:space="preserve"> </w:t>
      </w:r>
      <w:r w:rsidR="00275B9A" w:rsidRPr="004554AB">
        <w:rPr>
          <w:rStyle w:val="s1"/>
          <w:rFonts w:ascii="Arial" w:hAnsi="Arial" w:cs="Arial"/>
          <w:color w:val="000000" w:themeColor="text1"/>
        </w:rPr>
        <w:t xml:space="preserve">(Accessed: 20 April 2026) </w:t>
      </w:r>
    </w:p>
    <w:p w14:paraId="26671E7C" w14:textId="331CFF75"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 xml:space="preserve">Elliott, R.A. et al. (2021) ‘Economic burden of medication errors in England’, BMJ Quality &amp; Safety, 30(2), pp. 96–105. </w:t>
      </w:r>
      <w:hyperlink r:id="rId21" w:history="1">
        <w:r w:rsidR="00275B9A" w:rsidRPr="004554AB">
          <w:rPr>
            <w:rStyle w:val="Hyperlink"/>
            <w:rFonts w:ascii="Arial" w:eastAsia="Arial" w:hAnsi="Arial" w:cs="Arial"/>
            <w:color w:val="000000" w:themeColor="text1"/>
          </w:rPr>
          <w:t>https://doi.org/10.1136/bmjqs-2019-010206</w:t>
        </w:r>
      </w:hyperlink>
      <w:r w:rsidR="00275B9A" w:rsidRPr="004554AB">
        <w:rPr>
          <w:rFonts w:ascii="Arial" w:eastAsia="Arial" w:hAnsi="Arial" w:cs="Arial"/>
          <w:color w:val="000000" w:themeColor="text1"/>
        </w:rPr>
        <w:t xml:space="preserve"> </w:t>
      </w:r>
      <w:r w:rsidR="00275B9A" w:rsidRPr="004554AB">
        <w:rPr>
          <w:rStyle w:val="s1"/>
          <w:rFonts w:ascii="Arial" w:hAnsi="Arial" w:cs="Arial"/>
          <w:color w:val="000000" w:themeColor="text1"/>
        </w:rPr>
        <w:t xml:space="preserve">(Accessed : 20 April 2026) </w:t>
      </w:r>
    </w:p>
    <w:p w14:paraId="40D7BDA9" w14:textId="1FB3BF8F"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 xml:space="preserve">Elshayib, M. and Pawola, L. (2020) ‘CPOE-related medication errors’, Health Informatics Journal, 26(4), pp. 2834–2859. </w:t>
      </w:r>
      <w:hyperlink r:id="rId22" w:history="1">
        <w:r w:rsidR="00A46CEA" w:rsidRPr="004554AB">
          <w:rPr>
            <w:rStyle w:val="Hyperlink"/>
            <w:rFonts w:ascii="Arial" w:eastAsia="Arial" w:hAnsi="Arial" w:cs="Arial"/>
            <w:color w:val="000000" w:themeColor="text1"/>
          </w:rPr>
          <w:t>https://doi.org/10.1177/1460458220941750</w:t>
        </w:r>
      </w:hyperlink>
      <w:r w:rsidR="00A46CEA" w:rsidRPr="004554AB">
        <w:rPr>
          <w:rFonts w:ascii="Arial" w:eastAsia="Arial" w:hAnsi="Arial" w:cs="Arial"/>
          <w:color w:val="000000" w:themeColor="text1"/>
        </w:rPr>
        <w:t xml:space="preserve"> </w:t>
      </w:r>
      <w:r w:rsidR="00A46CEA" w:rsidRPr="004554AB">
        <w:rPr>
          <w:rStyle w:val="s1"/>
          <w:rFonts w:ascii="Arial" w:hAnsi="Arial" w:cs="Arial"/>
          <w:color w:val="000000" w:themeColor="text1"/>
        </w:rPr>
        <w:t xml:space="preserve">(Accessed : 20 April 2026) </w:t>
      </w:r>
    </w:p>
    <w:p w14:paraId="365BB770" w14:textId="0D419E93"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 xml:space="preserve">Gilson, L. (2016) ‘Leadership of health policy implementation’, Health Systems &amp; Reform, 2(3), pp. 187–193. </w:t>
      </w:r>
      <w:hyperlink r:id="rId23" w:history="1">
        <w:r w:rsidR="004C25E4" w:rsidRPr="004554AB">
          <w:rPr>
            <w:rStyle w:val="Hyperlink"/>
            <w:rFonts w:ascii="Arial" w:eastAsia="Arial" w:hAnsi="Arial" w:cs="Arial"/>
          </w:rPr>
          <w:t>https://doi.org/10.1080/23288604.2016.1217367</w:t>
        </w:r>
      </w:hyperlink>
    </w:p>
    <w:p w14:paraId="2A738D1C" w14:textId="03C9E853" w:rsidR="004C25E4" w:rsidRPr="004554AB" w:rsidRDefault="004C25E4" w:rsidP="004554AB">
      <w:pPr>
        <w:pStyle w:val="p1"/>
        <w:spacing w:line="276" w:lineRule="auto"/>
        <w:jc w:val="both"/>
        <w:rPr>
          <w:rFonts w:ascii="Arial" w:eastAsia="Times New Roman" w:hAnsi="Arial" w:cs="Arial"/>
          <w:color w:val="1B1B1B"/>
          <w:shd w:val="clear" w:color="auto" w:fill="FFFFFF"/>
        </w:rPr>
      </w:pPr>
      <w:proofErr w:type="spellStart"/>
      <w:r w:rsidRPr="004554AB">
        <w:rPr>
          <w:rFonts w:ascii="Arial" w:eastAsia="Times New Roman" w:hAnsi="Arial" w:cs="Arial"/>
          <w:color w:val="1B1B1B"/>
          <w:shd w:val="clear" w:color="auto" w:fill="FFFFFF"/>
        </w:rPr>
        <w:t>Gqaleni</w:t>
      </w:r>
      <w:proofErr w:type="spellEnd"/>
      <w:r w:rsidRPr="004554AB">
        <w:rPr>
          <w:rFonts w:ascii="Arial" w:eastAsia="Times New Roman" w:hAnsi="Arial" w:cs="Arial"/>
          <w:color w:val="1B1B1B"/>
          <w:shd w:val="clear" w:color="auto" w:fill="FFFFFF"/>
        </w:rPr>
        <w:t xml:space="preserve"> TMH, </w:t>
      </w:r>
      <w:proofErr w:type="spellStart"/>
      <w:r w:rsidRPr="004554AB">
        <w:rPr>
          <w:rFonts w:ascii="Arial" w:eastAsia="Times New Roman" w:hAnsi="Arial" w:cs="Arial"/>
          <w:color w:val="1B1B1B"/>
          <w:shd w:val="clear" w:color="auto" w:fill="FFFFFF"/>
        </w:rPr>
        <w:t>Mkhize</w:t>
      </w:r>
      <w:proofErr w:type="spellEnd"/>
      <w:r w:rsidRPr="004554AB">
        <w:rPr>
          <w:rFonts w:ascii="Arial" w:eastAsia="Times New Roman" w:hAnsi="Arial" w:cs="Arial"/>
          <w:color w:val="1B1B1B"/>
          <w:shd w:val="clear" w:color="auto" w:fill="FFFFFF"/>
        </w:rPr>
        <w:t xml:space="preserve"> SW. Barriers to implementing patient safety incident reporting and learning guidelines in specialised care units, KwaZulu-Natal: A qualitative study. PLoS One. 2024 Mar 8;19(3):e0289857. </w:t>
      </w:r>
      <w:proofErr w:type="spellStart"/>
      <w:r w:rsidRPr="004554AB">
        <w:rPr>
          <w:rFonts w:ascii="Arial" w:eastAsia="Times New Roman" w:hAnsi="Arial" w:cs="Arial"/>
          <w:color w:val="1B1B1B"/>
          <w:shd w:val="clear" w:color="auto" w:fill="FFFFFF"/>
        </w:rPr>
        <w:t>doi</w:t>
      </w:r>
      <w:proofErr w:type="spellEnd"/>
      <w:r w:rsidRPr="004554AB">
        <w:rPr>
          <w:rFonts w:ascii="Arial" w:eastAsia="Times New Roman" w:hAnsi="Arial" w:cs="Arial"/>
          <w:color w:val="1B1B1B"/>
          <w:shd w:val="clear" w:color="auto" w:fill="FFFFFF"/>
        </w:rPr>
        <w:t>: 10.1371/journal.pone.0289857. PMID: 38457469; PMCID: PMC10923419.</w:t>
      </w:r>
    </w:p>
    <w:p w14:paraId="3FA4F590" w14:textId="0DCBB951" w:rsidR="0015270E" w:rsidRPr="004554AB" w:rsidRDefault="0015270E" w:rsidP="004554AB">
      <w:pPr>
        <w:pStyle w:val="p1"/>
        <w:spacing w:line="276" w:lineRule="auto"/>
        <w:jc w:val="both"/>
        <w:rPr>
          <w:rFonts w:ascii="Arial" w:eastAsia="Arial" w:hAnsi="Arial" w:cs="Arial"/>
          <w:color w:val="000000" w:themeColor="text1"/>
        </w:rPr>
      </w:pPr>
      <w:r w:rsidRPr="004554AB">
        <w:rPr>
          <w:rFonts w:ascii="Arial" w:eastAsia="Times New Roman" w:hAnsi="Arial" w:cs="Arial"/>
          <w:color w:val="1B1B1B"/>
          <w:shd w:val="clear" w:color="auto" w:fill="FFFFFF"/>
        </w:rPr>
        <w:t xml:space="preserve">Holden RJ, </w:t>
      </w:r>
      <w:proofErr w:type="spellStart"/>
      <w:r w:rsidRPr="004554AB">
        <w:rPr>
          <w:rFonts w:ascii="Arial" w:eastAsia="Times New Roman" w:hAnsi="Arial" w:cs="Arial"/>
          <w:color w:val="1B1B1B"/>
          <w:shd w:val="clear" w:color="auto" w:fill="FFFFFF"/>
        </w:rPr>
        <w:t>Carayon</w:t>
      </w:r>
      <w:proofErr w:type="spellEnd"/>
      <w:r w:rsidRPr="004554AB">
        <w:rPr>
          <w:rFonts w:ascii="Arial" w:eastAsia="Times New Roman" w:hAnsi="Arial" w:cs="Arial"/>
          <w:color w:val="1B1B1B"/>
          <w:shd w:val="clear" w:color="auto" w:fill="FFFFFF"/>
        </w:rPr>
        <w:t xml:space="preserve"> P, </w:t>
      </w:r>
      <w:proofErr w:type="spellStart"/>
      <w:r w:rsidRPr="004554AB">
        <w:rPr>
          <w:rFonts w:ascii="Arial" w:eastAsia="Times New Roman" w:hAnsi="Arial" w:cs="Arial"/>
          <w:color w:val="1B1B1B"/>
          <w:shd w:val="clear" w:color="auto" w:fill="FFFFFF"/>
        </w:rPr>
        <w:t>Gurses</w:t>
      </w:r>
      <w:proofErr w:type="spellEnd"/>
      <w:r w:rsidRPr="004554AB">
        <w:rPr>
          <w:rFonts w:ascii="Arial" w:eastAsia="Times New Roman" w:hAnsi="Arial" w:cs="Arial"/>
          <w:color w:val="1B1B1B"/>
          <w:shd w:val="clear" w:color="auto" w:fill="FFFFFF"/>
        </w:rPr>
        <w:t xml:space="preserve"> AP, </w:t>
      </w:r>
      <w:proofErr w:type="spellStart"/>
      <w:r w:rsidRPr="004554AB">
        <w:rPr>
          <w:rFonts w:ascii="Arial" w:eastAsia="Times New Roman" w:hAnsi="Arial" w:cs="Arial"/>
          <w:color w:val="1B1B1B"/>
          <w:shd w:val="clear" w:color="auto" w:fill="FFFFFF"/>
        </w:rPr>
        <w:t>Hoonakker</w:t>
      </w:r>
      <w:proofErr w:type="spellEnd"/>
      <w:r w:rsidRPr="004554AB">
        <w:rPr>
          <w:rFonts w:ascii="Arial" w:eastAsia="Times New Roman" w:hAnsi="Arial" w:cs="Arial"/>
          <w:color w:val="1B1B1B"/>
          <w:shd w:val="clear" w:color="auto" w:fill="FFFFFF"/>
        </w:rPr>
        <w:t xml:space="preserve"> P, </w:t>
      </w:r>
      <w:proofErr w:type="spellStart"/>
      <w:r w:rsidRPr="004554AB">
        <w:rPr>
          <w:rFonts w:ascii="Arial" w:eastAsia="Times New Roman" w:hAnsi="Arial" w:cs="Arial"/>
          <w:color w:val="1B1B1B"/>
          <w:shd w:val="clear" w:color="auto" w:fill="FFFFFF"/>
        </w:rPr>
        <w:t>Hundt</w:t>
      </w:r>
      <w:proofErr w:type="spellEnd"/>
      <w:r w:rsidRPr="004554AB">
        <w:rPr>
          <w:rFonts w:ascii="Arial" w:eastAsia="Times New Roman" w:hAnsi="Arial" w:cs="Arial"/>
          <w:color w:val="1B1B1B"/>
          <w:shd w:val="clear" w:color="auto" w:fill="FFFFFF"/>
        </w:rPr>
        <w:t xml:space="preserve"> AS, </w:t>
      </w:r>
      <w:proofErr w:type="spellStart"/>
      <w:r w:rsidRPr="004554AB">
        <w:rPr>
          <w:rFonts w:ascii="Arial" w:eastAsia="Times New Roman" w:hAnsi="Arial" w:cs="Arial"/>
          <w:color w:val="1B1B1B"/>
          <w:shd w:val="clear" w:color="auto" w:fill="FFFFFF"/>
        </w:rPr>
        <w:t>Ozok</w:t>
      </w:r>
      <w:proofErr w:type="spellEnd"/>
      <w:r w:rsidRPr="004554AB">
        <w:rPr>
          <w:rFonts w:ascii="Arial" w:eastAsia="Times New Roman" w:hAnsi="Arial" w:cs="Arial"/>
          <w:color w:val="1B1B1B"/>
          <w:shd w:val="clear" w:color="auto" w:fill="FFFFFF"/>
        </w:rPr>
        <w:t xml:space="preserve"> AA, Rivera-Rodriguez AJ. SEIPS 2.0: a human factors framework for studying and improving the work of healthcare professionals and patients. Ergonomics. 2013;56(11):1669-86. </w:t>
      </w:r>
      <w:proofErr w:type="spellStart"/>
      <w:r w:rsidRPr="004554AB">
        <w:rPr>
          <w:rFonts w:ascii="Arial" w:eastAsia="Times New Roman" w:hAnsi="Arial" w:cs="Arial"/>
          <w:color w:val="1B1B1B"/>
          <w:shd w:val="clear" w:color="auto" w:fill="FFFFFF"/>
        </w:rPr>
        <w:t>doi</w:t>
      </w:r>
      <w:proofErr w:type="spellEnd"/>
      <w:r w:rsidRPr="004554AB">
        <w:rPr>
          <w:rFonts w:ascii="Arial" w:eastAsia="Times New Roman" w:hAnsi="Arial" w:cs="Arial"/>
          <w:color w:val="1B1B1B"/>
          <w:shd w:val="clear" w:color="auto" w:fill="FFFFFF"/>
        </w:rPr>
        <w:t xml:space="preserve">: 10.1080/00140139.2013.838643. </w:t>
      </w:r>
      <w:proofErr w:type="spellStart"/>
      <w:r w:rsidRPr="004554AB">
        <w:rPr>
          <w:rFonts w:ascii="Arial" w:eastAsia="Times New Roman" w:hAnsi="Arial" w:cs="Arial"/>
          <w:color w:val="1B1B1B"/>
          <w:shd w:val="clear" w:color="auto" w:fill="FFFFFF"/>
        </w:rPr>
        <w:t>Epub</w:t>
      </w:r>
      <w:proofErr w:type="spellEnd"/>
      <w:r w:rsidRPr="004554AB">
        <w:rPr>
          <w:rFonts w:ascii="Arial" w:eastAsia="Times New Roman" w:hAnsi="Arial" w:cs="Arial"/>
          <w:color w:val="1B1B1B"/>
          <w:shd w:val="clear" w:color="auto" w:fill="FFFFFF"/>
        </w:rPr>
        <w:t xml:space="preserve"> 2013 Oct 3. PMID: 24088063; PMCID: PMC3835697.</w:t>
      </w:r>
    </w:p>
    <w:p w14:paraId="136A55A2" w14:textId="39DE2413" w:rsidR="00503724" w:rsidRPr="004554AB" w:rsidRDefault="257F97C1" w:rsidP="004554AB">
      <w:pPr>
        <w:pStyle w:val="p1"/>
        <w:spacing w:line="276" w:lineRule="auto"/>
        <w:jc w:val="both"/>
        <w:rPr>
          <w:rStyle w:val="s1"/>
          <w:rFonts w:ascii="Arial" w:hAnsi="Arial" w:cs="Arial"/>
          <w:color w:val="000000" w:themeColor="text1"/>
        </w:rPr>
      </w:pPr>
      <w:r w:rsidRPr="004554AB">
        <w:rPr>
          <w:rFonts w:ascii="Arial" w:eastAsia="Arial" w:hAnsi="Arial" w:cs="Arial"/>
          <w:color w:val="000000" w:themeColor="text1"/>
        </w:rPr>
        <w:t xml:space="preserve">Huynh, C. et al. (2017) ‘Paediatric patient safety’, Paediatric Drugs, 19(2), pp. 99–105. </w:t>
      </w:r>
      <w:hyperlink r:id="rId24">
        <w:r w:rsidRPr="004554AB">
          <w:rPr>
            <w:rStyle w:val="Hyperlink"/>
            <w:rFonts w:ascii="Arial" w:eastAsia="Arial" w:hAnsi="Arial" w:cs="Arial"/>
            <w:color w:val="000000" w:themeColor="text1"/>
          </w:rPr>
          <w:t>https://doi.org/10.1007/s40272-017-0214-8</w:t>
        </w:r>
      </w:hyperlink>
      <w:r w:rsidR="0077496B" w:rsidRPr="004554AB">
        <w:rPr>
          <w:rFonts w:ascii="Arial" w:hAnsi="Arial" w:cs="Arial"/>
          <w:color w:val="000000" w:themeColor="text1"/>
        </w:rPr>
        <w:t xml:space="preserve"> </w:t>
      </w:r>
      <w:r w:rsidR="0077496B" w:rsidRPr="004554AB">
        <w:rPr>
          <w:rStyle w:val="s1"/>
          <w:rFonts w:ascii="Arial" w:hAnsi="Arial" w:cs="Arial"/>
          <w:color w:val="000000" w:themeColor="text1"/>
        </w:rPr>
        <w:t>(</w:t>
      </w:r>
      <w:r w:rsidR="00794F37" w:rsidRPr="004554AB">
        <w:rPr>
          <w:rStyle w:val="s1"/>
          <w:rFonts w:ascii="Arial" w:hAnsi="Arial" w:cs="Arial"/>
          <w:color w:val="000000" w:themeColor="text1"/>
        </w:rPr>
        <w:t>Accessed:</w:t>
      </w:r>
      <w:r w:rsidR="0077496B" w:rsidRPr="004554AB">
        <w:rPr>
          <w:rStyle w:val="s1"/>
          <w:rFonts w:ascii="Arial" w:hAnsi="Arial" w:cs="Arial"/>
          <w:color w:val="000000" w:themeColor="text1"/>
        </w:rPr>
        <w:t xml:space="preserve"> 20 April 2026) </w:t>
      </w:r>
    </w:p>
    <w:p w14:paraId="288FC5E6" w14:textId="62C8F707" w:rsidR="000D5C56" w:rsidRPr="004554AB" w:rsidRDefault="000D5C56" w:rsidP="004554AB">
      <w:pPr>
        <w:pStyle w:val="p1"/>
        <w:spacing w:line="276" w:lineRule="auto"/>
        <w:jc w:val="both"/>
        <w:rPr>
          <w:rFonts w:ascii="Arial" w:hAnsi="Arial" w:cs="Arial"/>
          <w:color w:val="000000" w:themeColor="text1"/>
        </w:rPr>
      </w:pPr>
      <w:r w:rsidRPr="004554AB">
        <w:rPr>
          <w:rFonts w:ascii="Arial" w:eastAsia="Times New Roman" w:hAnsi="Arial" w:cs="Arial"/>
          <w:color w:val="1B1B1B"/>
          <w:shd w:val="clear" w:color="auto" w:fill="FFFFFF"/>
        </w:rPr>
        <w:lastRenderedPageBreak/>
        <w:t xml:space="preserve">Hussain MI, Reynolds TL, Zheng K. Medication safety alert fatigue may be reduced via interaction design and clinical role tailoring: a systematic review. J Am Med Inform Assoc. 2019 Oct 1;26(10):1141-1149. </w:t>
      </w:r>
      <w:proofErr w:type="spellStart"/>
      <w:r w:rsidRPr="004554AB">
        <w:rPr>
          <w:rFonts w:ascii="Arial" w:eastAsia="Times New Roman" w:hAnsi="Arial" w:cs="Arial"/>
          <w:color w:val="1B1B1B"/>
          <w:shd w:val="clear" w:color="auto" w:fill="FFFFFF"/>
        </w:rPr>
        <w:t>doi</w:t>
      </w:r>
      <w:proofErr w:type="spellEnd"/>
      <w:r w:rsidRPr="004554AB">
        <w:rPr>
          <w:rFonts w:ascii="Arial" w:eastAsia="Times New Roman" w:hAnsi="Arial" w:cs="Arial"/>
          <w:color w:val="1B1B1B"/>
          <w:shd w:val="clear" w:color="auto" w:fill="FFFFFF"/>
        </w:rPr>
        <w:t>: 10.1093/</w:t>
      </w:r>
      <w:proofErr w:type="spellStart"/>
      <w:r w:rsidRPr="004554AB">
        <w:rPr>
          <w:rFonts w:ascii="Arial" w:eastAsia="Times New Roman" w:hAnsi="Arial" w:cs="Arial"/>
          <w:color w:val="1B1B1B"/>
          <w:shd w:val="clear" w:color="auto" w:fill="FFFFFF"/>
        </w:rPr>
        <w:t>jamia</w:t>
      </w:r>
      <w:proofErr w:type="spellEnd"/>
      <w:r w:rsidRPr="004554AB">
        <w:rPr>
          <w:rFonts w:ascii="Arial" w:eastAsia="Times New Roman" w:hAnsi="Arial" w:cs="Arial"/>
          <w:color w:val="1B1B1B"/>
          <w:shd w:val="clear" w:color="auto" w:fill="FFFFFF"/>
        </w:rPr>
        <w:t>/</w:t>
      </w:r>
      <w:proofErr w:type="spellStart"/>
      <w:r w:rsidRPr="004554AB">
        <w:rPr>
          <w:rFonts w:ascii="Arial" w:eastAsia="Times New Roman" w:hAnsi="Arial" w:cs="Arial"/>
          <w:color w:val="1B1B1B"/>
          <w:shd w:val="clear" w:color="auto" w:fill="FFFFFF"/>
        </w:rPr>
        <w:t>ocz095</w:t>
      </w:r>
      <w:proofErr w:type="spellEnd"/>
      <w:r w:rsidRPr="004554AB">
        <w:rPr>
          <w:rFonts w:ascii="Arial" w:eastAsia="Times New Roman" w:hAnsi="Arial" w:cs="Arial"/>
          <w:color w:val="1B1B1B"/>
          <w:shd w:val="clear" w:color="auto" w:fill="FFFFFF"/>
        </w:rPr>
        <w:t>. PMID: 31206159; PMCID: PMC6748819</w:t>
      </w:r>
    </w:p>
    <w:p w14:paraId="487F0395" w14:textId="331936AC" w:rsidR="00A0012A" w:rsidRPr="004554AB" w:rsidRDefault="00A0012A" w:rsidP="004554AB">
      <w:pPr>
        <w:pStyle w:val="p1"/>
        <w:spacing w:line="276" w:lineRule="auto"/>
        <w:jc w:val="both"/>
        <w:rPr>
          <w:rFonts w:ascii="Arial" w:hAnsi="Arial" w:cs="Arial"/>
          <w:color w:val="000000" w:themeColor="text1"/>
        </w:rPr>
      </w:pPr>
      <w:proofErr w:type="spellStart"/>
      <w:r w:rsidRPr="004554AB">
        <w:rPr>
          <w:rFonts w:ascii="Arial" w:hAnsi="Arial" w:cs="Arial"/>
          <w:color w:val="000000" w:themeColor="text1"/>
        </w:rPr>
        <w:t>Hibbert</w:t>
      </w:r>
      <w:proofErr w:type="spellEnd"/>
      <w:r w:rsidRPr="004554AB">
        <w:rPr>
          <w:rFonts w:ascii="Arial" w:hAnsi="Arial" w:cs="Arial"/>
          <w:color w:val="000000" w:themeColor="text1"/>
        </w:rPr>
        <w:t xml:space="preserve">, P.D. et al. (2023) ‘Improving patient safety governance and systems’, </w:t>
      </w:r>
      <w:r w:rsidRPr="004554AB">
        <w:rPr>
          <w:rStyle w:val="s2"/>
          <w:rFonts w:ascii="Arial" w:hAnsi="Arial" w:cs="Arial"/>
          <w:i/>
          <w:iCs/>
          <w:color w:val="000000" w:themeColor="text1"/>
        </w:rPr>
        <w:t>International Journal for Quality in Health Care</w:t>
      </w:r>
      <w:r w:rsidRPr="004554AB">
        <w:rPr>
          <w:rStyle w:val="s1"/>
          <w:rFonts w:ascii="Arial" w:hAnsi="Arial" w:cs="Arial"/>
          <w:color w:val="000000" w:themeColor="text1"/>
        </w:rPr>
        <w:t xml:space="preserve">, 35(4). Available at: </w:t>
      </w:r>
      <w:hyperlink r:id="rId25" w:history="1">
        <w:r w:rsidR="007863B0" w:rsidRPr="004554AB">
          <w:rPr>
            <w:rStyle w:val="Hyperlink"/>
            <w:rFonts w:ascii="Arial" w:hAnsi="Arial" w:cs="Arial"/>
            <w:color w:val="000000" w:themeColor="text1"/>
          </w:rPr>
          <w:t>https://doi.org/10.1093/intqhc/mzad088</w:t>
        </w:r>
      </w:hyperlink>
      <w:r w:rsidR="007863B0" w:rsidRPr="004554AB">
        <w:rPr>
          <w:rStyle w:val="s1"/>
          <w:rFonts w:ascii="Arial" w:hAnsi="Arial" w:cs="Arial"/>
          <w:color w:val="000000" w:themeColor="text1"/>
        </w:rPr>
        <w:t xml:space="preserve"> (Accessed</w:t>
      </w:r>
      <w:r w:rsidR="00794F37" w:rsidRPr="004554AB">
        <w:rPr>
          <w:rStyle w:val="s1"/>
          <w:rFonts w:ascii="Arial" w:hAnsi="Arial" w:cs="Arial"/>
          <w:color w:val="000000" w:themeColor="text1"/>
        </w:rPr>
        <w:t xml:space="preserve">: 20 April 2026) </w:t>
      </w:r>
    </w:p>
    <w:p w14:paraId="6E7F804E" w14:textId="6FDAB344" w:rsidR="002C7C77" w:rsidRPr="004554AB" w:rsidRDefault="257F97C1" w:rsidP="004554AB">
      <w:pPr>
        <w:pStyle w:val="p1"/>
        <w:spacing w:line="276" w:lineRule="auto"/>
        <w:jc w:val="both"/>
        <w:rPr>
          <w:rFonts w:ascii="Arial" w:eastAsia="Arial" w:hAnsi="Arial" w:cs="Arial"/>
          <w:color w:val="000000" w:themeColor="text1"/>
        </w:rPr>
      </w:pPr>
      <w:proofErr w:type="spellStart"/>
      <w:r w:rsidRPr="004554AB">
        <w:rPr>
          <w:rFonts w:ascii="Arial" w:eastAsia="Arial" w:hAnsi="Arial" w:cs="Arial"/>
          <w:color w:val="000000" w:themeColor="text1"/>
        </w:rPr>
        <w:t>Kaushal</w:t>
      </w:r>
      <w:proofErr w:type="spellEnd"/>
      <w:r w:rsidRPr="004554AB">
        <w:rPr>
          <w:rFonts w:ascii="Arial" w:eastAsia="Arial" w:hAnsi="Arial" w:cs="Arial"/>
          <w:color w:val="000000" w:themeColor="text1"/>
        </w:rPr>
        <w:t xml:space="preserve">, R. et al. (2001) ‘Medication errors in pediatric inpatients’, JAMA, 285(16), pp. 2114–2120. </w:t>
      </w:r>
      <w:hyperlink r:id="rId26" w:history="1">
        <w:r w:rsidR="002C7C77" w:rsidRPr="004554AB">
          <w:rPr>
            <w:rStyle w:val="Hyperlink"/>
            <w:rFonts w:ascii="Arial" w:eastAsia="Arial" w:hAnsi="Arial" w:cs="Arial"/>
            <w:color w:val="000000" w:themeColor="text1"/>
          </w:rPr>
          <w:t>https://doi.org/10.1001/jama.285.16.2114</w:t>
        </w:r>
      </w:hyperlink>
    </w:p>
    <w:p w14:paraId="6F148206" w14:textId="58DB050D"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 xml:space="preserve">Krenyacz, E. and Revesz, E.E. (2025) ‘Centralised healthcare systems’, Journal of Health Organization and Management, 39(9), pp. 177–191. </w:t>
      </w:r>
      <w:hyperlink r:id="rId27" w:history="1">
        <w:r w:rsidR="00634C90" w:rsidRPr="004554AB">
          <w:rPr>
            <w:rStyle w:val="Hyperlink"/>
            <w:rFonts w:ascii="Arial" w:eastAsia="Arial" w:hAnsi="Arial" w:cs="Arial"/>
            <w:color w:val="000000" w:themeColor="text1"/>
          </w:rPr>
          <w:t>https://doi.org/10.1108/jhom-08-2024-0358</w:t>
        </w:r>
      </w:hyperlink>
      <w:r w:rsidR="00634C90" w:rsidRPr="004554AB">
        <w:rPr>
          <w:rFonts w:ascii="Arial" w:eastAsia="Arial" w:hAnsi="Arial" w:cs="Arial"/>
          <w:color w:val="000000" w:themeColor="text1"/>
        </w:rPr>
        <w:t xml:space="preserve"> </w:t>
      </w:r>
      <w:r w:rsidR="00634C90" w:rsidRPr="004554AB">
        <w:rPr>
          <w:rStyle w:val="s1"/>
          <w:rFonts w:ascii="Arial" w:hAnsi="Arial" w:cs="Arial"/>
          <w:color w:val="000000" w:themeColor="text1"/>
        </w:rPr>
        <w:t>(Accessed : 20 April 2026</w:t>
      </w:r>
      <w:r w:rsidR="000C3530" w:rsidRPr="004554AB">
        <w:rPr>
          <w:rStyle w:val="s1"/>
          <w:rFonts w:ascii="Arial" w:hAnsi="Arial" w:cs="Arial"/>
          <w:color w:val="000000" w:themeColor="text1"/>
        </w:rPr>
        <w:t xml:space="preserve">) </w:t>
      </w:r>
    </w:p>
    <w:p w14:paraId="48202B0E" w14:textId="07EBFD21"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 xml:space="preserve">Mannion, R. and Braithwaite, J. (2019) ‘Patient safety research’, International Journal of Health Policy and Management, 8(7), pp. 419–423. </w:t>
      </w:r>
      <w:hyperlink r:id="rId28" w:history="1">
        <w:r w:rsidR="00EE3CBB" w:rsidRPr="004554AB">
          <w:rPr>
            <w:rStyle w:val="Hyperlink"/>
            <w:rFonts w:ascii="Arial" w:eastAsia="Arial" w:hAnsi="Arial" w:cs="Arial"/>
            <w:color w:val="000000" w:themeColor="text1"/>
          </w:rPr>
          <w:t>https://doi.org/10.15171/ijhpm.2018.112</w:t>
        </w:r>
      </w:hyperlink>
      <w:r w:rsidR="00EE3CBB" w:rsidRPr="004554AB">
        <w:rPr>
          <w:rFonts w:ascii="Arial" w:eastAsia="Arial" w:hAnsi="Arial" w:cs="Arial"/>
          <w:color w:val="000000" w:themeColor="text1"/>
        </w:rPr>
        <w:t xml:space="preserve"> (Accessed: 21 April 2026)</w:t>
      </w:r>
    </w:p>
    <w:p w14:paraId="1D87FCBD" w14:textId="1F59663C" w:rsidR="003E576F" w:rsidRPr="004554AB" w:rsidRDefault="003E576F" w:rsidP="004554AB">
      <w:pPr>
        <w:pStyle w:val="p1"/>
        <w:spacing w:line="276" w:lineRule="auto"/>
        <w:jc w:val="both"/>
        <w:rPr>
          <w:rFonts w:ascii="Arial" w:eastAsia="Arial" w:hAnsi="Arial" w:cs="Arial"/>
          <w:color w:val="000000" w:themeColor="text1"/>
        </w:rPr>
      </w:pPr>
      <w:proofErr w:type="spellStart"/>
      <w:r w:rsidRPr="004554AB">
        <w:rPr>
          <w:rFonts w:ascii="Arial" w:eastAsia="Times New Roman" w:hAnsi="Arial" w:cs="Arial"/>
          <w:color w:val="1B1B1B"/>
          <w:shd w:val="clear" w:color="auto" w:fill="FFFFFF"/>
        </w:rPr>
        <w:t>Matenga</w:t>
      </w:r>
      <w:proofErr w:type="spellEnd"/>
      <w:r w:rsidRPr="004554AB">
        <w:rPr>
          <w:rFonts w:ascii="Arial" w:eastAsia="Times New Roman" w:hAnsi="Arial" w:cs="Arial"/>
          <w:color w:val="1B1B1B"/>
          <w:shd w:val="clear" w:color="auto" w:fill="FFFFFF"/>
        </w:rPr>
        <w:t xml:space="preserve"> TFL, </w:t>
      </w:r>
      <w:proofErr w:type="spellStart"/>
      <w:r w:rsidRPr="004554AB">
        <w:rPr>
          <w:rFonts w:ascii="Arial" w:eastAsia="Times New Roman" w:hAnsi="Arial" w:cs="Arial"/>
          <w:color w:val="1B1B1B"/>
          <w:shd w:val="clear" w:color="auto" w:fill="FFFFFF"/>
        </w:rPr>
        <w:t>Chavula</w:t>
      </w:r>
      <w:proofErr w:type="spellEnd"/>
      <w:r w:rsidRPr="004554AB">
        <w:rPr>
          <w:rFonts w:ascii="Arial" w:eastAsia="Times New Roman" w:hAnsi="Arial" w:cs="Arial"/>
          <w:color w:val="1B1B1B"/>
          <w:shd w:val="clear" w:color="auto" w:fill="FFFFFF"/>
        </w:rPr>
        <w:t xml:space="preserve"> MP, Zulu JM, </w:t>
      </w:r>
      <w:proofErr w:type="spellStart"/>
      <w:r w:rsidRPr="004554AB">
        <w:rPr>
          <w:rFonts w:ascii="Arial" w:eastAsia="Times New Roman" w:hAnsi="Arial" w:cs="Arial"/>
          <w:color w:val="1B1B1B"/>
          <w:shd w:val="clear" w:color="auto" w:fill="FFFFFF"/>
        </w:rPr>
        <w:t>Silumbwe</w:t>
      </w:r>
      <w:proofErr w:type="spellEnd"/>
      <w:r w:rsidRPr="004554AB">
        <w:rPr>
          <w:rFonts w:ascii="Arial" w:eastAsia="Times New Roman" w:hAnsi="Arial" w:cs="Arial"/>
          <w:color w:val="1B1B1B"/>
          <w:shd w:val="clear" w:color="auto" w:fill="FFFFFF"/>
        </w:rPr>
        <w:t xml:space="preserve"> A, </w:t>
      </w:r>
      <w:proofErr w:type="spellStart"/>
      <w:r w:rsidRPr="004554AB">
        <w:rPr>
          <w:rFonts w:ascii="Arial" w:eastAsia="Times New Roman" w:hAnsi="Arial" w:cs="Arial"/>
          <w:color w:val="1B1B1B"/>
          <w:shd w:val="clear" w:color="auto" w:fill="FFFFFF"/>
        </w:rPr>
        <w:t>Maritim</w:t>
      </w:r>
      <w:proofErr w:type="spellEnd"/>
      <w:r w:rsidRPr="004554AB">
        <w:rPr>
          <w:rFonts w:ascii="Arial" w:eastAsia="Times New Roman" w:hAnsi="Arial" w:cs="Arial"/>
          <w:color w:val="1B1B1B"/>
          <w:shd w:val="clear" w:color="auto" w:fill="FFFFFF"/>
        </w:rPr>
        <w:t xml:space="preserve"> P, </w:t>
      </w:r>
      <w:proofErr w:type="spellStart"/>
      <w:r w:rsidRPr="004554AB">
        <w:rPr>
          <w:rFonts w:ascii="Arial" w:eastAsia="Times New Roman" w:hAnsi="Arial" w:cs="Arial"/>
          <w:color w:val="1B1B1B"/>
          <w:shd w:val="clear" w:color="auto" w:fill="FFFFFF"/>
        </w:rPr>
        <w:t>Munakampe</w:t>
      </w:r>
      <w:proofErr w:type="spellEnd"/>
      <w:r w:rsidRPr="004554AB">
        <w:rPr>
          <w:rFonts w:ascii="Arial" w:eastAsia="Times New Roman" w:hAnsi="Arial" w:cs="Arial"/>
          <w:color w:val="1B1B1B"/>
          <w:shd w:val="clear" w:color="auto" w:fill="FFFFFF"/>
        </w:rPr>
        <w:t xml:space="preserve"> MN, Habib B, </w:t>
      </w:r>
      <w:proofErr w:type="spellStart"/>
      <w:r w:rsidRPr="004554AB">
        <w:rPr>
          <w:rFonts w:ascii="Arial" w:eastAsia="Times New Roman" w:hAnsi="Arial" w:cs="Arial"/>
          <w:color w:val="1B1B1B"/>
          <w:shd w:val="clear" w:color="auto" w:fill="FFFFFF"/>
        </w:rPr>
        <w:t>Liusha</w:t>
      </w:r>
      <w:proofErr w:type="spellEnd"/>
      <w:r w:rsidRPr="004554AB">
        <w:rPr>
          <w:rFonts w:ascii="Arial" w:eastAsia="Times New Roman" w:hAnsi="Arial" w:cs="Arial"/>
          <w:color w:val="1B1B1B"/>
          <w:shd w:val="clear" w:color="auto" w:fill="FFFFFF"/>
        </w:rPr>
        <w:t xml:space="preserve"> N, Banda J, </w:t>
      </w:r>
      <w:proofErr w:type="spellStart"/>
      <w:r w:rsidRPr="004554AB">
        <w:rPr>
          <w:rFonts w:ascii="Arial" w:eastAsia="Times New Roman" w:hAnsi="Arial" w:cs="Arial"/>
          <w:color w:val="1B1B1B"/>
          <w:shd w:val="clear" w:color="auto" w:fill="FFFFFF"/>
        </w:rPr>
        <w:t>Sinyangwe</w:t>
      </w:r>
      <w:proofErr w:type="spellEnd"/>
      <w:r w:rsidRPr="004554AB">
        <w:rPr>
          <w:rFonts w:ascii="Arial" w:eastAsia="Times New Roman" w:hAnsi="Arial" w:cs="Arial"/>
          <w:color w:val="1B1B1B"/>
          <w:shd w:val="clear" w:color="auto" w:fill="FFFFFF"/>
        </w:rPr>
        <w:t xml:space="preserve"> NN, </w:t>
      </w:r>
      <w:proofErr w:type="spellStart"/>
      <w:r w:rsidRPr="004554AB">
        <w:rPr>
          <w:rFonts w:ascii="Arial" w:eastAsia="Times New Roman" w:hAnsi="Arial" w:cs="Arial"/>
          <w:color w:val="1B1B1B"/>
          <w:shd w:val="clear" w:color="auto" w:fill="FFFFFF"/>
        </w:rPr>
        <w:t>Mweemba</w:t>
      </w:r>
      <w:proofErr w:type="spellEnd"/>
      <w:r w:rsidRPr="004554AB">
        <w:rPr>
          <w:rFonts w:ascii="Arial" w:eastAsia="Times New Roman" w:hAnsi="Arial" w:cs="Arial"/>
          <w:color w:val="1B1B1B"/>
          <w:shd w:val="clear" w:color="auto" w:fill="FFFFFF"/>
        </w:rPr>
        <w:t xml:space="preserve"> C, </w:t>
      </w:r>
      <w:proofErr w:type="spellStart"/>
      <w:r w:rsidRPr="004554AB">
        <w:rPr>
          <w:rFonts w:ascii="Arial" w:eastAsia="Times New Roman" w:hAnsi="Arial" w:cs="Arial"/>
          <w:color w:val="1B1B1B"/>
          <w:shd w:val="clear" w:color="auto" w:fill="FFFFFF"/>
        </w:rPr>
        <w:t>Mubanga</w:t>
      </w:r>
      <w:proofErr w:type="spellEnd"/>
      <w:r w:rsidRPr="004554AB">
        <w:rPr>
          <w:rFonts w:ascii="Arial" w:eastAsia="Times New Roman" w:hAnsi="Arial" w:cs="Arial"/>
          <w:color w:val="1B1B1B"/>
          <w:shd w:val="clear" w:color="auto" w:fill="FFFFFF"/>
        </w:rPr>
        <w:t xml:space="preserve"> A, </w:t>
      </w:r>
      <w:proofErr w:type="spellStart"/>
      <w:r w:rsidRPr="004554AB">
        <w:rPr>
          <w:rFonts w:ascii="Arial" w:eastAsia="Times New Roman" w:hAnsi="Arial" w:cs="Arial"/>
          <w:color w:val="1B1B1B"/>
          <w:shd w:val="clear" w:color="auto" w:fill="FFFFFF"/>
        </w:rPr>
        <w:t>Kaonga</w:t>
      </w:r>
      <w:proofErr w:type="spellEnd"/>
      <w:r w:rsidRPr="004554AB">
        <w:rPr>
          <w:rFonts w:ascii="Arial" w:eastAsia="Times New Roman" w:hAnsi="Arial" w:cs="Arial"/>
          <w:color w:val="1B1B1B"/>
          <w:shd w:val="clear" w:color="auto" w:fill="FFFFFF"/>
        </w:rPr>
        <w:t xml:space="preserve"> P, </w:t>
      </w:r>
      <w:proofErr w:type="spellStart"/>
      <w:r w:rsidRPr="004554AB">
        <w:rPr>
          <w:rFonts w:ascii="Arial" w:eastAsia="Times New Roman" w:hAnsi="Arial" w:cs="Arial"/>
          <w:color w:val="1B1B1B"/>
          <w:shd w:val="clear" w:color="auto" w:fill="FFFFFF"/>
        </w:rPr>
        <w:t>Musukuma</w:t>
      </w:r>
      <w:proofErr w:type="spellEnd"/>
      <w:r w:rsidRPr="004554AB">
        <w:rPr>
          <w:rFonts w:ascii="Arial" w:eastAsia="Times New Roman" w:hAnsi="Arial" w:cs="Arial"/>
          <w:color w:val="1B1B1B"/>
          <w:shd w:val="clear" w:color="auto" w:fill="FFFFFF"/>
        </w:rPr>
        <w:t xml:space="preserve"> M, </w:t>
      </w:r>
      <w:proofErr w:type="spellStart"/>
      <w:r w:rsidRPr="004554AB">
        <w:rPr>
          <w:rFonts w:ascii="Arial" w:eastAsia="Times New Roman" w:hAnsi="Arial" w:cs="Arial"/>
          <w:color w:val="1B1B1B"/>
          <w:shd w:val="clear" w:color="auto" w:fill="FFFFFF"/>
        </w:rPr>
        <w:t>Phiri</w:t>
      </w:r>
      <w:proofErr w:type="spellEnd"/>
      <w:r w:rsidRPr="004554AB">
        <w:rPr>
          <w:rFonts w:ascii="Arial" w:eastAsia="Times New Roman" w:hAnsi="Arial" w:cs="Arial"/>
          <w:color w:val="1B1B1B"/>
          <w:shd w:val="clear" w:color="auto" w:fill="FFFFFF"/>
        </w:rPr>
        <w:t xml:space="preserve"> H, </w:t>
      </w:r>
      <w:proofErr w:type="spellStart"/>
      <w:r w:rsidRPr="004554AB">
        <w:rPr>
          <w:rFonts w:ascii="Arial" w:eastAsia="Times New Roman" w:hAnsi="Arial" w:cs="Arial"/>
          <w:color w:val="1B1B1B"/>
          <w:shd w:val="clear" w:color="auto" w:fill="FFFFFF"/>
        </w:rPr>
        <w:t>Halwiindi</w:t>
      </w:r>
      <w:proofErr w:type="spellEnd"/>
      <w:r w:rsidRPr="004554AB">
        <w:rPr>
          <w:rFonts w:ascii="Arial" w:eastAsia="Times New Roman" w:hAnsi="Arial" w:cs="Arial"/>
          <w:color w:val="1B1B1B"/>
          <w:shd w:val="clear" w:color="auto" w:fill="FFFFFF"/>
        </w:rPr>
        <w:t xml:space="preserve"> H. The effects of decentralisation on patient and service outcomes: a case of the 2018 decentralisation of </w:t>
      </w:r>
      <w:proofErr w:type="spellStart"/>
      <w:r w:rsidRPr="004554AB">
        <w:rPr>
          <w:rFonts w:ascii="Arial" w:eastAsia="Times New Roman" w:hAnsi="Arial" w:cs="Arial"/>
          <w:color w:val="1B1B1B"/>
          <w:shd w:val="clear" w:color="auto" w:fill="FFFFFF"/>
        </w:rPr>
        <w:t>multidrug-resistant</w:t>
      </w:r>
      <w:proofErr w:type="spellEnd"/>
      <w:r w:rsidRPr="004554AB">
        <w:rPr>
          <w:rFonts w:ascii="Arial" w:eastAsia="Times New Roman" w:hAnsi="Arial" w:cs="Arial"/>
          <w:color w:val="1B1B1B"/>
          <w:shd w:val="clear" w:color="auto" w:fill="FFFFFF"/>
        </w:rPr>
        <w:t xml:space="preserve"> tuberculosis in Zambia. Arch Public Health. 2025 Jul 24;83(1):193. </w:t>
      </w:r>
      <w:proofErr w:type="spellStart"/>
      <w:r w:rsidRPr="004554AB">
        <w:rPr>
          <w:rFonts w:ascii="Arial" w:eastAsia="Times New Roman" w:hAnsi="Arial" w:cs="Arial"/>
          <w:color w:val="1B1B1B"/>
          <w:shd w:val="clear" w:color="auto" w:fill="FFFFFF"/>
        </w:rPr>
        <w:t>doi</w:t>
      </w:r>
      <w:proofErr w:type="spellEnd"/>
      <w:r w:rsidRPr="004554AB">
        <w:rPr>
          <w:rFonts w:ascii="Arial" w:eastAsia="Times New Roman" w:hAnsi="Arial" w:cs="Arial"/>
          <w:color w:val="1B1B1B"/>
          <w:shd w:val="clear" w:color="auto" w:fill="FFFFFF"/>
        </w:rPr>
        <w:t>: 10.1186/s13690-025-01672-7. PMID: 40707989; PMCID: PMC12288269.</w:t>
      </w:r>
    </w:p>
    <w:p w14:paraId="580CACF7" w14:textId="0F3A6A2E"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 xml:space="preserve">Mumford, V. et al. (2024) ‘Measuring harm from medication errors’, British Journal of Clinical Pharmacology, 90(7), pp. 1615–1626. </w:t>
      </w:r>
      <w:hyperlink r:id="rId29" w:history="1">
        <w:r w:rsidR="00634C90" w:rsidRPr="004554AB">
          <w:rPr>
            <w:rStyle w:val="Hyperlink"/>
            <w:rFonts w:ascii="Arial" w:eastAsia="Arial" w:hAnsi="Arial" w:cs="Arial"/>
            <w:color w:val="000000" w:themeColor="text1"/>
          </w:rPr>
          <w:t>https://doi.org/10.1111/bcp.16052</w:t>
        </w:r>
      </w:hyperlink>
      <w:r w:rsidR="00634C90" w:rsidRPr="004554AB">
        <w:rPr>
          <w:rFonts w:ascii="Arial" w:eastAsia="Arial" w:hAnsi="Arial" w:cs="Arial"/>
          <w:color w:val="000000" w:themeColor="text1"/>
        </w:rPr>
        <w:t xml:space="preserve"> </w:t>
      </w:r>
      <w:r w:rsidR="00634C90" w:rsidRPr="004554AB">
        <w:rPr>
          <w:rStyle w:val="s1"/>
          <w:rFonts w:ascii="Arial" w:hAnsi="Arial" w:cs="Arial"/>
          <w:color w:val="000000" w:themeColor="text1"/>
        </w:rPr>
        <w:t>(Accessed : 20 April 2026</w:t>
      </w:r>
      <w:r w:rsidR="000C3530" w:rsidRPr="004554AB">
        <w:rPr>
          <w:rFonts w:ascii="Arial" w:eastAsia="Arial" w:hAnsi="Arial" w:cs="Arial"/>
          <w:color w:val="000000" w:themeColor="text1"/>
        </w:rPr>
        <w:t xml:space="preserve">) </w:t>
      </w:r>
    </w:p>
    <w:p w14:paraId="3FDC015E" w14:textId="0994EAAB"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 xml:space="preserve">Murray, M. and Cope, V. (2021) ‘Leadership and patient safety’, Collegian, 28(6), pp. 604–609. </w:t>
      </w:r>
      <w:hyperlink r:id="rId30" w:history="1">
        <w:r w:rsidR="00220295" w:rsidRPr="004554AB">
          <w:rPr>
            <w:rStyle w:val="Hyperlink"/>
            <w:rFonts w:ascii="Arial" w:eastAsia="Arial" w:hAnsi="Arial" w:cs="Arial"/>
            <w:color w:val="000000" w:themeColor="text1"/>
          </w:rPr>
          <w:t>https://doi.org/10.1016/j.colegn.2021.07.004</w:t>
        </w:r>
      </w:hyperlink>
      <w:r w:rsidR="00220295" w:rsidRPr="004554AB">
        <w:rPr>
          <w:rFonts w:ascii="Arial" w:eastAsia="Arial" w:hAnsi="Arial" w:cs="Arial"/>
          <w:color w:val="000000" w:themeColor="text1"/>
        </w:rPr>
        <w:t xml:space="preserve"> (Accessed: 21 April 2026)</w:t>
      </w:r>
    </w:p>
    <w:p w14:paraId="29D06904" w14:textId="748C8A62"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NHS England (2019) The NHS Patient Safety Strategy</w:t>
      </w:r>
      <w:r w:rsidR="0021522F" w:rsidRPr="004554AB">
        <w:rPr>
          <w:rFonts w:ascii="Arial" w:eastAsia="Arial" w:hAnsi="Arial" w:cs="Arial"/>
          <w:color w:val="000000" w:themeColor="text1"/>
        </w:rPr>
        <w:t xml:space="preserve"> </w:t>
      </w:r>
      <w:r w:rsidRPr="004554AB">
        <w:rPr>
          <w:rFonts w:ascii="Arial" w:eastAsia="Arial" w:hAnsi="Arial" w:cs="Arial"/>
          <w:color w:val="000000" w:themeColor="text1"/>
        </w:rPr>
        <w:t xml:space="preserve">Available at: </w:t>
      </w:r>
      <w:hyperlink r:id="rId31">
        <w:r w:rsidRPr="004554AB">
          <w:rPr>
            <w:rStyle w:val="Hyperlink"/>
            <w:rFonts w:ascii="Arial" w:eastAsia="Arial" w:hAnsi="Arial" w:cs="Arial"/>
            <w:color w:val="000000" w:themeColor="text1"/>
          </w:rPr>
          <w:t>https://www.england.nhs.uk</w:t>
        </w:r>
      </w:hyperlink>
      <w:r w:rsidR="00CE5C06" w:rsidRPr="004554AB">
        <w:rPr>
          <w:rFonts w:ascii="Arial" w:hAnsi="Arial" w:cs="Arial"/>
          <w:color w:val="000000" w:themeColor="text1"/>
        </w:rPr>
        <w:t xml:space="preserve"> (Accessed: </w:t>
      </w:r>
      <w:r w:rsidR="00CE4430" w:rsidRPr="004554AB">
        <w:rPr>
          <w:rFonts w:ascii="Arial" w:hAnsi="Arial" w:cs="Arial"/>
          <w:color w:val="000000" w:themeColor="text1"/>
        </w:rPr>
        <w:t>21 April 2026)</w:t>
      </w:r>
    </w:p>
    <w:p w14:paraId="4F151FB9" w14:textId="7113B2C3"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 xml:space="preserve">NICE (2016) Controlled drugs: safe use and management (NG46). Available at: </w:t>
      </w:r>
      <w:hyperlink r:id="rId32" w:history="1">
        <w:r w:rsidR="00CE4430" w:rsidRPr="004554AB">
          <w:rPr>
            <w:rStyle w:val="Hyperlink"/>
            <w:rFonts w:ascii="Arial" w:eastAsia="Arial" w:hAnsi="Arial" w:cs="Arial"/>
            <w:color w:val="000000" w:themeColor="text1"/>
          </w:rPr>
          <w:t>https://www.nice.org.uk/guidance/ng46</w:t>
        </w:r>
      </w:hyperlink>
      <w:r w:rsidR="00CE4430" w:rsidRPr="004554AB">
        <w:rPr>
          <w:rFonts w:ascii="Arial" w:eastAsia="Arial" w:hAnsi="Arial" w:cs="Arial"/>
          <w:color w:val="000000" w:themeColor="text1"/>
        </w:rPr>
        <w:t xml:space="preserve"> (Accessed: 21 April 2026)</w:t>
      </w:r>
    </w:p>
    <w:p w14:paraId="4647FB0B" w14:textId="16BDB3F8" w:rsidR="00BB7F3B" w:rsidRPr="004554AB" w:rsidRDefault="00BB7F3B" w:rsidP="004554AB">
      <w:pPr>
        <w:pStyle w:val="p1"/>
        <w:spacing w:line="276" w:lineRule="auto"/>
        <w:jc w:val="both"/>
        <w:rPr>
          <w:rStyle w:val="s1"/>
          <w:rFonts w:ascii="Arial" w:hAnsi="Arial" w:cs="Arial"/>
          <w:color w:val="000000" w:themeColor="text1"/>
        </w:rPr>
      </w:pPr>
      <w:r w:rsidRPr="004554AB">
        <w:rPr>
          <w:rFonts w:ascii="Arial" w:hAnsi="Arial" w:cs="Arial"/>
          <w:color w:val="000000" w:themeColor="text1"/>
        </w:rPr>
        <w:t xml:space="preserve">OECD (2020) </w:t>
      </w:r>
      <w:r w:rsidRPr="004554AB">
        <w:rPr>
          <w:rStyle w:val="s2"/>
          <w:rFonts w:ascii="Arial" w:hAnsi="Arial" w:cs="Arial"/>
          <w:i/>
          <w:iCs/>
          <w:color w:val="000000" w:themeColor="text1"/>
        </w:rPr>
        <w:t>System governance towards improved patient safety</w:t>
      </w:r>
      <w:r w:rsidRPr="004554AB">
        <w:rPr>
          <w:rStyle w:val="s1"/>
          <w:rFonts w:ascii="Arial" w:hAnsi="Arial" w:cs="Arial"/>
          <w:color w:val="000000" w:themeColor="text1"/>
        </w:rPr>
        <w:t xml:space="preserve">. Paris: OECD. Available at: </w:t>
      </w:r>
      <w:hyperlink r:id="rId33" w:history="1">
        <w:r w:rsidR="00B21648" w:rsidRPr="004554AB">
          <w:rPr>
            <w:rStyle w:val="Hyperlink"/>
            <w:rFonts w:ascii="Arial" w:hAnsi="Arial" w:cs="Arial"/>
            <w:color w:val="000000" w:themeColor="text1"/>
          </w:rPr>
          <w:t>https://doi.org/10.1787/2abdd834-en</w:t>
        </w:r>
      </w:hyperlink>
      <w:r w:rsidR="00B21648" w:rsidRPr="004554AB">
        <w:rPr>
          <w:rStyle w:val="s1"/>
          <w:rFonts w:ascii="Arial" w:hAnsi="Arial" w:cs="Arial"/>
          <w:color w:val="000000" w:themeColor="text1"/>
        </w:rPr>
        <w:t xml:space="preserve"> </w:t>
      </w:r>
      <w:r w:rsidR="00B019F1" w:rsidRPr="004554AB">
        <w:rPr>
          <w:rStyle w:val="s1"/>
          <w:rFonts w:ascii="Arial" w:hAnsi="Arial" w:cs="Arial"/>
          <w:color w:val="000000" w:themeColor="text1"/>
        </w:rPr>
        <w:t>(Accessed : 20 April 2026)</w:t>
      </w:r>
    </w:p>
    <w:p w14:paraId="10FC65A5" w14:textId="25BDC029" w:rsidR="00BB7F3B" w:rsidRPr="004554AB" w:rsidRDefault="00F74B19" w:rsidP="004554AB">
      <w:pPr>
        <w:pStyle w:val="p1"/>
        <w:spacing w:line="276" w:lineRule="auto"/>
        <w:jc w:val="both"/>
        <w:rPr>
          <w:rFonts w:ascii="Arial" w:hAnsi="Arial" w:cs="Arial"/>
          <w:color w:val="000000" w:themeColor="text1"/>
        </w:rPr>
      </w:pPr>
      <w:r w:rsidRPr="004554AB">
        <w:rPr>
          <w:rFonts w:ascii="Arial" w:hAnsi="Arial" w:cs="Arial"/>
          <w:color w:val="000000" w:themeColor="text1"/>
        </w:rPr>
        <w:lastRenderedPageBreak/>
        <w:t xml:space="preserve">Panda, B. and Thakur, H.P. (2016) ‘Decentralization and health system performance’, </w:t>
      </w:r>
      <w:r w:rsidRPr="004554AB">
        <w:rPr>
          <w:rStyle w:val="s2"/>
          <w:rFonts w:ascii="Arial" w:hAnsi="Arial" w:cs="Arial"/>
          <w:i/>
          <w:iCs/>
          <w:color w:val="000000" w:themeColor="text1"/>
        </w:rPr>
        <w:t>BMC Health Services Research</w:t>
      </w:r>
      <w:r w:rsidRPr="004554AB">
        <w:rPr>
          <w:rStyle w:val="s1"/>
          <w:rFonts w:ascii="Arial" w:hAnsi="Arial" w:cs="Arial"/>
          <w:color w:val="000000" w:themeColor="text1"/>
        </w:rPr>
        <w:t>, 16(</w:t>
      </w:r>
      <w:proofErr w:type="spellStart"/>
      <w:r w:rsidRPr="004554AB">
        <w:rPr>
          <w:rStyle w:val="s1"/>
          <w:rFonts w:ascii="Arial" w:hAnsi="Arial" w:cs="Arial"/>
          <w:color w:val="000000" w:themeColor="text1"/>
        </w:rPr>
        <w:t>Suppl</w:t>
      </w:r>
      <w:proofErr w:type="spellEnd"/>
      <w:r w:rsidRPr="004554AB">
        <w:rPr>
          <w:rStyle w:val="s1"/>
          <w:rFonts w:ascii="Arial" w:hAnsi="Arial" w:cs="Arial"/>
          <w:color w:val="000000" w:themeColor="text1"/>
        </w:rPr>
        <w:t xml:space="preserve"> 6), p. 561. Available at: </w:t>
      </w:r>
      <w:hyperlink r:id="rId34" w:history="1">
        <w:r w:rsidR="008E6F89" w:rsidRPr="004554AB">
          <w:rPr>
            <w:rStyle w:val="Hyperlink"/>
            <w:rFonts w:ascii="Arial" w:hAnsi="Arial" w:cs="Arial"/>
            <w:color w:val="000000" w:themeColor="text1"/>
          </w:rPr>
          <w:t>https://doi.org/10.1186/s12913-016-1784-9</w:t>
        </w:r>
      </w:hyperlink>
      <w:r w:rsidR="008E6F89" w:rsidRPr="004554AB">
        <w:rPr>
          <w:rStyle w:val="s1"/>
          <w:rFonts w:ascii="Arial" w:hAnsi="Arial" w:cs="Arial"/>
          <w:color w:val="000000" w:themeColor="text1"/>
        </w:rPr>
        <w:t xml:space="preserve"> </w:t>
      </w:r>
      <w:r w:rsidR="00DB76BA" w:rsidRPr="004554AB">
        <w:rPr>
          <w:rStyle w:val="s1"/>
          <w:rFonts w:ascii="Arial" w:hAnsi="Arial" w:cs="Arial"/>
          <w:color w:val="000000" w:themeColor="text1"/>
        </w:rPr>
        <w:t>(Accessed : 20 April 2026</w:t>
      </w:r>
      <w:r w:rsidR="000704F8" w:rsidRPr="004554AB">
        <w:rPr>
          <w:rStyle w:val="s1"/>
          <w:rFonts w:ascii="Arial" w:hAnsi="Arial" w:cs="Arial"/>
          <w:color w:val="000000" w:themeColor="text1"/>
        </w:rPr>
        <w:t xml:space="preserve">) </w:t>
      </w:r>
    </w:p>
    <w:p w14:paraId="52B26794" w14:textId="74CC2E7C" w:rsidR="00503724"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 xml:space="preserve">Reason, J. (2000) ‘Human error: models and management’, BMJ, 320(7237), pp. 768–770. </w:t>
      </w:r>
      <w:hyperlink r:id="rId35" w:history="1">
        <w:r w:rsidR="007D56D6" w:rsidRPr="004554AB">
          <w:rPr>
            <w:rStyle w:val="Hyperlink"/>
            <w:rFonts w:ascii="Arial" w:eastAsia="Arial" w:hAnsi="Arial" w:cs="Arial"/>
            <w:color w:val="000000" w:themeColor="text1"/>
          </w:rPr>
          <w:t>https://doi.org/10.1136/bmj.320.7237.768</w:t>
        </w:r>
      </w:hyperlink>
      <w:r w:rsidR="007D56D6" w:rsidRPr="004554AB">
        <w:rPr>
          <w:rFonts w:ascii="Arial" w:eastAsia="Arial" w:hAnsi="Arial" w:cs="Arial"/>
          <w:color w:val="000000" w:themeColor="text1"/>
        </w:rPr>
        <w:t xml:space="preserve"> (Accessed:2</w:t>
      </w:r>
      <w:r w:rsidR="006B11E0" w:rsidRPr="004554AB">
        <w:rPr>
          <w:rFonts w:ascii="Arial" w:eastAsia="Arial" w:hAnsi="Arial" w:cs="Arial"/>
          <w:color w:val="000000" w:themeColor="text1"/>
        </w:rPr>
        <w:t xml:space="preserve">2 April 2026) </w:t>
      </w:r>
    </w:p>
    <w:p w14:paraId="319E7313" w14:textId="689286B6" w:rsidR="0016578B" w:rsidRPr="004554AB" w:rsidRDefault="00406F1C" w:rsidP="004554AB">
      <w:pPr>
        <w:pStyle w:val="p1"/>
        <w:spacing w:line="276" w:lineRule="auto"/>
        <w:jc w:val="both"/>
        <w:rPr>
          <w:rFonts w:ascii="Arial" w:eastAsia="Arial" w:hAnsi="Arial" w:cs="Arial"/>
          <w:color w:val="000000" w:themeColor="text1"/>
        </w:rPr>
      </w:pPr>
      <w:proofErr w:type="spellStart"/>
      <w:r w:rsidRPr="004554AB">
        <w:rPr>
          <w:rFonts w:ascii="Arial" w:eastAsia="Arial" w:hAnsi="Arial" w:cs="Arial"/>
          <w:color w:val="000000" w:themeColor="text1"/>
        </w:rPr>
        <w:t>Scarffe</w:t>
      </w:r>
      <w:proofErr w:type="spellEnd"/>
      <w:r w:rsidRPr="004554AB">
        <w:rPr>
          <w:rFonts w:ascii="Arial" w:eastAsia="Arial" w:hAnsi="Arial" w:cs="Arial"/>
          <w:color w:val="000000" w:themeColor="text1"/>
        </w:rPr>
        <w:t xml:space="preserve">, A.D., Coates, A., Evans, J.M. and </w:t>
      </w:r>
      <w:proofErr w:type="spellStart"/>
      <w:r w:rsidRPr="004554AB">
        <w:rPr>
          <w:rFonts w:ascii="Arial" w:eastAsia="Arial" w:hAnsi="Arial" w:cs="Arial"/>
          <w:color w:val="000000" w:themeColor="text1"/>
        </w:rPr>
        <w:t>Grudniewicz</w:t>
      </w:r>
      <w:proofErr w:type="spellEnd"/>
      <w:r w:rsidRPr="004554AB">
        <w:rPr>
          <w:rFonts w:ascii="Arial" w:eastAsia="Arial" w:hAnsi="Arial" w:cs="Arial"/>
          <w:color w:val="000000" w:themeColor="text1"/>
        </w:rPr>
        <w:t>, A. (2022). Centralisation and innovation in healthcare. International Journal of Health Planning and Management, 37(5), pp. 2534–2541.</w:t>
      </w:r>
    </w:p>
    <w:p w14:paraId="2C1AD704" w14:textId="55152770" w:rsidR="0054212C" w:rsidRPr="004554AB" w:rsidRDefault="257F97C1" w:rsidP="004554AB">
      <w:pPr>
        <w:pStyle w:val="p1"/>
        <w:spacing w:line="276" w:lineRule="auto"/>
        <w:jc w:val="both"/>
        <w:rPr>
          <w:rFonts w:ascii="Arial" w:eastAsia="Arial" w:hAnsi="Arial" w:cs="Arial"/>
          <w:color w:val="000000" w:themeColor="text1"/>
        </w:rPr>
      </w:pPr>
      <w:r w:rsidRPr="004554AB">
        <w:rPr>
          <w:rFonts w:ascii="Arial" w:eastAsia="Arial" w:hAnsi="Arial" w:cs="Arial"/>
          <w:color w:val="000000" w:themeColor="text1"/>
        </w:rPr>
        <w:t xml:space="preserve">Stevens, E.L. et al. (2023) ‘Systems approach to medication administration’, Applied Ergonomics, 110, p. 104000. </w:t>
      </w:r>
      <w:hyperlink r:id="rId36" w:history="1">
        <w:r w:rsidR="006B11E0" w:rsidRPr="004554AB">
          <w:rPr>
            <w:rStyle w:val="Hyperlink"/>
            <w:rFonts w:ascii="Arial" w:eastAsia="Arial" w:hAnsi="Arial" w:cs="Arial"/>
            <w:color w:val="000000" w:themeColor="text1"/>
          </w:rPr>
          <w:t>https://doi.org/10.1016/j.apergo.2023.104000</w:t>
        </w:r>
      </w:hyperlink>
      <w:r w:rsidR="006B11E0" w:rsidRPr="004554AB">
        <w:rPr>
          <w:rFonts w:ascii="Arial" w:eastAsia="Arial" w:hAnsi="Arial" w:cs="Arial"/>
          <w:color w:val="000000" w:themeColor="text1"/>
        </w:rPr>
        <w:t xml:space="preserve"> </w:t>
      </w:r>
      <w:r w:rsidR="00A9003F" w:rsidRPr="004554AB">
        <w:rPr>
          <w:rFonts w:ascii="Arial" w:eastAsia="Arial" w:hAnsi="Arial" w:cs="Arial"/>
          <w:color w:val="000000" w:themeColor="text1"/>
        </w:rPr>
        <w:t>(Accessed: 20 April 2026)</w:t>
      </w:r>
    </w:p>
    <w:p w14:paraId="667C0DB9" w14:textId="77DA3095" w:rsidR="00503724" w:rsidRPr="004554AB" w:rsidRDefault="249E0CE3" w:rsidP="004554AB">
      <w:pPr>
        <w:spacing w:before="240" w:after="240" w:line="276" w:lineRule="auto"/>
        <w:jc w:val="both"/>
        <w:rPr>
          <w:rFonts w:ascii="Arial" w:hAnsi="Arial" w:cs="Arial"/>
          <w:color w:val="000000" w:themeColor="text1"/>
        </w:rPr>
      </w:pPr>
      <w:r w:rsidRPr="004554AB">
        <w:rPr>
          <w:rFonts w:ascii="Arial" w:hAnsi="Arial" w:cs="Arial"/>
          <w:color w:val="000000" w:themeColor="text1"/>
        </w:rPr>
        <w:t xml:space="preserve">Taheri Moghadam, S., Sadoughi, F., Velayati, F. et al. (2021) ‘The effects of clinical decision support systems for prescribing medication on patient outcomes and physician practice performance: A systematic review and meta-analysis’, </w:t>
      </w:r>
      <w:r w:rsidRPr="004554AB">
        <w:rPr>
          <w:rFonts w:ascii="Arial" w:hAnsi="Arial" w:cs="Arial"/>
          <w:i/>
          <w:iCs/>
          <w:color w:val="000000" w:themeColor="text1"/>
        </w:rPr>
        <w:t>BMC Medical Informatics and Decision Making</w:t>
      </w:r>
      <w:r w:rsidRPr="004554AB">
        <w:rPr>
          <w:rFonts w:ascii="Arial" w:hAnsi="Arial" w:cs="Arial"/>
          <w:color w:val="000000" w:themeColor="text1"/>
        </w:rPr>
        <w:t xml:space="preserve">, 21, p. 98. </w:t>
      </w:r>
      <w:hyperlink r:id="rId37">
        <w:r w:rsidRPr="004554AB">
          <w:rPr>
            <w:rStyle w:val="Hyperlink"/>
            <w:rFonts w:ascii="Arial" w:hAnsi="Arial" w:cs="Arial"/>
            <w:color w:val="000000" w:themeColor="text1"/>
          </w:rPr>
          <w:t>https://doi.org/10.1186/s12911-020-01376-8</w:t>
        </w:r>
      </w:hyperlink>
      <w:r w:rsidR="00EE3CBB" w:rsidRPr="004554AB">
        <w:rPr>
          <w:rFonts w:ascii="Arial" w:hAnsi="Arial" w:cs="Arial"/>
          <w:color w:val="000000" w:themeColor="text1"/>
        </w:rPr>
        <w:t xml:space="preserve"> </w:t>
      </w:r>
      <w:r w:rsidR="002E3AD2" w:rsidRPr="004554AB">
        <w:rPr>
          <w:rFonts w:ascii="Arial" w:hAnsi="Arial" w:cs="Arial"/>
          <w:color w:val="000000" w:themeColor="text1"/>
        </w:rPr>
        <w:t xml:space="preserve"> </w:t>
      </w:r>
      <w:r w:rsidR="002E3AD2" w:rsidRPr="004554AB">
        <w:rPr>
          <w:rStyle w:val="s1"/>
          <w:rFonts w:ascii="Arial" w:hAnsi="Arial" w:cs="Arial"/>
          <w:color w:val="000000" w:themeColor="text1"/>
        </w:rPr>
        <w:t xml:space="preserve">(Accessed : 20 April 2026) </w:t>
      </w:r>
    </w:p>
    <w:p w14:paraId="73967D09" w14:textId="040168AC" w:rsidR="00570755" w:rsidRPr="004554AB" w:rsidRDefault="00570755" w:rsidP="004554AB">
      <w:pPr>
        <w:pStyle w:val="p1"/>
        <w:spacing w:line="276" w:lineRule="auto"/>
        <w:jc w:val="both"/>
        <w:rPr>
          <w:rFonts w:ascii="Arial" w:hAnsi="Arial" w:cs="Arial"/>
          <w:color w:val="000000" w:themeColor="text1"/>
        </w:rPr>
      </w:pPr>
      <w:r w:rsidRPr="004554AB">
        <w:rPr>
          <w:rFonts w:ascii="Arial" w:hAnsi="Arial" w:cs="Arial"/>
          <w:color w:val="000000" w:themeColor="text1"/>
        </w:rPr>
        <w:t xml:space="preserve">Waller, S. (2025) ‘Medication safety standards and WHO challenge’, </w:t>
      </w:r>
      <w:r w:rsidRPr="004554AB">
        <w:rPr>
          <w:rStyle w:val="s2"/>
          <w:rFonts w:ascii="Arial" w:hAnsi="Arial" w:cs="Arial"/>
          <w:i/>
          <w:iCs/>
          <w:color w:val="000000" w:themeColor="text1"/>
        </w:rPr>
        <w:t>Journal of Pharmacy Practice and Research</w:t>
      </w:r>
      <w:r w:rsidRPr="004554AB">
        <w:rPr>
          <w:rStyle w:val="s1"/>
          <w:rFonts w:ascii="Arial" w:hAnsi="Arial" w:cs="Arial"/>
          <w:color w:val="000000" w:themeColor="text1"/>
        </w:rPr>
        <w:t>. Available at: https://doi.org/10.1002/jppr.70040</w:t>
      </w:r>
    </w:p>
    <w:p w14:paraId="6CA15403" w14:textId="3F5EFFB8" w:rsidR="00503724" w:rsidRPr="004554AB" w:rsidRDefault="249E0CE3" w:rsidP="004554AB">
      <w:pPr>
        <w:spacing w:before="240" w:after="240" w:line="276" w:lineRule="auto"/>
        <w:jc w:val="both"/>
        <w:rPr>
          <w:rFonts w:ascii="Arial" w:hAnsi="Arial" w:cs="Arial"/>
          <w:color w:val="000000" w:themeColor="text1"/>
        </w:rPr>
      </w:pPr>
      <w:r w:rsidRPr="004554AB">
        <w:rPr>
          <w:rFonts w:ascii="Arial" w:hAnsi="Arial" w:cs="Arial"/>
          <w:color w:val="000000" w:themeColor="text1"/>
        </w:rPr>
        <w:t xml:space="preserve">West, M., Armit, K., Loewenthal, L., Eckert, R., West, T. and Lee, A. (2015) </w:t>
      </w:r>
      <w:r w:rsidRPr="004554AB">
        <w:rPr>
          <w:rFonts w:ascii="Arial" w:hAnsi="Arial" w:cs="Arial"/>
          <w:i/>
          <w:iCs/>
          <w:color w:val="000000" w:themeColor="text1"/>
        </w:rPr>
        <w:t>Leadership in Health Care: A Summary of the Evidence Base</w:t>
      </w:r>
      <w:r w:rsidRPr="004554AB">
        <w:rPr>
          <w:rFonts w:ascii="Arial" w:hAnsi="Arial" w:cs="Arial"/>
          <w:color w:val="000000" w:themeColor="text1"/>
        </w:rPr>
        <w:t xml:space="preserve">. London: The King’s Fund. Available at: </w:t>
      </w:r>
      <w:hyperlink r:id="rId38">
        <w:r w:rsidRPr="004554AB">
          <w:rPr>
            <w:rStyle w:val="Hyperlink"/>
            <w:rFonts w:ascii="Arial" w:hAnsi="Arial" w:cs="Arial"/>
            <w:color w:val="000000" w:themeColor="text1"/>
          </w:rPr>
          <w:t>https://www.kingsfund.org.uk</w:t>
        </w:r>
      </w:hyperlink>
      <w:r w:rsidR="00E62214" w:rsidRPr="004554AB">
        <w:rPr>
          <w:rFonts w:ascii="Arial" w:hAnsi="Arial" w:cs="Arial"/>
          <w:color w:val="000000" w:themeColor="text1"/>
        </w:rPr>
        <w:t xml:space="preserve"> (Accessed: 20 April 2026)</w:t>
      </w:r>
    </w:p>
    <w:p w14:paraId="02684F64" w14:textId="3EC09755" w:rsidR="00503724" w:rsidRPr="004554AB" w:rsidRDefault="249E0CE3" w:rsidP="004554AB">
      <w:pPr>
        <w:spacing w:before="240" w:after="240" w:line="276" w:lineRule="auto"/>
        <w:jc w:val="both"/>
        <w:rPr>
          <w:rFonts w:ascii="Arial" w:hAnsi="Arial" w:cs="Arial"/>
          <w:color w:val="000000" w:themeColor="text1"/>
        </w:rPr>
      </w:pPr>
      <w:r w:rsidRPr="004554AB">
        <w:rPr>
          <w:rFonts w:ascii="Arial" w:hAnsi="Arial" w:cs="Arial"/>
          <w:color w:val="000000" w:themeColor="text1"/>
        </w:rPr>
        <w:t xml:space="preserve">World Health Organization (2017) </w:t>
      </w:r>
      <w:r w:rsidRPr="004554AB">
        <w:rPr>
          <w:rFonts w:ascii="Arial" w:hAnsi="Arial" w:cs="Arial"/>
          <w:i/>
          <w:iCs/>
          <w:color w:val="000000" w:themeColor="text1"/>
        </w:rPr>
        <w:t>Medication Without Harm</w:t>
      </w:r>
      <w:r w:rsidRPr="004554AB">
        <w:rPr>
          <w:rFonts w:ascii="Arial" w:hAnsi="Arial" w:cs="Arial"/>
          <w:color w:val="000000" w:themeColor="text1"/>
        </w:rPr>
        <w:t xml:space="preserve">. Geneva: WHO. Available at: </w:t>
      </w:r>
      <w:hyperlink r:id="rId39">
        <w:r w:rsidRPr="004554AB">
          <w:rPr>
            <w:rStyle w:val="Hyperlink"/>
            <w:rFonts w:ascii="Arial" w:hAnsi="Arial" w:cs="Arial"/>
            <w:color w:val="000000" w:themeColor="text1"/>
          </w:rPr>
          <w:t>https://www.who.int/publications/i/item/WHO-HIS-SDS-2017.6</w:t>
        </w:r>
      </w:hyperlink>
      <w:r w:rsidR="00D06555" w:rsidRPr="004554AB">
        <w:rPr>
          <w:rFonts w:ascii="Arial" w:hAnsi="Arial" w:cs="Arial"/>
          <w:color w:val="000000" w:themeColor="text1"/>
        </w:rPr>
        <w:t xml:space="preserve"> (Accessed: 20 April 2026)</w:t>
      </w:r>
    </w:p>
    <w:p w14:paraId="1D1FADEA" w14:textId="1E2C4D04" w:rsidR="00503724" w:rsidRPr="004554AB" w:rsidRDefault="249E0CE3" w:rsidP="004554AB">
      <w:pPr>
        <w:spacing w:before="240" w:after="240" w:line="276" w:lineRule="auto"/>
        <w:jc w:val="both"/>
        <w:rPr>
          <w:rFonts w:ascii="Arial" w:hAnsi="Arial" w:cs="Arial"/>
          <w:color w:val="000000" w:themeColor="text1"/>
        </w:rPr>
      </w:pPr>
      <w:r w:rsidRPr="004554AB">
        <w:rPr>
          <w:rFonts w:ascii="Arial" w:hAnsi="Arial" w:cs="Arial"/>
          <w:color w:val="000000" w:themeColor="text1"/>
        </w:rPr>
        <w:t xml:space="preserve">World Health Organization (2019) </w:t>
      </w:r>
      <w:r w:rsidRPr="004554AB">
        <w:rPr>
          <w:rFonts w:ascii="Arial" w:hAnsi="Arial" w:cs="Arial"/>
          <w:i/>
          <w:iCs/>
          <w:color w:val="000000" w:themeColor="text1"/>
        </w:rPr>
        <w:t>Medication Safety in Polypharmacy</w:t>
      </w:r>
      <w:r w:rsidRPr="004554AB">
        <w:rPr>
          <w:rFonts w:ascii="Arial" w:hAnsi="Arial" w:cs="Arial"/>
          <w:color w:val="000000" w:themeColor="text1"/>
        </w:rPr>
        <w:t>. Geneva: WHO.</w:t>
      </w:r>
    </w:p>
    <w:p w14:paraId="2489656F" w14:textId="32BAAFD6" w:rsidR="00503724" w:rsidRPr="004554AB" w:rsidRDefault="249E0CE3" w:rsidP="004554AB">
      <w:pPr>
        <w:spacing w:before="240" w:after="240" w:line="276" w:lineRule="auto"/>
        <w:jc w:val="both"/>
        <w:rPr>
          <w:rFonts w:ascii="Arial" w:hAnsi="Arial" w:cs="Arial"/>
          <w:color w:val="000000" w:themeColor="text1"/>
        </w:rPr>
      </w:pPr>
      <w:r w:rsidRPr="004554AB">
        <w:rPr>
          <w:rFonts w:ascii="Arial" w:hAnsi="Arial" w:cs="Arial"/>
          <w:color w:val="000000" w:themeColor="text1"/>
        </w:rPr>
        <w:t xml:space="preserve">World Health Organization (2023) </w:t>
      </w:r>
      <w:r w:rsidRPr="004554AB">
        <w:rPr>
          <w:rFonts w:ascii="Arial" w:hAnsi="Arial" w:cs="Arial"/>
          <w:i/>
          <w:iCs/>
          <w:color w:val="000000" w:themeColor="text1"/>
        </w:rPr>
        <w:t>Patient safety</w:t>
      </w:r>
      <w:r w:rsidRPr="004554AB">
        <w:rPr>
          <w:rFonts w:ascii="Arial" w:hAnsi="Arial" w:cs="Arial"/>
          <w:color w:val="000000" w:themeColor="text1"/>
        </w:rPr>
        <w:t xml:space="preserve">. Available at: </w:t>
      </w:r>
      <w:hyperlink r:id="rId40">
        <w:r w:rsidRPr="004554AB">
          <w:rPr>
            <w:rStyle w:val="Hyperlink"/>
            <w:rFonts w:ascii="Arial" w:hAnsi="Arial" w:cs="Arial"/>
            <w:color w:val="000000" w:themeColor="text1"/>
          </w:rPr>
          <w:t>https://www.who.int/news-room/fact-sheets/detail/patient-safety</w:t>
        </w:r>
      </w:hyperlink>
      <w:r w:rsidRPr="004554AB">
        <w:rPr>
          <w:rFonts w:ascii="Arial" w:hAnsi="Arial" w:cs="Arial"/>
          <w:color w:val="000000" w:themeColor="text1"/>
        </w:rPr>
        <w:t xml:space="preserve"> (Accessed: 24 April 2026).</w:t>
      </w:r>
    </w:p>
    <w:p w14:paraId="00C6907D" w14:textId="77E2231E" w:rsidR="00503724" w:rsidRPr="004554AB" w:rsidRDefault="249E0CE3" w:rsidP="004554AB">
      <w:pPr>
        <w:spacing w:before="240" w:after="240" w:line="276" w:lineRule="auto"/>
        <w:jc w:val="both"/>
        <w:rPr>
          <w:rFonts w:ascii="Arial" w:hAnsi="Arial" w:cs="Arial"/>
          <w:color w:val="000000" w:themeColor="text1"/>
        </w:rPr>
      </w:pPr>
      <w:r w:rsidRPr="004554AB">
        <w:rPr>
          <w:rFonts w:ascii="Arial" w:hAnsi="Arial" w:cs="Arial"/>
          <w:color w:val="000000" w:themeColor="text1"/>
        </w:rPr>
        <w:t xml:space="preserve">Wu, Y., Awang, S.R., Ahmad, T. and You, C. (2024) ‘Leadership styles in healthcare: A systematic review’, </w:t>
      </w:r>
      <w:r w:rsidRPr="004554AB">
        <w:rPr>
          <w:rFonts w:ascii="Arial" w:hAnsi="Arial" w:cs="Arial"/>
          <w:i/>
          <w:iCs/>
          <w:color w:val="000000" w:themeColor="text1"/>
        </w:rPr>
        <w:t>Geriatric Nursing</w:t>
      </w:r>
      <w:r w:rsidRPr="004554AB">
        <w:rPr>
          <w:rFonts w:ascii="Arial" w:hAnsi="Arial" w:cs="Arial"/>
          <w:color w:val="000000" w:themeColor="text1"/>
        </w:rPr>
        <w:t xml:space="preserve">, 59, pp. 48–59. </w:t>
      </w:r>
      <w:hyperlink r:id="rId41">
        <w:r w:rsidRPr="004554AB">
          <w:rPr>
            <w:rStyle w:val="Hyperlink"/>
            <w:rFonts w:ascii="Arial" w:hAnsi="Arial" w:cs="Arial"/>
            <w:color w:val="000000" w:themeColor="text1"/>
          </w:rPr>
          <w:t>https://doi.org/10.1016/j.gerinurse.2024.02.002</w:t>
        </w:r>
      </w:hyperlink>
      <w:r w:rsidR="00340B96" w:rsidRPr="004554AB">
        <w:rPr>
          <w:rFonts w:ascii="Arial" w:hAnsi="Arial" w:cs="Arial"/>
          <w:color w:val="000000" w:themeColor="text1"/>
        </w:rPr>
        <w:t xml:space="preserve"> (Accessed: 22 April 2026)</w:t>
      </w:r>
    </w:p>
    <w:p w14:paraId="4480D800" w14:textId="4F2FC966" w:rsidR="00503724" w:rsidRPr="004554AB" w:rsidRDefault="001661BB" w:rsidP="004554AB">
      <w:pPr>
        <w:spacing w:line="276" w:lineRule="auto"/>
        <w:jc w:val="both"/>
        <w:rPr>
          <w:rFonts w:ascii="Arial" w:hAnsi="Arial" w:cs="Arial"/>
          <w:color w:val="000000" w:themeColor="text1"/>
        </w:rPr>
      </w:pPr>
      <w:proofErr w:type="spellStart"/>
      <w:r>
        <w:rPr>
          <w:rFonts w:ascii="Consolas" w:eastAsia="Times New Roman" w:hAnsi="Consolas"/>
          <w:color w:val="1B1B1B"/>
          <w:shd w:val="clear" w:color="auto" w:fill="FFFFFF"/>
        </w:rPr>
        <w:t>Ystaas</w:t>
      </w:r>
      <w:proofErr w:type="spellEnd"/>
      <w:r>
        <w:rPr>
          <w:rFonts w:ascii="Consolas" w:eastAsia="Times New Roman" w:hAnsi="Consolas"/>
          <w:color w:val="1B1B1B"/>
          <w:shd w:val="clear" w:color="auto" w:fill="FFFFFF"/>
        </w:rPr>
        <w:t xml:space="preserve"> LMK, </w:t>
      </w:r>
      <w:proofErr w:type="spellStart"/>
      <w:r>
        <w:rPr>
          <w:rFonts w:ascii="Consolas" w:eastAsia="Times New Roman" w:hAnsi="Consolas"/>
          <w:color w:val="1B1B1B"/>
          <w:shd w:val="clear" w:color="auto" w:fill="FFFFFF"/>
        </w:rPr>
        <w:t>Nikitara</w:t>
      </w:r>
      <w:proofErr w:type="spellEnd"/>
      <w:r>
        <w:rPr>
          <w:rFonts w:ascii="Consolas" w:eastAsia="Times New Roman" w:hAnsi="Consolas"/>
          <w:color w:val="1B1B1B"/>
          <w:shd w:val="clear" w:color="auto" w:fill="FFFFFF"/>
        </w:rPr>
        <w:t xml:space="preserve"> M, </w:t>
      </w:r>
      <w:proofErr w:type="spellStart"/>
      <w:r>
        <w:rPr>
          <w:rFonts w:ascii="Consolas" w:eastAsia="Times New Roman" w:hAnsi="Consolas"/>
          <w:color w:val="1B1B1B"/>
          <w:shd w:val="clear" w:color="auto" w:fill="FFFFFF"/>
        </w:rPr>
        <w:t>Ghobrial</w:t>
      </w:r>
      <w:proofErr w:type="spellEnd"/>
      <w:r>
        <w:rPr>
          <w:rFonts w:ascii="Consolas" w:eastAsia="Times New Roman" w:hAnsi="Consolas"/>
          <w:color w:val="1B1B1B"/>
          <w:shd w:val="clear" w:color="auto" w:fill="FFFFFF"/>
        </w:rPr>
        <w:t xml:space="preserve"> S, </w:t>
      </w:r>
      <w:proofErr w:type="spellStart"/>
      <w:r>
        <w:rPr>
          <w:rFonts w:ascii="Consolas" w:eastAsia="Times New Roman" w:hAnsi="Consolas"/>
          <w:color w:val="1B1B1B"/>
          <w:shd w:val="clear" w:color="auto" w:fill="FFFFFF"/>
        </w:rPr>
        <w:t>Latzourakis</w:t>
      </w:r>
      <w:proofErr w:type="spellEnd"/>
      <w:r>
        <w:rPr>
          <w:rFonts w:ascii="Consolas" w:eastAsia="Times New Roman" w:hAnsi="Consolas"/>
          <w:color w:val="1B1B1B"/>
          <w:shd w:val="clear" w:color="auto" w:fill="FFFFFF"/>
        </w:rPr>
        <w:t xml:space="preserve"> E, </w:t>
      </w:r>
      <w:proofErr w:type="spellStart"/>
      <w:r>
        <w:rPr>
          <w:rFonts w:ascii="Consolas" w:eastAsia="Times New Roman" w:hAnsi="Consolas"/>
          <w:color w:val="1B1B1B"/>
          <w:shd w:val="clear" w:color="auto" w:fill="FFFFFF"/>
        </w:rPr>
        <w:t>Polychronis</w:t>
      </w:r>
      <w:proofErr w:type="spellEnd"/>
      <w:r>
        <w:rPr>
          <w:rFonts w:ascii="Consolas" w:eastAsia="Times New Roman" w:hAnsi="Consolas"/>
          <w:color w:val="1B1B1B"/>
          <w:shd w:val="clear" w:color="auto" w:fill="FFFFFF"/>
        </w:rPr>
        <w:t xml:space="preserve"> G, Constantinou CS. The Impact of Transformational Leadership in the Nursing Work Environment and Patients' Outcomes: A Systematic Review. </w:t>
      </w:r>
      <w:proofErr w:type="spellStart"/>
      <w:r>
        <w:rPr>
          <w:rFonts w:ascii="Consolas" w:eastAsia="Times New Roman" w:hAnsi="Consolas"/>
          <w:color w:val="1B1B1B"/>
          <w:shd w:val="clear" w:color="auto" w:fill="FFFFFF"/>
        </w:rPr>
        <w:lastRenderedPageBreak/>
        <w:t>Nurs</w:t>
      </w:r>
      <w:proofErr w:type="spellEnd"/>
      <w:r>
        <w:rPr>
          <w:rFonts w:ascii="Consolas" w:eastAsia="Times New Roman" w:hAnsi="Consolas"/>
          <w:color w:val="1B1B1B"/>
          <w:shd w:val="clear" w:color="auto" w:fill="FFFFFF"/>
        </w:rPr>
        <w:t xml:space="preserve"> Rep. 2023 Sep 11;13(3):1271-1290. </w:t>
      </w:r>
      <w:proofErr w:type="spellStart"/>
      <w:r>
        <w:rPr>
          <w:rFonts w:ascii="Consolas" w:eastAsia="Times New Roman" w:hAnsi="Consolas"/>
          <w:color w:val="1B1B1B"/>
          <w:shd w:val="clear" w:color="auto" w:fill="FFFFFF"/>
        </w:rPr>
        <w:t>doi</w:t>
      </w:r>
      <w:proofErr w:type="spellEnd"/>
      <w:r>
        <w:rPr>
          <w:rFonts w:ascii="Consolas" w:eastAsia="Times New Roman" w:hAnsi="Consolas"/>
          <w:color w:val="1B1B1B"/>
          <w:shd w:val="clear" w:color="auto" w:fill="FFFFFF"/>
        </w:rPr>
        <w:t>: 10.3390/</w:t>
      </w:r>
      <w:proofErr w:type="spellStart"/>
      <w:r>
        <w:rPr>
          <w:rFonts w:ascii="Consolas" w:eastAsia="Times New Roman" w:hAnsi="Consolas"/>
          <w:color w:val="1B1B1B"/>
          <w:shd w:val="clear" w:color="auto" w:fill="FFFFFF"/>
        </w:rPr>
        <w:t>nursrep13030108</w:t>
      </w:r>
      <w:proofErr w:type="spellEnd"/>
      <w:r>
        <w:rPr>
          <w:rFonts w:ascii="Consolas" w:eastAsia="Times New Roman" w:hAnsi="Consolas"/>
          <w:color w:val="1B1B1B"/>
          <w:shd w:val="clear" w:color="auto" w:fill="FFFFFF"/>
        </w:rPr>
        <w:t>. PMID: 37755351; PMCID: PMC10537672.</w:t>
      </w:r>
    </w:p>
    <w:p w14:paraId="39A63123" w14:textId="77777777" w:rsidR="00503724" w:rsidRPr="004554AB" w:rsidRDefault="00503724" w:rsidP="004554AB">
      <w:pPr>
        <w:spacing w:line="276" w:lineRule="auto"/>
        <w:jc w:val="both"/>
        <w:rPr>
          <w:rFonts w:ascii="Arial" w:hAnsi="Arial" w:cs="Arial"/>
          <w:color w:val="000000" w:themeColor="text1"/>
        </w:rPr>
      </w:pPr>
    </w:p>
    <w:sectPr w:rsidR="00503724" w:rsidRPr="004554AB" w:rsidSect="002D568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BC0DE" w14:textId="77777777" w:rsidR="00903AC8" w:rsidRDefault="00903AC8" w:rsidP="00A648C9">
      <w:pPr>
        <w:spacing w:after="0" w:line="240" w:lineRule="auto"/>
      </w:pPr>
      <w:r>
        <w:separator/>
      </w:r>
    </w:p>
  </w:endnote>
  <w:endnote w:type="continuationSeparator" w:id="0">
    <w:p w14:paraId="2BF86F17" w14:textId="77777777" w:rsidR="00903AC8" w:rsidRDefault="00903AC8" w:rsidP="00A648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0267D" w14:textId="77777777" w:rsidR="00903AC8" w:rsidRDefault="00903AC8" w:rsidP="00A648C9">
      <w:pPr>
        <w:spacing w:after="0" w:line="240" w:lineRule="auto"/>
      </w:pPr>
      <w:r>
        <w:separator/>
      </w:r>
    </w:p>
  </w:footnote>
  <w:footnote w:type="continuationSeparator" w:id="0">
    <w:p w14:paraId="6387FB56" w14:textId="77777777" w:rsidR="00903AC8" w:rsidRDefault="00903AC8" w:rsidP="00A648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30A61"/>
    <w:multiLevelType w:val="multilevel"/>
    <w:tmpl w:val="D11C9C1A"/>
    <w:lvl w:ilvl="0">
      <w:start w:val="1"/>
      <w:numFmt w:val="decimal"/>
      <w:lvlText w:val="%1.0"/>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E335A20"/>
    <w:multiLevelType w:val="hybridMultilevel"/>
    <w:tmpl w:val="FFFFFFFF"/>
    <w:lvl w:ilvl="0" w:tplc="D4927F70">
      <w:start w:val="1"/>
      <w:numFmt w:val="bullet"/>
      <w:lvlText w:val=""/>
      <w:lvlJc w:val="left"/>
      <w:pPr>
        <w:ind w:left="720" w:hanging="360"/>
      </w:pPr>
      <w:rPr>
        <w:rFonts w:ascii="Symbol" w:hAnsi="Symbol" w:hint="default"/>
      </w:rPr>
    </w:lvl>
    <w:lvl w:ilvl="1" w:tplc="81BA3F86">
      <w:start w:val="1"/>
      <w:numFmt w:val="bullet"/>
      <w:lvlText w:val="o"/>
      <w:lvlJc w:val="left"/>
      <w:pPr>
        <w:ind w:left="1440" w:hanging="360"/>
      </w:pPr>
      <w:rPr>
        <w:rFonts w:ascii="Courier New" w:hAnsi="Courier New" w:hint="default"/>
      </w:rPr>
    </w:lvl>
    <w:lvl w:ilvl="2" w:tplc="60889C58">
      <w:start w:val="1"/>
      <w:numFmt w:val="bullet"/>
      <w:lvlText w:val=""/>
      <w:lvlJc w:val="left"/>
      <w:pPr>
        <w:ind w:left="2160" w:hanging="360"/>
      </w:pPr>
      <w:rPr>
        <w:rFonts w:ascii="Wingdings" w:hAnsi="Wingdings" w:hint="default"/>
      </w:rPr>
    </w:lvl>
    <w:lvl w:ilvl="3" w:tplc="82BAB9F8">
      <w:start w:val="1"/>
      <w:numFmt w:val="bullet"/>
      <w:lvlText w:val=""/>
      <w:lvlJc w:val="left"/>
      <w:pPr>
        <w:ind w:left="2880" w:hanging="360"/>
      </w:pPr>
      <w:rPr>
        <w:rFonts w:ascii="Symbol" w:hAnsi="Symbol" w:hint="default"/>
      </w:rPr>
    </w:lvl>
    <w:lvl w:ilvl="4" w:tplc="D7DEFCFA">
      <w:start w:val="1"/>
      <w:numFmt w:val="bullet"/>
      <w:lvlText w:val="o"/>
      <w:lvlJc w:val="left"/>
      <w:pPr>
        <w:ind w:left="3600" w:hanging="360"/>
      </w:pPr>
      <w:rPr>
        <w:rFonts w:ascii="Courier New" w:hAnsi="Courier New" w:hint="default"/>
      </w:rPr>
    </w:lvl>
    <w:lvl w:ilvl="5" w:tplc="CA6AF852">
      <w:start w:val="1"/>
      <w:numFmt w:val="bullet"/>
      <w:lvlText w:val=""/>
      <w:lvlJc w:val="left"/>
      <w:pPr>
        <w:ind w:left="4320" w:hanging="360"/>
      </w:pPr>
      <w:rPr>
        <w:rFonts w:ascii="Wingdings" w:hAnsi="Wingdings" w:hint="default"/>
      </w:rPr>
    </w:lvl>
    <w:lvl w:ilvl="6" w:tplc="10ACEBAA">
      <w:start w:val="1"/>
      <w:numFmt w:val="bullet"/>
      <w:lvlText w:val=""/>
      <w:lvlJc w:val="left"/>
      <w:pPr>
        <w:ind w:left="5040" w:hanging="360"/>
      </w:pPr>
      <w:rPr>
        <w:rFonts w:ascii="Symbol" w:hAnsi="Symbol" w:hint="default"/>
      </w:rPr>
    </w:lvl>
    <w:lvl w:ilvl="7" w:tplc="672A2EDE">
      <w:start w:val="1"/>
      <w:numFmt w:val="bullet"/>
      <w:lvlText w:val="o"/>
      <w:lvlJc w:val="left"/>
      <w:pPr>
        <w:ind w:left="5760" w:hanging="360"/>
      </w:pPr>
      <w:rPr>
        <w:rFonts w:ascii="Courier New" w:hAnsi="Courier New" w:hint="default"/>
      </w:rPr>
    </w:lvl>
    <w:lvl w:ilvl="8" w:tplc="8292BA8C">
      <w:start w:val="1"/>
      <w:numFmt w:val="bullet"/>
      <w:lvlText w:val=""/>
      <w:lvlJc w:val="left"/>
      <w:pPr>
        <w:ind w:left="6480" w:hanging="360"/>
      </w:pPr>
      <w:rPr>
        <w:rFonts w:ascii="Wingdings" w:hAnsi="Wingdings" w:hint="default"/>
      </w:rPr>
    </w:lvl>
  </w:abstractNum>
  <w:num w:numId="1" w16cid:durableId="1364212582">
    <w:abstractNumId w:val="1"/>
  </w:num>
  <w:num w:numId="2" w16cid:durableId="387847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684"/>
    <w:rsid w:val="00000CAB"/>
    <w:rsid w:val="00000FDC"/>
    <w:rsid w:val="00001579"/>
    <w:rsid w:val="00001817"/>
    <w:rsid w:val="00003202"/>
    <w:rsid w:val="00003396"/>
    <w:rsid w:val="00003FE1"/>
    <w:rsid w:val="00005111"/>
    <w:rsid w:val="00007E50"/>
    <w:rsid w:val="0001025E"/>
    <w:rsid w:val="00010AE5"/>
    <w:rsid w:val="00012DB3"/>
    <w:rsid w:val="00013E33"/>
    <w:rsid w:val="0001657B"/>
    <w:rsid w:val="00020846"/>
    <w:rsid w:val="00021A6B"/>
    <w:rsid w:val="00021B89"/>
    <w:rsid w:val="000240D0"/>
    <w:rsid w:val="000258CF"/>
    <w:rsid w:val="00025E5C"/>
    <w:rsid w:val="000316AF"/>
    <w:rsid w:val="000334FC"/>
    <w:rsid w:val="00035FB1"/>
    <w:rsid w:val="0003627D"/>
    <w:rsid w:val="00037436"/>
    <w:rsid w:val="000405A4"/>
    <w:rsid w:val="00040F9E"/>
    <w:rsid w:val="000427AC"/>
    <w:rsid w:val="00045F00"/>
    <w:rsid w:val="00047F88"/>
    <w:rsid w:val="000502E8"/>
    <w:rsid w:val="00050681"/>
    <w:rsid w:val="00056679"/>
    <w:rsid w:val="00057DC1"/>
    <w:rsid w:val="00060592"/>
    <w:rsid w:val="0006182D"/>
    <w:rsid w:val="0006367A"/>
    <w:rsid w:val="00063E9E"/>
    <w:rsid w:val="00064151"/>
    <w:rsid w:val="00065F41"/>
    <w:rsid w:val="000669B4"/>
    <w:rsid w:val="000703B3"/>
    <w:rsid w:val="000704F8"/>
    <w:rsid w:val="000710EF"/>
    <w:rsid w:val="0007339C"/>
    <w:rsid w:val="00074BB7"/>
    <w:rsid w:val="00075FDD"/>
    <w:rsid w:val="0007623E"/>
    <w:rsid w:val="00076D74"/>
    <w:rsid w:val="00076DFA"/>
    <w:rsid w:val="00080755"/>
    <w:rsid w:val="0008075B"/>
    <w:rsid w:val="00081C16"/>
    <w:rsid w:val="000838EF"/>
    <w:rsid w:val="00084F78"/>
    <w:rsid w:val="00091B12"/>
    <w:rsid w:val="000941E3"/>
    <w:rsid w:val="00095DD4"/>
    <w:rsid w:val="00096C82"/>
    <w:rsid w:val="000A482A"/>
    <w:rsid w:val="000A4B4E"/>
    <w:rsid w:val="000A70E5"/>
    <w:rsid w:val="000B13DF"/>
    <w:rsid w:val="000B38E1"/>
    <w:rsid w:val="000B5549"/>
    <w:rsid w:val="000B5E8A"/>
    <w:rsid w:val="000B6D18"/>
    <w:rsid w:val="000C17FD"/>
    <w:rsid w:val="000C2D53"/>
    <w:rsid w:val="000C3530"/>
    <w:rsid w:val="000C3FA9"/>
    <w:rsid w:val="000C499F"/>
    <w:rsid w:val="000C791F"/>
    <w:rsid w:val="000D01B1"/>
    <w:rsid w:val="000D14D7"/>
    <w:rsid w:val="000D2B10"/>
    <w:rsid w:val="000D4C4E"/>
    <w:rsid w:val="000D5C56"/>
    <w:rsid w:val="000D5F54"/>
    <w:rsid w:val="000E458E"/>
    <w:rsid w:val="000E46FD"/>
    <w:rsid w:val="000E4C99"/>
    <w:rsid w:val="000E5707"/>
    <w:rsid w:val="000E6131"/>
    <w:rsid w:val="000E6999"/>
    <w:rsid w:val="000E7BF7"/>
    <w:rsid w:val="000F05E4"/>
    <w:rsid w:val="000F0837"/>
    <w:rsid w:val="000F1FD9"/>
    <w:rsid w:val="000F2FF0"/>
    <w:rsid w:val="000F6502"/>
    <w:rsid w:val="00100669"/>
    <w:rsid w:val="00106413"/>
    <w:rsid w:val="001067D7"/>
    <w:rsid w:val="00107BEA"/>
    <w:rsid w:val="0011370C"/>
    <w:rsid w:val="001164C7"/>
    <w:rsid w:val="0011742D"/>
    <w:rsid w:val="0012035E"/>
    <w:rsid w:val="001209D5"/>
    <w:rsid w:val="001213EC"/>
    <w:rsid w:val="001224E7"/>
    <w:rsid w:val="00124094"/>
    <w:rsid w:val="001251D0"/>
    <w:rsid w:val="001268CE"/>
    <w:rsid w:val="00134965"/>
    <w:rsid w:val="001369D9"/>
    <w:rsid w:val="001377E3"/>
    <w:rsid w:val="001416C1"/>
    <w:rsid w:val="00144D25"/>
    <w:rsid w:val="0015132D"/>
    <w:rsid w:val="001513FB"/>
    <w:rsid w:val="00151C20"/>
    <w:rsid w:val="0015270E"/>
    <w:rsid w:val="001557BF"/>
    <w:rsid w:val="00164177"/>
    <w:rsid w:val="00164747"/>
    <w:rsid w:val="0016578B"/>
    <w:rsid w:val="001661BB"/>
    <w:rsid w:val="00166632"/>
    <w:rsid w:val="001670D8"/>
    <w:rsid w:val="00167AC2"/>
    <w:rsid w:val="001705E8"/>
    <w:rsid w:val="00171F90"/>
    <w:rsid w:val="00172EFD"/>
    <w:rsid w:val="001734C2"/>
    <w:rsid w:val="0017425C"/>
    <w:rsid w:val="00174631"/>
    <w:rsid w:val="001774CE"/>
    <w:rsid w:val="00185316"/>
    <w:rsid w:val="00185FF7"/>
    <w:rsid w:val="001870A8"/>
    <w:rsid w:val="0018770C"/>
    <w:rsid w:val="00190FAD"/>
    <w:rsid w:val="00191E0A"/>
    <w:rsid w:val="001945D6"/>
    <w:rsid w:val="00194A2D"/>
    <w:rsid w:val="00196DDF"/>
    <w:rsid w:val="00197335"/>
    <w:rsid w:val="001A04BD"/>
    <w:rsid w:val="001A4D6C"/>
    <w:rsid w:val="001A7B36"/>
    <w:rsid w:val="001A7CF2"/>
    <w:rsid w:val="001B17ED"/>
    <w:rsid w:val="001B2563"/>
    <w:rsid w:val="001B4314"/>
    <w:rsid w:val="001B482C"/>
    <w:rsid w:val="001B5B49"/>
    <w:rsid w:val="001B60CA"/>
    <w:rsid w:val="001B7EC6"/>
    <w:rsid w:val="001C2224"/>
    <w:rsid w:val="001C2ACF"/>
    <w:rsid w:val="001C37C5"/>
    <w:rsid w:val="001C5746"/>
    <w:rsid w:val="001C6EF5"/>
    <w:rsid w:val="001C73CE"/>
    <w:rsid w:val="001D04FB"/>
    <w:rsid w:val="001D4158"/>
    <w:rsid w:val="001D493E"/>
    <w:rsid w:val="001D6F62"/>
    <w:rsid w:val="001E0929"/>
    <w:rsid w:val="001E16DB"/>
    <w:rsid w:val="001E4AF6"/>
    <w:rsid w:val="001E55B5"/>
    <w:rsid w:val="001E669E"/>
    <w:rsid w:val="001E6A88"/>
    <w:rsid w:val="001F04DB"/>
    <w:rsid w:val="001F08A2"/>
    <w:rsid w:val="001F0947"/>
    <w:rsid w:val="001F0E3F"/>
    <w:rsid w:val="001F2327"/>
    <w:rsid w:val="001F3DBC"/>
    <w:rsid w:val="001F4057"/>
    <w:rsid w:val="001F4761"/>
    <w:rsid w:val="001F66A6"/>
    <w:rsid w:val="00200E36"/>
    <w:rsid w:val="0020162C"/>
    <w:rsid w:val="00201ADE"/>
    <w:rsid w:val="00201B10"/>
    <w:rsid w:val="00203373"/>
    <w:rsid w:val="00207721"/>
    <w:rsid w:val="00207FE8"/>
    <w:rsid w:val="00210045"/>
    <w:rsid w:val="00211DD8"/>
    <w:rsid w:val="0021406A"/>
    <w:rsid w:val="0021522F"/>
    <w:rsid w:val="002201D4"/>
    <w:rsid w:val="00220295"/>
    <w:rsid w:val="0022098B"/>
    <w:rsid w:val="00223E4F"/>
    <w:rsid w:val="00224819"/>
    <w:rsid w:val="00225312"/>
    <w:rsid w:val="00225B60"/>
    <w:rsid w:val="00225F20"/>
    <w:rsid w:val="0022658B"/>
    <w:rsid w:val="00227EFE"/>
    <w:rsid w:val="00231CA9"/>
    <w:rsid w:val="002328DC"/>
    <w:rsid w:val="00232F3F"/>
    <w:rsid w:val="002411A8"/>
    <w:rsid w:val="00242EA3"/>
    <w:rsid w:val="00245C70"/>
    <w:rsid w:val="002462B3"/>
    <w:rsid w:val="002462DE"/>
    <w:rsid w:val="0024721A"/>
    <w:rsid w:val="00247A66"/>
    <w:rsid w:val="0025063B"/>
    <w:rsid w:val="002510E7"/>
    <w:rsid w:val="002518D0"/>
    <w:rsid w:val="00253022"/>
    <w:rsid w:val="00254C49"/>
    <w:rsid w:val="00255EA4"/>
    <w:rsid w:val="00255ED6"/>
    <w:rsid w:val="00256BD7"/>
    <w:rsid w:val="002606A3"/>
    <w:rsid w:val="00261A4C"/>
    <w:rsid w:val="0026302C"/>
    <w:rsid w:val="00264091"/>
    <w:rsid w:val="00264F0E"/>
    <w:rsid w:val="0026738C"/>
    <w:rsid w:val="00274EF1"/>
    <w:rsid w:val="00275249"/>
    <w:rsid w:val="00275B9A"/>
    <w:rsid w:val="002817BF"/>
    <w:rsid w:val="00284028"/>
    <w:rsid w:val="002851F2"/>
    <w:rsid w:val="00286F94"/>
    <w:rsid w:val="00291002"/>
    <w:rsid w:val="00291672"/>
    <w:rsid w:val="00292434"/>
    <w:rsid w:val="0029691A"/>
    <w:rsid w:val="0029735D"/>
    <w:rsid w:val="002A171B"/>
    <w:rsid w:val="002A300C"/>
    <w:rsid w:val="002A3D25"/>
    <w:rsid w:val="002A4761"/>
    <w:rsid w:val="002A59F3"/>
    <w:rsid w:val="002A734C"/>
    <w:rsid w:val="002A764F"/>
    <w:rsid w:val="002A7D15"/>
    <w:rsid w:val="002B0437"/>
    <w:rsid w:val="002B13F8"/>
    <w:rsid w:val="002B1CAE"/>
    <w:rsid w:val="002B1DBD"/>
    <w:rsid w:val="002B5909"/>
    <w:rsid w:val="002B6918"/>
    <w:rsid w:val="002C04F5"/>
    <w:rsid w:val="002C26B7"/>
    <w:rsid w:val="002C4FB6"/>
    <w:rsid w:val="002C646E"/>
    <w:rsid w:val="002C7AF0"/>
    <w:rsid w:val="002C7C77"/>
    <w:rsid w:val="002C7CE7"/>
    <w:rsid w:val="002D083B"/>
    <w:rsid w:val="002D3450"/>
    <w:rsid w:val="002D5684"/>
    <w:rsid w:val="002D7F06"/>
    <w:rsid w:val="002E1708"/>
    <w:rsid w:val="002E3AD2"/>
    <w:rsid w:val="002E4FC7"/>
    <w:rsid w:val="002E74E3"/>
    <w:rsid w:val="002F2295"/>
    <w:rsid w:val="002F29C5"/>
    <w:rsid w:val="002F6B71"/>
    <w:rsid w:val="002F6F70"/>
    <w:rsid w:val="003006F3"/>
    <w:rsid w:val="00300CC8"/>
    <w:rsid w:val="003041AC"/>
    <w:rsid w:val="00305ABC"/>
    <w:rsid w:val="00305DA6"/>
    <w:rsid w:val="00310758"/>
    <w:rsid w:val="003107AC"/>
    <w:rsid w:val="00310EB5"/>
    <w:rsid w:val="00311AC8"/>
    <w:rsid w:val="00312D04"/>
    <w:rsid w:val="0031408A"/>
    <w:rsid w:val="00314F41"/>
    <w:rsid w:val="003166FA"/>
    <w:rsid w:val="003200CE"/>
    <w:rsid w:val="00320C0B"/>
    <w:rsid w:val="003219C2"/>
    <w:rsid w:val="00323104"/>
    <w:rsid w:val="00323671"/>
    <w:rsid w:val="00324B00"/>
    <w:rsid w:val="00327B1C"/>
    <w:rsid w:val="00330AEB"/>
    <w:rsid w:val="00330B94"/>
    <w:rsid w:val="0033141C"/>
    <w:rsid w:val="00332C7F"/>
    <w:rsid w:val="00336323"/>
    <w:rsid w:val="003376A0"/>
    <w:rsid w:val="00340B96"/>
    <w:rsid w:val="00344207"/>
    <w:rsid w:val="00344E48"/>
    <w:rsid w:val="0034622E"/>
    <w:rsid w:val="00347964"/>
    <w:rsid w:val="003528B3"/>
    <w:rsid w:val="00353D37"/>
    <w:rsid w:val="00356B57"/>
    <w:rsid w:val="00361162"/>
    <w:rsid w:val="00361F70"/>
    <w:rsid w:val="00364EAD"/>
    <w:rsid w:val="003675E3"/>
    <w:rsid w:val="00367CF6"/>
    <w:rsid w:val="00370B57"/>
    <w:rsid w:val="003714C5"/>
    <w:rsid w:val="00372F79"/>
    <w:rsid w:val="0037615B"/>
    <w:rsid w:val="003778C6"/>
    <w:rsid w:val="003822FE"/>
    <w:rsid w:val="003824EB"/>
    <w:rsid w:val="00383061"/>
    <w:rsid w:val="00383DEB"/>
    <w:rsid w:val="00384300"/>
    <w:rsid w:val="00392404"/>
    <w:rsid w:val="00393038"/>
    <w:rsid w:val="003973E5"/>
    <w:rsid w:val="003A1904"/>
    <w:rsid w:val="003A2420"/>
    <w:rsid w:val="003A2C23"/>
    <w:rsid w:val="003A3B44"/>
    <w:rsid w:val="003A4DB2"/>
    <w:rsid w:val="003A6179"/>
    <w:rsid w:val="003B04F5"/>
    <w:rsid w:val="003B0C2A"/>
    <w:rsid w:val="003B2963"/>
    <w:rsid w:val="003B5172"/>
    <w:rsid w:val="003B58B2"/>
    <w:rsid w:val="003B6AD3"/>
    <w:rsid w:val="003B7949"/>
    <w:rsid w:val="003C0E63"/>
    <w:rsid w:val="003C3223"/>
    <w:rsid w:val="003D11D4"/>
    <w:rsid w:val="003D17DA"/>
    <w:rsid w:val="003D2658"/>
    <w:rsid w:val="003D2F42"/>
    <w:rsid w:val="003D358E"/>
    <w:rsid w:val="003D4671"/>
    <w:rsid w:val="003D56E5"/>
    <w:rsid w:val="003D5786"/>
    <w:rsid w:val="003E1C8C"/>
    <w:rsid w:val="003E32F1"/>
    <w:rsid w:val="003E3B05"/>
    <w:rsid w:val="003E576F"/>
    <w:rsid w:val="003E5AC7"/>
    <w:rsid w:val="003F5B8D"/>
    <w:rsid w:val="003F7571"/>
    <w:rsid w:val="00400423"/>
    <w:rsid w:val="00400931"/>
    <w:rsid w:val="00403471"/>
    <w:rsid w:val="00403784"/>
    <w:rsid w:val="00405231"/>
    <w:rsid w:val="00405FB5"/>
    <w:rsid w:val="00406214"/>
    <w:rsid w:val="00406553"/>
    <w:rsid w:val="00406622"/>
    <w:rsid w:val="00406F1C"/>
    <w:rsid w:val="00411CA9"/>
    <w:rsid w:val="004168B9"/>
    <w:rsid w:val="00417442"/>
    <w:rsid w:val="004176B4"/>
    <w:rsid w:val="00431FBC"/>
    <w:rsid w:val="004333CB"/>
    <w:rsid w:val="00434664"/>
    <w:rsid w:val="0044067C"/>
    <w:rsid w:val="00441309"/>
    <w:rsid w:val="004419CE"/>
    <w:rsid w:val="00444CEB"/>
    <w:rsid w:val="00447F43"/>
    <w:rsid w:val="0045477B"/>
    <w:rsid w:val="004554AB"/>
    <w:rsid w:val="00455DEB"/>
    <w:rsid w:val="00455E3A"/>
    <w:rsid w:val="00456741"/>
    <w:rsid w:val="00457523"/>
    <w:rsid w:val="0045779B"/>
    <w:rsid w:val="00457832"/>
    <w:rsid w:val="00460829"/>
    <w:rsid w:val="00465EE9"/>
    <w:rsid w:val="0046766A"/>
    <w:rsid w:val="00471211"/>
    <w:rsid w:val="0047255D"/>
    <w:rsid w:val="00475265"/>
    <w:rsid w:val="0047534B"/>
    <w:rsid w:val="0047620D"/>
    <w:rsid w:val="00476259"/>
    <w:rsid w:val="0047653A"/>
    <w:rsid w:val="00476BDA"/>
    <w:rsid w:val="0048257A"/>
    <w:rsid w:val="004838BD"/>
    <w:rsid w:val="004838F6"/>
    <w:rsid w:val="00486020"/>
    <w:rsid w:val="0048637F"/>
    <w:rsid w:val="004869CB"/>
    <w:rsid w:val="00487B4A"/>
    <w:rsid w:val="00487C35"/>
    <w:rsid w:val="00487F4D"/>
    <w:rsid w:val="00491544"/>
    <w:rsid w:val="00492DB9"/>
    <w:rsid w:val="00493088"/>
    <w:rsid w:val="00494DF3"/>
    <w:rsid w:val="004964A7"/>
    <w:rsid w:val="004A00CF"/>
    <w:rsid w:val="004A05AD"/>
    <w:rsid w:val="004A2D12"/>
    <w:rsid w:val="004A3840"/>
    <w:rsid w:val="004A51C4"/>
    <w:rsid w:val="004A64AE"/>
    <w:rsid w:val="004A68D6"/>
    <w:rsid w:val="004A694E"/>
    <w:rsid w:val="004A6F83"/>
    <w:rsid w:val="004B198A"/>
    <w:rsid w:val="004B2B49"/>
    <w:rsid w:val="004B56D2"/>
    <w:rsid w:val="004B6351"/>
    <w:rsid w:val="004B7E62"/>
    <w:rsid w:val="004C25E4"/>
    <w:rsid w:val="004C3319"/>
    <w:rsid w:val="004C5B98"/>
    <w:rsid w:val="004D18F6"/>
    <w:rsid w:val="004D1F53"/>
    <w:rsid w:val="004D3FAC"/>
    <w:rsid w:val="004D5B9B"/>
    <w:rsid w:val="004D7234"/>
    <w:rsid w:val="004E018C"/>
    <w:rsid w:val="004E0EEA"/>
    <w:rsid w:val="004E1C70"/>
    <w:rsid w:val="004E2802"/>
    <w:rsid w:val="004E3CA4"/>
    <w:rsid w:val="004E44AF"/>
    <w:rsid w:val="004E55CF"/>
    <w:rsid w:val="004F0A54"/>
    <w:rsid w:val="004F0D56"/>
    <w:rsid w:val="004F6803"/>
    <w:rsid w:val="005018CB"/>
    <w:rsid w:val="00503724"/>
    <w:rsid w:val="00504606"/>
    <w:rsid w:val="00510FF2"/>
    <w:rsid w:val="00513914"/>
    <w:rsid w:val="00514029"/>
    <w:rsid w:val="0051676D"/>
    <w:rsid w:val="0052068F"/>
    <w:rsid w:val="00522417"/>
    <w:rsid w:val="005257E3"/>
    <w:rsid w:val="00531C05"/>
    <w:rsid w:val="00531FD2"/>
    <w:rsid w:val="005362A9"/>
    <w:rsid w:val="00537D50"/>
    <w:rsid w:val="0054212C"/>
    <w:rsid w:val="005440A2"/>
    <w:rsid w:val="00544BDA"/>
    <w:rsid w:val="00544C53"/>
    <w:rsid w:val="00545016"/>
    <w:rsid w:val="00547334"/>
    <w:rsid w:val="00551569"/>
    <w:rsid w:val="0055227D"/>
    <w:rsid w:val="00552624"/>
    <w:rsid w:val="00552D9F"/>
    <w:rsid w:val="005544F6"/>
    <w:rsid w:val="00556772"/>
    <w:rsid w:val="00556AFA"/>
    <w:rsid w:val="00557F85"/>
    <w:rsid w:val="00560702"/>
    <w:rsid w:val="00560914"/>
    <w:rsid w:val="0056186B"/>
    <w:rsid w:val="00564E32"/>
    <w:rsid w:val="00570755"/>
    <w:rsid w:val="0057516A"/>
    <w:rsid w:val="00576230"/>
    <w:rsid w:val="0057651B"/>
    <w:rsid w:val="00576F36"/>
    <w:rsid w:val="005827F1"/>
    <w:rsid w:val="005834EC"/>
    <w:rsid w:val="00584D21"/>
    <w:rsid w:val="00587682"/>
    <w:rsid w:val="00592840"/>
    <w:rsid w:val="00592DF5"/>
    <w:rsid w:val="005941D7"/>
    <w:rsid w:val="00596FFC"/>
    <w:rsid w:val="005A091B"/>
    <w:rsid w:val="005A132C"/>
    <w:rsid w:val="005A191A"/>
    <w:rsid w:val="005A1BBB"/>
    <w:rsid w:val="005A1C92"/>
    <w:rsid w:val="005A4016"/>
    <w:rsid w:val="005B153C"/>
    <w:rsid w:val="005B227D"/>
    <w:rsid w:val="005B31CD"/>
    <w:rsid w:val="005B5130"/>
    <w:rsid w:val="005C1273"/>
    <w:rsid w:val="005C151A"/>
    <w:rsid w:val="005C3EE8"/>
    <w:rsid w:val="005C6F32"/>
    <w:rsid w:val="005D04F8"/>
    <w:rsid w:val="005D0ED6"/>
    <w:rsid w:val="005D3B1C"/>
    <w:rsid w:val="005D3C20"/>
    <w:rsid w:val="005D4398"/>
    <w:rsid w:val="005D4A12"/>
    <w:rsid w:val="005D5BA3"/>
    <w:rsid w:val="005D6B12"/>
    <w:rsid w:val="005DE837"/>
    <w:rsid w:val="005E0E7E"/>
    <w:rsid w:val="005E180A"/>
    <w:rsid w:val="005E27D3"/>
    <w:rsid w:val="005E3702"/>
    <w:rsid w:val="005E4AB9"/>
    <w:rsid w:val="005E5492"/>
    <w:rsid w:val="005F03CF"/>
    <w:rsid w:val="005F0F60"/>
    <w:rsid w:val="005F2992"/>
    <w:rsid w:val="005F34A7"/>
    <w:rsid w:val="005F3FF4"/>
    <w:rsid w:val="005F49C6"/>
    <w:rsid w:val="005F598E"/>
    <w:rsid w:val="006029C2"/>
    <w:rsid w:val="00604D4A"/>
    <w:rsid w:val="0060564D"/>
    <w:rsid w:val="00606574"/>
    <w:rsid w:val="00606AFD"/>
    <w:rsid w:val="0061526C"/>
    <w:rsid w:val="006170F6"/>
    <w:rsid w:val="0062153E"/>
    <w:rsid w:val="00621944"/>
    <w:rsid w:val="006219FA"/>
    <w:rsid w:val="00621F2C"/>
    <w:rsid w:val="006248D4"/>
    <w:rsid w:val="00626CDC"/>
    <w:rsid w:val="00626ECE"/>
    <w:rsid w:val="00630A7B"/>
    <w:rsid w:val="0063167C"/>
    <w:rsid w:val="00632858"/>
    <w:rsid w:val="006330F2"/>
    <w:rsid w:val="00634C90"/>
    <w:rsid w:val="00635050"/>
    <w:rsid w:val="006353D3"/>
    <w:rsid w:val="006365FD"/>
    <w:rsid w:val="00636C9A"/>
    <w:rsid w:val="0064419B"/>
    <w:rsid w:val="0064473B"/>
    <w:rsid w:val="00644AD7"/>
    <w:rsid w:val="00646F52"/>
    <w:rsid w:val="00647E95"/>
    <w:rsid w:val="006529DC"/>
    <w:rsid w:val="006547FD"/>
    <w:rsid w:val="006548C7"/>
    <w:rsid w:val="006557C7"/>
    <w:rsid w:val="00656D71"/>
    <w:rsid w:val="00657BD3"/>
    <w:rsid w:val="006614A6"/>
    <w:rsid w:val="00662F58"/>
    <w:rsid w:val="006633C6"/>
    <w:rsid w:val="00664075"/>
    <w:rsid w:val="00665554"/>
    <w:rsid w:val="0066703F"/>
    <w:rsid w:val="006714E7"/>
    <w:rsid w:val="006722ED"/>
    <w:rsid w:val="00673B9C"/>
    <w:rsid w:val="00674176"/>
    <w:rsid w:val="00674509"/>
    <w:rsid w:val="0067585E"/>
    <w:rsid w:val="006762AA"/>
    <w:rsid w:val="00676E3E"/>
    <w:rsid w:val="006774B1"/>
    <w:rsid w:val="00677BF8"/>
    <w:rsid w:val="00680BBF"/>
    <w:rsid w:val="00683609"/>
    <w:rsid w:val="00683FD5"/>
    <w:rsid w:val="006841F1"/>
    <w:rsid w:val="006859DC"/>
    <w:rsid w:val="00685CB6"/>
    <w:rsid w:val="006878BF"/>
    <w:rsid w:val="006925EC"/>
    <w:rsid w:val="006945EA"/>
    <w:rsid w:val="0069516C"/>
    <w:rsid w:val="006967B6"/>
    <w:rsid w:val="006978DA"/>
    <w:rsid w:val="006A06FD"/>
    <w:rsid w:val="006A232C"/>
    <w:rsid w:val="006A78CB"/>
    <w:rsid w:val="006B08F7"/>
    <w:rsid w:val="006B0E44"/>
    <w:rsid w:val="006B11E0"/>
    <w:rsid w:val="006B6D58"/>
    <w:rsid w:val="006C0F43"/>
    <w:rsid w:val="006C35F1"/>
    <w:rsid w:val="006C5862"/>
    <w:rsid w:val="006D0EA1"/>
    <w:rsid w:val="006D31C6"/>
    <w:rsid w:val="006D5EFE"/>
    <w:rsid w:val="006D7211"/>
    <w:rsid w:val="006E472C"/>
    <w:rsid w:val="006F319B"/>
    <w:rsid w:val="006F6A55"/>
    <w:rsid w:val="0070013D"/>
    <w:rsid w:val="007009F6"/>
    <w:rsid w:val="0070379B"/>
    <w:rsid w:val="007045EF"/>
    <w:rsid w:val="00705580"/>
    <w:rsid w:val="00705D27"/>
    <w:rsid w:val="00706690"/>
    <w:rsid w:val="00710496"/>
    <w:rsid w:val="007141F1"/>
    <w:rsid w:val="007163CE"/>
    <w:rsid w:val="007165E4"/>
    <w:rsid w:val="00720A68"/>
    <w:rsid w:val="0072291C"/>
    <w:rsid w:val="007249CD"/>
    <w:rsid w:val="00724BD5"/>
    <w:rsid w:val="007369CD"/>
    <w:rsid w:val="007376F4"/>
    <w:rsid w:val="00737C27"/>
    <w:rsid w:val="00743923"/>
    <w:rsid w:val="007450FB"/>
    <w:rsid w:val="007452DC"/>
    <w:rsid w:val="00745755"/>
    <w:rsid w:val="00746118"/>
    <w:rsid w:val="007524D5"/>
    <w:rsid w:val="007534C3"/>
    <w:rsid w:val="00754025"/>
    <w:rsid w:val="007550C9"/>
    <w:rsid w:val="00757D05"/>
    <w:rsid w:val="00760BA2"/>
    <w:rsid w:val="00763455"/>
    <w:rsid w:val="00767AC3"/>
    <w:rsid w:val="007702D1"/>
    <w:rsid w:val="00772ADE"/>
    <w:rsid w:val="00772EBF"/>
    <w:rsid w:val="0077496B"/>
    <w:rsid w:val="00774B37"/>
    <w:rsid w:val="00775D4C"/>
    <w:rsid w:val="007760C2"/>
    <w:rsid w:val="00776211"/>
    <w:rsid w:val="00777357"/>
    <w:rsid w:val="007801D5"/>
    <w:rsid w:val="00781245"/>
    <w:rsid w:val="00781320"/>
    <w:rsid w:val="007814F7"/>
    <w:rsid w:val="00782938"/>
    <w:rsid w:val="00782F86"/>
    <w:rsid w:val="0078592A"/>
    <w:rsid w:val="007863B0"/>
    <w:rsid w:val="00787064"/>
    <w:rsid w:val="00787B6B"/>
    <w:rsid w:val="00792752"/>
    <w:rsid w:val="00792F27"/>
    <w:rsid w:val="00794F37"/>
    <w:rsid w:val="007A00C2"/>
    <w:rsid w:val="007A0F50"/>
    <w:rsid w:val="007A295A"/>
    <w:rsid w:val="007A2F18"/>
    <w:rsid w:val="007A3B64"/>
    <w:rsid w:val="007A41AE"/>
    <w:rsid w:val="007A48B8"/>
    <w:rsid w:val="007A7EE2"/>
    <w:rsid w:val="007B0AB3"/>
    <w:rsid w:val="007B3CA0"/>
    <w:rsid w:val="007B438A"/>
    <w:rsid w:val="007B4873"/>
    <w:rsid w:val="007B4FC6"/>
    <w:rsid w:val="007B6CD3"/>
    <w:rsid w:val="007C2212"/>
    <w:rsid w:val="007C2532"/>
    <w:rsid w:val="007C2EE1"/>
    <w:rsid w:val="007C2F0A"/>
    <w:rsid w:val="007C3E60"/>
    <w:rsid w:val="007C47F7"/>
    <w:rsid w:val="007C4F70"/>
    <w:rsid w:val="007C50B3"/>
    <w:rsid w:val="007C6C0E"/>
    <w:rsid w:val="007D0BBB"/>
    <w:rsid w:val="007D2ADB"/>
    <w:rsid w:val="007D2CAE"/>
    <w:rsid w:val="007D36FC"/>
    <w:rsid w:val="007D56D6"/>
    <w:rsid w:val="007D6A7E"/>
    <w:rsid w:val="007E1E24"/>
    <w:rsid w:val="007E3DEA"/>
    <w:rsid w:val="007E4872"/>
    <w:rsid w:val="007E6C62"/>
    <w:rsid w:val="007F1F58"/>
    <w:rsid w:val="007F21CF"/>
    <w:rsid w:val="007F2325"/>
    <w:rsid w:val="007F3654"/>
    <w:rsid w:val="007F3A8D"/>
    <w:rsid w:val="007F753B"/>
    <w:rsid w:val="00800822"/>
    <w:rsid w:val="008009C1"/>
    <w:rsid w:val="00800E2B"/>
    <w:rsid w:val="00801D98"/>
    <w:rsid w:val="00803613"/>
    <w:rsid w:val="00803871"/>
    <w:rsid w:val="008049A7"/>
    <w:rsid w:val="00804FCD"/>
    <w:rsid w:val="008065F4"/>
    <w:rsid w:val="00810949"/>
    <w:rsid w:val="008118C0"/>
    <w:rsid w:val="00811974"/>
    <w:rsid w:val="00813FF5"/>
    <w:rsid w:val="00814392"/>
    <w:rsid w:val="00814D94"/>
    <w:rsid w:val="00816B63"/>
    <w:rsid w:val="0081739B"/>
    <w:rsid w:val="00817F55"/>
    <w:rsid w:val="008254B0"/>
    <w:rsid w:val="00826873"/>
    <w:rsid w:val="00827A63"/>
    <w:rsid w:val="00827B97"/>
    <w:rsid w:val="008322F3"/>
    <w:rsid w:val="0083431B"/>
    <w:rsid w:val="00835FD2"/>
    <w:rsid w:val="008363CF"/>
    <w:rsid w:val="00836AA1"/>
    <w:rsid w:val="00840183"/>
    <w:rsid w:val="00840375"/>
    <w:rsid w:val="00841B90"/>
    <w:rsid w:val="00842150"/>
    <w:rsid w:val="00843897"/>
    <w:rsid w:val="00844C2B"/>
    <w:rsid w:val="008458C5"/>
    <w:rsid w:val="00846330"/>
    <w:rsid w:val="008503A7"/>
    <w:rsid w:val="008516F3"/>
    <w:rsid w:val="00851964"/>
    <w:rsid w:val="00854DDD"/>
    <w:rsid w:val="00855DF8"/>
    <w:rsid w:val="00856705"/>
    <w:rsid w:val="00856AD7"/>
    <w:rsid w:val="00857050"/>
    <w:rsid w:val="008620AE"/>
    <w:rsid w:val="0086352B"/>
    <w:rsid w:val="00863C99"/>
    <w:rsid w:val="00864B13"/>
    <w:rsid w:val="008652B7"/>
    <w:rsid w:val="00867173"/>
    <w:rsid w:val="008714AB"/>
    <w:rsid w:val="008733B5"/>
    <w:rsid w:val="00875C2C"/>
    <w:rsid w:val="008766F9"/>
    <w:rsid w:val="00880DC5"/>
    <w:rsid w:val="00880FA9"/>
    <w:rsid w:val="008815E1"/>
    <w:rsid w:val="008929B6"/>
    <w:rsid w:val="00893AD5"/>
    <w:rsid w:val="00895132"/>
    <w:rsid w:val="00895EFF"/>
    <w:rsid w:val="00896F4F"/>
    <w:rsid w:val="008A0DB4"/>
    <w:rsid w:val="008A1137"/>
    <w:rsid w:val="008A1404"/>
    <w:rsid w:val="008A295A"/>
    <w:rsid w:val="008A491D"/>
    <w:rsid w:val="008A7FE2"/>
    <w:rsid w:val="008B1C4C"/>
    <w:rsid w:val="008B28D2"/>
    <w:rsid w:val="008B3546"/>
    <w:rsid w:val="008B430C"/>
    <w:rsid w:val="008B4ACB"/>
    <w:rsid w:val="008B67FB"/>
    <w:rsid w:val="008B780E"/>
    <w:rsid w:val="008C09C0"/>
    <w:rsid w:val="008C1387"/>
    <w:rsid w:val="008C17C7"/>
    <w:rsid w:val="008C24DF"/>
    <w:rsid w:val="008C25ED"/>
    <w:rsid w:val="008C4222"/>
    <w:rsid w:val="008D4260"/>
    <w:rsid w:val="008D428A"/>
    <w:rsid w:val="008D4A64"/>
    <w:rsid w:val="008D5EF5"/>
    <w:rsid w:val="008E601B"/>
    <w:rsid w:val="008E63EA"/>
    <w:rsid w:val="008E66FA"/>
    <w:rsid w:val="008E6F89"/>
    <w:rsid w:val="008E7D2B"/>
    <w:rsid w:val="008F0B6C"/>
    <w:rsid w:val="008F174E"/>
    <w:rsid w:val="008F7058"/>
    <w:rsid w:val="00903AC8"/>
    <w:rsid w:val="00906AB8"/>
    <w:rsid w:val="00907236"/>
    <w:rsid w:val="00907557"/>
    <w:rsid w:val="00912245"/>
    <w:rsid w:val="00912905"/>
    <w:rsid w:val="00915835"/>
    <w:rsid w:val="00916450"/>
    <w:rsid w:val="00916477"/>
    <w:rsid w:val="00916EA9"/>
    <w:rsid w:val="009171F9"/>
    <w:rsid w:val="00922804"/>
    <w:rsid w:val="0092426F"/>
    <w:rsid w:val="00925494"/>
    <w:rsid w:val="00930385"/>
    <w:rsid w:val="00930DF6"/>
    <w:rsid w:val="009317B1"/>
    <w:rsid w:val="00934901"/>
    <w:rsid w:val="00937EED"/>
    <w:rsid w:val="00943FBC"/>
    <w:rsid w:val="009464A1"/>
    <w:rsid w:val="009468D6"/>
    <w:rsid w:val="0095303F"/>
    <w:rsid w:val="00955ADC"/>
    <w:rsid w:val="00961C79"/>
    <w:rsid w:val="009648AC"/>
    <w:rsid w:val="00965754"/>
    <w:rsid w:val="00966D75"/>
    <w:rsid w:val="00970990"/>
    <w:rsid w:val="00970FB4"/>
    <w:rsid w:val="00971C6F"/>
    <w:rsid w:val="009720E8"/>
    <w:rsid w:val="00972C38"/>
    <w:rsid w:val="0097660D"/>
    <w:rsid w:val="00977531"/>
    <w:rsid w:val="00977C23"/>
    <w:rsid w:val="009802B3"/>
    <w:rsid w:val="009848D7"/>
    <w:rsid w:val="009859AA"/>
    <w:rsid w:val="009861A1"/>
    <w:rsid w:val="009869B1"/>
    <w:rsid w:val="0098764B"/>
    <w:rsid w:val="009901FA"/>
    <w:rsid w:val="00990690"/>
    <w:rsid w:val="009908BB"/>
    <w:rsid w:val="00991648"/>
    <w:rsid w:val="00991CB5"/>
    <w:rsid w:val="009924BC"/>
    <w:rsid w:val="0099270A"/>
    <w:rsid w:val="00993227"/>
    <w:rsid w:val="009947E5"/>
    <w:rsid w:val="009954A9"/>
    <w:rsid w:val="00997798"/>
    <w:rsid w:val="009A1303"/>
    <w:rsid w:val="009A3FC5"/>
    <w:rsid w:val="009A40D4"/>
    <w:rsid w:val="009A6323"/>
    <w:rsid w:val="009B29A8"/>
    <w:rsid w:val="009B30D3"/>
    <w:rsid w:val="009B371B"/>
    <w:rsid w:val="009B461B"/>
    <w:rsid w:val="009B61AA"/>
    <w:rsid w:val="009B6749"/>
    <w:rsid w:val="009B7E75"/>
    <w:rsid w:val="009C120C"/>
    <w:rsid w:val="009C1F7F"/>
    <w:rsid w:val="009C1FAB"/>
    <w:rsid w:val="009C3B08"/>
    <w:rsid w:val="009C45C4"/>
    <w:rsid w:val="009C514F"/>
    <w:rsid w:val="009D5ECE"/>
    <w:rsid w:val="009D64DA"/>
    <w:rsid w:val="009D7407"/>
    <w:rsid w:val="009E0A26"/>
    <w:rsid w:val="009E0C6A"/>
    <w:rsid w:val="009E39C3"/>
    <w:rsid w:val="009E47F5"/>
    <w:rsid w:val="009E66BE"/>
    <w:rsid w:val="009E6F9A"/>
    <w:rsid w:val="009F240D"/>
    <w:rsid w:val="009F3229"/>
    <w:rsid w:val="009F48D7"/>
    <w:rsid w:val="009F5957"/>
    <w:rsid w:val="009F7DE4"/>
    <w:rsid w:val="00A0012A"/>
    <w:rsid w:val="00A00635"/>
    <w:rsid w:val="00A013E4"/>
    <w:rsid w:val="00A07230"/>
    <w:rsid w:val="00A0781C"/>
    <w:rsid w:val="00A1252D"/>
    <w:rsid w:val="00A1415F"/>
    <w:rsid w:val="00A14BB6"/>
    <w:rsid w:val="00A20164"/>
    <w:rsid w:val="00A21810"/>
    <w:rsid w:val="00A21D02"/>
    <w:rsid w:val="00A241B0"/>
    <w:rsid w:val="00A252F5"/>
    <w:rsid w:val="00A262C8"/>
    <w:rsid w:val="00A272F0"/>
    <w:rsid w:val="00A27411"/>
    <w:rsid w:val="00A30807"/>
    <w:rsid w:val="00A30A1B"/>
    <w:rsid w:val="00A337A8"/>
    <w:rsid w:val="00A34372"/>
    <w:rsid w:val="00A35298"/>
    <w:rsid w:val="00A37C35"/>
    <w:rsid w:val="00A4047C"/>
    <w:rsid w:val="00A42CC9"/>
    <w:rsid w:val="00A44287"/>
    <w:rsid w:val="00A44BA0"/>
    <w:rsid w:val="00A46CEA"/>
    <w:rsid w:val="00A54E55"/>
    <w:rsid w:val="00A55804"/>
    <w:rsid w:val="00A55D30"/>
    <w:rsid w:val="00A5754F"/>
    <w:rsid w:val="00A61FDC"/>
    <w:rsid w:val="00A63CF0"/>
    <w:rsid w:val="00A6443B"/>
    <w:rsid w:val="00A648C9"/>
    <w:rsid w:val="00A648EB"/>
    <w:rsid w:val="00A65D1F"/>
    <w:rsid w:val="00A7073C"/>
    <w:rsid w:val="00A70742"/>
    <w:rsid w:val="00A71E41"/>
    <w:rsid w:val="00A72248"/>
    <w:rsid w:val="00A723EE"/>
    <w:rsid w:val="00A7245F"/>
    <w:rsid w:val="00A72D05"/>
    <w:rsid w:val="00A74768"/>
    <w:rsid w:val="00A77DE2"/>
    <w:rsid w:val="00A77E88"/>
    <w:rsid w:val="00A81008"/>
    <w:rsid w:val="00A831C2"/>
    <w:rsid w:val="00A831F1"/>
    <w:rsid w:val="00A83FCA"/>
    <w:rsid w:val="00A842CF"/>
    <w:rsid w:val="00A8497D"/>
    <w:rsid w:val="00A850DE"/>
    <w:rsid w:val="00A86251"/>
    <w:rsid w:val="00A86F0D"/>
    <w:rsid w:val="00A9003F"/>
    <w:rsid w:val="00A90E14"/>
    <w:rsid w:val="00A92D0C"/>
    <w:rsid w:val="00A93E00"/>
    <w:rsid w:val="00A95D70"/>
    <w:rsid w:val="00A95F75"/>
    <w:rsid w:val="00A96CB1"/>
    <w:rsid w:val="00A96ED1"/>
    <w:rsid w:val="00AA096D"/>
    <w:rsid w:val="00AA0D9F"/>
    <w:rsid w:val="00AA1682"/>
    <w:rsid w:val="00AA303D"/>
    <w:rsid w:val="00AA463A"/>
    <w:rsid w:val="00AA6718"/>
    <w:rsid w:val="00AA6DDE"/>
    <w:rsid w:val="00AB5C1A"/>
    <w:rsid w:val="00AB6874"/>
    <w:rsid w:val="00AC0F21"/>
    <w:rsid w:val="00AC184E"/>
    <w:rsid w:val="00AC2F59"/>
    <w:rsid w:val="00AC3F3C"/>
    <w:rsid w:val="00AC7FB0"/>
    <w:rsid w:val="00AD15DD"/>
    <w:rsid w:val="00AD3E06"/>
    <w:rsid w:val="00AD5FB1"/>
    <w:rsid w:val="00AE18E9"/>
    <w:rsid w:val="00AE28DA"/>
    <w:rsid w:val="00AE468F"/>
    <w:rsid w:val="00AE5603"/>
    <w:rsid w:val="00AE5817"/>
    <w:rsid w:val="00AE66C6"/>
    <w:rsid w:val="00AF001F"/>
    <w:rsid w:val="00AF045E"/>
    <w:rsid w:val="00AF0E1D"/>
    <w:rsid w:val="00AF30F6"/>
    <w:rsid w:val="00AF31F5"/>
    <w:rsid w:val="00AF5F56"/>
    <w:rsid w:val="00B0176B"/>
    <w:rsid w:val="00B019F1"/>
    <w:rsid w:val="00B01CD5"/>
    <w:rsid w:val="00B02665"/>
    <w:rsid w:val="00B04699"/>
    <w:rsid w:val="00B107EE"/>
    <w:rsid w:val="00B112D6"/>
    <w:rsid w:val="00B11371"/>
    <w:rsid w:val="00B119DE"/>
    <w:rsid w:val="00B1288B"/>
    <w:rsid w:val="00B13E55"/>
    <w:rsid w:val="00B152F1"/>
    <w:rsid w:val="00B21648"/>
    <w:rsid w:val="00B23F3A"/>
    <w:rsid w:val="00B24784"/>
    <w:rsid w:val="00B25651"/>
    <w:rsid w:val="00B2639B"/>
    <w:rsid w:val="00B26DF2"/>
    <w:rsid w:val="00B335E2"/>
    <w:rsid w:val="00B3392F"/>
    <w:rsid w:val="00B33992"/>
    <w:rsid w:val="00B34C35"/>
    <w:rsid w:val="00B34C8A"/>
    <w:rsid w:val="00B44FF2"/>
    <w:rsid w:val="00B45306"/>
    <w:rsid w:val="00B47278"/>
    <w:rsid w:val="00B4765D"/>
    <w:rsid w:val="00B47B61"/>
    <w:rsid w:val="00B50AC4"/>
    <w:rsid w:val="00B54730"/>
    <w:rsid w:val="00B602CA"/>
    <w:rsid w:val="00B60AD1"/>
    <w:rsid w:val="00B6146F"/>
    <w:rsid w:val="00B63022"/>
    <w:rsid w:val="00B642ED"/>
    <w:rsid w:val="00B654A3"/>
    <w:rsid w:val="00B664E1"/>
    <w:rsid w:val="00B72659"/>
    <w:rsid w:val="00B72981"/>
    <w:rsid w:val="00B73987"/>
    <w:rsid w:val="00B80348"/>
    <w:rsid w:val="00B80925"/>
    <w:rsid w:val="00B85A7E"/>
    <w:rsid w:val="00B87088"/>
    <w:rsid w:val="00B873BB"/>
    <w:rsid w:val="00B90183"/>
    <w:rsid w:val="00B9101F"/>
    <w:rsid w:val="00B91D8B"/>
    <w:rsid w:val="00B92EF6"/>
    <w:rsid w:val="00B937B1"/>
    <w:rsid w:val="00B942C7"/>
    <w:rsid w:val="00B946AE"/>
    <w:rsid w:val="00B947EC"/>
    <w:rsid w:val="00B959BE"/>
    <w:rsid w:val="00BA3C66"/>
    <w:rsid w:val="00BA452A"/>
    <w:rsid w:val="00BA5089"/>
    <w:rsid w:val="00BB4306"/>
    <w:rsid w:val="00BB726D"/>
    <w:rsid w:val="00BB7769"/>
    <w:rsid w:val="00BB7F3B"/>
    <w:rsid w:val="00BC08AF"/>
    <w:rsid w:val="00BC1D22"/>
    <w:rsid w:val="00BC24B5"/>
    <w:rsid w:val="00BC3ED8"/>
    <w:rsid w:val="00BC56F5"/>
    <w:rsid w:val="00BC62B1"/>
    <w:rsid w:val="00BC79BF"/>
    <w:rsid w:val="00BC7B0C"/>
    <w:rsid w:val="00BD487E"/>
    <w:rsid w:val="00BD6A06"/>
    <w:rsid w:val="00BD6F13"/>
    <w:rsid w:val="00BE01B5"/>
    <w:rsid w:val="00BE02A9"/>
    <w:rsid w:val="00BE7A73"/>
    <w:rsid w:val="00BF5739"/>
    <w:rsid w:val="00C01380"/>
    <w:rsid w:val="00C01770"/>
    <w:rsid w:val="00C0504C"/>
    <w:rsid w:val="00C063F0"/>
    <w:rsid w:val="00C13731"/>
    <w:rsid w:val="00C13C57"/>
    <w:rsid w:val="00C15087"/>
    <w:rsid w:val="00C16428"/>
    <w:rsid w:val="00C20BE3"/>
    <w:rsid w:val="00C229CD"/>
    <w:rsid w:val="00C25872"/>
    <w:rsid w:val="00C26E76"/>
    <w:rsid w:val="00C30638"/>
    <w:rsid w:val="00C33FAD"/>
    <w:rsid w:val="00C35B5C"/>
    <w:rsid w:val="00C4435C"/>
    <w:rsid w:val="00C44398"/>
    <w:rsid w:val="00C44B70"/>
    <w:rsid w:val="00C462C0"/>
    <w:rsid w:val="00C46FCE"/>
    <w:rsid w:val="00C475CE"/>
    <w:rsid w:val="00C47D26"/>
    <w:rsid w:val="00C51436"/>
    <w:rsid w:val="00C559C4"/>
    <w:rsid w:val="00C605B2"/>
    <w:rsid w:val="00C618CC"/>
    <w:rsid w:val="00C64932"/>
    <w:rsid w:val="00C655AF"/>
    <w:rsid w:val="00C7234E"/>
    <w:rsid w:val="00C74CD5"/>
    <w:rsid w:val="00C7699A"/>
    <w:rsid w:val="00C769FC"/>
    <w:rsid w:val="00C81B7B"/>
    <w:rsid w:val="00C86071"/>
    <w:rsid w:val="00C86BC1"/>
    <w:rsid w:val="00C87E6B"/>
    <w:rsid w:val="00C91230"/>
    <w:rsid w:val="00C92212"/>
    <w:rsid w:val="00C92D67"/>
    <w:rsid w:val="00C92F65"/>
    <w:rsid w:val="00C94ADD"/>
    <w:rsid w:val="00C95604"/>
    <w:rsid w:val="00C9722E"/>
    <w:rsid w:val="00C97664"/>
    <w:rsid w:val="00C97997"/>
    <w:rsid w:val="00CA0E4B"/>
    <w:rsid w:val="00CA1B0E"/>
    <w:rsid w:val="00CA1B58"/>
    <w:rsid w:val="00CA1D3C"/>
    <w:rsid w:val="00CA2F9E"/>
    <w:rsid w:val="00CA373D"/>
    <w:rsid w:val="00CA59C8"/>
    <w:rsid w:val="00CA6173"/>
    <w:rsid w:val="00CA7C83"/>
    <w:rsid w:val="00CB3213"/>
    <w:rsid w:val="00CB6CD1"/>
    <w:rsid w:val="00CB745B"/>
    <w:rsid w:val="00CB7A2C"/>
    <w:rsid w:val="00CC0207"/>
    <w:rsid w:val="00CC052A"/>
    <w:rsid w:val="00CC63E5"/>
    <w:rsid w:val="00CC713D"/>
    <w:rsid w:val="00CD20C1"/>
    <w:rsid w:val="00CD69E5"/>
    <w:rsid w:val="00CD7CA0"/>
    <w:rsid w:val="00CE0842"/>
    <w:rsid w:val="00CE4430"/>
    <w:rsid w:val="00CE4BF3"/>
    <w:rsid w:val="00CE4C52"/>
    <w:rsid w:val="00CE5C06"/>
    <w:rsid w:val="00CF2CDB"/>
    <w:rsid w:val="00CF3EB1"/>
    <w:rsid w:val="00CF4286"/>
    <w:rsid w:val="00CF4CD8"/>
    <w:rsid w:val="00CF798D"/>
    <w:rsid w:val="00D000D3"/>
    <w:rsid w:val="00D00468"/>
    <w:rsid w:val="00D021C8"/>
    <w:rsid w:val="00D04183"/>
    <w:rsid w:val="00D05A91"/>
    <w:rsid w:val="00D06555"/>
    <w:rsid w:val="00D0786A"/>
    <w:rsid w:val="00D07C68"/>
    <w:rsid w:val="00D12F2B"/>
    <w:rsid w:val="00D17424"/>
    <w:rsid w:val="00D21158"/>
    <w:rsid w:val="00D22096"/>
    <w:rsid w:val="00D22FE9"/>
    <w:rsid w:val="00D3692F"/>
    <w:rsid w:val="00D370A8"/>
    <w:rsid w:val="00D416C2"/>
    <w:rsid w:val="00D44C32"/>
    <w:rsid w:val="00D46A4C"/>
    <w:rsid w:val="00D51151"/>
    <w:rsid w:val="00D53F1F"/>
    <w:rsid w:val="00D54F82"/>
    <w:rsid w:val="00D5798E"/>
    <w:rsid w:val="00D6176D"/>
    <w:rsid w:val="00D6295A"/>
    <w:rsid w:val="00D62C85"/>
    <w:rsid w:val="00D62FC6"/>
    <w:rsid w:val="00D63480"/>
    <w:rsid w:val="00D64A94"/>
    <w:rsid w:val="00D661F3"/>
    <w:rsid w:val="00D663F2"/>
    <w:rsid w:val="00D67849"/>
    <w:rsid w:val="00D67D9F"/>
    <w:rsid w:val="00D7421F"/>
    <w:rsid w:val="00D75D03"/>
    <w:rsid w:val="00D76CFB"/>
    <w:rsid w:val="00D80262"/>
    <w:rsid w:val="00D80B79"/>
    <w:rsid w:val="00D8477A"/>
    <w:rsid w:val="00D87AB4"/>
    <w:rsid w:val="00D9029C"/>
    <w:rsid w:val="00D91C56"/>
    <w:rsid w:val="00D94182"/>
    <w:rsid w:val="00D963D6"/>
    <w:rsid w:val="00D97003"/>
    <w:rsid w:val="00D97240"/>
    <w:rsid w:val="00DA184F"/>
    <w:rsid w:val="00DA3F6B"/>
    <w:rsid w:val="00DA4257"/>
    <w:rsid w:val="00DA42FA"/>
    <w:rsid w:val="00DA5D15"/>
    <w:rsid w:val="00DA5D32"/>
    <w:rsid w:val="00DB150B"/>
    <w:rsid w:val="00DB1949"/>
    <w:rsid w:val="00DB2048"/>
    <w:rsid w:val="00DB388A"/>
    <w:rsid w:val="00DB44B9"/>
    <w:rsid w:val="00DB76BA"/>
    <w:rsid w:val="00DC2DCB"/>
    <w:rsid w:val="00DC4ED5"/>
    <w:rsid w:val="00DC5FAA"/>
    <w:rsid w:val="00DD055F"/>
    <w:rsid w:val="00DD1B9E"/>
    <w:rsid w:val="00DD223A"/>
    <w:rsid w:val="00DD347C"/>
    <w:rsid w:val="00DD401E"/>
    <w:rsid w:val="00DD4E29"/>
    <w:rsid w:val="00DD4FC4"/>
    <w:rsid w:val="00DD5A3F"/>
    <w:rsid w:val="00DD7788"/>
    <w:rsid w:val="00DD7918"/>
    <w:rsid w:val="00DE0125"/>
    <w:rsid w:val="00DE3347"/>
    <w:rsid w:val="00DE51FE"/>
    <w:rsid w:val="00DF2A04"/>
    <w:rsid w:val="00DF2D59"/>
    <w:rsid w:val="00DF348E"/>
    <w:rsid w:val="00E002AB"/>
    <w:rsid w:val="00E00DD4"/>
    <w:rsid w:val="00E01298"/>
    <w:rsid w:val="00E029F5"/>
    <w:rsid w:val="00E03A82"/>
    <w:rsid w:val="00E0410C"/>
    <w:rsid w:val="00E05A40"/>
    <w:rsid w:val="00E06C5D"/>
    <w:rsid w:val="00E070CF"/>
    <w:rsid w:val="00E1298C"/>
    <w:rsid w:val="00E148D9"/>
    <w:rsid w:val="00E14BF8"/>
    <w:rsid w:val="00E17938"/>
    <w:rsid w:val="00E17C9A"/>
    <w:rsid w:val="00E23CB4"/>
    <w:rsid w:val="00E27329"/>
    <w:rsid w:val="00E27DF2"/>
    <w:rsid w:val="00E3195D"/>
    <w:rsid w:val="00E406C3"/>
    <w:rsid w:val="00E41531"/>
    <w:rsid w:val="00E423F3"/>
    <w:rsid w:val="00E44377"/>
    <w:rsid w:val="00E45773"/>
    <w:rsid w:val="00E464BD"/>
    <w:rsid w:val="00E46EFC"/>
    <w:rsid w:val="00E51870"/>
    <w:rsid w:val="00E51B6F"/>
    <w:rsid w:val="00E520C6"/>
    <w:rsid w:val="00E536B7"/>
    <w:rsid w:val="00E575CC"/>
    <w:rsid w:val="00E60B46"/>
    <w:rsid w:val="00E62214"/>
    <w:rsid w:val="00E62750"/>
    <w:rsid w:val="00E631D9"/>
    <w:rsid w:val="00E642A0"/>
    <w:rsid w:val="00E64D04"/>
    <w:rsid w:val="00E6518B"/>
    <w:rsid w:val="00E651F4"/>
    <w:rsid w:val="00E65A56"/>
    <w:rsid w:val="00E66420"/>
    <w:rsid w:val="00E70612"/>
    <w:rsid w:val="00E70B4B"/>
    <w:rsid w:val="00E73F70"/>
    <w:rsid w:val="00E752B9"/>
    <w:rsid w:val="00E804C8"/>
    <w:rsid w:val="00E82C28"/>
    <w:rsid w:val="00E8337D"/>
    <w:rsid w:val="00E83EBB"/>
    <w:rsid w:val="00E8581E"/>
    <w:rsid w:val="00E8662A"/>
    <w:rsid w:val="00E8744F"/>
    <w:rsid w:val="00E87F78"/>
    <w:rsid w:val="00E90C91"/>
    <w:rsid w:val="00E92619"/>
    <w:rsid w:val="00E968DC"/>
    <w:rsid w:val="00E97B58"/>
    <w:rsid w:val="00EA16E5"/>
    <w:rsid w:val="00EA1E86"/>
    <w:rsid w:val="00EA1EA0"/>
    <w:rsid w:val="00EA2480"/>
    <w:rsid w:val="00EA2714"/>
    <w:rsid w:val="00EA2AB1"/>
    <w:rsid w:val="00EA37DD"/>
    <w:rsid w:val="00EA71E8"/>
    <w:rsid w:val="00EB28E9"/>
    <w:rsid w:val="00EB401A"/>
    <w:rsid w:val="00EB5491"/>
    <w:rsid w:val="00EB7454"/>
    <w:rsid w:val="00EC1387"/>
    <w:rsid w:val="00EC22F7"/>
    <w:rsid w:val="00EC3035"/>
    <w:rsid w:val="00EC3154"/>
    <w:rsid w:val="00EC3B6F"/>
    <w:rsid w:val="00EC4B33"/>
    <w:rsid w:val="00EC4CB0"/>
    <w:rsid w:val="00EC6DCA"/>
    <w:rsid w:val="00ED0957"/>
    <w:rsid w:val="00ED0B11"/>
    <w:rsid w:val="00ED16FE"/>
    <w:rsid w:val="00ED25F9"/>
    <w:rsid w:val="00ED3AAE"/>
    <w:rsid w:val="00ED4188"/>
    <w:rsid w:val="00EE36C1"/>
    <w:rsid w:val="00EE3CBB"/>
    <w:rsid w:val="00EF0418"/>
    <w:rsid w:val="00EF0CBA"/>
    <w:rsid w:val="00EF1E48"/>
    <w:rsid w:val="00F00E75"/>
    <w:rsid w:val="00F012D3"/>
    <w:rsid w:val="00F1043F"/>
    <w:rsid w:val="00F1372A"/>
    <w:rsid w:val="00F14D56"/>
    <w:rsid w:val="00F15C2A"/>
    <w:rsid w:val="00F21856"/>
    <w:rsid w:val="00F22A60"/>
    <w:rsid w:val="00F23132"/>
    <w:rsid w:val="00F247F1"/>
    <w:rsid w:val="00F25BE5"/>
    <w:rsid w:val="00F33651"/>
    <w:rsid w:val="00F35817"/>
    <w:rsid w:val="00F3649A"/>
    <w:rsid w:val="00F3710F"/>
    <w:rsid w:val="00F37F7A"/>
    <w:rsid w:val="00F409AB"/>
    <w:rsid w:val="00F42461"/>
    <w:rsid w:val="00F43DC5"/>
    <w:rsid w:val="00F45899"/>
    <w:rsid w:val="00F45E85"/>
    <w:rsid w:val="00F504DD"/>
    <w:rsid w:val="00F53BB0"/>
    <w:rsid w:val="00F54877"/>
    <w:rsid w:val="00F54D6C"/>
    <w:rsid w:val="00F55D13"/>
    <w:rsid w:val="00F56F12"/>
    <w:rsid w:val="00F57138"/>
    <w:rsid w:val="00F61A9C"/>
    <w:rsid w:val="00F66AD5"/>
    <w:rsid w:val="00F66D92"/>
    <w:rsid w:val="00F67B41"/>
    <w:rsid w:val="00F67F04"/>
    <w:rsid w:val="00F746BB"/>
    <w:rsid w:val="00F7470B"/>
    <w:rsid w:val="00F74B19"/>
    <w:rsid w:val="00F80A96"/>
    <w:rsid w:val="00F82007"/>
    <w:rsid w:val="00F829D5"/>
    <w:rsid w:val="00F82BE0"/>
    <w:rsid w:val="00F83AA8"/>
    <w:rsid w:val="00F83C4E"/>
    <w:rsid w:val="00F840B3"/>
    <w:rsid w:val="00F86353"/>
    <w:rsid w:val="00F870EB"/>
    <w:rsid w:val="00F8775D"/>
    <w:rsid w:val="00F8794E"/>
    <w:rsid w:val="00F9116F"/>
    <w:rsid w:val="00F911BA"/>
    <w:rsid w:val="00F96006"/>
    <w:rsid w:val="00F96339"/>
    <w:rsid w:val="00F96C8E"/>
    <w:rsid w:val="00F97A59"/>
    <w:rsid w:val="00FA07F3"/>
    <w:rsid w:val="00FA1D20"/>
    <w:rsid w:val="00FA3D49"/>
    <w:rsid w:val="00FA4988"/>
    <w:rsid w:val="00FA4B59"/>
    <w:rsid w:val="00FA54BD"/>
    <w:rsid w:val="00FA7018"/>
    <w:rsid w:val="00FA7E99"/>
    <w:rsid w:val="00FB3C7C"/>
    <w:rsid w:val="00FB46C6"/>
    <w:rsid w:val="00FB5C80"/>
    <w:rsid w:val="00FC53A2"/>
    <w:rsid w:val="00FC6E51"/>
    <w:rsid w:val="00FD3931"/>
    <w:rsid w:val="00FD469B"/>
    <w:rsid w:val="00FD504B"/>
    <w:rsid w:val="00FD641F"/>
    <w:rsid w:val="00FE1672"/>
    <w:rsid w:val="00FE3171"/>
    <w:rsid w:val="00FE4620"/>
    <w:rsid w:val="00FE632F"/>
    <w:rsid w:val="00FE6B52"/>
    <w:rsid w:val="00FE74C2"/>
    <w:rsid w:val="00FF145F"/>
    <w:rsid w:val="00FF164F"/>
    <w:rsid w:val="00FF1A71"/>
    <w:rsid w:val="00FF3126"/>
    <w:rsid w:val="00FF490D"/>
    <w:rsid w:val="00FF5601"/>
    <w:rsid w:val="00FF793E"/>
    <w:rsid w:val="00FF79FC"/>
    <w:rsid w:val="0179A898"/>
    <w:rsid w:val="018B704A"/>
    <w:rsid w:val="0194D8EA"/>
    <w:rsid w:val="01C4DCED"/>
    <w:rsid w:val="02C6A936"/>
    <w:rsid w:val="03353112"/>
    <w:rsid w:val="0396DB26"/>
    <w:rsid w:val="03BE1F29"/>
    <w:rsid w:val="03E57C34"/>
    <w:rsid w:val="0507A5E8"/>
    <w:rsid w:val="057BE11A"/>
    <w:rsid w:val="0635F5C6"/>
    <w:rsid w:val="06A7D6F8"/>
    <w:rsid w:val="06EEDD63"/>
    <w:rsid w:val="0746FF4C"/>
    <w:rsid w:val="084CC814"/>
    <w:rsid w:val="09F4E3C2"/>
    <w:rsid w:val="0ACDB41B"/>
    <w:rsid w:val="0C0F892D"/>
    <w:rsid w:val="0C2E7FCD"/>
    <w:rsid w:val="0CA8F5ED"/>
    <w:rsid w:val="0D67C955"/>
    <w:rsid w:val="0D89EB23"/>
    <w:rsid w:val="0E799902"/>
    <w:rsid w:val="0E8FD3A8"/>
    <w:rsid w:val="0FF0200D"/>
    <w:rsid w:val="102C697D"/>
    <w:rsid w:val="1096FDEC"/>
    <w:rsid w:val="10B93F07"/>
    <w:rsid w:val="11256DFA"/>
    <w:rsid w:val="11A48B82"/>
    <w:rsid w:val="12B85CFD"/>
    <w:rsid w:val="12D20C3C"/>
    <w:rsid w:val="134C751A"/>
    <w:rsid w:val="156567FE"/>
    <w:rsid w:val="16973D8A"/>
    <w:rsid w:val="1737DA54"/>
    <w:rsid w:val="175C9526"/>
    <w:rsid w:val="19474526"/>
    <w:rsid w:val="194AC42A"/>
    <w:rsid w:val="19E86B76"/>
    <w:rsid w:val="1B9248C5"/>
    <w:rsid w:val="1BE47A1E"/>
    <w:rsid w:val="1C0C98FF"/>
    <w:rsid w:val="1C314262"/>
    <w:rsid w:val="1C656BFC"/>
    <w:rsid w:val="1C767925"/>
    <w:rsid w:val="1C83DF1A"/>
    <w:rsid w:val="1E547FB1"/>
    <w:rsid w:val="1EE4C5A2"/>
    <w:rsid w:val="1F500D1A"/>
    <w:rsid w:val="1F5933A3"/>
    <w:rsid w:val="205B3568"/>
    <w:rsid w:val="226370C2"/>
    <w:rsid w:val="23139919"/>
    <w:rsid w:val="249E0CE3"/>
    <w:rsid w:val="24EDA6BC"/>
    <w:rsid w:val="2527DAF0"/>
    <w:rsid w:val="257F97C1"/>
    <w:rsid w:val="27AC47C4"/>
    <w:rsid w:val="27FCCC3D"/>
    <w:rsid w:val="28719053"/>
    <w:rsid w:val="29610471"/>
    <w:rsid w:val="29D09156"/>
    <w:rsid w:val="2AE67430"/>
    <w:rsid w:val="2AF2B525"/>
    <w:rsid w:val="2B3F29F0"/>
    <w:rsid w:val="2C332BC2"/>
    <w:rsid w:val="2E50DF06"/>
    <w:rsid w:val="2E740CDF"/>
    <w:rsid w:val="2F21CA09"/>
    <w:rsid w:val="2F695677"/>
    <w:rsid w:val="2F943637"/>
    <w:rsid w:val="308CCDAD"/>
    <w:rsid w:val="317D5C4F"/>
    <w:rsid w:val="31BD013F"/>
    <w:rsid w:val="31E14779"/>
    <w:rsid w:val="32032BEA"/>
    <w:rsid w:val="32318703"/>
    <w:rsid w:val="327EA23A"/>
    <w:rsid w:val="32C5CE89"/>
    <w:rsid w:val="32D710CE"/>
    <w:rsid w:val="354E83E3"/>
    <w:rsid w:val="36E1C813"/>
    <w:rsid w:val="37C422CB"/>
    <w:rsid w:val="37E9A99E"/>
    <w:rsid w:val="39E1F75F"/>
    <w:rsid w:val="3A1C220E"/>
    <w:rsid w:val="3A5CEE46"/>
    <w:rsid w:val="3B160630"/>
    <w:rsid w:val="3B622219"/>
    <w:rsid w:val="3C0BCCED"/>
    <w:rsid w:val="3CA3C472"/>
    <w:rsid w:val="3DA15B0A"/>
    <w:rsid w:val="3EA0E3BA"/>
    <w:rsid w:val="3F6D1BD0"/>
    <w:rsid w:val="41D6329D"/>
    <w:rsid w:val="42AF86CF"/>
    <w:rsid w:val="43EF0FF6"/>
    <w:rsid w:val="46C2F151"/>
    <w:rsid w:val="46E6E5D9"/>
    <w:rsid w:val="47DE0F2B"/>
    <w:rsid w:val="4954244D"/>
    <w:rsid w:val="49B4D6E0"/>
    <w:rsid w:val="49F079CB"/>
    <w:rsid w:val="4A4B8ED2"/>
    <w:rsid w:val="4ACBFF55"/>
    <w:rsid w:val="4AFB841A"/>
    <w:rsid w:val="4C50AEAE"/>
    <w:rsid w:val="4DCE4B8C"/>
    <w:rsid w:val="4DD92CA5"/>
    <w:rsid w:val="4E33F529"/>
    <w:rsid w:val="4EBFADC2"/>
    <w:rsid w:val="4ED0DA4F"/>
    <w:rsid w:val="4F598B05"/>
    <w:rsid w:val="4FA72E30"/>
    <w:rsid w:val="50126541"/>
    <w:rsid w:val="50435E8D"/>
    <w:rsid w:val="51558345"/>
    <w:rsid w:val="5162E4CA"/>
    <w:rsid w:val="51A5A879"/>
    <w:rsid w:val="51CF0F35"/>
    <w:rsid w:val="5389A65C"/>
    <w:rsid w:val="543A84CB"/>
    <w:rsid w:val="55CBE14A"/>
    <w:rsid w:val="561220BB"/>
    <w:rsid w:val="5A899D0B"/>
    <w:rsid w:val="5B2F8F42"/>
    <w:rsid w:val="5BA25007"/>
    <w:rsid w:val="5BB555A0"/>
    <w:rsid w:val="5C0A1AE6"/>
    <w:rsid w:val="5C84C130"/>
    <w:rsid w:val="5D663E81"/>
    <w:rsid w:val="5D780147"/>
    <w:rsid w:val="5D925F25"/>
    <w:rsid w:val="5DB5AACB"/>
    <w:rsid w:val="5DBCE740"/>
    <w:rsid w:val="5E0733CF"/>
    <w:rsid w:val="60E28548"/>
    <w:rsid w:val="617C0736"/>
    <w:rsid w:val="61A0EF56"/>
    <w:rsid w:val="61AD6132"/>
    <w:rsid w:val="62D0F4EE"/>
    <w:rsid w:val="63097616"/>
    <w:rsid w:val="648DD4AC"/>
    <w:rsid w:val="66091428"/>
    <w:rsid w:val="661EB3CF"/>
    <w:rsid w:val="675299B1"/>
    <w:rsid w:val="689CFFE4"/>
    <w:rsid w:val="699CC54F"/>
    <w:rsid w:val="6BAC6F7D"/>
    <w:rsid w:val="6C05CEFF"/>
    <w:rsid w:val="6C9317E2"/>
    <w:rsid w:val="6D92F835"/>
    <w:rsid w:val="6E23C61F"/>
    <w:rsid w:val="702AC5CF"/>
    <w:rsid w:val="71146C43"/>
    <w:rsid w:val="7231C3E6"/>
    <w:rsid w:val="72CF3AAF"/>
    <w:rsid w:val="72D4B3F7"/>
    <w:rsid w:val="74C43BB1"/>
    <w:rsid w:val="76584F65"/>
    <w:rsid w:val="7659A264"/>
    <w:rsid w:val="77665E36"/>
    <w:rsid w:val="78F6882C"/>
    <w:rsid w:val="7994BCDE"/>
    <w:rsid w:val="79B9E93F"/>
    <w:rsid w:val="79D0D430"/>
    <w:rsid w:val="7A58CA20"/>
    <w:rsid w:val="7A74940A"/>
    <w:rsid w:val="7ABF59B0"/>
    <w:rsid w:val="7B1800F4"/>
    <w:rsid w:val="7B1ECDFD"/>
    <w:rsid w:val="7B737F6F"/>
    <w:rsid w:val="7D73E231"/>
    <w:rsid w:val="7D817524"/>
    <w:rsid w:val="7DC9018E"/>
    <w:rsid w:val="7DD61B8D"/>
    <w:rsid w:val="7E1CC13A"/>
    <w:rsid w:val="7E588F5D"/>
    <w:rsid w:val="7EA5E8F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76FBC"/>
  <w15:chartTrackingRefBased/>
  <w15:docId w15:val="{0980F335-C8AA-449D-8C26-61D95B534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40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56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56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56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56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56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56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56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56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aliases w:val="TOC 1.1"/>
    <w:next w:val="Heading1"/>
    <w:link w:val="TOC1Char"/>
    <w:autoRedefine/>
    <w:uiPriority w:val="39"/>
    <w:unhideWhenUsed/>
    <w:qFormat/>
    <w:rsid w:val="005440A2"/>
    <w:pPr>
      <w:tabs>
        <w:tab w:val="right" w:leader="dot" w:pos="9016"/>
      </w:tabs>
      <w:spacing w:before="120" w:after="0"/>
    </w:pPr>
    <w:rPr>
      <w:rFonts w:ascii="Arial" w:hAnsi="Arial"/>
      <w:bCs/>
      <w:iCs/>
      <w:noProof/>
      <w:color w:val="000000" w:themeColor="text1"/>
    </w:rPr>
  </w:style>
  <w:style w:type="character" w:customStyle="1" w:styleId="TOC1Char">
    <w:name w:val="TOC 1 Char"/>
    <w:aliases w:val="TOC 1.1 Char"/>
    <w:basedOn w:val="DefaultParagraphFont"/>
    <w:link w:val="TOC1"/>
    <w:uiPriority w:val="39"/>
    <w:rsid w:val="005440A2"/>
    <w:rPr>
      <w:rFonts w:ascii="Arial" w:hAnsi="Arial"/>
      <w:bCs/>
      <w:iCs/>
      <w:noProof/>
      <w:color w:val="000000" w:themeColor="text1"/>
    </w:rPr>
  </w:style>
  <w:style w:type="character" w:customStyle="1" w:styleId="Heading1Char">
    <w:name w:val="Heading 1 Char"/>
    <w:basedOn w:val="DefaultParagraphFont"/>
    <w:link w:val="Heading1"/>
    <w:uiPriority w:val="9"/>
    <w:rsid w:val="005440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56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56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56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56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56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56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56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5684"/>
    <w:rPr>
      <w:rFonts w:eastAsiaTheme="majorEastAsia" w:cstheme="majorBidi"/>
      <w:color w:val="272727" w:themeColor="text1" w:themeTint="D8"/>
    </w:rPr>
  </w:style>
  <w:style w:type="paragraph" w:styleId="Title">
    <w:name w:val="Title"/>
    <w:basedOn w:val="Normal"/>
    <w:next w:val="Normal"/>
    <w:link w:val="TitleChar"/>
    <w:uiPriority w:val="10"/>
    <w:qFormat/>
    <w:rsid w:val="002D56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56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56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56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5684"/>
    <w:pPr>
      <w:spacing w:before="160"/>
      <w:jc w:val="center"/>
    </w:pPr>
    <w:rPr>
      <w:i/>
      <w:iCs/>
      <w:color w:val="404040" w:themeColor="text1" w:themeTint="BF"/>
    </w:rPr>
  </w:style>
  <w:style w:type="character" w:customStyle="1" w:styleId="QuoteChar">
    <w:name w:val="Quote Char"/>
    <w:basedOn w:val="DefaultParagraphFont"/>
    <w:link w:val="Quote"/>
    <w:uiPriority w:val="29"/>
    <w:rsid w:val="002D5684"/>
    <w:rPr>
      <w:i/>
      <w:iCs/>
      <w:color w:val="404040" w:themeColor="text1" w:themeTint="BF"/>
    </w:rPr>
  </w:style>
  <w:style w:type="paragraph" w:styleId="ListParagraph">
    <w:name w:val="List Paragraph"/>
    <w:basedOn w:val="Normal"/>
    <w:uiPriority w:val="34"/>
    <w:qFormat/>
    <w:rsid w:val="002D5684"/>
    <w:pPr>
      <w:ind w:left="720"/>
      <w:contextualSpacing/>
    </w:pPr>
  </w:style>
  <w:style w:type="character" w:styleId="IntenseEmphasis">
    <w:name w:val="Intense Emphasis"/>
    <w:basedOn w:val="DefaultParagraphFont"/>
    <w:uiPriority w:val="21"/>
    <w:qFormat/>
    <w:rsid w:val="002D5684"/>
    <w:rPr>
      <w:i/>
      <w:iCs/>
      <w:color w:val="0F4761" w:themeColor="accent1" w:themeShade="BF"/>
    </w:rPr>
  </w:style>
  <w:style w:type="paragraph" w:styleId="IntenseQuote">
    <w:name w:val="Intense Quote"/>
    <w:basedOn w:val="Normal"/>
    <w:next w:val="Normal"/>
    <w:link w:val="IntenseQuoteChar"/>
    <w:uiPriority w:val="30"/>
    <w:qFormat/>
    <w:rsid w:val="002D56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5684"/>
    <w:rPr>
      <w:i/>
      <w:iCs/>
      <w:color w:val="0F4761" w:themeColor="accent1" w:themeShade="BF"/>
    </w:rPr>
  </w:style>
  <w:style w:type="character" w:styleId="IntenseReference">
    <w:name w:val="Intense Reference"/>
    <w:basedOn w:val="DefaultParagraphFont"/>
    <w:uiPriority w:val="32"/>
    <w:qFormat/>
    <w:rsid w:val="002D5684"/>
    <w:rPr>
      <w:b/>
      <w:bCs/>
      <w:smallCaps/>
      <w:color w:val="0F4761" w:themeColor="accent1" w:themeShade="BF"/>
      <w:spacing w:val="5"/>
    </w:rPr>
  </w:style>
  <w:style w:type="paragraph" w:styleId="NoSpacing">
    <w:name w:val="No Spacing"/>
    <w:link w:val="NoSpacingChar"/>
    <w:uiPriority w:val="1"/>
    <w:qFormat/>
    <w:rsid w:val="002D568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D5684"/>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2D5684"/>
    <w:pPr>
      <w:spacing w:before="240" w:after="0" w:line="259" w:lineRule="auto"/>
      <w:outlineLvl w:val="9"/>
    </w:pPr>
    <w:rPr>
      <w:kern w:val="0"/>
      <w:sz w:val="32"/>
      <w:szCs w:val="32"/>
      <w:lang w:val="en-US"/>
      <w14:ligatures w14:val="none"/>
    </w:rPr>
  </w:style>
  <w:style w:type="character" w:customStyle="1" w:styleId="apple-converted-space">
    <w:name w:val="apple-converted-space"/>
    <w:basedOn w:val="DefaultParagraphFont"/>
    <w:rsid w:val="00075FDD"/>
  </w:style>
  <w:style w:type="paragraph" w:customStyle="1" w:styleId="w7sjnrxzl6krnffuzhqe">
    <w:name w:val="w7sjnrxzl6krnffuzhqe"/>
    <w:basedOn w:val="Normal"/>
    <w:rsid w:val="008C24DF"/>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Header">
    <w:name w:val="header"/>
    <w:basedOn w:val="Normal"/>
    <w:link w:val="HeaderChar"/>
    <w:uiPriority w:val="99"/>
    <w:unhideWhenUsed/>
    <w:rsid w:val="00A648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48C9"/>
  </w:style>
  <w:style w:type="paragraph" w:styleId="Footer">
    <w:name w:val="footer"/>
    <w:basedOn w:val="Normal"/>
    <w:link w:val="FooterChar"/>
    <w:uiPriority w:val="99"/>
    <w:unhideWhenUsed/>
    <w:rsid w:val="00A648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48C9"/>
  </w:style>
  <w:style w:type="paragraph" w:styleId="TOC2">
    <w:name w:val="toc 2"/>
    <w:basedOn w:val="Normal"/>
    <w:next w:val="Normal"/>
    <w:autoRedefine/>
    <w:uiPriority w:val="39"/>
    <w:unhideWhenUsed/>
    <w:rsid w:val="00254C49"/>
    <w:pPr>
      <w:tabs>
        <w:tab w:val="right" w:leader="dot" w:pos="9016"/>
      </w:tabs>
      <w:spacing w:after="100"/>
      <w:ind w:left="240"/>
    </w:pPr>
  </w:style>
  <w:style w:type="character" w:styleId="Hyperlink">
    <w:name w:val="Hyperlink"/>
    <w:basedOn w:val="DefaultParagraphFont"/>
    <w:uiPriority w:val="99"/>
    <w:unhideWhenUsed/>
    <w:rsid w:val="00254C49"/>
    <w:rPr>
      <w:color w:val="467886" w:themeColor="hyperlink"/>
      <w:u w:val="single"/>
    </w:rPr>
  </w:style>
  <w:style w:type="paragraph" w:customStyle="1" w:styleId="p1">
    <w:name w:val="p1"/>
    <w:basedOn w:val="Normal"/>
    <w:rsid w:val="00E44377"/>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2">
    <w:name w:val="s2"/>
    <w:basedOn w:val="DefaultParagraphFont"/>
    <w:rsid w:val="00E44377"/>
  </w:style>
  <w:style w:type="character" w:customStyle="1" w:styleId="s1">
    <w:name w:val="s1"/>
    <w:basedOn w:val="DefaultParagraphFont"/>
    <w:rsid w:val="00E44377"/>
  </w:style>
  <w:style w:type="paragraph" w:customStyle="1" w:styleId="p2">
    <w:name w:val="p2"/>
    <w:basedOn w:val="Normal"/>
    <w:rsid w:val="00E44377"/>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FollowedHyperlink">
    <w:name w:val="FollowedHyperlink"/>
    <w:basedOn w:val="DefaultParagraphFont"/>
    <w:uiPriority w:val="99"/>
    <w:semiHidden/>
    <w:unhideWhenUsed/>
    <w:rsid w:val="00CE4C52"/>
    <w:rPr>
      <w:color w:val="96607D" w:themeColor="followedHyperlink"/>
      <w:u w:val="single"/>
    </w:rPr>
  </w:style>
  <w:style w:type="character" w:styleId="UnresolvedMention">
    <w:name w:val="Unresolved Mention"/>
    <w:basedOn w:val="DefaultParagraphFont"/>
    <w:uiPriority w:val="99"/>
    <w:semiHidden/>
    <w:unhideWhenUsed/>
    <w:rsid w:val="00CE4B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86/s12916-018-1057-z" TargetMode="External"/><Relationship Id="rId18" Type="http://schemas.openxmlformats.org/officeDocument/2006/relationships/hyperlink" Target="https://doi.org/10.1371/journal.pone.0300047" TargetMode="External"/><Relationship Id="rId26" Type="http://schemas.openxmlformats.org/officeDocument/2006/relationships/hyperlink" Target="https://doi.org/10.1001/jama.285.16.2114" TargetMode="External"/><Relationship Id="rId39" Type="http://schemas.openxmlformats.org/officeDocument/2006/relationships/hyperlink" Target="https://www.who.int/publications/i/item/WHO-HIS-SDS-2017.6" TargetMode="External"/><Relationship Id="rId21" Type="http://schemas.openxmlformats.org/officeDocument/2006/relationships/hyperlink" Target="https://doi.org/10.1136/bmjqs-2019-010206" TargetMode="External"/><Relationship Id="rId34" Type="http://schemas.openxmlformats.org/officeDocument/2006/relationships/hyperlink" Target="https://doi.org/10.1186/s12913-016-1784-9"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097/HMR.0000000000000385" TargetMode="External"/><Relationship Id="rId20" Type="http://schemas.openxmlformats.org/officeDocument/2006/relationships/hyperlink" Target="https://doi.org/10.2307/2666999" TargetMode="External"/><Relationship Id="rId29" Type="http://schemas.openxmlformats.org/officeDocument/2006/relationships/hyperlink" Target="https://doi.org/10.1111/bcp.16052" TargetMode="External"/><Relationship Id="rId41" Type="http://schemas.openxmlformats.org/officeDocument/2006/relationships/hyperlink" Target="https://doi.org/10.1016/j.gerinurse.2024.02.00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07/s40272-017-0214-8" TargetMode="External"/><Relationship Id="rId32" Type="http://schemas.openxmlformats.org/officeDocument/2006/relationships/hyperlink" Target="https://www.nice.org.uk/guidance/ng46" TargetMode="External"/><Relationship Id="rId37" Type="http://schemas.openxmlformats.org/officeDocument/2006/relationships/hyperlink" Target="https://doi.org/10.1186/s12911-020-01376-8" TargetMode="External"/><Relationship Id="rId40" Type="http://schemas.openxmlformats.org/officeDocument/2006/relationships/hyperlink" Target="https://www.who.int/news-room/fact-sheets/detail/patient-safety?utm_source=chatgpt.com" TargetMode="External"/><Relationship Id="rId5" Type="http://schemas.openxmlformats.org/officeDocument/2006/relationships/numbering" Target="numbering.xml"/><Relationship Id="rId15" Type="http://schemas.openxmlformats.org/officeDocument/2006/relationships/hyperlink" Target="https://doi.org/10.1016/j.apergo.2013.04.023" TargetMode="External"/><Relationship Id="rId23" Type="http://schemas.openxmlformats.org/officeDocument/2006/relationships/hyperlink" Target="https://doi.org/10.1080/23288604.2016.1217367" TargetMode="External"/><Relationship Id="rId28" Type="http://schemas.openxmlformats.org/officeDocument/2006/relationships/hyperlink" Target="https://doi.org/10.15171/ijhpm.2018.112" TargetMode="External"/><Relationship Id="rId36" Type="http://schemas.openxmlformats.org/officeDocument/2006/relationships/hyperlink" Target="https://doi.org/10.1016/j.apergo.2023.104000" TargetMode="External"/><Relationship Id="rId10" Type="http://schemas.openxmlformats.org/officeDocument/2006/relationships/endnotes" Target="endnotes.xml"/><Relationship Id="rId19" Type="http://schemas.openxmlformats.org/officeDocument/2006/relationships/hyperlink" Target="https://doi.org/10.1016/S0140-6736(17)31047-4" TargetMode="External"/><Relationship Id="rId31" Type="http://schemas.openxmlformats.org/officeDocument/2006/relationships/hyperlink" Target="https://www.england.nhs.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36/qshc.2005.015842" TargetMode="External"/><Relationship Id="rId22" Type="http://schemas.openxmlformats.org/officeDocument/2006/relationships/hyperlink" Target="https://doi.org/10.1177/1460458220941750" TargetMode="External"/><Relationship Id="rId27" Type="http://schemas.openxmlformats.org/officeDocument/2006/relationships/hyperlink" Target="https://doi.org/10.1108/jhom-08-2024-0358" TargetMode="External"/><Relationship Id="rId30" Type="http://schemas.openxmlformats.org/officeDocument/2006/relationships/hyperlink" Target="https://doi.org/10.1016/j.colegn.2021.07.004" TargetMode="External"/><Relationship Id="rId35" Type="http://schemas.openxmlformats.org/officeDocument/2006/relationships/hyperlink" Target="https://doi.org/10.1136/bmj.320.7237.768"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doi.org/10.1093/intqhc/mzv063" TargetMode="External"/><Relationship Id="rId17" Type="http://schemas.openxmlformats.org/officeDocument/2006/relationships/hyperlink" Target="https://doi.org/10.3389/fmed.2021.814100" TargetMode="External"/><Relationship Id="rId25" Type="http://schemas.openxmlformats.org/officeDocument/2006/relationships/hyperlink" Target="https://doi.org/10.1093/intqhc/mzad088" TargetMode="External"/><Relationship Id="rId33" Type="http://schemas.openxmlformats.org/officeDocument/2006/relationships/hyperlink" Target="https://doi.org/10.1787/2abdd834-en" TargetMode="External"/><Relationship Id="rId38" Type="http://schemas.openxmlformats.org/officeDocument/2006/relationships/hyperlink" Target="https://www.kingsfu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This report critically analyses a medication safety incident involving a four-week-old infant who received a morphine dose approximately twenty times higher than intended due to dispensing of an incorrect drug concentration. The case, reported within the NHS North East and Yorkshire region, illustrates how medication harm often arises from systemic weaknesses rather than isolated professional mistakes. Using systems thinking and leadership theory, the report evaluates how governance structures, communication failures, technological limitations and leadership practices interacted to create conditions for the error.
The analysis draws upon peer-reviewed literature on medication safety, healthcare leadership and socio-technical systems to examine the organisational context surrounding the incident. Evidence from global patient safety research indicates that medication errors remain one of the most significant causes of preventable harm in healthcare. The report therefore frames the case as a systems failure involving prescribing practices, pharmacy dispensing processes and inadequate decision-support safeguards.
Leadership theories including transformational, situational and distributed leadership are applied to evaluate how healthcare leaders influence safety culture and organisational learning. The report argues that effective leadership must move beyond individual accountability towards proactive system redesign that strengthens safety infrastructure. Recommendations include improved electronic prescribing systems, enhanced communication between care settings, human-factors-informed workflow redesign and stronger organisational learning systems. Collectively, these measures aim to reduce medication harm and improve patient safety outcomes across healthcare organisations.</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645A90D4AF1594DA85FD2E0F7B5AA8E" ma:contentTypeVersion="8" ma:contentTypeDescription="Create a new document." ma:contentTypeScope="" ma:versionID="45943b720aa5c86aef7da73a0916b59d">
  <xsd:schema xmlns:xsd="http://www.w3.org/2001/XMLSchema" xmlns:xs="http://www.w3.org/2001/XMLSchema" xmlns:p="http://schemas.microsoft.com/office/2006/metadata/properties" xmlns:ns2="9f8b6bd3-658c-499b-a11d-eb1fd1b1a001" targetNamespace="http://schemas.microsoft.com/office/2006/metadata/properties" ma:root="true" ma:fieldsID="c1d1d92b942afb35f10a2dc2f55f371a" ns2:_="">
    <xsd:import namespace="9f8b6bd3-658c-499b-a11d-eb1fd1b1a0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8b6bd3-658c-499b-a11d-eb1fd1b1a0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1D504A-021F-4DD8-8E75-A442A612AC64}">
  <ds:schemaRefs>
    <ds:schemaRef ds:uri="http://schemas.microsoft.com/sharepoint/v3/contenttype/forms"/>
  </ds:schemaRefs>
</ds:datastoreItem>
</file>

<file path=customXml/itemProps3.xml><?xml version="1.0" encoding="utf-8"?>
<ds:datastoreItem xmlns:ds="http://schemas.openxmlformats.org/officeDocument/2006/customXml" ds:itemID="{BE16EC35-7500-451F-8495-40E1E2ECC401}">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E3C329CF-1FE6-492F-86F2-A4DFEF8F5956}">
  <ds:schemaRefs>
    <ds:schemaRef ds:uri="http://schemas.microsoft.com/office/2006/metadata/contentType"/>
    <ds:schemaRef ds:uri="http://schemas.microsoft.com/office/2006/metadata/properties/metaAttributes"/>
    <ds:schemaRef ds:uri="http://www.w3.org/2000/xmlns/"/>
    <ds:schemaRef ds:uri="http://www.w3.org/2001/XMLSchema"/>
    <ds:schemaRef ds:uri="9f8b6bd3-658c-499b-a11d-eb1fd1b1a001"/>
  </ds:schemaRefs>
</ds:datastoreItem>
</file>

<file path=docProps/app.xml><?xml version="1.0" encoding="utf-8"?>
<Properties xmlns="http://schemas.openxmlformats.org/officeDocument/2006/extended-properties" xmlns:vt="http://schemas.openxmlformats.org/officeDocument/2006/docPropsVTypes">
  <Template>Normal</Template>
  <TotalTime>1673</TotalTime>
  <Pages>24</Pages>
  <Words>7620</Words>
  <Characters>43438</Characters>
  <Application>Microsoft Office Word</Application>
  <DocSecurity>0</DocSecurity>
  <Lines>361</Lines>
  <Paragraphs>101</Paragraphs>
  <ScaleCrop>false</ScaleCrop>
  <Company/>
  <LinksUpToDate>false</LinksUpToDate>
  <CharactersWithSpaces>50957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Systems Thinking and Medication Safety,  A Case Analysis of Infant Morphine Overdose</dc:title>
  <dc:subject/>
  <dc:creator>Patience Edo (2220883)</dc:creator>
  <cp:keywords/>
  <dc:description/>
  <cp:lastModifiedBy>Patience Edo (2220883)</cp:lastModifiedBy>
  <cp:revision>224</cp:revision>
  <dcterms:created xsi:type="dcterms:W3CDTF">2026-04-26T05:32:00Z</dcterms:created>
  <dcterms:modified xsi:type="dcterms:W3CDTF">2026-04-27T23:31:00Z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50d7ed55-9d7f-421f-872f-8d40163c41e4</vt:lpwstr>
  </property>
  <property fmtid="{D5CDD505-2E9C-101B-9397-08002B2CF9AE}" pid="3" name="ContentTypeId">
    <vt:lpwstr>0x0101004645A90D4AF1594DA85FD2E0F7B5AA8E</vt:lpwstr>
  </property>
</Properties>
</file>