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488D" w:rsidRPr="00A85BFE" w:rsidRDefault="003D488D" w:rsidP="003D488D">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9264" behindDoc="0" locked="0" layoutInCell="1" allowOverlap="1" wp14:anchorId="73E1D4F9" wp14:editId="39B43FAE">
            <wp:simplePos x="0" y="0"/>
            <wp:positionH relativeFrom="margin">
              <wp:align>left</wp:align>
            </wp:positionH>
            <wp:positionV relativeFrom="paragraph">
              <wp:posOffset>304</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4" r:link="rId5">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rsidR="003D488D" w:rsidRPr="00A406E5" w:rsidRDefault="003D488D" w:rsidP="003D488D">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3D488D" w:rsidRPr="00A406E5" w:rsidTr="0038691F">
        <w:trPr>
          <w:trHeight w:val="821"/>
        </w:trPr>
        <w:tc>
          <w:tcPr>
            <w:tcW w:w="9922" w:type="dxa"/>
            <w:shd w:val="clear" w:color="auto" w:fill="C0C0C0"/>
          </w:tcPr>
          <w:p w:rsidR="003D488D" w:rsidRPr="00A406E5" w:rsidRDefault="003D488D" w:rsidP="0038691F">
            <w:pPr>
              <w:pStyle w:val="Heading4"/>
              <w:rPr>
                <w:rFonts w:ascii="Arial" w:hAnsi="Arial" w:cs="Arial"/>
                <w:b/>
              </w:rPr>
            </w:pPr>
            <w:r w:rsidRPr="00A406E5">
              <w:rPr>
                <w:rFonts w:ascii="Arial" w:hAnsi="Arial" w:cs="Arial"/>
                <w:b/>
              </w:rPr>
              <w:t xml:space="preserve">LEVEL 6 ASSESSMENT SPECIFICATION </w:t>
            </w:r>
          </w:p>
        </w:tc>
      </w:tr>
    </w:tbl>
    <w:p w:rsidR="003D488D" w:rsidRPr="00A406E5" w:rsidRDefault="003D488D" w:rsidP="003D488D">
      <w:pPr>
        <w:jc w:val="center"/>
        <w:rPr>
          <w:rFonts w:ascii="Arial" w:hAnsi="Arial" w:cs="Arial"/>
          <w:b/>
          <w:i/>
          <w:sz w:val="32"/>
        </w:rPr>
      </w:pPr>
    </w:p>
    <w:tbl>
      <w:tblPr>
        <w:tblW w:w="929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60"/>
        <w:gridCol w:w="3083"/>
        <w:gridCol w:w="2123"/>
        <w:gridCol w:w="2125"/>
      </w:tblGrid>
      <w:tr w:rsidR="003D488D" w:rsidRPr="00A406E5" w:rsidTr="003D488D">
        <w:trPr>
          <w:trHeight w:val="624"/>
        </w:trPr>
        <w:tc>
          <w:tcPr>
            <w:tcW w:w="1960" w:type="dxa"/>
            <w:shd w:val="clear" w:color="auto" w:fill="auto"/>
          </w:tcPr>
          <w:p w:rsidR="003D488D" w:rsidRPr="009601B8" w:rsidRDefault="003D488D" w:rsidP="0038691F">
            <w:pPr>
              <w:spacing w:before="120" w:after="120"/>
              <w:jc w:val="both"/>
              <w:rPr>
                <w:rFonts w:ascii="Arial" w:hAnsi="Arial" w:cs="Arial"/>
                <w:b/>
                <w:sz w:val="22"/>
                <w:szCs w:val="22"/>
              </w:rPr>
            </w:pPr>
            <w:r w:rsidRPr="009601B8">
              <w:rPr>
                <w:rFonts w:ascii="Arial" w:hAnsi="Arial" w:cs="Arial"/>
                <w:b/>
                <w:sz w:val="22"/>
                <w:szCs w:val="22"/>
              </w:rPr>
              <w:t>Student name:</w:t>
            </w:r>
          </w:p>
        </w:tc>
        <w:tc>
          <w:tcPr>
            <w:tcW w:w="3083" w:type="dxa"/>
          </w:tcPr>
          <w:p w:rsidR="003D488D" w:rsidRPr="009601B8" w:rsidRDefault="003D488D" w:rsidP="0038691F">
            <w:pPr>
              <w:spacing w:before="120" w:after="120"/>
              <w:jc w:val="both"/>
              <w:rPr>
                <w:rFonts w:ascii="Arial" w:hAnsi="Arial" w:cs="Arial"/>
                <w:b/>
                <w:sz w:val="22"/>
                <w:szCs w:val="22"/>
              </w:rPr>
            </w:pPr>
            <w:r>
              <w:rPr>
                <w:rFonts w:ascii="Arial" w:hAnsi="Arial" w:cs="Arial"/>
                <w:b/>
                <w:sz w:val="22"/>
                <w:szCs w:val="22"/>
              </w:rPr>
              <w:t>Samantha TREADWELL</w:t>
            </w:r>
          </w:p>
        </w:tc>
        <w:tc>
          <w:tcPr>
            <w:tcW w:w="2123" w:type="dxa"/>
            <w:shd w:val="clear" w:color="auto" w:fill="D9D9D9" w:themeFill="background1" w:themeFillShade="D9"/>
          </w:tcPr>
          <w:p w:rsidR="003D488D" w:rsidRPr="009601B8" w:rsidRDefault="003D488D" w:rsidP="0038691F">
            <w:pPr>
              <w:spacing w:before="120" w:after="120"/>
              <w:jc w:val="both"/>
              <w:rPr>
                <w:rFonts w:ascii="Arial" w:hAnsi="Arial" w:cs="Arial"/>
                <w:b/>
                <w:sz w:val="22"/>
                <w:szCs w:val="22"/>
              </w:rPr>
            </w:pPr>
            <w:r w:rsidRPr="009601B8">
              <w:rPr>
                <w:rFonts w:ascii="Arial" w:hAnsi="Arial" w:cs="Arial"/>
                <w:b/>
                <w:sz w:val="22"/>
                <w:szCs w:val="22"/>
              </w:rPr>
              <w:t>Student ID number:</w:t>
            </w:r>
          </w:p>
        </w:tc>
        <w:tc>
          <w:tcPr>
            <w:tcW w:w="2123" w:type="dxa"/>
          </w:tcPr>
          <w:p w:rsidR="003D488D" w:rsidRPr="009601B8" w:rsidRDefault="003D488D" w:rsidP="0038691F">
            <w:pPr>
              <w:spacing w:before="120" w:after="120"/>
              <w:jc w:val="both"/>
              <w:rPr>
                <w:rFonts w:ascii="Arial" w:hAnsi="Arial" w:cs="Arial"/>
                <w:b/>
                <w:sz w:val="22"/>
                <w:szCs w:val="22"/>
              </w:rPr>
            </w:pPr>
            <w:r w:rsidRPr="00204579">
              <w:rPr>
                <w:rFonts w:ascii="Arial" w:hAnsi="Arial" w:cs="Arial"/>
                <w:b/>
                <w:sz w:val="22"/>
                <w:szCs w:val="22"/>
              </w:rPr>
              <w:t>1816538</w:t>
            </w:r>
          </w:p>
        </w:tc>
      </w:tr>
      <w:tr w:rsidR="003D488D" w:rsidRPr="00A406E5" w:rsidTr="003D488D">
        <w:trPr>
          <w:trHeight w:val="605"/>
        </w:trPr>
        <w:tc>
          <w:tcPr>
            <w:tcW w:w="1960" w:type="dxa"/>
            <w:shd w:val="clear" w:color="auto" w:fill="auto"/>
          </w:tcPr>
          <w:p w:rsidR="003D488D" w:rsidRPr="009601B8" w:rsidRDefault="003D488D" w:rsidP="0038691F">
            <w:pPr>
              <w:spacing w:before="120" w:after="120"/>
              <w:jc w:val="both"/>
              <w:rPr>
                <w:rFonts w:ascii="Arial" w:hAnsi="Arial" w:cs="Arial"/>
                <w:b/>
                <w:sz w:val="22"/>
                <w:szCs w:val="22"/>
              </w:rPr>
            </w:pPr>
            <w:r w:rsidRPr="009601B8">
              <w:rPr>
                <w:rFonts w:ascii="Arial" w:hAnsi="Arial" w:cs="Arial"/>
                <w:b/>
                <w:sz w:val="22"/>
                <w:szCs w:val="22"/>
              </w:rPr>
              <w:t>Programme:</w:t>
            </w:r>
          </w:p>
        </w:tc>
        <w:tc>
          <w:tcPr>
            <w:tcW w:w="7331" w:type="dxa"/>
            <w:gridSpan w:val="3"/>
          </w:tcPr>
          <w:p w:rsidR="003D488D" w:rsidRPr="009601B8" w:rsidRDefault="003D488D" w:rsidP="0038691F">
            <w:pPr>
              <w:spacing w:before="120" w:after="120"/>
              <w:jc w:val="both"/>
              <w:rPr>
                <w:rFonts w:ascii="Arial" w:hAnsi="Arial" w:cs="Arial"/>
                <w:b/>
                <w:sz w:val="22"/>
                <w:szCs w:val="22"/>
              </w:rPr>
            </w:pPr>
            <w:r>
              <w:rPr>
                <w:rFonts w:ascii="Arial" w:hAnsi="Arial" w:cs="Arial"/>
                <w:b/>
                <w:sz w:val="22"/>
                <w:szCs w:val="22"/>
              </w:rPr>
              <w:t>DHEP</w:t>
            </w:r>
          </w:p>
        </w:tc>
      </w:tr>
      <w:tr w:rsidR="003D488D" w:rsidRPr="00A406E5" w:rsidTr="003D488D">
        <w:trPr>
          <w:trHeight w:val="624"/>
        </w:trPr>
        <w:tc>
          <w:tcPr>
            <w:tcW w:w="1960" w:type="dxa"/>
            <w:shd w:val="clear" w:color="auto" w:fill="auto"/>
          </w:tcPr>
          <w:p w:rsidR="003D488D" w:rsidRPr="009601B8" w:rsidRDefault="003D488D" w:rsidP="0038691F">
            <w:pPr>
              <w:spacing w:before="120" w:after="120"/>
              <w:jc w:val="both"/>
              <w:rPr>
                <w:rFonts w:ascii="Arial" w:hAnsi="Arial" w:cs="Arial"/>
                <w:b/>
                <w:sz w:val="22"/>
                <w:szCs w:val="22"/>
              </w:rPr>
            </w:pPr>
            <w:r w:rsidRPr="009601B8">
              <w:rPr>
                <w:rFonts w:ascii="Arial" w:hAnsi="Arial" w:cs="Arial"/>
                <w:b/>
                <w:sz w:val="22"/>
                <w:szCs w:val="22"/>
              </w:rPr>
              <w:t>Module:</w:t>
            </w:r>
          </w:p>
        </w:tc>
        <w:tc>
          <w:tcPr>
            <w:tcW w:w="7331" w:type="dxa"/>
            <w:gridSpan w:val="3"/>
            <w:shd w:val="clear" w:color="auto" w:fill="auto"/>
          </w:tcPr>
          <w:p w:rsidR="003D488D" w:rsidRPr="009601B8" w:rsidRDefault="003D488D" w:rsidP="0038691F">
            <w:pPr>
              <w:spacing w:before="120" w:after="120"/>
              <w:jc w:val="both"/>
              <w:rPr>
                <w:rFonts w:ascii="Arial" w:eastAsia="Calibri,Arial,Times New Roman" w:hAnsi="Arial" w:cs="Arial"/>
                <w:b/>
                <w:bCs/>
                <w:sz w:val="22"/>
                <w:szCs w:val="22"/>
              </w:rPr>
            </w:pPr>
            <w:r w:rsidRPr="009601B8">
              <w:rPr>
                <w:rFonts w:ascii="Arial" w:eastAsia="Arial" w:hAnsi="Arial" w:cs="Arial"/>
                <w:b/>
                <w:bCs/>
                <w:sz w:val="22"/>
                <w:szCs w:val="22"/>
              </w:rPr>
              <w:t>Operational Policing</w:t>
            </w:r>
            <w:r>
              <w:rPr>
                <w:rFonts w:ascii="Arial" w:eastAsia="Arial" w:hAnsi="Arial" w:cs="Arial"/>
                <w:b/>
                <w:bCs/>
                <w:sz w:val="22"/>
                <w:szCs w:val="22"/>
              </w:rPr>
              <w:t xml:space="preserve"> Practice 3 </w:t>
            </w:r>
          </w:p>
        </w:tc>
      </w:tr>
      <w:tr w:rsidR="003D488D" w:rsidRPr="00A406E5" w:rsidTr="003D488D">
        <w:trPr>
          <w:trHeight w:val="946"/>
        </w:trPr>
        <w:tc>
          <w:tcPr>
            <w:tcW w:w="1960" w:type="dxa"/>
            <w:shd w:val="clear" w:color="auto" w:fill="auto"/>
          </w:tcPr>
          <w:p w:rsidR="003D488D" w:rsidRPr="009601B8" w:rsidRDefault="003D488D" w:rsidP="0038691F">
            <w:pPr>
              <w:spacing w:before="120" w:after="120"/>
              <w:jc w:val="both"/>
              <w:rPr>
                <w:rFonts w:ascii="Arial" w:hAnsi="Arial" w:cs="Arial"/>
                <w:b/>
                <w:sz w:val="22"/>
                <w:szCs w:val="22"/>
              </w:rPr>
            </w:pPr>
            <w:r w:rsidRPr="009601B8">
              <w:rPr>
                <w:rFonts w:ascii="Arial" w:hAnsi="Arial" w:cs="Arial"/>
                <w:b/>
                <w:sz w:val="22"/>
                <w:szCs w:val="22"/>
              </w:rPr>
              <w:t>Module code:</w:t>
            </w:r>
          </w:p>
        </w:tc>
        <w:tc>
          <w:tcPr>
            <w:tcW w:w="3083" w:type="dxa"/>
          </w:tcPr>
          <w:p w:rsidR="003D488D" w:rsidRPr="009601B8" w:rsidRDefault="003D488D" w:rsidP="0038691F">
            <w:pPr>
              <w:spacing w:before="120" w:after="120"/>
              <w:jc w:val="both"/>
              <w:rPr>
                <w:rFonts w:ascii="Arial" w:eastAsia="Calibri" w:hAnsi="Arial" w:cs="Arial"/>
                <w:b/>
                <w:bCs/>
                <w:sz w:val="22"/>
                <w:szCs w:val="22"/>
              </w:rPr>
            </w:pPr>
            <w:r w:rsidRPr="009601B8">
              <w:rPr>
                <w:rFonts w:ascii="Arial" w:eastAsia="Calibri" w:hAnsi="Arial" w:cs="Arial"/>
                <w:b/>
                <w:bCs/>
                <w:sz w:val="22"/>
                <w:szCs w:val="22"/>
              </w:rPr>
              <w:t>BMP</w:t>
            </w:r>
            <w:r>
              <w:rPr>
                <w:rFonts w:ascii="Arial" w:eastAsia="Calibri" w:hAnsi="Arial" w:cs="Arial"/>
                <w:b/>
                <w:bCs/>
                <w:sz w:val="22"/>
                <w:szCs w:val="22"/>
              </w:rPr>
              <w:t>6002D</w:t>
            </w:r>
          </w:p>
        </w:tc>
        <w:tc>
          <w:tcPr>
            <w:tcW w:w="2123" w:type="dxa"/>
            <w:shd w:val="clear" w:color="auto" w:fill="D9D9D9" w:themeFill="background1" w:themeFillShade="D9"/>
          </w:tcPr>
          <w:p w:rsidR="003D488D" w:rsidRPr="009601B8" w:rsidRDefault="003D488D" w:rsidP="0038691F">
            <w:pPr>
              <w:pStyle w:val="Heading2"/>
              <w:rPr>
                <w:rFonts w:ascii="Arial" w:hAnsi="Arial" w:cs="Arial"/>
                <w:sz w:val="22"/>
                <w:szCs w:val="22"/>
              </w:rPr>
            </w:pPr>
            <w:r w:rsidRPr="009601B8">
              <w:rPr>
                <w:rFonts w:ascii="Arial" w:hAnsi="Arial" w:cs="Arial"/>
                <w:sz w:val="22"/>
                <w:szCs w:val="22"/>
              </w:rPr>
              <w:t>Contribution to Overall Module Assessment (%):</w:t>
            </w:r>
          </w:p>
        </w:tc>
        <w:tc>
          <w:tcPr>
            <w:tcW w:w="2123" w:type="dxa"/>
          </w:tcPr>
          <w:p w:rsidR="003D488D" w:rsidRPr="009601B8" w:rsidRDefault="003D488D" w:rsidP="0038691F">
            <w:pPr>
              <w:spacing w:before="120" w:after="120"/>
              <w:jc w:val="both"/>
              <w:rPr>
                <w:rFonts w:ascii="Arial" w:hAnsi="Arial" w:cs="Arial"/>
                <w:b/>
                <w:sz w:val="22"/>
                <w:szCs w:val="22"/>
              </w:rPr>
            </w:pPr>
            <w:r>
              <w:rPr>
                <w:rFonts w:ascii="Arial" w:hAnsi="Arial" w:cs="Arial"/>
                <w:b/>
                <w:sz w:val="22"/>
                <w:szCs w:val="22"/>
              </w:rPr>
              <w:t>100%</w:t>
            </w:r>
          </w:p>
        </w:tc>
      </w:tr>
      <w:tr w:rsidR="003D488D" w:rsidRPr="00A406E5" w:rsidTr="003D488D">
        <w:trPr>
          <w:trHeight w:val="605"/>
        </w:trPr>
        <w:tc>
          <w:tcPr>
            <w:tcW w:w="1960" w:type="dxa"/>
            <w:shd w:val="clear" w:color="auto" w:fill="auto"/>
          </w:tcPr>
          <w:p w:rsidR="003D488D" w:rsidRPr="009601B8" w:rsidRDefault="003D488D" w:rsidP="0038691F">
            <w:pPr>
              <w:spacing w:before="120" w:after="120"/>
              <w:jc w:val="both"/>
              <w:rPr>
                <w:rFonts w:ascii="Arial" w:hAnsi="Arial" w:cs="Arial"/>
                <w:b/>
                <w:sz w:val="22"/>
                <w:szCs w:val="22"/>
              </w:rPr>
            </w:pPr>
            <w:r w:rsidRPr="009601B8">
              <w:rPr>
                <w:rFonts w:ascii="Arial" w:hAnsi="Arial" w:cs="Arial"/>
                <w:b/>
                <w:sz w:val="22"/>
                <w:szCs w:val="22"/>
              </w:rPr>
              <w:t>Lecturer:</w:t>
            </w:r>
          </w:p>
        </w:tc>
        <w:tc>
          <w:tcPr>
            <w:tcW w:w="3083" w:type="dxa"/>
          </w:tcPr>
          <w:p w:rsidR="003D488D" w:rsidRPr="009601B8" w:rsidRDefault="003D488D" w:rsidP="0038691F">
            <w:pPr>
              <w:spacing w:before="120" w:after="120"/>
              <w:jc w:val="both"/>
              <w:rPr>
                <w:rFonts w:ascii="Arial" w:eastAsia="Calibri" w:hAnsi="Arial" w:cs="Arial"/>
                <w:b/>
                <w:bCs/>
                <w:sz w:val="22"/>
                <w:szCs w:val="22"/>
              </w:rPr>
            </w:pPr>
            <w:r w:rsidRPr="009601B8">
              <w:rPr>
                <w:rFonts w:ascii="Arial" w:hAnsi="Arial" w:cs="Arial"/>
                <w:b/>
                <w:sz w:val="22"/>
                <w:szCs w:val="22"/>
              </w:rPr>
              <w:t>Wynne Jones</w:t>
            </w:r>
          </w:p>
        </w:tc>
        <w:tc>
          <w:tcPr>
            <w:tcW w:w="2123" w:type="dxa"/>
            <w:shd w:val="clear" w:color="auto" w:fill="D9D9D9" w:themeFill="background1" w:themeFillShade="D9"/>
          </w:tcPr>
          <w:p w:rsidR="003D488D" w:rsidRPr="009601B8" w:rsidRDefault="003D488D" w:rsidP="0038691F">
            <w:pPr>
              <w:spacing w:before="120" w:after="120"/>
              <w:jc w:val="both"/>
              <w:rPr>
                <w:rFonts w:ascii="Arial" w:hAnsi="Arial" w:cs="Arial"/>
                <w:b/>
                <w:sz w:val="22"/>
                <w:szCs w:val="22"/>
              </w:rPr>
            </w:pPr>
            <w:r w:rsidRPr="009601B8">
              <w:rPr>
                <w:rFonts w:ascii="Arial" w:hAnsi="Arial" w:cs="Arial"/>
                <w:b/>
                <w:sz w:val="22"/>
                <w:szCs w:val="22"/>
              </w:rPr>
              <w:t>Internal Verifier:</w:t>
            </w:r>
          </w:p>
        </w:tc>
        <w:tc>
          <w:tcPr>
            <w:tcW w:w="2123" w:type="dxa"/>
          </w:tcPr>
          <w:p w:rsidR="003D488D" w:rsidRPr="009601B8" w:rsidRDefault="003D488D" w:rsidP="0038691F">
            <w:pPr>
              <w:spacing w:before="120" w:after="120"/>
              <w:jc w:val="both"/>
              <w:rPr>
                <w:rFonts w:ascii="Arial" w:hAnsi="Arial" w:cs="Arial"/>
                <w:b/>
                <w:sz w:val="22"/>
                <w:szCs w:val="22"/>
              </w:rPr>
            </w:pPr>
          </w:p>
        </w:tc>
      </w:tr>
      <w:tr w:rsidR="003D488D" w:rsidRPr="00A406E5" w:rsidTr="003D488D">
        <w:trPr>
          <w:trHeight w:val="946"/>
        </w:trPr>
        <w:tc>
          <w:tcPr>
            <w:tcW w:w="1960" w:type="dxa"/>
            <w:shd w:val="clear" w:color="auto" w:fill="auto"/>
          </w:tcPr>
          <w:p w:rsidR="003D488D" w:rsidRPr="009601B8" w:rsidRDefault="003D488D" w:rsidP="0038691F">
            <w:pPr>
              <w:spacing w:before="120" w:after="120"/>
              <w:jc w:val="both"/>
              <w:rPr>
                <w:rFonts w:ascii="Arial" w:hAnsi="Arial" w:cs="Arial"/>
                <w:b/>
                <w:sz w:val="22"/>
                <w:szCs w:val="22"/>
              </w:rPr>
            </w:pPr>
            <w:r w:rsidRPr="009601B8">
              <w:rPr>
                <w:rFonts w:ascii="Arial" w:hAnsi="Arial" w:cs="Arial"/>
                <w:b/>
                <w:sz w:val="22"/>
                <w:szCs w:val="22"/>
              </w:rPr>
              <w:t>Assignment Title:</w:t>
            </w:r>
          </w:p>
        </w:tc>
        <w:tc>
          <w:tcPr>
            <w:tcW w:w="3083" w:type="dxa"/>
          </w:tcPr>
          <w:p w:rsidR="003D488D" w:rsidRPr="009601B8" w:rsidRDefault="003D488D" w:rsidP="0038691F">
            <w:pPr>
              <w:spacing w:before="120" w:after="120"/>
              <w:jc w:val="both"/>
              <w:rPr>
                <w:rFonts w:ascii="Arial" w:hAnsi="Arial" w:cs="Arial"/>
                <w:b/>
                <w:sz w:val="22"/>
                <w:szCs w:val="22"/>
              </w:rPr>
            </w:pPr>
            <w:r>
              <w:rPr>
                <w:rFonts w:ascii="Arial" w:hAnsi="Arial" w:cs="Arial"/>
                <w:b/>
                <w:sz w:val="22"/>
                <w:szCs w:val="22"/>
              </w:rPr>
              <w:t>Public protection</w:t>
            </w:r>
          </w:p>
        </w:tc>
        <w:tc>
          <w:tcPr>
            <w:tcW w:w="2123" w:type="dxa"/>
            <w:shd w:val="clear" w:color="auto" w:fill="auto"/>
          </w:tcPr>
          <w:p w:rsidR="003D488D" w:rsidRPr="009601B8" w:rsidRDefault="003D488D" w:rsidP="0038691F">
            <w:pPr>
              <w:spacing w:before="120" w:after="120"/>
              <w:jc w:val="both"/>
              <w:rPr>
                <w:rFonts w:ascii="Arial" w:hAnsi="Arial" w:cs="Arial"/>
                <w:b/>
                <w:sz w:val="22"/>
                <w:szCs w:val="22"/>
              </w:rPr>
            </w:pPr>
            <w:r w:rsidRPr="009601B8">
              <w:rPr>
                <w:rFonts w:ascii="Arial" w:hAnsi="Arial" w:cs="Arial"/>
                <w:b/>
                <w:sz w:val="22"/>
                <w:szCs w:val="22"/>
              </w:rPr>
              <w:t>Word count (or equivalent):</w:t>
            </w:r>
          </w:p>
        </w:tc>
        <w:tc>
          <w:tcPr>
            <w:tcW w:w="2123" w:type="dxa"/>
          </w:tcPr>
          <w:p w:rsidR="003D488D" w:rsidRPr="009601B8" w:rsidRDefault="003D488D" w:rsidP="0038691F">
            <w:pPr>
              <w:spacing w:before="120" w:after="120"/>
              <w:jc w:val="both"/>
              <w:rPr>
                <w:rFonts w:ascii="Arial" w:hAnsi="Arial" w:cs="Arial"/>
                <w:b/>
                <w:sz w:val="22"/>
                <w:szCs w:val="22"/>
              </w:rPr>
            </w:pPr>
            <w:r>
              <w:rPr>
                <w:rFonts w:ascii="Arial" w:hAnsi="Arial" w:cs="Arial"/>
                <w:b/>
                <w:sz w:val="22"/>
                <w:szCs w:val="22"/>
              </w:rPr>
              <w:t>Essay 5000</w:t>
            </w:r>
            <w:r w:rsidRPr="009601B8">
              <w:rPr>
                <w:rFonts w:ascii="Arial" w:hAnsi="Arial" w:cs="Arial"/>
                <w:b/>
                <w:sz w:val="22"/>
                <w:szCs w:val="22"/>
              </w:rPr>
              <w:t xml:space="preserve"> Words</w:t>
            </w:r>
          </w:p>
        </w:tc>
      </w:tr>
      <w:tr w:rsidR="003D488D" w:rsidRPr="00A406E5" w:rsidTr="003D488D">
        <w:trPr>
          <w:trHeight w:val="1249"/>
        </w:trPr>
        <w:tc>
          <w:tcPr>
            <w:tcW w:w="1960" w:type="dxa"/>
            <w:shd w:val="clear" w:color="auto" w:fill="auto"/>
          </w:tcPr>
          <w:p w:rsidR="003D488D" w:rsidRPr="009601B8" w:rsidRDefault="003D488D" w:rsidP="0038691F">
            <w:pPr>
              <w:spacing w:before="120" w:after="120"/>
              <w:jc w:val="both"/>
              <w:rPr>
                <w:rFonts w:ascii="Arial" w:hAnsi="Arial" w:cs="Arial"/>
                <w:b/>
                <w:sz w:val="22"/>
                <w:szCs w:val="22"/>
              </w:rPr>
            </w:pPr>
            <w:r w:rsidRPr="009601B8">
              <w:rPr>
                <w:rFonts w:ascii="Arial" w:hAnsi="Arial" w:cs="Arial"/>
                <w:b/>
                <w:sz w:val="22"/>
                <w:szCs w:val="22"/>
              </w:rPr>
              <w:t>Submission deadline:</w:t>
            </w:r>
          </w:p>
        </w:tc>
        <w:tc>
          <w:tcPr>
            <w:tcW w:w="3083" w:type="dxa"/>
            <w:shd w:val="clear" w:color="auto" w:fill="auto"/>
          </w:tcPr>
          <w:p w:rsidR="003D488D" w:rsidRPr="009601B8" w:rsidRDefault="003D488D" w:rsidP="0038691F">
            <w:pPr>
              <w:spacing w:before="120" w:after="120"/>
              <w:jc w:val="both"/>
              <w:rPr>
                <w:rFonts w:ascii="Arial" w:eastAsia="Calibri" w:hAnsi="Arial" w:cs="Arial"/>
                <w:b/>
                <w:bCs/>
                <w:sz w:val="22"/>
                <w:szCs w:val="22"/>
              </w:rPr>
            </w:pPr>
            <w:r>
              <w:rPr>
                <w:rFonts w:ascii="Arial" w:eastAsia="Calibri" w:hAnsi="Arial" w:cs="Arial"/>
                <w:b/>
                <w:bCs/>
                <w:sz w:val="22"/>
                <w:szCs w:val="22"/>
              </w:rPr>
              <w:t>11</w:t>
            </w:r>
            <w:r w:rsidRPr="004B6C61">
              <w:rPr>
                <w:rFonts w:ascii="Arial" w:eastAsia="Calibri" w:hAnsi="Arial" w:cs="Arial"/>
                <w:b/>
                <w:bCs/>
                <w:sz w:val="22"/>
                <w:szCs w:val="22"/>
                <w:vertAlign w:val="superscript"/>
              </w:rPr>
              <w:t>th</w:t>
            </w:r>
            <w:r>
              <w:rPr>
                <w:rFonts w:ascii="Arial" w:eastAsia="Calibri" w:hAnsi="Arial" w:cs="Arial"/>
                <w:b/>
                <w:bCs/>
                <w:sz w:val="22"/>
                <w:szCs w:val="22"/>
              </w:rPr>
              <w:t xml:space="preserve"> January 2021</w:t>
            </w:r>
          </w:p>
        </w:tc>
        <w:tc>
          <w:tcPr>
            <w:tcW w:w="2123" w:type="dxa"/>
            <w:shd w:val="clear" w:color="auto" w:fill="auto"/>
          </w:tcPr>
          <w:p w:rsidR="003D488D" w:rsidRPr="009601B8" w:rsidRDefault="003D488D" w:rsidP="0038691F">
            <w:pPr>
              <w:spacing w:before="120" w:after="120"/>
              <w:jc w:val="both"/>
              <w:rPr>
                <w:rFonts w:ascii="Arial" w:hAnsi="Arial" w:cs="Arial"/>
                <w:b/>
                <w:sz w:val="22"/>
                <w:szCs w:val="22"/>
              </w:rPr>
            </w:pPr>
            <w:r w:rsidRPr="009601B8">
              <w:rPr>
                <w:rFonts w:ascii="Arial" w:hAnsi="Arial" w:cs="Arial"/>
                <w:b/>
                <w:sz w:val="22"/>
                <w:szCs w:val="22"/>
              </w:rPr>
              <w:t>Return date of provisional marks &amp; written feedback:</w:t>
            </w:r>
          </w:p>
        </w:tc>
        <w:tc>
          <w:tcPr>
            <w:tcW w:w="2123" w:type="dxa"/>
          </w:tcPr>
          <w:p w:rsidR="003D488D" w:rsidRPr="009601B8" w:rsidRDefault="003D488D" w:rsidP="0038691F">
            <w:pPr>
              <w:spacing w:before="120" w:after="120"/>
              <w:jc w:val="both"/>
              <w:rPr>
                <w:rFonts w:ascii="Arial" w:hAnsi="Arial" w:cs="Arial"/>
                <w:b/>
                <w:bCs/>
                <w:sz w:val="22"/>
                <w:szCs w:val="22"/>
              </w:rPr>
            </w:pPr>
            <w:r w:rsidRPr="68622ED3">
              <w:rPr>
                <w:rFonts w:ascii="Arial" w:hAnsi="Arial" w:cs="Arial"/>
                <w:b/>
                <w:bCs/>
                <w:sz w:val="22"/>
                <w:szCs w:val="22"/>
              </w:rPr>
              <w:t>20 working days</w:t>
            </w:r>
          </w:p>
        </w:tc>
      </w:tr>
      <w:tr w:rsidR="003D488D" w:rsidRPr="00A406E5" w:rsidTr="003D488D">
        <w:trPr>
          <w:trHeight w:val="2858"/>
        </w:trPr>
        <w:tc>
          <w:tcPr>
            <w:tcW w:w="1960" w:type="dxa"/>
            <w:shd w:val="clear" w:color="auto" w:fill="auto"/>
          </w:tcPr>
          <w:p w:rsidR="003D488D" w:rsidRPr="00A406E5" w:rsidRDefault="003D488D" w:rsidP="0038691F">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331" w:type="dxa"/>
            <w:gridSpan w:val="3"/>
            <w:shd w:val="clear" w:color="auto" w:fill="auto"/>
          </w:tcPr>
          <w:p w:rsidR="003D488D" w:rsidRPr="00A406E5" w:rsidRDefault="003D488D" w:rsidP="0038691F">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rsidR="003D488D" w:rsidRPr="00A406E5" w:rsidRDefault="003D488D" w:rsidP="0038691F">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3D488D" w:rsidRPr="00A406E5" w:rsidTr="003D488D">
        <w:trPr>
          <w:trHeight w:val="1552"/>
        </w:trPr>
        <w:tc>
          <w:tcPr>
            <w:tcW w:w="1960" w:type="dxa"/>
            <w:shd w:val="clear" w:color="auto" w:fill="auto"/>
          </w:tcPr>
          <w:p w:rsidR="003D488D" w:rsidRPr="00A406E5" w:rsidRDefault="003D488D" w:rsidP="0038691F">
            <w:pPr>
              <w:spacing w:before="120" w:after="120"/>
              <w:rPr>
                <w:rFonts w:ascii="Arial" w:hAnsi="Arial" w:cs="Arial"/>
                <w:b/>
                <w:sz w:val="22"/>
                <w:szCs w:val="22"/>
              </w:rPr>
            </w:pPr>
            <w:r w:rsidRPr="00A406E5">
              <w:rPr>
                <w:rFonts w:ascii="Arial" w:hAnsi="Arial" w:cs="Arial"/>
                <w:b/>
                <w:sz w:val="22"/>
                <w:szCs w:val="22"/>
              </w:rPr>
              <w:t>Academic honesty / referencing:</w:t>
            </w:r>
          </w:p>
        </w:tc>
        <w:tc>
          <w:tcPr>
            <w:tcW w:w="7331" w:type="dxa"/>
            <w:gridSpan w:val="3"/>
            <w:shd w:val="clear" w:color="auto" w:fill="auto"/>
          </w:tcPr>
          <w:p w:rsidR="003D488D" w:rsidRPr="00A406E5" w:rsidRDefault="003D488D" w:rsidP="0038691F">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A0AB3" w:rsidRDefault="002A0AB3"/>
    <w:p w:rsidR="003D488D" w:rsidRDefault="003D488D">
      <w:pPr>
        <w:spacing w:after="160" w:line="259" w:lineRule="auto"/>
      </w:pPr>
      <w:r>
        <w:br w:type="page"/>
      </w:r>
    </w:p>
    <w:p w:rsidR="003D488D" w:rsidRDefault="003D488D" w:rsidP="003D488D">
      <w:pPr>
        <w:rPr>
          <w:rFonts w:asciiTheme="minorHAnsi" w:hAnsiTheme="minorHAnsi" w:cstheme="minorHAnsi"/>
          <w:sz w:val="24"/>
          <w:szCs w:val="24"/>
        </w:rPr>
      </w:pPr>
      <w:bookmarkStart w:id="0" w:name="_GoBack"/>
      <w:bookmarkEnd w:id="0"/>
      <w:r>
        <w:rPr>
          <w:rFonts w:asciiTheme="minorHAnsi" w:hAnsiTheme="minorHAnsi" w:cstheme="minorHAnsi"/>
          <w:sz w:val="24"/>
          <w:szCs w:val="24"/>
        </w:rPr>
        <w:lastRenderedPageBreak/>
        <w:t xml:space="preserve">Public protection is extremely important because everyone has the right to live in safety, and be free from abuse and neglect caused by another (NHS, 2018).  This essay aims to look at victims and the impact that abuse can have on victims and critically evaluate the policing strategies in place that deal with public protection.  Furthermore, the attitudes of individual’s and the impact those attitudes can have on an investigation process will be discussed.  Additionally, any links between serious and organised crime groups in relation to public protection will be explored and discussed. </w:t>
      </w:r>
    </w:p>
    <w:p w:rsidR="003D488D" w:rsidRDefault="003D488D" w:rsidP="003D488D">
      <w:pPr>
        <w:rPr>
          <w:rFonts w:asciiTheme="minorHAnsi" w:hAnsiTheme="minorHAnsi" w:cstheme="minorHAnsi"/>
          <w:sz w:val="24"/>
          <w:szCs w:val="24"/>
        </w:rPr>
      </w:pPr>
    </w:p>
    <w:p w:rsidR="003D488D" w:rsidRDefault="003D488D" w:rsidP="003D488D">
      <w:pPr>
        <w:ind w:firstLine="720"/>
        <w:rPr>
          <w:rFonts w:asciiTheme="minorHAnsi" w:hAnsiTheme="minorHAnsi" w:cstheme="minorHAnsi"/>
          <w:sz w:val="24"/>
          <w:szCs w:val="24"/>
        </w:rPr>
      </w:pPr>
      <w:r>
        <w:rPr>
          <w:rFonts w:asciiTheme="minorHAnsi" w:hAnsiTheme="minorHAnsi" w:cstheme="minorHAnsi"/>
          <w:sz w:val="24"/>
          <w:szCs w:val="24"/>
        </w:rPr>
        <w:t>Abuse can happen in many different forms, such as; sexual abuse, physical abuse, psychological abuse, domestic abuse, discriminatory abuse, financial abuse and neglect (NHS, 2018), anyone who suffers abuse can be a victim of crime.  A victim of crime is, as defined by the United Nations (1985) as a person who “individually or collectively, have suffered harm including physical or mental injury, emotional suffering, economic loss or substantial impairment of their fundamental rights.”</w:t>
      </w:r>
    </w:p>
    <w:p w:rsidR="003D488D" w:rsidRDefault="003D488D" w:rsidP="003D488D">
      <w:pPr>
        <w:ind w:firstLine="720"/>
        <w:rPr>
          <w:rFonts w:asciiTheme="minorHAnsi" w:hAnsiTheme="minorHAnsi" w:cstheme="minorHAnsi"/>
          <w:sz w:val="24"/>
          <w:szCs w:val="24"/>
        </w:rPr>
      </w:pPr>
      <w:r>
        <w:rPr>
          <w:rFonts w:asciiTheme="minorHAnsi" w:hAnsiTheme="minorHAnsi" w:cstheme="minorHAnsi"/>
          <w:sz w:val="24"/>
          <w:szCs w:val="24"/>
        </w:rPr>
        <w:t>Someone who is a victim or has been a victim of crime or abuse may be classed as a vulnerable person.  College of policing (2017) state that “a person is vulnerable if, as a result of their situation or circumstances, they are unable to take care of or protect themselves or others from harm or exploitation.”  A person can be vulnerable due to their circumstances for a number of reasons, one being they have fallen ill and have gone from being active and healthy to relying on the support and care of others. In this situation a change in circumstance and reliance on another may mean that the individual is unable to protect themselves from harm or exploitation, thus making them vulnerable.</w:t>
      </w:r>
    </w:p>
    <w:p w:rsidR="003D488D" w:rsidRDefault="003D488D" w:rsidP="003D488D">
      <w:pPr>
        <w:ind w:firstLine="720"/>
        <w:rPr>
          <w:rFonts w:asciiTheme="minorHAnsi" w:hAnsiTheme="minorHAnsi" w:cstheme="minorHAnsi"/>
          <w:sz w:val="24"/>
          <w:szCs w:val="24"/>
        </w:rPr>
      </w:pPr>
      <w:r>
        <w:rPr>
          <w:rFonts w:asciiTheme="minorHAnsi" w:hAnsiTheme="minorHAnsi" w:cstheme="minorHAnsi"/>
          <w:sz w:val="24"/>
          <w:szCs w:val="24"/>
        </w:rPr>
        <w:t xml:space="preserve">The police service, as well as other agencies have a duty to protect victims of crime, this can be achieved through a multi-agency approach.  South Wales Police have a designated Public Protection Unit, which is a branch of the service which deals with the safeguarding of victims of crime and vulnerable adults and children.  According to Sense (2019) “safeguarding is about keeping people safe from harm”, and all police officers have a duty to safeguard any victim they come in to contact with.  </w:t>
      </w:r>
    </w:p>
    <w:p w:rsidR="003D488D" w:rsidRDefault="003D488D" w:rsidP="003D488D">
      <w:pPr>
        <w:ind w:firstLine="720"/>
        <w:rPr>
          <w:rFonts w:asciiTheme="minorHAnsi" w:hAnsiTheme="minorHAnsi" w:cstheme="minorHAnsi"/>
          <w:sz w:val="24"/>
          <w:szCs w:val="24"/>
        </w:rPr>
      </w:pPr>
      <w:r>
        <w:rPr>
          <w:rFonts w:asciiTheme="minorHAnsi" w:hAnsiTheme="minorHAnsi" w:cstheme="minorHAnsi"/>
          <w:sz w:val="24"/>
          <w:szCs w:val="24"/>
        </w:rPr>
        <w:t xml:space="preserve">Domestic abuse represents a core component of frontline officers’ work (College of Policing, 2016). When a Police officer is called to an incident of domestic abuse, they have a duty to ensure those present have been safeguarded and they need to take positive action.  Positive action can mean a number of things, the main form of positive action in a domestic incident is arrest.  An arrest of the suspect means that the victim is safeguarded immediately, ensuring that they are not in any instant danger from the perpetrator, as they are in custody.  There must however be a ‘necessity’ to arrest a suspect as the Police and Criminal Evidence Act (1984) will state.  If the necessity is not present then the arrest will become unlawful.  If there is no necessity to arrest the suspect, and the officer does not suspect an offence has occurred or will occur there are other disposal methods available to the attending officer that are also considered as positive action.  An example of this could be; officers are called to a report of a domestic disturbance, however on arrival it would appear that there had been a verbal argument and there had been no violence or damage committed.  The officers may not suspect that any crimes have occurred at the address and there would be no necessity to arrest, however if the officers left without taking any form of action the situation may escalate, and become a violent incident where there would then be a victim.  In order to ensure that there are no further issues and the situation does not escalate one party can be removed in order to prevent a breach of the peace occurring.  If someone is removed to prevent a breach of the peace they can be taken to an alternative </w:t>
      </w:r>
      <w:r>
        <w:rPr>
          <w:rFonts w:asciiTheme="minorHAnsi" w:hAnsiTheme="minorHAnsi" w:cstheme="minorHAnsi"/>
          <w:sz w:val="24"/>
          <w:szCs w:val="24"/>
        </w:rPr>
        <w:lastRenderedPageBreak/>
        <w:t xml:space="preserve">address, thus removing the possibility that the situation could escalate, resulting in criminal offences.  However if the individual does not have an alternative address they can be arrested and conveyed to a custody suite in order to ensure no further breach of the peace occurs.  Whilst no criminal offence has been committed at that time, an arrest for breach of the peace takes away the opportunity for the situation to turn violent.  This also ensures the victim and anyone else present in the address are safeguarded.   </w:t>
      </w:r>
    </w:p>
    <w:p w:rsidR="003D488D" w:rsidRDefault="003D488D" w:rsidP="003D488D">
      <w:pPr>
        <w:ind w:firstLine="720"/>
        <w:rPr>
          <w:rFonts w:asciiTheme="minorHAnsi" w:hAnsiTheme="minorHAnsi" w:cstheme="minorHAnsi"/>
          <w:sz w:val="24"/>
          <w:szCs w:val="24"/>
        </w:rPr>
      </w:pPr>
      <w:r>
        <w:rPr>
          <w:rFonts w:asciiTheme="minorHAnsi" w:hAnsiTheme="minorHAnsi" w:cstheme="minorHAnsi"/>
          <w:sz w:val="24"/>
          <w:szCs w:val="24"/>
        </w:rPr>
        <w:t xml:space="preserve">The College of Policing (2015) state that “the first priority of the police is to make people safe” this does not just refer to the victim, but all persons involved such as children or other adults within the address.  Once immediate safeguarding has been addressed, such as arrest of the suspect, police still have a responsibility to ensure the victim and others present are safe.  Officer’s then must complete documentation in the form of a Public Protection Notice (PPN) with the victim, where DASH questions are asked.  The PPN has two main purposes, for referrals to partner agencies such as social services, when there are concerns over vulnerable people, it also acts as a risk assessment for victims of domestic abuse, stalking and harassment (Dorset Police, 2000).  </w:t>
      </w:r>
    </w:p>
    <w:p w:rsidR="003D488D" w:rsidRDefault="003D488D" w:rsidP="003D488D">
      <w:pPr>
        <w:ind w:firstLine="720"/>
        <w:rPr>
          <w:rFonts w:asciiTheme="minorHAnsi" w:hAnsiTheme="minorHAnsi" w:cstheme="minorHAnsi"/>
          <w:sz w:val="24"/>
          <w:szCs w:val="24"/>
        </w:rPr>
      </w:pPr>
      <w:r>
        <w:rPr>
          <w:rFonts w:asciiTheme="minorHAnsi" w:hAnsiTheme="minorHAnsi" w:cstheme="minorHAnsi"/>
          <w:sz w:val="24"/>
          <w:szCs w:val="24"/>
        </w:rPr>
        <w:t xml:space="preserve">DASH is the Domestic Abuse, Stalking and Harassment and Honour based violence risk identification tool, officers ask the victim a number of questions about their relationship and the domestic abuse experienced.  Officers then complete a risk assessment of their own opinion of the risk posed to the victim, either a standard, medium or high risk PPN, they must add in their own officers observations of the incident, the scene and anything else that they feel is relevant to the situation, this gives secondary risk assessors information and the necessity of police involvement.  The PPN must be carried out in company of the victim and all questions must be asked.  The form is then submitted to the Public Protection Unit where it is formally assessed by a risk assessor.  </w:t>
      </w:r>
    </w:p>
    <w:p w:rsidR="003D488D" w:rsidRDefault="003D488D" w:rsidP="003D488D">
      <w:pPr>
        <w:ind w:firstLine="720"/>
        <w:rPr>
          <w:rFonts w:asciiTheme="minorHAnsi" w:hAnsiTheme="minorHAnsi" w:cstheme="minorHAnsi"/>
          <w:sz w:val="24"/>
          <w:szCs w:val="24"/>
        </w:rPr>
      </w:pPr>
      <w:r>
        <w:rPr>
          <w:rFonts w:asciiTheme="minorHAnsi" w:hAnsiTheme="minorHAnsi" w:cstheme="minorHAnsi"/>
          <w:sz w:val="24"/>
          <w:szCs w:val="24"/>
        </w:rPr>
        <w:t xml:space="preserve">A PPN is extremely useful as it highlights to not only the police, but other agencies any increase in risk of danger attached to each victim, it also acts as an information tool for other relevant services.  For example, if a child has been home and there has been a domestic incident between their parents the child must be attached to the PPN.  This allows the public protection unit to bring the attention of the incident to the school that the child goes to, which may account for any adverse behaviour that the child displays in school the next day, as the child may be upset, angry or may have been struggling to sleep following the incident.  It also ensures that the school can continue to check on the welfare of the child and should they have any concerns they can raise them with police or social services. Any time the perpetrator is in custody PPN’s will always be graded as high risk in order to ensure they are assessed as soon as possible, all other PPN’s get graded based on the opinion of the attending officer, and the information available to them.  This form is then shared with partner agencies with the permission of the victim, such as social services to ensure they received the necessary support going forward.  If the victim does not consent to the PPN being shared but there is a safeguarding necessity the information can still be shared with partner agencies, should there be a necessity to.  </w:t>
      </w:r>
    </w:p>
    <w:p w:rsidR="003D488D" w:rsidRDefault="003D488D" w:rsidP="003D488D">
      <w:pPr>
        <w:ind w:firstLine="720"/>
        <w:rPr>
          <w:rFonts w:asciiTheme="minorHAnsi" w:hAnsiTheme="minorHAnsi" w:cstheme="minorHAnsi"/>
          <w:sz w:val="24"/>
          <w:szCs w:val="24"/>
        </w:rPr>
      </w:pPr>
      <w:r>
        <w:rPr>
          <w:rFonts w:asciiTheme="minorHAnsi" w:hAnsiTheme="minorHAnsi" w:cstheme="minorHAnsi"/>
          <w:sz w:val="24"/>
          <w:szCs w:val="24"/>
        </w:rPr>
        <w:t xml:space="preserve">High risk victims of domestic abuse can then be subject to a Multi-Agency Risk Assessment Conference (MARAC) discussion.  MARAC meetings initially started in 2003, and 16 different agencies such as police, probation, local authority, refuge and housing were involved (Pickles, 2007).  The goal of MARAC meetings is to “provide a forum for sharing information and taking action to reduce future harm to very high-risk victims of domestic abuse and their children” (Pickles, 2007).   These meetings can facilitate the sharing of information regarding offenders, furthermore risk management decisions and action plans </w:t>
      </w:r>
      <w:r>
        <w:rPr>
          <w:rFonts w:asciiTheme="minorHAnsi" w:hAnsiTheme="minorHAnsi" w:cstheme="minorHAnsi"/>
          <w:sz w:val="24"/>
          <w:szCs w:val="24"/>
        </w:rPr>
        <w:lastRenderedPageBreak/>
        <w:t>are developed (Maguire et al, 2001).  A MARAC meeting facilitates the implementation of a coordinated safety plan that supports the victim, and further ensures the safeguarding of children, vulnerable adults and adults who are considered to be at risk from the perpetrator (Dorset Police, 2000).</w:t>
      </w:r>
    </w:p>
    <w:p w:rsidR="003D488D" w:rsidRDefault="003D488D" w:rsidP="003D488D">
      <w:pPr>
        <w:ind w:firstLine="720"/>
        <w:rPr>
          <w:rFonts w:asciiTheme="minorHAnsi" w:hAnsiTheme="minorHAnsi" w:cstheme="minorHAnsi"/>
          <w:sz w:val="24"/>
          <w:szCs w:val="24"/>
        </w:rPr>
      </w:pPr>
      <w:r>
        <w:rPr>
          <w:rFonts w:asciiTheme="minorHAnsi" w:hAnsiTheme="minorHAnsi" w:cstheme="minorHAnsi"/>
          <w:sz w:val="24"/>
          <w:szCs w:val="24"/>
        </w:rPr>
        <w:t xml:space="preserve">When police initially attend at incidents they address immediate safeguarding, including the completions of DASH forms.  However sometimes the nature of the DASH question are not relevant to the incident reported or the victim and can result in a victim becoming hostile and not understanding why they are being asked the questions.  When officers explain the PPN and DASH questions and sharing the document with partner agencies, many victims express fear at social services being involved due to a preconceived idea that social services will take their children off them, when this is simply not the case.  Victims then may refuse to consent to DASH questions being shared with partner agencies thinking that they are protecting themselves.  </w:t>
      </w:r>
    </w:p>
    <w:p w:rsidR="003D488D" w:rsidRDefault="003D488D" w:rsidP="003D488D">
      <w:pPr>
        <w:ind w:firstLine="720"/>
        <w:rPr>
          <w:rFonts w:asciiTheme="minorHAnsi" w:hAnsiTheme="minorHAnsi" w:cstheme="minorHAnsi"/>
          <w:sz w:val="24"/>
          <w:szCs w:val="24"/>
        </w:rPr>
      </w:pPr>
      <w:r>
        <w:rPr>
          <w:rFonts w:asciiTheme="minorHAnsi" w:hAnsiTheme="minorHAnsi" w:cstheme="minorHAnsi"/>
          <w:sz w:val="24"/>
          <w:szCs w:val="24"/>
        </w:rPr>
        <w:t>According to the College of Policing (2016) there are variations in the way that police officers conduct a DASH interview, and that the quality and completeness is a cause of concern.  It appears that police officers will focus on physical violence that has occurred at an incident of domestic abuse, and in doing so may miss signs that the victim is also a victim of coercive control (College of policing, 2016).  Officers missing signs of coercion at incidents although may be down to human error means that a victim may not be receiving the support they need, and the perpetrator may get away with committing serious offences, putting the victim, or future victims at further risk.  This could be extremely problematic, if the way that PPN’s are completed differ dramatically depending on which officers attend the call it means that some victims are not receiving the help and support that they may really need.  This is concerning, and suggests that there is further training needed by police officers in order to ensure that all victims are experiencing the best service available to them.</w:t>
      </w:r>
    </w:p>
    <w:p w:rsidR="003D488D" w:rsidRDefault="003D488D" w:rsidP="003D488D">
      <w:pPr>
        <w:ind w:firstLine="720"/>
        <w:rPr>
          <w:rFonts w:asciiTheme="minorHAnsi" w:hAnsiTheme="minorHAnsi" w:cstheme="minorHAnsi"/>
          <w:sz w:val="24"/>
          <w:szCs w:val="24"/>
        </w:rPr>
      </w:pPr>
    </w:p>
    <w:p w:rsidR="003D488D" w:rsidRDefault="003D488D" w:rsidP="003D488D">
      <w:pPr>
        <w:ind w:firstLine="720"/>
        <w:rPr>
          <w:rFonts w:asciiTheme="minorHAnsi" w:hAnsiTheme="minorHAnsi" w:cstheme="minorHAnsi"/>
          <w:sz w:val="24"/>
          <w:szCs w:val="24"/>
        </w:rPr>
      </w:pPr>
      <w:r>
        <w:rPr>
          <w:rFonts w:asciiTheme="minorHAnsi" w:hAnsiTheme="minorHAnsi" w:cstheme="minorHAnsi"/>
          <w:sz w:val="24"/>
          <w:szCs w:val="24"/>
        </w:rPr>
        <w:t xml:space="preserve">A study by </w:t>
      </w:r>
      <w:proofErr w:type="spellStart"/>
      <w:r>
        <w:rPr>
          <w:rFonts w:asciiTheme="minorHAnsi" w:hAnsiTheme="minorHAnsi" w:cstheme="minorHAnsi"/>
          <w:sz w:val="24"/>
          <w:szCs w:val="24"/>
        </w:rPr>
        <w:t>Charman</w:t>
      </w:r>
      <w:proofErr w:type="spellEnd"/>
      <w:r>
        <w:rPr>
          <w:rFonts w:asciiTheme="minorHAnsi" w:hAnsiTheme="minorHAnsi" w:cstheme="minorHAnsi"/>
          <w:sz w:val="24"/>
          <w:szCs w:val="24"/>
        </w:rPr>
        <w:t xml:space="preserve"> (2018) spoke to police officers with varying lengths of service from 5 weeks in to their service to over 4 years.  The officers were asked, “What is the role of the police?”  The answers given by the officers fitted in to the following categories; crime related, public service related, safeguarding related.  Interestingly, the officers with the lowest service believed that the role of police was 16% safeguarding related.  In comparison officers with over 4 years’ service who stated that policing was 85% safeguarding related, meaning that a police officer’s role is more concerned with safeguarding than tackling crime and criminals.  This illustrates the difference in how the role of a police officer is perceived by younger serving police officers, and how the perception of the role changes with length of service, and experience within the role (see figure1).  Figure 1 suggests that most officers join the police service with the view of fighting crime, however quickly learn that this isn’t necessarily the case.  This raises the question, are police officers then putting the same amount of effort in to safeguarding issues and calls as they would if the call was crime related. </w:t>
      </w:r>
    </w:p>
    <w:p w:rsidR="003D488D" w:rsidRDefault="003D488D" w:rsidP="003D488D">
      <w:pPr>
        <w:ind w:firstLine="720"/>
        <w:rPr>
          <w:rFonts w:asciiTheme="minorHAnsi" w:hAnsiTheme="minorHAnsi" w:cstheme="minorHAnsi"/>
          <w:sz w:val="24"/>
          <w:szCs w:val="24"/>
        </w:rPr>
      </w:pPr>
      <w:proofErr w:type="spellStart"/>
      <w:r>
        <w:rPr>
          <w:rFonts w:asciiTheme="minorHAnsi" w:hAnsiTheme="minorHAnsi" w:cstheme="minorHAnsi"/>
          <w:sz w:val="24"/>
          <w:szCs w:val="24"/>
        </w:rPr>
        <w:t>Charman</w:t>
      </w:r>
      <w:proofErr w:type="spellEnd"/>
      <w:r>
        <w:rPr>
          <w:rFonts w:asciiTheme="minorHAnsi" w:hAnsiTheme="minorHAnsi" w:cstheme="minorHAnsi"/>
          <w:sz w:val="24"/>
          <w:szCs w:val="24"/>
        </w:rPr>
        <w:t xml:space="preserve"> (2018) state that there is a strong and growing sense of cynicism displayed by officers, this seems to increase with length of service and has the potential to impact attitudes towards incidents they attend and the members of the public that they deal with.  It is widely acknowledged that there is cynicism within the police, however according to Caplan (2003) police officers are constantly being told how to do the job that they have specific training to do by members of the public, which is an important reason as to why </w:t>
      </w:r>
      <w:r>
        <w:rPr>
          <w:rFonts w:asciiTheme="minorHAnsi" w:hAnsiTheme="minorHAnsi" w:cstheme="minorHAnsi"/>
          <w:sz w:val="24"/>
          <w:szCs w:val="24"/>
        </w:rPr>
        <w:lastRenderedPageBreak/>
        <w:t>police officers become cynical.  Furthermore, Anson et al., (1986) suggest that cynicism is a valued quality of police officers, and is positively evaluated by police organisations.  Although cynicism can have its uses, it is important that officers attending incidents follow the code of Ethics (College of Policing, 2014) and treat everyone they deal with respect and fairness and do all they can within their capacity as a police officer to gather the information available to them and investigate it thoroughly.</w:t>
      </w:r>
    </w:p>
    <w:p w:rsidR="003D488D" w:rsidRDefault="003D488D" w:rsidP="003D488D">
      <w:pPr>
        <w:rPr>
          <w:rFonts w:asciiTheme="minorHAnsi" w:hAnsiTheme="minorHAnsi" w:cstheme="minorHAnsi"/>
          <w:sz w:val="24"/>
          <w:szCs w:val="24"/>
        </w:rPr>
      </w:pPr>
    </w:p>
    <w:p w:rsidR="003D488D" w:rsidRDefault="003D488D" w:rsidP="003D488D">
      <w:pPr>
        <w:rPr>
          <w:rFonts w:asciiTheme="minorHAnsi" w:hAnsiTheme="minorHAnsi" w:cstheme="minorHAnsi"/>
          <w:sz w:val="24"/>
          <w:szCs w:val="24"/>
        </w:rPr>
      </w:pPr>
      <w:r>
        <w:rPr>
          <w:rFonts w:asciiTheme="minorHAnsi" w:hAnsiTheme="minorHAnsi" w:cstheme="minorHAnsi"/>
          <w:sz w:val="24"/>
          <w:szCs w:val="24"/>
        </w:rPr>
        <w:t xml:space="preserve">Unfortunately, improvements made in the area of public protection and safeguarding often stem from cases where there have been failings by the police and other services which have resulted in serious injury or death of a vulnerable person who needed help.  Is this a case of the police not being proactive enough in seeking out ways to identify and improve safeguarding, or is it simply too hard to identify all those in need and employ the appropriate safeguarding methods required to protect vulnerable people.  The case of Victoria </w:t>
      </w:r>
      <w:proofErr w:type="spellStart"/>
      <w:r>
        <w:rPr>
          <w:rFonts w:asciiTheme="minorHAnsi" w:hAnsiTheme="minorHAnsi" w:cstheme="minorHAnsi"/>
          <w:sz w:val="24"/>
          <w:szCs w:val="24"/>
        </w:rPr>
        <w:t>Climbie</w:t>
      </w:r>
      <w:proofErr w:type="spellEnd"/>
      <w:r>
        <w:rPr>
          <w:rFonts w:asciiTheme="minorHAnsi" w:hAnsiTheme="minorHAnsi" w:cstheme="minorHAnsi"/>
          <w:sz w:val="24"/>
          <w:szCs w:val="24"/>
        </w:rPr>
        <w:t xml:space="preserve"> can be used in order to discuss this. It would appear that there were a number of missed opportunities to protect Victoria, who eventually passed away from abuse from her Aunt, and Aunt’s boyfriend.  </w:t>
      </w:r>
      <w:r w:rsidRPr="008E3210">
        <w:rPr>
          <w:rFonts w:asciiTheme="minorHAnsi" w:hAnsiTheme="minorHAnsi" w:cstheme="minorHAnsi"/>
          <w:sz w:val="24"/>
          <w:szCs w:val="24"/>
        </w:rPr>
        <w:t>The Laming report, by Lord Lamming (2003)</w:t>
      </w:r>
      <w:r w:rsidRPr="008E3210">
        <w:rPr>
          <w:rFonts w:asciiTheme="minorHAnsi" w:hAnsiTheme="minorHAnsi" w:cstheme="minorHAnsi"/>
          <w:b/>
          <w:sz w:val="24"/>
          <w:szCs w:val="24"/>
        </w:rPr>
        <w:t xml:space="preserve"> </w:t>
      </w:r>
      <w:r>
        <w:rPr>
          <w:rFonts w:asciiTheme="minorHAnsi" w:hAnsiTheme="minorHAnsi" w:cstheme="minorHAnsi"/>
          <w:sz w:val="24"/>
          <w:szCs w:val="24"/>
        </w:rPr>
        <w:t xml:space="preserve">discussed the lead up to Victoria’s death and each of the services that failed her.  In July 1999 police were informed that Victoria had been taken to hospital and had “serious, non-accidental injuries”.  As a result Victoria was placed into police protection, at this stage however no police officer had seen the extent of her injuries, </w:t>
      </w:r>
      <w:proofErr w:type="gramStart"/>
      <w:r>
        <w:rPr>
          <w:rFonts w:asciiTheme="minorHAnsi" w:hAnsiTheme="minorHAnsi" w:cstheme="minorHAnsi"/>
          <w:sz w:val="24"/>
          <w:szCs w:val="24"/>
        </w:rPr>
        <w:t>this</w:t>
      </w:r>
      <w:proofErr w:type="gramEnd"/>
      <w:r>
        <w:rPr>
          <w:rFonts w:asciiTheme="minorHAnsi" w:hAnsiTheme="minorHAnsi" w:cstheme="minorHAnsi"/>
          <w:sz w:val="24"/>
          <w:szCs w:val="24"/>
        </w:rPr>
        <w:t xml:space="preserve"> was a breach in police protocol.  Furthermore the Laming report (2003) summarises that if the police had attended at the hospital, and spoken to Victoria’s childminder it would have become apparent that Victoria was in fact being abused, and that her auntie was the perpetrator.  Additionally, the officer in charge of the investigation wanted a social worker to speak to the suspect in the case in order to “obtain her account”.  This is an extremely inappropriate way to deal with an individual who has been accused of causing GBH to a child of seven years of age.  Perhaps what is most concerning in this incident is the fact that when the case was reviewed by a senior officer he stated that there was no further investigation needed by police, that although the initial allegation was serious, discussions had taken place between the hospital, social services and the officer in the case and that the incident had been ‘no </w:t>
      </w:r>
      <w:proofErr w:type="spellStart"/>
      <w:r>
        <w:rPr>
          <w:rFonts w:asciiTheme="minorHAnsi" w:hAnsiTheme="minorHAnsi" w:cstheme="minorHAnsi"/>
          <w:sz w:val="24"/>
          <w:szCs w:val="24"/>
        </w:rPr>
        <w:t>crimed</w:t>
      </w:r>
      <w:proofErr w:type="spellEnd"/>
      <w:r>
        <w:rPr>
          <w:rFonts w:asciiTheme="minorHAnsi" w:hAnsiTheme="minorHAnsi" w:cstheme="minorHAnsi"/>
          <w:sz w:val="24"/>
          <w:szCs w:val="24"/>
        </w:rPr>
        <w:t xml:space="preserve">’.  The incident was then closed.  </w:t>
      </w:r>
    </w:p>
    <w:p w:rsidR="003D488D" w:rsidRDefault="003D488D" w:rsidP="003D488D">
      <w:pPr>
        <w:ind w:firstLine="720"/>
        <w:rPr>
          <w:rFonts w:asciiTheme="minorHAnsi" w:hAnsiTheme="minorHAnsi" w:cstheme="minorHAnsi"/>
          <w:sz w:val="24"/>
          <w:szCs w:val="24"/>
        </w:rPr>
      </w:pPr>
      <w:r>
        <w:rPr>
          <w:rFonts w:asciiTheme="minorHAnsi" w:hAnsiTheme="minorHAnsi" w:cstheme="minorHAnsi"/>
          <w:sz w:val="24"/>
          <w:szCs w:val="24"/>
        </w:rPr>
        <w:t>The Laming report (2003) highlights that the services put in place to protect people, specifically vulnerable children failed.  There were numerous missed opportunities by the police and social services to protect Victoria from the horrific abuse that she was experiencing, the multi-agency approach in place at the time did not work, and consequently Victoria lost her life.  As a result of the report a number of recommendations to police were made, for example; an increase in training of officers dealing with child protection issues, no child should be taken in to police protection unless they have at least been seen by police, and whenever there is an investigation into the harm of a child, a manager from each agency involved should be present at the referral stage and subsequent meetings.</w:t>
      </w:r>
    </w:p>
    <w:p w:rsidR="003D488D" w:rsidRPr="00712BA3" w:rsidRDefault="003D488D" w:rsidP="003D488D">
      <w:pPr>
        <w:rPr>
          <w:rFonts w:asciiTheme="minorHAnsi" w:hAnsiTheme="minorHAnsi" w:cstheme="minorHAnsi"/>
          <w:sz w:val="24"/>
          <w:szCs w:val="24"/>
        </w:rPr>
      </w:pPr>
    </w:p>
    <w:p w:rsidR="003D488D" w:rsidRPr="00712BA3" w:rsidRDefault="003D488D" w:rsidP="003D488D">
      <w:pPr>
        <w:ind w:firstLine="720"/>
        <w:rPr>
          <w:rFonts w:asciiTheme="minorHAnsi" w:hAnsiTheme="minorHAnsi" w:cstheme="minorHAnsi"/>
          <w:sz w:val="24"/>
          <w:szCs w:val="24"/>
        </w:rPr>
      </w:pPr>
      <w:r w:rsidRPr="00712BA3">
        <w:rPr>
          <w:rFonts w:asciiTheme="minorHAnsi" w:hAnsiTheme="minorHAnsi" w:cstheme="minorHAnsi"/>
          <w:sz w:val="24"/>
          <w:szCs w:val="24"/>
        </w:rPr>
        <w:t xml:space="preserve">Abuse can have a substantial impact on victims of crime, some impacts are short term, while some impacts are long lasting and can have a major effect on every-day life.  Every victim of crime will be affected differently.  To some people, being a victim of crime can have a lasting impact on them, and have an effect on their everyday life.  To others, the impact can be minimal and be short lived.   According to </w:t>
      </w:r>
      <w:proofErr w:type="spellStart"/>
      <w:r w:rsidRPr="00712BA3">
        <w:rPr>
          <w:rFonts w:asciiTheme="minorHAnsi" w:hAnsiTheme="minorHAnsi" w:cstheme="minorHAnsi"/>
          <w:sz w:val="24"/>
          <w:szCs w:val="24"/>
        </w:rPr>
        <w:t>Healthline</w:t>
      </w:r>
      <w:proofErr w:type="spellEnd"/>
      <w:r w:rsidRPr="00712BA3">
        <w:rPr>
          <w:rFonts w:asciiTheme="minorHAnsi" w:hAnsiTheme="minorHAnsi" w:cstheme="minorHAnsi"/>
          <w:sz w:val="24"/>
          <w:szCs w:val="24"/>
        </w:rPr>
        <w:t xml:space="preserve"> (2019) there is no </w:t>
      </w:r>
      <w:r w:rsidRPr="00712BA3">
        <w:rPr>
          <w:rFonts w:asciiTheme="minorHAnsi" w:hAnsiTheme="minorHAnsi" w:cstheme="minorHAnsi"/>
          <w:sz w:val="24"/>
          <w:szCs w:val="24"/>
        </w:rPr>
        <w:lastRenderedPageBreak/>
        <w:t xml:space="preserve">correct way to feel about abuse, and short term effects can vary from emotional and physical signs.  </w:t>
      </w:r>
      <w:proofErr w:type="spellStart"/>
      <w:r w:rsidRPr="00712BA3">
        <w:rPr>
          <w:rFonts w:asciiTheme="minorHAnsi" w:hAnsiTheme="minorHAnsi" w:cstheme="minorHAnsi"/>
          <w:sz w:val="24"/>
          <w:szCs w:val="24"/>
        </w:rPr>
        <w:t>Healthline</w:t>
      </w:r>
      <w:proofErr w:type="spellEnd"/>
      <w:r w:rsidRPr="00712BA3">
        <w:rPr>
          <w:rFonts w:asciiTheme="minorHAnsi" w:hAnsiTheme="minorHAnsi" w:cstheme="minorHAnsi"/>
          <w:sz w:val="24"/>
          <w:szCs w:val="24"/>
        </w:rPr>
        <w:t xml:space="preserve"> (2019) further state that victims of abuse may initially be in denial, they then may experience shame and fear among other feelings.  Furthermore, the emotional impact can transform to a physical and behavioural side effects such as muscle tension, difficulty concentrating, a racing heartbeat and nightmares.  These short term impacts are what a victim may experience immediately after the abuse.  Long term impacts of abuse can see victims develop psychological problems that can affect them in various ways.  For example, people can develop issues with anxiety and depression, they may have to be medicated by a doctor due to this.  Additionally victims can develop post-traumatic stress disorder, which can leave them needing professional help as they may be suffering from feelings of horror and helplessness (PTSD UK, 2020).  PTSD UK (2020) also state that Post-traumatic stress disorder can impact not only the individual suffering, but also loved ones and work colleagues</w:t>
      </w:r>
    </w:p>
    <w:p w:rsidR="003D488D" w:rsidRPr="00787B6C" w:rsidRDefault="003D488D" w:rsidP="003D488D">
      <w:pPr>
        <w:ind w:firstLine="720"/>
        <w:rPr>
          <w:rFonts w:asciiTheme="minorHAnsi" w:hAnsiTheme="minorHAnsi" w:cstheme="minorHAnsi"/>
          <w:sz w:val="24"/>
          <w:szCs w:val="24"/>
        </w:rPr>
      </w:pPr>
      <w:r w:rsidRPr="00712BA3">
        <w:rPr>
          <w:rFonts w:asciiTheme="minorHAnsi" w:hAnsiTheme="minorHAnsi" w:cstheme="minorHAnsi"/>
          <w:sz w:val="24"/>
          <w:szCs w:val="24"/>
        </w:rPr>
        <w:t xml:space="preserve">The effect abuse has on individuals can differ hugely based on the type of crime </w:t>
      </w:r>
      <w:r>
        <w:rPr>
          <w:rFonts w:asciiTheme="minorHAnsi" w:hAnsiTheme="minorHAnsi" w:cstheme="minorHAnsi"/>
          <w:sz w:val="24"/>
          <w:szCs w:val="24"/>
        </w:rPr>
        <w:t>they are a victim of</w:t>
      </w:r>
      <w:r w:rsidRPr="00712BA3">
        <w:rPr>
          <w:rFonts w:asciiTheme="minorHAnsi" w:hAnsiTheme="minorHAnsi" w:cstheme="minorHAnsi"/>
          <w:sz w:val="24"/>
          <w:szCs w:val="24"/>
        </w:rPr>
        <w:t>, who the perpetrator of the crime is, the age of a victim and any personal influencing factors such as mental health problems</w:t>
      </w:r>
      <w:r>
        <w:rPr>
          <w:rFonts w:asciiTheme="minorHAnsi" w:hAnsiTheme="minorHAnsi" w:cstheme="minorHAnsi"/>
          <w:sz w:val="24"/>
          <w:szCs w:val="24"/>
        </w:rPr>
        <w:t xml:space="preserve">, furthermore, if the victim is persistently </w:t>
      </w:r>
      <w:r w:rsidRPr="00787B6C">
        <w:rPr>
          <w:rFonts w:asciiTheme="minorHAnsi" w:hAnsiTheme="minorHAnsi" w:cstheme="minorHAnsi"/>
          <w:sz w:val="24"/>
          <w:szCs w:val="24"/>
        </w:rPr>
        <w:t xml:space="preserve">targeted as a victim of crime they are classed as a repeat victim.  According to Bedfordshire Police (2020) a person is classed as a “repeat victim if the perceive themselves to be, or they have been a victim of more than one recorded crime or ASB incident within 12 months.”   According to </w:t>
      </w:r>
      <w:proofErr w:type="spellStart"/>
      <w:r w:rsidRPr="00787B6C">
        <w:rPr>
          <w:rFonts w:asciiTheme="minorHAnsi" w:hAnsiTheme="minorHAnsi" w:cstheme="minorHAnsi"/>
          <w:sz w:val="24"/>
          <w:szCs w:val="24"/>
        </w:rPr>
        <w:t>Lauritsena</w:t>
      </w:r>
      <w:proofErr w:type="spellEnd"/>
      <w:r w:rsidRPr="00787B6C">
        <w:rPr>
          <w:rFonts w:asciiTheme="minorHAnsi" w:hAnsiTheme="minorHAnsi" w:cstheme="minorHAnsi"/>
          <w:sz w:val="24"/>
          <w:szCs w:val="24"/>
        </w:rPr>
        <w:t xml:space="preserve"> and </w:t>
      </w:r>
      <w:proofErr w:type="spellStart"/>
      <w:r w:rsidRPr="00787B6C">
        <w:rPr>
          <w:rFonts w:asciiTheme="minorHAnsi" w:hAnsiTheme="minorHAnsi" w:cstheme="minorHAnsi"/>
          <w:sz w:val="24"/>
          <w:szCs w:val="24"/>
        </w:rPr>
        <w:t>Quinet</w:t>
      </w:r>
      <w:proofErr w:type="spellEnd"/>
      <w:r w:rsidRPr="00787B6C">
        <w:rPr>
          <w:rFonts w:asciiTheme="minorHAnsi" w:hAnsiTheme="minorHAnsi" w:cstheme="minorHAnsi"/>
          <w:sz w:val="24"/>
          <w:szCs w:val="24"/>
        </w:rPr>
        <w:t xml:space="preserve"> (1995) prior victimisation is a consistent predictor of future risk, meaning that once you are a victim of crime there is an increased likelihood that you will again be a victim.  </w:t>
      </w:r>
    </w:p>
    <w:p w:rsidR="003D488D" w:rsidRPr="00712BA3" w:rsidRDefault="003D488D" w:rsidP="003D488D">
      <w:pPr>
        <w:ind w:firstLine="720"/>
        <w:rPr>
          <w:rFonts w:asciiTheme="minorHAnsi" w:hAnsiTheme="minorHAnsi" w:cstheme="minorHAnsi"/>
          <w:sz w:val="24"/>
          <w:szCs w:val="24"/>
        </w:rPr>
      </w:pPr>
      <w:r w:rsidRPr="00787B6C">
        <w:rPr>
          <w:rFonts w:asciiTheme="minorHAnsi" w:hAnsiTheme="minorHAnsi" w:cstheme="minorHAnsi"/>
          <w:sz w:val="24"/>
          <w:szCs w:val="24"/>
        </w:rPr>
        <w:t xml:space="preserve">Victims of crime have a range </w:t>
      </w:r>
      <w:r w:rsidRPr="00712BA3">
        <w:rPr>
          <w:rFonts w:asciiTheme="minorHAnsi" w:hAnsiTheme="minorHAnsi" w:cstheme="minorHAnsi"/>
          <w:sz w:val="24"/>
          <w:szCs w:val="24"/>
        </w:rPr>
        <w:t>of services that are in place in order to assist them and make</w:t>
      </w:r>
      <w:r>
        <w:rPr>
          <w:rFonts w:asciiTheme="minorHAnsi" w:hAnsiTheme="minorHAnsi" w:cstheme="minorHAnsi"/>
          <w:sz w:val="24"/>
          <w:szCs w:val="24"/>
        </w:rPr>
        <w:t xml:space="preserve"> the</w:t>
      </w:r>
      <w:r w:rsidRPr="00712BA3">
        <w:rPr>
          <w:rFonts w:asciiTheme="minorHAnsi" w:hAnsiTheme="minorHAnsi" w:cstheme="minorHAnsi"/>
          <w:sz w:val="24"/>
          <w:szCs w:val="24"/>
        </w:rPr>
        <w:t xml:space="preserve"> progression through the criminal justice system easier and less stressful for them.  The Ministry of Justice (2020) outlines the rights a victim of crime has, and dictates the minimum standard of service that must be provided to victims of crime.  It outlines the rights a victim has and how they can expect to be treated, for example all victims have the right to be treated with respect, dignity, sensitivity, compassion and courtesy.</w:t>
      </w:r>
    </w:p>
    <w:p w:rsidR="003D488D" w:rsidRPr="00712BA3" w:rsidRDefault="003D488D" w:rsidP="003D488D">
      <w:pPr>
        <w:ind w:firstLine="720"/>
        <w:rPr>
          <w:rFonts w:asciiTheme="minorHAnsi" w:hAnsiTheme="minorHAnsi" w:cstheme="minorHAnsi"/>
          <w:sz w:val="24"/>
          <w:szCs w:val="24"/>
        </w:rPr>
      </w:pPr>
      <w:r w:rsidRPr="00712BA3">
        <w:rPr>
          <w:rFonts w:asciiTheme="minorHAnsi" w:hAnsiTheme="minorHAnsi" w:cstheme="minorHAnsi"/>
          <w:sz w:val="24"/>
          <w:szCs w:val="24"/>
        </w:rPr>
        <w:t>The prospect of going to court and giving evidence can be an extremely daunting thought.  Because of this, a victim who is feeling intimidated or is vulnerable are entitled to ask for special measures to be considered should they be required to attend court.  Special measures cover a range of things, however can include having a screen put up around the witness box, or having the victim give evidence via video link (Ministry of Justice, 2020).  Having special measures in place can make the difference in a victim’s decision of whether they want to proceed with a complaint against the suspect or not.</w:t>
      </w:r>
    </w:p>
    <w:p w:rsidR="003D488D" w:rsidRPr="00712BA3" w:rsidRDefault="003D488D" w:rsidP="003D488D">
      <w:pPr>
        <w:ind w:firstLine="720"/>
        <w:rPr>
          <w:rFonts w:asciiTheme="minorHAnsi" w:hAnsiTheme="minorHAnsi" w:cstheme="minorHAnsi"/>
          <w:sz w:val="24"/>
          <w:szCs w:val="24"/>
        </w:rPr>
      </w:pPr>
      <w:r w:rsidRPr="00712BA3">
        <w:rPr>
          <w:rFonts w:asciiTheme="minorHAnsi" w:hAnsiTheme="minorHAnsi" w:cstheme="minorHAnsi"/>
          <w:sz w:val="24"/>
          <w:szCs w:val="24"/>
        </w:rPr>
        <w:t xml:space="preserve">In addition to special measures, victims of crime are entitled to provide a ‘victim personal statement’ (VPS) to police in addition to any evidential statement they make.  A VPS provides a victim the opportunity to explain to the court how they have been impacted from the crime that they are a victim of.  A VPS can be very </w:t>
      </w:r>
      <w:proofErr w:type="spellStart"/>
      <w:r w:rsidRPr="00712BA3">
        <w:rPr>
          <w:rFonts w:asciiTheme="minorHAnsi" w:hAnsiTheme="minorHAnsi" w:cstheme="minorHAnsi"/>
          <w:sz w:val="24"/>
          <w:szCs w:val="24"/>
        </w:rPr>
        <w:t>impactive</w:t>
      </w:r>
      <w:proofErr w:type="spellEnd"/>
      <w:r w:rsidRPr="00712BA3">
        <w:rPr>
          <w:rFonts w:asciiTheme="minorHAnsi" w:hAnsiTheme="minorHAnsi" w:cstheme="minorHAnsi"/>
          <w:sz w:val="24"/>
          <w:szCs w:val="24"/>
        </w:rPr>
        <w:t xml:space="preserve"> when read out in court as it allows a jury to see that the crime committed has had a real impact on someone, and that potentially their life has bee</w:t>
      </w:r>
      <w:r>
        <w:rPr>
          <w:rFonts w:asciiTheme="minorHAnsi" w:hAnsiTheme="minorHAnsi" w:cstheme="minorHAnsi"/>
          <w:sz w:val="24"/>
          <w:szCs w:val="24"/>
        </w:rPr>
        <w:t>n changed because they have become</w:t>
      </w:r>
      <w:r w:rsidRPr="00712BA3">
        <w:rPr>
          <w:rFonts w:asciiTheme="minorHAnsi" w:hAnsiTheme="minorHAnsi" w:cstheme="minorHAnsi"/>
          <w:sz w:val="24"/>
          <w:szCs w:val="24"/>
        </w:rPr>
        <w:t xml:space="preserve"> a victim</w:t>
      </w:r>
      <w:r>
        <w:rPr>
          <w:rFonts w:asciiTheme="minorHAnsi" w:hAnsiTheme="minorHAnsi" w:cstheme="minorHAnsi"/>
          <w:sz w:val="24"/>
          <w:szCs w:val="24"/>
        </w:rPr>
        <w:t xml:space="preserve"> of crime</w:t>
      </w:r>
      <w:r w:rsidRPr="00712BA3">
        <w:rPr>
          <w:rFonts w:asciiTheme="minorHAnsi" w:hAnsiTheme="minorHAnsi" w:cstheme="minorHAnsi"/>
          <w:sz w:val="24"/>
          <w:szCs w:val="24"/>
        </w:rPr>
        <w:t>.  The aim of a VPS is to give the victim a voice in the criminal justice process (Ministry of Justice, 2015), and allow them to put across the negative effect on their life whether that is physical, emotional or financial impacts.</w:t>
      </w:r>
    </w:p>
    <w:p w:rsidR="003D488D" w:rsidRDefault="003D488D" w:rsidP="003D488D">
      <w:pPr>
        <w:rPr>
          <w:rFonts w:asciiTheme="minorHAnsi" w:hAnsiTheme="minorHAnsi" w:cstheme="minorHAnsi"/>
          <w:sz w:val="24"/>
          <w:szCs w:val="24"/>
        </w:rPr>
      </w:pPr>
    </w:p>
    <w:p w:rsidR="003D488D" w:rsidRDefault="003D488D" w:rsidP="003D488D">
      <w:pPr>
        <w:ind w:firstLine="720"/>
        <w:rPr>
          <w:rFonts w:asciiTheme="minorHAnsi" w:hAnsiTheme="minorHAnsi" w:cstheme="minorHAnsi"/>
          <w:sz w:val="24"/>
          <w:szCs w:val="24"/>
        </w:rPr>
      </w:pPr>
      <w:r>
        <w:rPr>
          <w:rFonts w:asciiTheme="minorHAnsi" w:hAnsiTheme="minorHAnsi" w:cstheme="minorHAnsi"/>
          <w:sz w:val="24"/>
          <w:szCs w:val="24"/>
        </w:rPr>
        <w:t xml:space="preserve">In recent years there have been a number of issues with serious organised crime groups (SOCG) throughout the United Kingdom.  Organised and serious crime is a threat to </w:t>
      </w:r>
      <w:r>
        <w:rPr>
          <w:rFonts w:asciiTheme="minorHAnsi" w:hAnsiTheme="minorHAnsi" w:cstheme="minorHAnsi"/>
          <w:sz w:val="24"/>
          <w:szCs w:val="24"/>
        </w:rPr>
        <w:lastRenderedPageBreak/>
        <w:t xml:space="preserve">our national security, and includes crimes such as drug trafficking, human trafficking, organised illegal immigration, high value financial crimes and child sexual exploitation (HM Government, 2013).  Serious and organised crime is planned and coordinated, it can be committed by individuals or a number of people working together as a group (Home Office, National Crime Agency, 2019).  One of the reasons that SOCG cause so many issues is because of the risk to the public that is attached to them.  SOCG often pray on the vulnerable members of society, gain their trust or coerce them in to helping them and then exploit them, this could be by using them to traffic drugs in to and around the country, or trafficking young people, forcing them into a life of sex work or manual labour as a means of earning money.  A common assumption is that human trafficking involves other countries but isn’t prevalent within the UK, however Unseen (2020) state that trafficking does happen within the UK, it does not always involve international transportation.  The police work alongside other agencies in order to ensure that victims of crime are protected from SOCG and the offenders that work within them, crucially the level of serious and organised crime that takes place within the UK is growing, this is aided by the advancement of technology nationwide.  The growth in technology has, and will make it easier for criminal organisations to function, and the use of the Dark web and virtual currencies such as Bitcoin allow the criminal organisations a level on anonymity (HM Government, 2018). The National Crime Agency (2019) found that in 2018 there had been a 38% increase on the victims of modern slavery and human trafficking than in 2017.  Furthermore, the statistics on child sexual exploitation (CSE) are extremely concerning.  The Home Office (2019) estimate that there are 80, 000 people who are working online and are presenting a sexual threat to children, and according to the National Crime Agency (2018)  the number of referrals to the NCA relating to online Child Sexual Exploitation and abuse has increased 700% within the last 4 years alone.  These statistics, and the increase in modern slavery victims is very concerning and illustrates why there needs to be a actionable plan in place by the police as well as other agencies in order to tackle these dangerous groups.  </w:t>
      </w:r>
    </w:p>
    <w:p w:rsidR="003D488D" w:rsidRPr="00E7396E" w:rsidRDefault="003D488D" w:rsidP="003D488D">
      <w:pPr>
        <w:ind w:firstLine="720"/>
        <w:rPr>
          <w:rFonts w:asciiTheme="minorHAnsi" w:hAnsiTheme="minorHAnsi" w:cstheme="minorHAnsi"/>
          <w:sz w:val="24"/>
          <w:szCs w:val="24"/>
        </w:rPr>
      </w:pPr>
      <w:r>
        <w:rPr>
          <w:rFonts w:asciiTheme="minorHAnsi" w:hAnsiTheme="minorHAnsi" w:cstheme="minorHAnsi"/>
          <w:sz w:val="24"/>
          <w:szCs w:val="24"/>
        </w:rPr>
        <w:t xml:space="preserve">In 2018, HM Government set out a Serious and organised crime strategy in which it states that in order to target and disrupt Serious and organised criminals the full force of the state, law enforcement and local authorities will be used.  This strategy includes the government, private sector, communities and individuals themselves, and will utilise the 4P’s; Prevent, Pursue, Protect and Prepare.   The 4 P’s are designed so that all agencies involved in the framework can attempt to prevent organised crime before it occurs rather </w:t>
      </w:r>
      <w:r w:rsidRPr="009A4416">
        <w:rPr>
          <w:rFonts w:asciiTheme="minorHAnsi" w:hAnsiTheme="minorHAnsi" w:cstheme="minorHAnsi"/>
          <w:sz w:val="24"/>
          <w:szCs w:val="24"/>
        </w:rPr>
        <w:t>than reacting to it once it has happened.  The strategy sets out to Prevent individuals getting involved in organised crime, Pursue and disrupt criminals, Protect individuals, organisations and communities and Prepare for when serious organised crime occurs, and mitigate the impact it has (HM Government, 2018).</w:t>
      </w:r>
    </w:p>
    <w:p w:rsidR="003D488D" w:rsidRPr="008D228F" w:rsidRDefault="003D488D" w:rsidP="003D488D">
      <w:pPr>
        <w:rPr>
          <w:rFonts w:asciiTheme="minorHAnsi" w:hAnsiTheme="minorHAnsi" w:cstheme="minorHAnsi"/>
          <w:sz w:val="24"/>
          <w:szCs w:val="24"/>
          <w:shd w:val="clear" w:color="auto" w:fill="FFFFFF"/>
        </w:rPr>
      </w:pPr>
      <w:r>
        <w:rPr>
          <w:rFonts w:asciiTheme="minorHAnsi" w:hAnsiTheme="minorHAnsi" w:cstheme="minorHAnsi"/>
          <w:sz w:val="24"/>
          <w:szCs w:val="24"/>
        </w:rPr>
        <w:t>The police have a key role in protecting the public from violent offenders, sexual offenders and other potentially dangerous persons (PDPs) that pose a risk of serious harm to others (</w:t>
      </w:r>
      <w:r w:rsidRPr="008D228F">
        <w:rPr>
          <w:rFonts w:asciiTheme="minorHAnsi" w:hAnsiTheme="minorHAnsi" w:cstheme="minorHAnsi"/>
          <w:sz w:val="24"/>
          <w:szCs w:val="24"/>
        </w:rPr>
        <w:t xml:space="preserve">National Policing Improvement Agency, 2007).   Risk levels of PDPs must be managed effectively in order to ensure that members of the public are protected and their safety is maintained.  </w:t>
      </w:r>
      <w:r w:rsidRPr="008D228F">
        <w:rPr>
          <w:rFonts w:asciiTheme="minorHAnsi" w:hAnsiTheme="minorHAnsi" w:cstheme="minorHAnsi"/>
          <w:sz w:val="24"/>
          <w:szCs w:val="24"/>
          <w:shd w:val="clear" w:color="auto" w:fill="FFFFFF"/>
        </w:rPr>
        <w:t xml:space="preserve">Agencies working with convicted violent and sexual offenders have been required to engage in local Multi-Agency Public Protection Arrangements (MAPPA) since the implementation of the Criminal Justice and Court Services Act 2000 in April 2001 (Reeves, 2003).  MAPPA ensures that the police and other services work together in order to protect members of the public.  MAPPA manages the risk of each offender and in turn the risk that they pose to the public.  There are three categories of MAPPA offenders; category one- all </w:t>
      </w:r>
      <w:r w:rsidRPr="008D228F">
        <w:rPr>
          <w:rFonts w:asciiTheme="minorHAnsi" w:hAnsiTheme="minorHAnsi" w:cstheme="minorHAnsi"/>
          <w:sz w:val="24"/>
          <w:szCs w:val="24"/>
          <w:shd w:val="clear" w:color="auto" w:fill="FFFFFF"/>
        </w:rPr>
        <w:lastRenderedPageBreak/>
        <w:t>registered sex offenders, category two- violent or sex offenders not subject to notification requirements and category three- other dangerous offenders (</w:t>
      </w:r>
      <w:proofErr w:type="spellStart"/>
      <w:r w:rsidRPr="008D228F">
        <w:rPr>
          <w:rFonts w:asciiTheme="minorHAnsi" w:hAnsiTheme="minorHAnsi" w:cstheme="minorHAnsi"/>
          <w:sz w:val="24"/>
          <w:szCs w:val="24"/>
          <w:shd w:val="clear" w:color="auto" w:fill="FFFFFF"/>
        </w:rPr>
        <w:t>Nacro</w:t>
      </w:r>
      <w:proofErr w:type="spellEnd"/>
      <w:r w:rsidRPr="008D228F">
        <w:rPr>
          <w:rFonts w:asciiTheme="minorHAnsi" w:hAnsiTheme="minorHAnsi" w:cstheme="minorHAnsi"/>
          <w:sz w:val="24"/>
          <w:szCs w:val="24"/>
          <w:shd w:val="clear" w:color="auto" w:fill="FFFFFF"/>
        </w:rPr>
        <w:t>, 2020).  MOSOVO (Management of sexual offenders and violent offenders) are the unit responsible for management of offenders who are in MAPPA categories.  The MOSOVO unit must maintain detailed intelligence reports on each offender which shows their pattern of behaviour and modus operandi (College of policing, 2017).  They are in charge of ensuring that PDP’s comply with any restrictions imposed on to them.  For example, a sexual offender may have to inform MOSOVO if they are thinking of applying to a job, if they want to move house, any new relationships they may have and may also have to surrender any electronic device to a police officer when requested in order for the officer to check the content of the device.  These conditions are dependent on the offence that has been committed and offenders can have different conditions imposed on them.</w:t>
      </w:r>
      <w:r>
        <w:rPr>
          <w:rFonts w:asciiTheme="minorHAnsi" w:hAnsiTheme="minorHAnsi" w:cstheme="minorHAnsi"/>
          <w:sz w:val="24"/>
          <w:szCs w:val="24"/>
          <w:shd w:val="clear" w:color="auto" w:fill="FFFFFF"/>
        </w:rPr>
        <w:t xml:space="preserve">  These conditions can be imposed on offenders for a number of reasons for example because they are subject to a sexual harm prevention order.  A sexual harm prevention order is an order made against any person who is found to have committed an offence under section 3 or 5 of the Sexual offences Act 2003 (Miller, 2020).  There are many conditions that can be imposed, such as, not to visit a public swimming pool or to not attend at any areas where children may be present (Miller, 2020).</w:t>
      </w:r>
    </w:p>
    <w:p w:rsidR="003D488D" w:rsidRDefault="003D488D" w:rsidP="003D488D">
      <w:pPr>
        <w:rPr>
          <w:rFonts w:asciiTheme="minorHAnsi" w:hAnsiTheme="minorHAnsi" w:cstheme="minorHAnsi"/>
          <w:sz w:val="24"/>
          <w:szCs w:val="24"/>
        </w:rPr>
      </w:pPr>
    </w:p>
    <w:p w:rsidR="003D488D" w:rsidRDefault="003D488D" w:rsidP="003D488D">
      <w:pPr>
        <w:rPr>
          <w:rFonts w:asciiTheme="minorHAnsi" w:hAnsiTheme="minorHAnsi" w:cstheme="minorHAnsi"/>
          <w:sz w:val="24"/>
          <w:szCs w:val="24"/>
        </w:rPr>
      </w:pPr>
      <w:r>
        <w:rPr>
          <w:rFonts w:asciiTheme="minorHAnsi" w:hAnsiTheme="minorHAnsi" w:cstheme="minorHAnsi"/>
          <w:sz w:val="24"/>
          <w:szCs w:val="24"/>
        </w:rPr>
        <w:t xml:space="preserve">A strategy that the police in the UK have adopted in order to increase public protection is the use of Police databases; the Police National Computer (PNC), and the Police national Database (PND).  Access to these databases must only be by authorised personnel with sufficient training, and the information must be for a genuine policing purpose.  The PNC contains information on a person’s criminal records, showing if they are wanted or missing, details about vehicles, insurance and MOT.  PNC checks are frequently carried out by officers for completing basic checks on suspects or moving vehicle checks (Bryant and Bryant, 2018), this can be done on a handheld device or by speaking directly to the police control room. </w:t>
      </w:r>
    </w:p>
    <w:p w:rsidR="003D488D" w:rsidRDefault="003D488D" w:rsidP="003D488D">
      <w:pPr>
        <w:ind w:firstLine="720"/>
        <w:rPr>
          <w:rFonts w:asciiTheme="minorHAnsi" w:hAnsiTheme="minorHAnsi" w:cstheme="minorHAnsi"/>
          <w:sz w:val="24"/>
          <w:szCs w:val="24"/>
        </w:rPr>
      </w:pPr>
      <w:r>
        <w:rPr>
          <w:rFonts w:asciiTheme="minorHAnsi" w:hAnsiTheme="minorHAnsi" w:cstheme="minorHAnsi"/>
          <w:sz w:val="24"/>
          <w:szCs w:val="24"/>
        </w:rPr>
        <w:t xml:space="preserve">PND however is much a more detailed search which allows for information sharing between police forces.  The PND was set up in 2011 following the </w:t>
      </w:r>
      <w:proofErr w:type="spellStart"/>
      <w:r>
        <w:rPr>
          <w:rFonts w:asciiTheme="minorHAnsi" w:hAnsiTheme="minorHAnsi" w:cstheme="minorHAnsi"/>
          <w:sz w:val="24"/>
          <w:szCs w:val="24"/>
        </w:rPr>
        <w:t>Bichard</w:t>
      </w:r>
      <w:proofErr w:type="spellEnd"/>
      <w:r>
        <w:rPr>
          <w:rFonts w:asciiTheme="minorHAnsi" w:hAnsiTheme="minorHAnsi" w:cstheme="minorHAnsi"/>
          <w:sz w:val="24"/>
          <w:szCs w:val="24"/>
        </w:rPr>
        <w:t xml:space="preserve"> inquiry in to the </w:t>
      </w:r>
      <w:proofErr w:type="spellStart"/>
      <w:r>
        <w:rPr>
          <w:rFonts w:asciiTheme="minorHAnsi" w:hAnsiTheme="minorHAnsi" w:cstheme="minorHAnsi"/>
          <w:sz w:val="24"/>
          <w:szCs w:val="24"/>
        </w:rPr>
        <w:t>Soham</w:t>
      </w:r>
      <w:proofErr w:type="spellEnd"/>
      <w:r>
        <w:rPr>
          <w:rFonts w:asciiTheme="minorHAnsi" w:hAnsiTheme="minorHAnsi" w:cstheme="minorHAnsi"/>
          <w:sz w:val="24"/>
          <w:szCs w:val="24"/>
        </w:rPr>
        <w:t xml:space="preserve"> Murders in 2002 (Bryant and Bryant, 2018).  The inquiry outlined a number of failings by the police which allowed a school caretaker named Ian Huntley, who had a previous conviction for burglary, and several allegations of sexual offences; 3 of which involving underage girls, to work in a school, where he eventually killed two young girls (</w:t>
      </w:r>
      <w:proofErr w:type="spellStart"/>
      <w:r>
        <w:rPr>
          <w:rFonts w:asciiTheme="minorHAnsi" w:hAnsiTheme="minorHAnsi" w:cstheme="minorHAnsi"/>
          <w:sz w:val="24"/>
          <w:szCs w:val="24"/>
        </w:rPr>
        <w:t>Bichard</w:t>
      </w:r>
      <w:proofErr w:type="spellEnd"/>
      <w:r>
        <w:rPr>
          <w:rFonts w:asciiTheme="minorHAnsi" w:hAnsiTheme="minorHAnsi" w:cstheme="minorHAnsi"/>
          <w:sz w:val="24"/>
          <w:szCs w:val="24"/>
        </w:rPr>
        <w:t xml:space="preserve">, 2004).  Huntley moved from the area with his convictions and changed his name, when checks were completed on him his previous name was not checked, thus his criminal history did not show.  Furthermore, the </w:t>
      </w:r>
      <w:proofErr w:type="spellStart"/>
      <w:r>
        <w:rPr>
          <w:rFonts w:asciiTheme="minorHAnsi" w:hAnsiTheme="minorHAnsi" w:cstheme="minorHAnsi"/>
          <w:sz w:val="24"/>
          <w:szCs w:val="24"/>
        </w:rPr>
        <w:t>Bichard</w:t>
      </w:r>
      <w:proofErr w:type="spellEnd"/>
      <w:r>
        <w:rPr>
          <w:rFonts w:asciiTheme="minorHAnsi" w:hAnsiTheme="minorHAnsi" w:cstheme="minorHAnsi"/>
          <w:sz w:val="24"/>
          <w:szCs w:val="24"/>
        </w:rPr>
        <w:t xml:space="preserve"> enquiry shows that all information relating to the previous allegations had been destroyed by Humberside police, and the new force area of Cambridgeshire where Huntley was residing did not contact Humberside throughout the vetting process (</w:t>
      </w:r>
      <w:proofErr w:type="spellStart"/>
      <w:r>
        <w:rPr>
          <w:rFonts w:asciiTheme="minorHAnsi" w:hAnsiTheme="minorHAnsi" w:cstheme="minorHAnsi"/>
          <w:sz w:val="24"/>
          <w:szCs w:val="24"/>
        </w:rPr>
        <w:t>Bichard</w:t>
      </w:r>
      <w:proofErr w:type="spellEnd"/>
      <w:r>
        <w:rPr>
          <w:rFonts w:asciiTheme="minorHAnsi" w:hAnsiTheme="minorHAnsi" w:cstheme="minorHAnsi"/>
          <w:sz w:val="24"/>
          <w:szCs w:val="24"/>
        </w:rPr>
        <w:t>, 2004).  The introduction of the PND ensures that information and intelligence can be shared throughout police forces, with the aim of ensuring this is not repeated.  The PND contains information about people, objects, locations and events (Bryant and Bryant, 2018).  It allows all police forces to share information and intelligence received at a local level nationally.  The PND’s fundamental aims are to safeguard children and vulnerable people, to counter terrorism and to prevent and disrupt serious and organised crime (College of Policing, 2020).  The PNC and PND are a crucial tool within policing, and the use of them within police forces can aid in detecting criminals, consequently protecting the wider public and vulnerable people in society.</w:t>
      </w:r>
    </w:p>
    <w:p w:rsidR="003D488D" w:rsidRDefault="003D488D" w:rsidP="003D488D">
      <w:pPr>
        <w:ind w:firstLine="720"/>
        <w:rPr>
          <w:rFonts w:asciiTheme="minorHAnsi" w:hAnsiTheme="minorHAnsi" w:cstheme="minorHAnsi"/>
          <w:sz w:val="24"/>
          <w:szCs w:val="24"/>
        </w:rPr>
      </w:pPr>
    </w:p>
    <w:p w:rsidR="003D488D" w:rsidRDefault="003D488D" w:rsidP="003D488D">
      <w:pPr>
        <w:rPr>
          <w:rFonts w:asciiTheme="minorHAnsi" w:hAnsiTheme="minorHAnsi" w:cstheme="minorHAnsi"/>
          <w:sz w:val="24"/>
          <w:szCs w:val="24"/>
        </w:rPr>
      </w:pPr>
      <w:r>
        <w:rPr>
          <w:rFonts w:asciiTheme="minorHAnsi" w:hAnsiTheme="minorHAnsi" w:cstheme="minorHAnsi"/>
          <w:sz w:val="24"/>
          <w:szCs w:val="24"/>
        </w:rPr>
        <w:t xml:space="preserve">In summary, </w:t>
      </w:r>
      <w:r w:rsidRPr="007B472C">
        <w:rPr>
          <w:rFonts w:asciiTheme="minorHAnsi" w:hAnsiTheme="minorHAnsi" w:cstheme="minorHAnsi"/>
          <w:sz w:val="24"/>
          <w:szCs w:val="24"/>
        </w:rPr>
        <w:t xml:space="preserve">“The key outcome of effective public protection working are they prevention of serious harm and the reduction of re-victimisation and risk for future potential harm” (National Policing Improvement Agency, 2007). </w:t>
      </w:r>
      <w:r>
        <w:rPr>
          <w:rFonts w:asciiTheme="minorHAnsi" w:hAnsiTheme="minorHAnsi" w:cstheme="minorHAnsi"/>
          <w:sz w:val="24"/>
          <w:szCs w:val="24"/>
        </w:rPr>
        <w:t xml:space="preserve"> It is clear that police are working with other agencies in order to attempt to progress public protection issues, however although improvements have been made there is still a long way to go.  Agencies need to ensure that there is appropriate communication regarding any public protection concerns and that they are addressed in the correct way, before a serious problem arises.  </w:t>
      </w:r>
      <w:r w:rsidRPr="007B472C">
        <w:rPr>
          <w:rFonts w:asciiTheme="minorHAnsi" w:hAnsiTheme="minorHAnsi" w:cstheme="minorHAnsi"/>
          <w:sz w:val="24"/>
          <w:szCs w:val="24"/>
        </w:rPr>
        <w:t xml:space="preserve">Strategies that police have adopted in order </w:t>
      </w:r>
      <w:r>
        <w:rPr>
          <w:rFonts w:asciiTheme="minorHAnsi" w:hAnsiTheme="minorHAnsi" w:cstheme="minorHAnsi"/>
          <w:sz w:val="24"/>
          <w:szCs w:val="24"/>
        </w:rPr>
        <w:t>to deal with public protection issues have improved dramatically over the years, unfortunately this has generally been due to a failure to protect vulnerable people.  The introduction of PNC and PND have been an invaluable tool to police that is used constantly by police forces across the country.  Furthermore, crime throughout the UK is evolving, serious and organised crime is becoming more sophisticated every day, and the use of technology only enhances that.  Therefore, the way in which these crimes are detected and dealt with also need to improve in order to ensure an appropriate level of protection for victims.</w:t>
      </w:r>
    </w:p>
    <w:p w:rsidR="003D488D" w:rsidRDefault="003D488D" w:rsidP="003D488D">
      <w:pPr>
        <w:rPr>
          <w:rFonts w:asciiTheme="minorHAnsi" w:hAnsiTheme="minorHAnsi" w:cstheme="minorHAnsi"/>
          <w:sz w:val="24"/>
          <w:szCs w:val="24"/>
        </w:rPr>
      </w:pPr>
    </w:p>
    <w:p w:rsidR="003D488D" w:rsidRPr="00F534A3" w:rsidRDefault="003D488D" w:rsidP="003D488D">
      <w:pPr>
        <w:rPr>
          <w:rFonts w:asciiTheme="minorHAnsi" w:hAnsiTheme="minorHAnsi" w:cstheme="minorHAnsi"/>
          <w:sz w:val="24"/>
          <w:szCs w:val="24"/>
          <w:highlight w:val="yellow"/>
          <w:shd w:val="clear" w:color="auto" w:fill="FFFFFF"/>
        </w:rPr>
      </w:pPr>
    </w:p>
    <w:p w:rsidR="003D488D" w:rsidRPr="00F534A3" w:rsidRDefault="003D488D" w:rsidP="003D488D">
      <w:pPr>
        <w:rPr>
          <w:rFonts w:asciiTheme="minorHAnsi" w:hAnsiTheme="minorHAnsi" w:cstheme="minorHAnsi"/>
          <w:sz w:val="24"/>
          <w:szCs w:val="24"/>
          <w:shd w:val="clear" w:color="auto" w:fill="FFFFFF"/>
        </w:rPr>
      </w:pPr>
      <w:r>
        <w:rPr>
          <w:rFonts w:asciiTheme="minorHAnsi" w:hAnsiTheme="minorHAnsi" w:cstheme="minorHAnsi"/>
          <w:sz w:val="24"/>
          <w:szCs w:val="24"/>
          <w:shd w:val="clear" w:color="auto" w:fill="FFFFFF"/>
        </w:rPr>
        <w:t>4798</w:t>
      </w:r>
      <w:r w:rsidRPr="00F534A3">
        <w:rPr>
          <w:rFonts w:asciiTheme="minorHAnsi" w:hAnsiTheme="minorHAnsi" w:cstheme="minorHAnsi"/>
          <w:sz w:val="24"/>
          <w:szCs w:val="24"/>
          <w:shd w:val="clear" w:color="auto" w:fill="FFFFFF"/>
        </w:rPr>
        <w:t xml:space="preserve"> words</w:t>
      </w:r>
    </w:p>
    <w:p w:rsidR="003D488D" w:rsidRPr="00F534A3" w:rsidRDefault="003D488D" w:rsidP="003D488D">
      <w:pPr>
        <w:rPr>
          <w:rFonts w:asciiTheme="minorHAnsi" w:hAnsiTheme="minorHAnsi" w:cstheme="minorHAnsi"/>
          <w:sz w:val="24"/>
          <w:szCs w:val="24"/>
          <w:highlight w:val="yellow"/>
          <w:shd w:val="clear" w:color="auto" w:fill="FFFFFF"/>
        </w:rPr>
      </w:pPr>
    </w:p>
    <w:p w:rsidR="003D488D" w:rsidRDefault="003D488D" w:rsidP="003D488D">
      <w:pPr>
        <w:rPr>
          <w:rFonts w:ascii="Arial" w:hAnsi="Arial" w:cs="Arial"/>
          <w:color w:val="333333"/>
          <w:highlight w:val="yellow"/>
          <w:shd w:val="clear" w:color="auto" w:fill="FFFFFF"/>
        </w:rPr>
      </w:pPr>
    </w:p>
    <w:p w:rsidR="003D488D" w:rsidRDefault="003D488D" w:rsidP="003D488D">
      <w:pPr>
        <w:rPr>
          <w:rFonts w:asciiTheme="minorHAnsi" w:hAnsiTheme="minorHAnsi" w:cstheme="minorHAnsi"/>
          <w:sz w:val="24"/>
          <w:szCs w:val="24"/>
        </w:rPr>
      </w:pPr>
    </w:p>
    <w:p w:rsidR="003D488D" w:rsidRDefault="003D488D" w:rsidP="003D488D">
      <w:pPr>
        <w:rPr>
          <w:rFonts w:asciiTheme="minorHAnsi" w:hAnsiTheme="minorHAnsi" w:cstheme="minorHAnsi"/>
          <w:sz w:val="24"/>
          <w:szCs w:val="24"/>
        </w:rPr>
      </w:pPr>
    </w:p>
    <w:p w:rsidR="003D488D" w:rsidRDefault="003D488D" w:rsidP="003D488D">
      <w:pPr>
        <w:spacing w:after="160" w:line="259" w:lineRule="auto"/>
        <w:rPr>
          <w:rFonts w:asciiTheme="minorHAnsi" w:hAnsiTheme="minorHAnsi" w:cstheme="minorHAnsi"/>
          <w:sz w:val="24"/>
          <w:szCs w:val="24"/>
        </w:rPr>
      </w:pPr>
      <w:r>
        <w:rPr>
          <w:rFonts w:asciiTheme="minorHAnsi" w:hAnsiTheme="minorHAnsi" w:cstheme="minorHAnsi"/>
          <w:sz w:val="24"/>
          <w:szCs w:val="24"/>
        </w:rPr>
        <w:br w:type="page"/>
      </w:r>
    </w:p>
    <w:p w:rsidR="003D488D" w:rsidRDefault="003D488D" w:rsidP="003D488D">
      <w:pPr>
        <w:rPr>
          <w:rFonts w:asciiTheme="minorHAnsi" w:hAnsiTheme="minorHAnsi" w:cstheme="minorHAnsi"/>
          <w:sz w:val="24"/>
          <w:szCs w:val="24"/>
        </w:rPr>
      </w:pPr>
    </w:p>
    <w:p w:rsidR="003D488D" w:rsidRPr="003D488D" w:rsidRDefault="003D488D" w:rsidP="003D488D">
      <w:pPr>
        <w:jc w:val="center"/>
        <w:rPr>
          <w:rFonts w:asciiTheme="minorHAnsi" w:hAnsiTheme="minorHAnsi" w:cstheme="minorHAnsi"/>
          <w:b/>
          <w:sz w:val="24"/>
          <w:szCs w:val="24"/>
          <w:u w:val="single"/>
        </w:rPr>
      </w:pPr>
      <w:r>
        <w:rPr>
          <w:rFonts w:asciiTheme="minorHAnsi" w:hAnsiTheme="minorHAnsi" w:cstheme="minorHAnsi"/>
          <w:b/>
          <w:sz w:val="24"/>
          <w:szCs w:val="24"/>
          <w:u w:val="single"/>
        </w:rPr>
        <w:t>Appendix</w:t>
      </w:r>
    </w:p>
    <w:p w:rsidR="003D488D" w:rsidRDefault="003D488D" w:rsidP="003D488D">
      <w:pPr>
        <w:rPr>
          <w:rFonts w:asciiTheme="minorHAnsi" w:hAnsiTheme="minorHAnsi" w:cstheme="minorHAnsi"/>
          <w:sz w:val="24"/>
          <w:szCs w:val="24"/>
        </w:rPr>
      </w:pPr>
      <w:r>
        <w:rPr>
          <w:noProof/>
        </w:rPr>
        <w:drawing>
          <wp:inline distT="0" distB="0" distL="0" distR="0" wp14:anchorId="4617456D" wp14:editId="05CF4F20">
            <wp:extent cx="3748088" cy="2128838"/>
            <wp:effectExtent l="0" t="0" r="508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24849" t="28943" r="65501" b="51573"/>
                    <a:stretch/>
                  </pic:blipFill>
                  <pic:spPr bwMode="auto">
                    <a:xfrm>
                      <a:off x="0" y="0"/>
                      <a:ext cx="3758649" cy="2134836"/>
                    </a:xfrm>
                    <a:prstGeom prst="rect">
                      <a:avLst/>
                    </a:prstGeom>
                    <a:ln>
                      <a:noFill/>
                    </a:ln>
                    <a:extLst>
                      <a:ext uri="{53640926-AAD7-44D8-BBD7-CCE9431645EC}">
                        <a14:shadowObscured xmlns:a14="http://schemas.microsoft.com/office/drawing/2010/main"/>
                      </a:ext>
                    </a:extLst>
                  </pic:spPr>
                </pic:pic>
              </a:graphicData>
            </a:graphic>
          </wp:inline>
        </w:drawing>
      </w:r>
    </w:p>
    <w:p w:rsidR="003D488D" w:rsidRPr="001F5745" w:rsidRDefault="003D488D" w:rsidP="003D488D">
      <w:pPr>
        <w:rPr>
          <w:rFonts w:asciiTheme="minorHAnsi" w:hAnsiTheme="minorHAnsi" w:cstheme="minorHAnsi"/>
          <w:sz w:val="24"/>
          <w:szCs w:val="24"/>
        </w:rPr>
      </w:pPr>
      <w:r>
        <w:rPr>
          <w:rFonts w:asciiTheme="minorHAnsi" w:hAnsiTheme="minorHAnsi" w:cstheme="minorHAnsi"/>
          <w:b/>
          <w:sz w:val="24"/>
          <w:szCs w:val="24"/>
        </w:rPr>
        <w:t xml:space="preserve">Figure 1: </w:t>
      </w:r>
      <w:r w:rsidRPr="008E1095">
        <w:rPr>
          <w:rFonts w:asciiTheme="minorHAnsi" w:hAnsiTheme="minorHAnsi" w:cstheme="minorHAnsi"/>
          <w:i/>
          <w:sz w:val="24"/>
          <w:szCs w:val="24"/>
        </w:rPr>
        <w:t>Time A (officers with up to 5 weeks service), Time B (after 6 months), Time C (after 1 year), Time D (after 4 years)</w:t>
      </w:r>
      <w:r>
        <w:rPr>
          <w:rFonts w:asciiTheme="minorHAnsi" w:hAnsiTheme="minorHAnsi" w:cstheme="minorHAnsi"/>
          <w:i/>
          <w:sz w:val="24"/>
          <w:szCs w:val="24"/>
        </w:rPr>
        <w:t>.</w:t>
      </w:r>
    </w:p>
    <w:p w:rsidR="003D488D" w:rsidRDefault="003D488D" w:rsidP="003D488D">
      <w:pPr>
        <w:spacing w:after="160" w:line="259" w:lineRule="auto"/>
        <w:rPr>
          <w:rFonts w:asciiTheme="minorHAnsi" w:hAnsiTheme="minorHAnsi" w:cstheme="minorHAnsi"/>
          <w:b/>
          <w:sz w:val="24"/>
          <w:szCs w:val="24"/>
          <w:u w:val="single"/>
        </w:rPr>
      </w:pPr>
      <w:r>
        <w:rPr>
          <w:rFonts w:asciiTheme="minorHAnsi" w:hAnsiTheme="minorHAnsi" w:cstheme="minorHAnsi"/>
          <w:b/>
          <w:sz w:val="24"/>
          <w:szCs w:val="24"/>
          <w:u w:val="single"/>
        </w:rPr>
        <w:br w:type="page"/>
      </w:r>
    </w:p>
    <w:p w:rsidR="003D488D" w:rsidRPr="008D228F" w:rsidRDefault="003D488D" w:rsidP="003D488D">
      <w:pPr>
        <w:rPr>
          <w:rFonts w:asciiTheme="minorHAnsi" w:hAnsiTheme="minorHAnsi" w:cstheme="minorHAnsi"/>
          <w:b/>
          <w:sz w:val="24"/>
          <w:szCs w:val="24"/>
          <w:u w:val="single"/>
        </w:rPr>
      </w:pPr>
      <w:r w:rsidRPr="008D228F">
        <w:rPr>
          <w:rFonts w:asciiTheme="minorHAnsi" w:hAnsiTheme="minorHAnsi" w:cstheme="minorHAnsi"/>
          <w:b/>
          <w:sz w:val="24"/>
          <w:szCs w:val="24"/>
          <w:u w:val="single"/>
        </w:rPr>
        <w:lastRenderedPageBreak/>
        <w:t>References</w:t>
      </w:r>
    </w:p>
    <w:p w:rsidR="003D488D" w:rsidRPr="008D228F" w:rsidRDefault="003D488D" w:rsidP="003D488D">
      <w:pPr>
        <w:rPr>
          <w:rFonts w:asciiTheme="minorHAnsi" w:hAnsiTheme="minorHAnsi" w:cstheme="minorHAnsi"/>
          <w:sz w:val="24"/>
          <w:szCs w:val="24"/>
        </w:rPr>
      </w:pPr>
    </w:p>
    <w:p w:rsidR="003D488D" w:rsidRPr="008D228F" w:rsidRDefault="003D488D" w:rsidP="003D488D">
      <w:pPr>
        <w:rPr>
          <w:rFonts w:asciiTheme="minorHAnsi" w:hAnsiTheme="minorHAnsi" w:cstheme="minorHAnsi"/>
          <w:sz w:val="24"/>
          <w:szCs w:val="24"/>
        </w:rPr>
      </w:pPr>
      <w:r w:rsidRPr="008D228F">
        <w:rPr>
          <w:rFonts w:asciiTheme="minorHAnsi" w:hAnsiTheme="minorHAnsi" w:cstheme="minorHAnsi"/>
          <w:sz w:val="24"/>
          <w:szCs w:val="24"/>
        </w:rPr>
        <w:t>Anson, Richard H., Mann, J. Dale and Sherman, Dale (1986) ‘</w:t>
      </w:r>
      <w:proofErr w:type="spellStart"/>
      <w:r w:rsidRPr="008D228F">
        <w:rPr>
          <w:rFonts w:asciiTheme="minorHAnsi" w:hAnsiTheme="minorHAnsi" w:cstheme="minorHAnsi"/>
          <w:sz w:val="24"/>
          <w:szCs w:val="24"/>
        </w:rPr>
        <w:t>Niederhoffer’s</w:t>
      </w:r>
      <w:proofErr w:type="spellEnd"/>
      <w:r w:rsidRPr="008D228F">
        <w:rPr>
          <w:rFonts w:asciiTheme="minorHAnsi" w:hAnsiTheme="minorHAnsi" w:cstheme="minorHAnsi"/>
          <w:sz w:val="24"/>
          <w:szCs w:val="24"/>
        </w:rPr>
        <w:t xml:space="preserve"> Cynicism Scale: Reliability and Beyond’ Journal of Criminal Justice 14: 295–305.</w:t>
      </w:r>
    </w:p>
    <w:p w:rsidR="003D488D" w:rsidRPr="008D228F" w:rsidRDefault="003D488D" w:rsidP="003D488D">
      <w:pPr>
        <w:rPr>
          <w:rFonts w:asciiTheme="minorHAnsi" w:hAnsiTheme="minorHAnsi" w:cstheme="minorHAnsi"/>
          <w:sz w:val="24"/>
          <w:szCs w:val="24"/>
        </w:rPr>
      </w:pPr>
    </w:p>
    <w:p w:rsidR="003D488D" w:rsidRPr="008D228F" w:rsidRDefault="003D488D" w:rsidP="003D488D">
      <w:pPr>
        <w:rPr>
          <w:rFonts w:asciiTheme="minorHAnsi" w:hAnsiTheme="minorHAnsi" w:cstheme="minorHAnsi"/>
          <w:sz w:val="24"/>
          <w:szCs w:val="24"/>
        </w:rPr>
      </w:pPr>
      <w:r w:rsidRPr="008D228F">
        <w:rPr>
          <w:rFonts w:asciiTheme="minorHAnsi" w:hAnsiTheme="minorHAnsi" w:cstheme="minorHAnsi"/>
          <w:sz w:val="24"/>
          <w:szCs w:val="24"/>
        </w:rPr>
        <w:t>Bedfordshire Police. (2020). </w:t>
      </w:r>
      <w:r w:rsidRPr="008D228F">
        <w:rPr>
          <w:rFonts w:asciiTheme="minorHAnsi" w:hAnsiTheme="minorHAnsi" w:cstheme="minorHAnsi"/>
          <w:i/>
          <w:iCs/>
          <w:sz w:val="24"/>
          <w:szCs w:val="24"/>
        </w:rPr>
        <w:t>Repeat Victims.</w:t>
      </w:r>
      <w:r w:rsidRPr="008D228F">
        <w:rPr>
          <w:rFonts w:asciiTheme="minorHAnsi" w:hAnsiTheme="minorHAnsi" w:cstheme="minorHAnsi"/>
          <w:sz w:val="24"/>
          <w:szCs w:val="24"/>
        </w:rPr>
        <w:t> Available: https://www.bedfordshire.police.uk/information-and-services/Advice/Anti-social-behaviour/Repeat-victims#1b59512e. Last accessed 1st Jan 2021.</w:t>
      </w:r>
    </w:p>
    <w:p w:rsidR="003D488D" w:rsidRPr="008D228F" w:rsidRDefault="003D488D" w:rsidP="003D488D">
      <w:pPr>
        <w:rPr>
          <w:rFonts w:asciiTheme="minorHAnsi" w:hAnsiTheme="minorHAnsi" w:cstheme="minorHAnsi"/>
          <w:sz w:val="24"/>
          <w:szCs w:val="24"/>
        </w:rPr>
      </w:pPr>
    </w:p>
    <w:p w:rsidR="003D488D" w:rsidRPr="008D228F" w:rsidRDefault="003D488D" w:rsidP="003D488D">
      <w:pPr>
        <w:rPr>
          <w:rFonts w:asciiTheme="minorHAnsi" w:hAnsiTheme="minorHAnsi" w:cstheme="minorHAnsi"/>
          <w:sz w:val="24"/>
          <w:szCs w:val="24"/>
        </w:rPr>
      </w:pPr>
      <w:proofErr w:type="spellStart"/>
      <w:r w:rsidRPr="008D228F">
        <w:rPr>
          <w:rFonts w:asciiTheme="minorHAnsi" w:hAnsiTheme="minorHAnsi" w:cstheme="minorHAnsi"/>
          <w:sz w:val="24"/>
          <w:szCs w:val="24"/>
        </w:rPr>
        <w:t>Bichard</w:t>
      </w:r>
      <w:proofErr w:type="spellEnd"/>
      <w:r w:rsidRPr="008D228F">
        <w:rPr>
          <w:rFonts w:asciiTheme="minorHAnsi" w:hAnsiTheme="minorHAnsi" w:cstheme="minorHAnsi"/>
          <w:sz w:val="24"/>
          <w:szCs w:val="24"/>
        </w:rPr>
        <w:t xml:space="preserve">, S.M. (2004) The </w:t>
      </w:r>
      <w:proofErr w:type="spellStart"/>
      <w:r w:rsidRPr="008D228F">
        <w:rPr>
          <w:rFonts w:asciiTheme="minorHAnsi" w:hAnsiTheme="minorHAnsi" w:cstheme="minorHAnsi"/>
          <w:sz w:val="24"/>
          <w:szCs w:val="24"/>
        </w:rPr>
        <w:t>Bichard</w:t>
      </w:r>
      <w:proofErr w:type="spellEnd"/>
      <w:r w:rsidRPr="008D228F">
        <w:rPr>
          <w:rFonts w:asciiTheme="minorHAnsi" w:hAnsiTheme="minorHAnsi" w:cstheme="minorHAnsi"/>
          <w:sz w:val="24"/>
          <w:szCs w:val="24"/>
        </w:rPr>
        <w:t xml:space="preserve"> Inquiry report. London: The Stationery Office (TSO).</w:t>
      </w:r>
    </w:p>
    <w:p w:rsidR="003D488D" w:rsidRPr="008D228F" w:rsidRDefault="003D488D" w:rsidP="003D488D">
      <w:pPr>
        <w:rPr>
          <w:rFonts w:asciiTheme="minorHAnsi" w:hAnsiTheme="minorHAnsi" w:cstheme="minorHAnsi"/>
          <w:sz w:val="24"/>
          <w:szCs w:val="24"/>
        </w:rPr>
      </w:pPr>
    </w:p>
    <w:p w:rsidR="003D488D" w:rsidRPr="008D228F" w:rsidRDefault="003D488D" w:rsidP="003D488D">
      <w:pPr>
        <w:rPr>
          <w:rFonts w:asciiTheme="minorHAnsi" w:hAnsiTheme="minorHAnsi" w:cstheme="minorHAnsi"/>
          <w:sz w:val="24"/>
          <w:szCs w:val="24"/>
        </w:rPr>
      </w:pPr>
      <w:r w:rsidRPr="008D228F">
        <w:rPr>
          <w:rFonts w:asciiTheme="minorHAnsi" w:hAnsiTheme="minorHAnsi" w:cstheme="minorHAnsi"/>
          <w:sz w:val="24"/>
          <w:szCs w:val="24"/>
        </w:rPr>
        <w:t>Bryant, R., Bryant, S (2018). </w:t>
      </w:r>
      <w:r w:rsidRPr="008D228F">
        <w:rPr>
          <w:rFonts w:asciiTheme="minorHAnsi" w:hAnsiTheme="minorHAnsi" w:cstheme="minorHAnsi"/>
          <w:i/>
          <w:iCs/>
          <w:sz w:val="24"/>
          <w:szCs w:val="24"/>
        </w:rPr>
        <w:t>Blackstone's Handbook for Policing Students 2019</w:t>
      </w:r>
      <w:r w:rsidRPr="008D228F">
        <w:rPr>
          <w:rFonts w:asciiTheme="minorHAnsi" w:hAnsiTheme="minorHAnsi" w:cstheme="minorHAnsi"/>
          <w:sz w:val="24"/>
          <w:szCs w:val="24"/>
        </w:rPr>
        <w:t>. 13th ed. Oxford: Oxford University Press. 107-110.</w:t>
      </w:r>
    </w:p>
    <w:p w:rsidR="003D488D" w:rsidRPr="008D228F" w:rsidRDefault="003D488D" w:rsidP="003D488D">
      <w:pPr>
        <w:rPr>
          <w:rFonts w:asciiTheme="minorHAnsi" w:hAnsiTheme="minorHAnsi" w:cstheme="minorHAnsi"/>
          <w:sz w:val="24"/>
          <w:szCs w:val="24"/>
        </w:rPr>
      </w:pPr>
    </w:p>
    <w:p w:rsidR="003D488D" w:rsidRPr="008D228F" w:rsidRDefault="003D488D" w:rsidP="003D488D">
      <w:pPr>
        <w:rPr>
          <w:rFonts w:asciiTheme="minorHAnsi" w:hAnsiTheme="minorHAnsi" w:cstheme="minorHAnsi"/>
          <w:sz w:val="24"/>
          <w:szCs w:val="24"/>
        </w:rPr>
      </w:pPr>
      <w:r w:rsidRPr="008D228F">
        <w:rPr>
          <w:rFonts w:asciiTheme="minorHAnsi" w:hAnsiTheme="minorHAnsi" w:cstheme="minorHAnsi"/>
          <w:sz w:val="24"/>
          <w:szCs w:val="24"/>
          <w:shd w:val="clear" w:color="auto" w:fill="FFFFFF"/>
        </w:rPr>
        <w:t>Caplan, J. (2003) ‘Police Cynicism: Police Survival Tool?</w:t>
      </w:r>
      <w:proofErr w:type="gramStart"/>
      <w:r w:rsidRPr="008D228F">
        <w:rPr>
          <w:rFonts w:asciiTheme="minorHAnsi" w:hAnsiTheme="minorHAnsi" w:cstheme="minorHAnsi"/>
          <w:sz w:val="24"/>
          <w:szCs w:val="24"/>
          <w:shd w:val="clear" w:color="auto" w:fill="FFFFFF"/>
        </w:rPr>
        <w:t>’,</w:t>
      </w:r>
      <w:proofErr w:type="gramEnd"/>
      <w:r w:rsidRPr="008D228F">
        <w:rPr>
          <w:rFonts w:asciiTheme="minorHAnsi" w:hAnsiTheme="minorHAnsi" w:cstheme="minorHAnsi"/>
          <w:sz w:val="24"/>
          <w:szCs w:val="24"/>
          <w:shd w:val="clear" w:color="auto" w:fill="FFFFFF"/>
        </w:rPr>
        <w:t> </w:t>
      </w:r>
      <w:r w:rsidRPr="008D228F">
        <w:rPr>
          <w:rFonts w:asciiTheme="minorHAnsi" w:hAnsiTheme="minorHAnsi" w:cstheme="minorHAnsi"/>
          <w:i/>
          <w:iCs/>
          <w:sz w:val="24"/>
          <w:szCs w:val="24"/>
          <w:shd w:val="clear" w:color="auto" w:fill="FFFFFF"/>
        </w:rPr>
        <w:t>The Police Journal</w:t>
      </w:r>
      <w:r w:rsidRPr="008D228F">
        <w:rPr>
          <w:rFonts w:asciiTheme="minorHAnsi" w:hAnsiTheme="minorHAnsi" w:cstheme="minorHAnsi"/>
          <w:sz w:val="24"/>
          <w:szCs w:val="24"/>
          <w:shd w:val="clear" w:color="auto" w:fill="FFFFFF"/>
        </w:rPr>
        <w:t>, 76(4), pp. 304–313.</w:t>
      </w:r>
    </w:p>
    <w:p w:rsidR="003D488D" w:rsidRPr="008D228F" w:rsidRDefault="003D488D" w:rsidP="003D488D">
      <w:pPr>
        <w:rPr>
          <w:rFonts w:asciiTheme="minorHAnsi" w:hAnsiTheme="minorHAnsi" w:cstheme="minorHAnsi"/>
          <w:sz w:val="24"/>
          <w:szCs w:val="24"/>
        </w:rPr>
      </w:pPr>
    </w:p>
    <w:p w:rsidR="003D488D" w:rsidRPr="008D228F" w:rsidRDefault="003D488D" w:rsidP="003D488D">
      <w:pPr>
        <w:rPr>
          <w:rFonts w:asciiTheme="minorHAnsi" w:hAnsiTheme="minorHAnsi" w:cstheme="minorHAnsi"/>
          <w:sz w:val="24"/>
          <w:szCs w:val="24"/>
        </w:rPr>
      </w:pPr>
      <w:proofErr w:type="spellStart"/>
      <w:r w:rsidRPr="008D228F">
        <w:rPr>
          <w:rFonts w:asciiTheme="minorHAnsi" w:hAnsiTheme="minorHAnsi" w:cstheme="minorHAnsi"/>
          <w:sz w:val="24"/>
          <w:szCs w:val="24"/>
        </w:rPr>
        <w:t>Charman</w:t>
      </w:r>
      <w:proofErr w:type="spellEnd"/>
      <w:r w:rsidRPr="008D228F">
        <w:rPr>
          <w:rFonts w:asciiTheme="minorHAnsi" w:hAnsiTheme="minorHAnsi" w:cstheme="minorHAnsi"/>
          <w:sz w:val="24"/>
          <w:szCs w:val="24"/>
        </w:rPr>
        <w:t>, S. (2018). </w:t>
      </w:r>
      <w:r w:rsidRPr="008D228F">
        <w:rPr>
          <w:rFonts w:asciiTheme="minorHAnsi" w:hAnsiTheme="minorHAnsi" w:cstheme="minorHAnsi"/>
          <w:i/>
          <w:iCs/>
          <w:sz w:val="24"/>
          <w:szCs w:val="24"/>
        </w:rPr>
        <w:t>From Crime Fighting To Public Protection: The Shaping of Police Officers' Sense of Role.</w:t>
      </w:r>
      <w:r w:rsidRPr="008D228F">
        <w:rPr>
          <w:rFonts w:asciiTheme="minorHAnsi" w:hAnsiTheme="minorHAnsi" w:cstheme="minorHAnsi"/>
          <w:sz w:val="24"/>
          <w:szCs w:val="24"/>
        </w:rPr>
        <w:t> Available: http://www.police-foundation.org.uk/2017/wp-content/uploads/2018/01/perspectives_on_policing_officers_sense_of_role-FINAL.pdf. Last accessed 10th December 2020</w:t>
      </w:r>
    </w:p>
    <w:p w:rsidR="003D488D" w:rsidRPr="008D228F" w:rsidRDefault="003D488D" w:rsidP="003D488D">
      <w:pPr>
        <w:rPr>
          <w:rFonts w:asciiTheme="minorHAnsi" w:hAnsiTheme="minorHAnsi" w:cstheme="minorHAnsi"/>
          <w:sz w:val="24"/>
          <w:szCs w:val="24"/>
        </w:rPr>
      </w:pPr>
    </w:p>
    <w:p w:rsidR="003D488D" w:rsidRPr="008D228F" w:rsidRDefault="003D488D" w:rsidP="003D488D">
      <w:pPr>
        <w:rPr>
          <w:rFonts w:asciiTheme="minorHAnsi" w:hAnsiTheme="minorHAnsi" w:cstheme="minorHAnsi"/>
          <w:sz w:val="24"/>
          <w:szCs w:val="24"/>
        </w:rPr>
      </w:pPr>
      <w:r w:rsidRPr="008D228F">
        <w:rPr>
          <w:rFonts w:asciiTheme="minorHAnsi" w:hAnsiTheme="minorHAnsi" w:cstheme="minorHAnsi"/>
          <w:sz w:val="24"/>
          <w:szCs w:val="24"/>
        </w:rPr>
        <w:t>College of Policing. (2014). </w:t>
      </w:r>
      <w:r w:rsidRPr="008D228F">
        <w:rPr>
          <w:rFonts w:asciiTheme="minorHAnsi" w:hAnsiTheme="minorHAnsi" w:cstheme="minorHAnsi"/>
          <w:i/>
          <w:iCs/>
          <w:sz w:val="24"/>
          <w:szCs w:val="24"/>
        </w:rPr>
        <w:t>Code of Ethics.</w:t>
      </w:r>
      <w:r w:rsidRPr="008D228F">
        <w:rPr>
          <w:rFonts w:asciiTheme="minorHAnsi" w:hAnsiTheme="minorHAnsi" w:cstheme="minorHAnsi"/>
          <w:sz w:val="24"/>
          <w:szCs w:val="24"/>
        </w:rPr>
        <w:t> Available: https://www.college.police.uk/What-we-do/Ethics/Documents/Code_of_Ethics.pdf. Last accessed 29th December 2020.</w:t>
      </w:r>
    </w:p>
    <w:p w:rsidR="003D488D" w:rsidRPr="008D228F" w:rsidRDefault="003D488D" w:rsidP="003D488D">
      <w:pPr>
        <w:pStyle w:val="NormalWeb"/>
        <w:rPr>
          <w:rFonts w:asciiTheme="minorHAnsi" w:hAnsiTheme="minorHAnsi" w:cstheme="minorHAnsi"/>
        </w:rPr>
      </w:pPr>
      <w:r w:rsidRPr="008D228F">
        <w:rPr>
          <w:rFonts w:asciiTheme="minorHAnsi" w:hAnsiTheme="minorHAnsi" w:cstheme="minorHAnsi"/>
        </w:rPr>
        <w:t>College of Policing. (2015). </w:t>
      </w:r>
      <w:r w:rsidRPr="008D228F">
        <w:rPr>
          <w:rFonts w:asciiTheme="minorHAnsi" w:hAnsiTheme="minorHAnsi" w:cstheme="minorHAnsi"/>
          <w:i/>
          <w:iCs/>
        </w:rPr>
        <w:t>Major Investigation and Public Protection.</w:t>
      </w:r>
      <w:r w:rsidRPr="008D228F">
        <w:rPr>
          <w:rFonts w:asciiTheme="minorHAnsi" w:hAnsiTheme="minorHAnsi" w:cstheme="minorHAnsi"/>
        </w:rPr>
        <w:t> Available: https://www.app.college.police.uk/app-content/major-investigation-and-public-protection/domestic-abuse/arrest-and-other-positive-approaches/. Last accessed 22nd October 2020.</w:t>
      </w:r>
    </w:p>
    <w:p w:rsidR="003D488D" w:rsidRPr="008D228F" w:rsidRDefault="003D488D" w:rsidP="003D488D">
      <w:pPr>
        <w:pStyle w:val="NormalWeb"/>
        <w:rPr>
          <w:rFonts w:asciiTheme="minorHAnsi" w:hAnsiTheme="minorHAnsi" w:cstheme="minorHAnsi"/>
        </w:rPr>
      </w:pPr>
      <w:r w:rsidRPr="008D228F">
        <w:rPr>
          <w:rFonts w:asciiTheme="minorHAnsi" w:hAnsiTheme="minorHAnsi" w:cstheme="minorHAnsi"/>
        </w:rPr>
        <w:t>College of Policing. (2016). </w:t>
      </w:r>
      <w:r w:rsidRPr="008D228F">
        <w:rPr>
          <w:rFonts w:asciiTheme="minorHAnsi" w:hAnsiTheme="minorHAnsi" w:cstheme="minorHAnsi"/>
          <w:i/>
          <w:iCs/>
        </w:rPr>
        <w:t>Risk-led Policing of Domestic Abuse and the DASH Risk Model</w:t>
      </w:r>
      <w:proofErr w:type="gramStart"/>
      <w:r w:rsidRPr="008D228F">
        <w:rPr>
          <w:rFonts w:asciiTheme="minorHAnsi" w:hAnsiTheme="minorHAnsi" w:cstheme="minorHAnsi"/>
          <w:i/>
          <w:iCs/>
        </w:rPr>
        <w:t>..</w:t>
      </w:r>
      <w:proofErr w:type="gramEnd"/>
      <w:r w:rsidRPr="008D228F">
        <w:rPr>
          <w:rFonts w:asciiTheme="minorHAnsi" w:hAnsiTheme="minorHAnsi" w:cstheme="minorHAnsi"/>
        </w:rPr>
        <w:t> Available: https://www.college.police.uk/News/College-news/Documents/Risk-led_policing_of_domestic_abuse_and_the_DASH_risk_model.pdf. Last accessed 9th Dec 2020.</w:t>
      </w:r>
    </w:p>
    <w:p w:rsidR="003D488D" w:rsidRPr="008D228F" w:rsidRDefault="003D488D" w:rsidP="003D488D">
      <w:pPr>
        <w:rPr>
          <w:rFonts w:asciiTheme="minorHAnsi" w:hAnsiTheme="minorHAnsi" w:cstheme="minorHAnsi"/>
          <w:sz w:val="24"/>
          <w:szCs w:val="24"/>
        </w:rPr>
      </w:pPr>
      <w:r w:rsidRPr="008D228F">
        <w:rPr>
          <w:rFonts w:asciiTheme="minorHAnsi" w:hAnsiTheme="minorHAnsi" w:cstheme="minorHAnsi"/>
          <w:sz w:val="24"/>
          <w:szCs w:val="24"/>
        </w:rPr>
        <w:t>College of Policing. (2017). </w:t>
      </w:r>
      <w:r w:rsidRPr="008D228F">
        <w:rPr>
          <w:rFonts w:asciiTheme="minorHAnsi" w:hAnsiTheme="minorHAnsi" w:cstheme="minorHAnsi"/>
          <w:i/>
          <w:iCs/>
          <w:sz w:val="24"/>
          <w:szCs w:val="24"/>
        </w:rPr>
        <w:t>How do you respond to the needs of vulnerable people</w:t>
      </w:r>
      <w:proofErr w:type="gramStart"/>
      <w:r w:rsidRPr="008D228F">
        <w:rPr>
          <w:rFonts w:asciiTheme="minorHAnsi" w:hAnsiTheme="minorHAnsi" w:cstheme="minorHAnsi"/>
          <w:i/>
          <w:iCs/>
          <w:sz w:val="24"/>
          <w:szCs w:val="24"/>
        </w:rPr>
        <w:t>?.</w:t>
      </w:r>
      <w:proofErr w:type="gramEnd"/>
      <w:r w:rsidRPr="008D228F">
        <w:rPr>
          <w:rFonts w:asciiTheme="minorHAnsi" w:hAnsiTheme="minorHAnsi" w:cstheme="minorHAnsi"/>
          <w:sz w:val="24"/>
          <w:szCs w:val="24"/>
        </w:rPr>
        <w:t> Available: https://www.college.police.uk/News/College-news/Pages/police_transformation_fund.aspx#:~:text=A%20person%20is%20vulnerable%20if,others%20from%20harm%20or%20exploitation.&amp;text=Police%20officers%20are%2. Last accessed 22nd October 2020.</w:t>
      </w:r>
    </w:p>
    <w:p w:rsidR="003D488D" w:rsidRPr="008D228F" w:rsidRDefault="003D488D" w:rsidP="003D488D">
      <w:pPr>
        <w:rPr>
          <w:rFonts w:asciiTheme="minorHAnsi" w:hAnsiTheme="minorHAnsi" w:cstheme="minorHAnsi"/>
          <w:sz w:val="24"/>
          <w:szCs w:val="24"/>
        </w:rPr>
      </w:pPr>
    </w:p>
    <w:p w:rsidR="003D488D" w:rsidRPr="008D228F" w:rsidRDefault="003D488D" w:rsidP="003D488D">
      <w:pPr>
        <w:rPr>
          <w:rFonts w:asciiTheme="minorHAnsi" w:hAnsiTheme="minorHAnsi" w:cstheme="minorHAnsi"/>
          <w:sz w:val="24"/>
          <w:szCs w:val="24"/>
        </w:rPr>
      </w:pPr>
      <w:r w:rsidRPr="008D228F">
        <w:rPr>
          <w:rFonts w:asciiTheme="minorHAnsi" w:hAnsiTheme="minorHAnsi" w:cstheme="minorHAnsi"/>
          <w:sz w:val="24"/>
          <w:szCs w:val="24"/>
        </w:rPr>
        <w:t>College of Policing. (2017). </w:t>
      </w:r>
      <w:r w:rsidRPr="008D228F">
        <w:rPr>
          <w:rFonts w:asciiTheme="minorHAnsi" w:hAnsiTheme="minorHAnsi" w:cstheme="minorHAnsi"/>
          <w:i/>
          <w:iCs/>
          <w:sz w:val="24"/>
          <w:szCs w:val="24"/>
        </w:rPr>
        <w:t>Major investigation and public protection.</w:t>
      </w:r>
      <w:r w:rsidRPr="008D228F">
        <w:rPr>
          <w:rFonts w:asciiTheme="minorHAnsi" w:hAnsiTheme="minorHAnsi" w:cstheme="minorHAnsi"/>
          <w:sz w:val="24"/>
          <w:szCs w:val="24"/>
        </w:rPr>
        <w:t> Available: https://www.app.college.police.uk/app-content/major-investigation-and-public-protection/managing-sexual-offenders-and-violent-offenders/. Last accessed 1st Jan 2021.</w:t>
      </w:r>
    </w:p>
    <w:p w:rsidR="003D488D" w:rsidRPr="008D228F" w:rsidRDefault="003D488D" w:rsidP="003D488D">
      <w:pPr>
        <w:rPr>
          <w:rFonts w:asciiTheme="minorHAnsi" w:hAnsiTheme="minorHAnsi" w:cstheme="minorHAnsi"/>
          <w:sz w:val="24"/>
          <w:szCs w:val="24"/>
        </w:rPr>
      </w:pPr>
    </w:p>
    <w:p w:rsidR="003D488D" w:rsidRPr="008D228F" w:rsidRDefault="003D488D" w:rsidP="003D488D">
      <w:pPr>
        <w:rPr>
          <w:rFonts w:asciiTheme="minorHAnsi" w:hAnsiTheme="minorHAnsi" w:cstheme="minorHAnsi"/>
          <w:sz w:val="24"/>
          <w:szCs w:val="24"/>
        </w:rPr>
      </w:pPr>
      <w:r w:rsidRPr="008D228F">
        <w:rPr>
          <w:rFonts w:asciiTheme="minorHAnsi" w:hAnsiTheme="minorHAnsi" w:cstheme="minorHAnsi"/>
          <w:sz w:val="24"/>
          <w:szCs w:val="24"/>
        </w:rPr>
        <w:t>College of Policing. (2020). </w:t>
      </w:r>
      <w:r w:rsidRPr="008D228F">
        <w:rPr>
          <w:rFonts w:asciiTheme="minorHAnsi" w:hAnsiTheme="minorHAnsi" w:cstheme="minorHAnsi"/>
          <w:i/>
          <w:iCs/>
          <w:sz w:val="24"/>
          <w:szCs w:val="24"/>
        </w:rPr>
        <w:t>PND- Police National Database.</w:t>
      </w:r>
      <w:r w:rsidRPr="008D228F">
        <w:rPr>
          <w:rFonts w:asciiTheme="minorHAnsi" w:hAnsiTheme="minorHAnsi" w:cstheme="minorHAnsi"/>
          <w:sz w:val="24"/>
          <w:szCs w:val="24"/>
        </w:rPr>
        <w:t> Available: https://www.college.police.uk/What-we-do/Learning/Professional-Training/Information-</w:t>
      </w:r>
      <w:r w:rsidRPr="008D228F">
        <w:rPr>
          <w:rFonts w:asciiTheme="minorHAnsi" w:hAnsiTheme="minorHAnsi" w:cstheme="minorHAnsi"/>
          <w:sz w:val="24"/>
          <w:szCs w:val="24"/>
        </w:rPr>
        <w:lastRenderedPageBreak/>
        <w:t>communication-technology/Pages/PND-Police-National-Database.aspx. Last accessed 29th December 2020.</w:t>
      </w:r>
    </w:p>
    <w:p w:rsidR="003D488D" w:rsidRPr="008D228F" w:rsidRDefault="003D488D" w:rsidP="003D488D">
      <w:pPr>
        <w:rPr>
          <w:rFonts w:asciiTheme="minorHAnsi" w:hAnsiTheme="minorHAnsi" w:cstheme="minorHAnsi"/>
          <w:sz w:val="24"/>
          <w:szCs w:val="24"/>
        </w:rPr>
      </w:pPr>
    </w:p>
    <w:p w:rsidR="003D488D" w:rsidRPr="008D228F" w:rsidRDefault="003D488D" w:rsidP="003D488D">
      <w:pPr>
        <w:rPr>
          <w:rFonts w:asciiTheme="minorHAnsi" w:hAnsiTheme="minorHAnsi" w:cstheme="minorHAnsi"/>
          <w:sz w:val="24"/>
          <w:szCs w:val="24"/>
        </w:rPr>
      </w:pPr>
      <w:r w:rsidRPr="008D228F">
        <w:rPr>
          <w:rFonts w:asciiTheme="minorHAnsi" w:hAnsiTheme="minorHAnsi" w:cstheme="minorHAnsi"/>
          <w:sz w:val="24"/>
          <w:szCs w:val="24"/>
        </w:rPr>
        <w:t>Dorset Police. (2000). </w:t>
      </w:r>
      <w:r w:rsidRPr="008D228F">
        <w:rPr>
          <w:rFonts w:asciiTheme="minorHAnsi" w:hAnsiTheme="minorHAnsi" w:cstheme="minorHAnsi"/>
          <w:i/>
          <w:iCs/>
          <w:sz w:val="24"/>
          <w:szCs w:val="24"/>
        </w:rPr>
        <w:t>Domestic Abuse Investigation Policy and Procedure.</w:t>
      </w:r>
      <w:r w:rsidRPr="008D228F">
        <w:rPr>
          <w:rFonts w:asciiTheme="minorHAnsi" w:hAnsiTheme="minorHAnsi" w:cstheme="minorHAnsi"/>
          <w:sz w:val="24"/>
          <w:szCs w:val="24"/>
        </w:rPr>
        <w:t> Available: https://www.dorset.police.uk/media/54613/v85.pdf. Last accessed 10th December 2020.</w:t>
      </w:r>
    </w:p>
    <w:p w:rsidR="003D488D" w:rsidRPr="008D228F" w:rsidRDefault="003D488D" w:rsidP="003D488D">
      <w:pPr>
        <w:rPr>
          <w:rFonts w:asciiTheme="minorHAnsi" w:hAnsiTheme="minorHAnsi" w:cstheme="minorHAnsi"/>
          <w:sz w:val="24"/>
          <w:szCs w:val="24"/>
        </w:rPr>
      </w:pPr>
    </w:p>
    <w:p w:rsidR="003D488D" w:rsidRPr="008D228F" w:rsidRDefault="003D488D" w:rsidP="003D488D">
      <w:pPr>
        <w:rPr>
          <w:rFonts w:asciiTheme="minorHAnsi" w:hAnsiTheme="minorHAnsi" w:cstheme="minorHAnsi"/>
          <w:sz w:val="24"/>
          <w:szCs w:val="24"/>
        </w:rPr>
      </w:pPr>
      <w:proofErr w:type="spellStart"/>
      <w:r w:rsidRPr="008D228F">
        <w:rPr>
          <w:rFonts w:asciiTheme="minorHAnsi" w:hAnsiTheme="minorHAnsi" w:cstheme="minorHAnsi"/>
          <w:sz w:val="24"/>
          <w:szCs w:val="24"/>
        </w:rPr>
        <w:t>Healthline</w:t>
      </w:r>
      <w:proofErr w:type="spellEnd"/>
      <w:r w:rsidRPr="008D228F">
        <w:rPr>
          <w:rFonts w:asciiTheme="minorHAnsi" w:hAnsiTheme="minorHAnsi" w:cstheme="minorHAnsi"/>
          <w:sz w:val="24"/>
          <w:szCs w:val="24"/>
        </w:rPr>
        <w:t>. (2019). </w:t>
      </w:r>
      <w:r w:rsidRPr="008D228F">
        <w:rPr>
          <w:rFonts w:asciiTheme="minorHAnsi" w:hAnsiTheme="minorHAnsi" w:cstheme="minorHAnsi"/>
          <w:i/>
          <w:iCs/>
          <w:sz w:val="24"/>
          <w:szCs w:val="24"/>
        </w:rPr>
        <w:t>What Are the Short- and Long-Term Effects of Emotional Abuse</w:t>
      </w:r>
      <w:proofErr w:type="gramStart"/>
      <w:r w:rsidRPr="008D228F">
        <w:rPr>
          <w:rFonts w:asciiTheme="minorHAnsi" w:hAnsiTheme="minorHAnsi" w:cstheme="minorHAnsi"/>
          <w:i/>
          <w:iCs/>
          <w:sz w:val="24"/>
          <w:szCs w:val="24"/>
        </w:rPr>
        <w:t>?.</w:t>
      </w:r>
      <w:proofErr w:type="gramEnd"/>
      <w:r w:rsidRPr="008D228F">
        <w:rPr>
          <w:rFonts w:asciiTheme="minorHAnsi" w:hAnsiTheme="minorHAnsi" w:cstheme="minorHAnsi"/>
          <w:sz w:val="24"/>
          <w:szCs w:val="24"/>
        </w:rPr>
        <w:t> Available: https://www.healthline.com/health/mental-health/effects-of-emotional-abuse. Last accessed 9th Dec 2020.</w:t>
      </w:r>
    </w:p>
    <w:p w:rsidR="003D488D" w:rsidRPr="008D228F" w:rsidRDefault="003D488D" w:rsidP="003D488D">
      <w:pPr>
        <w:rPr>
          <w:rFonts w:asciiTheme="minorHAnsi" w:hAnsiTheme="minorHAnsi" w:cstheme="minorHAnsi"/>
          <w:sz w:val="24"/>
          <w:szCs w:val="24"/>
        </w:rPr>
      </w:pPr>
      <w:r w:rsidRPr="008D228F">
        <w:rPr>
          <w:rFonts w:asciiTheme="minorHAnsi" w:hAnsiTheme="minorHAnsi" w:cstheme="minorHAnsi"/>
          <w:sz w:val="24"/>
          <w:szCs w:val="24"/>
        </w:rPr>
        <w:t>HM Government. (2013). </w:t>
      </w:r>
      <w:r w:rsidRPr="008D228F">
        <w:rPr>
          <w:rFonts w:asciiTheme="minorHAnsi" w:hAnsiTheme="minorHAnsi" w:cstheme="minorHAnsi"/>
          <w:i/>
          <w:iCs/>
          <w:sz w:val="24"/>
          <w:szCs w:val="24"/>
        </w:rPr>
        <w:t>Serious and Organised Crime Strategy.</w:t>
      </w:r>
      <w:r w:rsidRPr="008D228F">
        <w:rPr>
          <w:rFonts w:asciiTheme="minorHAnsi" w:hAnsiTheme="minorHAnsi" w:cstheme="minorHAnsi"/>
          <w:sz w:val="24"/>
          <w:szCs w:val="24"/>
        </w:rPr>
        <w:t> Available: https://assets.publishing.service.gov.uk/government/uploads/system/uploads/attachment_data/file/248645/Serious_and_Organised_Crime_Strategy.pdf. Last accessed 13th December 2020.</w:t>
      </w:r>
    </w:p>
    <w:p w:rsidR="003D488D" w:rsidRPr="008D228F" w:rsidRDefault="003D488D" w:rsidP="003D488D">
      <w:pPr>
        <w:rPr>
          <w:rFonts w:asciiTheme="minorHAnsi" w:hAnsiTheme="minorHAnsi" w:cstheme="minorHAnsi"/>
          <w:sz w:val="24"/>
          <w:szCs w:val="24"/>
        </w:rPr>
      </w:pPr>
    </w:p>
    <w:p w:rsidR="003D488D" w:rsidRPr="008D228F" w:rsidRDefault="003D488D" w:rsidP="003D488D">
      <w:pPr>
        <w:rPr>
          <w:rFonts w:asciiTheme="minorHAnsi" w:hAnsiTheme="minorHAnsi" w:cstheme="minorHAnsi"/>
          <w:sz w:val="24"/>
          <w:szCs w:val="24"/>
        </w:rPr>
      </w:pPr>
      <w:r w:rsidRPr="008D228F">
        <w:rPr>
          <w:rFonts w:asciiTheme="minorHAnsi" w:hAnsiTheme="minorHAnsi" w:cstheme="minorHAnsi"/>
          <w:sz w:val="24"/>
          <w:szCs w:val="24"/>
        </w:rPr>
        <w:t>HM Government. (2013). </w:t>
      </w:r>
      <w:r w:rsidRPr="008D228F">
        <w:rPr>
          <w:rFonts w:asciiTheme="minorHAnsi" w:hAnsiTheme="minorHAnsi" w:cstheme="minorHAnsi"/>
          <w:i/>
          <w:iCs/>
          <w:sz w:val="24"/>
          <w:szCs w:val="24"/>
        </w:rPr>
        <w:t>Serious and Organised Crime Strategy.</w:t>
      </w:r>
      <w:r w:rsidRPr="008D228F">
        <w:rPr>
          <w:rFonts w:asciiTheme="minorHAnsi" w:hAnsiTheme="minorHAnsi" w:cstheme="minorHAnsi"/>
          <w:sz w:val="24"/>
          <w:szCs w:val="24"/>
        </w:rPr>
        <w:t> Available: https://assets.publishing.service.gov.uk/government/uploads/system/uploads/attachment_data/file/248645/Serious_and_Organised_Crime_Strategy.pdf. Last accessed 13th December 2020.</w:t>
      </w:r>
    </w:p>
    <w:p w:rsidR="003D488D" w:rsidRPr="008D228F" w:rsidRDefault="003D488D" w:rsidP="003D488D">
      <w:pPr>
        <w:rPr>
          <w:rFonts w:asciiTheme="minorHAnsi" w:hAnsiTheme="minorHAnsi" w:cstheme="minorHAnsi"/>
          <w:sz w:val="24"/>
          <w:szCs w:val="24"/>
        </w:rPr>
      </w:pPr>
    </w:p>
    <w:p w:rsidR="003D488D" w:rsidRPr="008D228F" w:rsidRDefault="003D488D" w:rsidP="003D488D">
      <w:pPr>
        <w:rPr>
          <w:rFonts w:asciiTheme="minorHAnsi" w:hAnsiTheme="minorHAnsi" w:cstheme="minorHAnsi"/>
          <w:sz w:val="24"/>
          <w:szCs w:val="24"/>
        </w:rPr>
      </w:pPr>
      <w:r w:rsidRPr="008D228F">
        <w:rPr>
          <w:rFonts w:asciiTheme="minorHAnsi" w:hAnsiTheme="minorHAnsi" w:cstheme="minorHAnsi"/>
          <w:sz w:val="24"/>
          <w:szCs w:val="24"/>
        </w:rPr>
        <w:t>HM Government. (2018). </w:t>
      </w:r>
      <w:r w:rsidRPr="008D228F">
        <w:rPr>
          <w:rFonts w:asciiTheme="minorHAnsi" w:hAnsiTheme="minorHAnsi" w:cstheme="minorHAnsi"/>
          <w:i/>
          <w:iCs/>
          <w:sz w:val="24"/>
          <w:szCs w:val="24"/>
        </w:rPr>
        <w:t>Serious and Organised Crime Strategy.</w:t>
      </w:r>
      <w:r w:rsidRPr="008D228F">
        <w:rPr>
          <w:rFonts w:asciiTheme="minorHAnsi" w:hAnsiTheme="minorHAnsi" w:cstheme="minorHAnsi"/>
          <w:sz w:val="24"/>
          <w:szCs w:val="24"/>
        </w:rPr>
        <w:t> Available: https://moodle.uwtsd.ac.uk/pluginfile.php/390755/mod_resource/content/1/SOC-2018-web.pdf. Last accessed 13th December 2020.</w:t>
      </w:r>
    </w:p>
    <w:p w:rsidR="003D488D" w:rsidRPr="008D228F" w:rsidRDefault="003D488D" w:rsidP="003D488D">
      <w:pPr>
        <w:rPr>
          <w:rFonts w:asciiTheme="minorHAnsi" w:hAnsiTheme="minorHAnsi" w:cstheme="minorHAnsi"/>
          <w:sz w:val="24"/>
          <w:szCs w:val="24"/>
        </w:rPr>
      </w:pPr>
    </w:p>
    <w:p w:rsidR="003D488D" w:rsidRPr="008D228F" w:rsidRDefault="003D488D" w:rsidP="003D488D">
      <w:pPr>
        <w:rPr>
          <w:rFonts w:asciiTheme="minorHAnsi" w:hAnsiTheme="minorHAnsi" w:cstheme="minorHAnsi"/>
          <w:sz w:val="24"/>
          <w:szCs w:val="24"/>
        </w:rPr>
      </w:pPr>
      <w:r w:rsidRPr="008D228F">
        <w:rPr>
          <w:rFonts w:asciiTheme="minorHAnsi" w:hAnsiTheme="minorHAnsi" w:cstheme="minorHAnsi"/>
          <w:sz w:val="24"/>
          <w:szCs w:val="24"/>
        </w:rPr>
        <w:t>Home Office. (2019). </w:t>
      </w:r>
      <w:r w:rsidRPr="008D228F">
        <w:rPr>
          <w:rFonts w:asciiTheme="minorHAnsi" w:hAnsiTheme="minorHAnsi" w:cstheme="minorHAnsi"/>
          <w:i/>
          <w:iCs/>
          <w:sz w:val="24"/>
          <w:szCs w:val="24"/>
        </w:rPr>
        <w:t>Factsheet: Child Sexual Exploitation and Abuse.</w:t>
      </w:r>
      <w:r w:rsidRPr="008D228F">
        <w:rPr>
          <w:rFonts w:asciiTheme="minorHAnsi" w:hAnsiTheme="minorHAnsi" w:cstheme="minorHAnsi"/>
          <w:sz w:val="24"/>
          <w:szCs w:val="24"/>
        </w:rPr>
        <w:t> Available: https://homeofficemedia.blog.gov.uk/2019/11/05/factsheet-child-sexual-exploitation-and-abuse/#:~:text=Law%20enforcement%20agencies%20in%20the,sexual%20threat%20to%20children%20online</w:t>
      </w:r>
      <w:proofErr w:type="gramStart"/>
      <w:r w:rsidRPr="008D228F">
        <w:rPr>
          <w:rFonts w:asciiTheme="minorHAnsi" w:hAnsiTheme="minorHAnsi" w:cstheme="minorHAnsi"/>
          <w:sz w:val="24"/>
          <w:szCs w:val="24"/>
        </w:rPr>
        <w:t>..</w:t>
      </w:r>
      <w:proofErr w:type="gramEnd"/>
      <w:r w:rsidRPr="008D228F">
        <w:rPr>
          <w:rFonts w:asciiTheme="minorHAnsi" w:hAnsiTheme="minorHAnsi" w:cstheme="minorHAnsi"/>
          <w:sz w:val="24"/>
          <w:szCs w:val="24"/>
        </w:rPr>
        <w:t xml:space="preserve"> Last accessed 13th December 2020.</w:t>
      </w:r>
    </w:p>
    <w:p w:rsidR="003D488D" w:rsidRPr="008D228F" w:rsidRDefault="003D488D" w:rsidP="003D488D">
      <w:pPr>
        <w:rPr>
          <w:rFonts w:asciiTheme="minorHAnsi" w:hAnsiTheme="minorHAnsi" w:cstheme="minorHAnsi"/>
          <w:sz w:val="24"/>
          <w:szCs w:val="24"/>
        </w:rPr>
      </w:pPr>
    </w:p>
    <w:p w:rsidR="003D488D" w:rsidRPr="008D228F" w:rsidRDefault="003D488D" w:rsidP="003D488D">
      <w:pPr>
        <w:rPr>
          <w:rFonts w:asciiTheme="minorHAnsi" w:hAnsiTheme="minorHAnsi" w:cstheme="minorHAnsi"/>
          <w:sz w:val="24"/>
          <w:szCs w:val="24"/>
        </w:rPr>
      </w:pPr>
      <w:r w:rsidRPr="008D228F">
        <w:rPr>
          <w:rFonts w:asciiTheme="minorHAnsi" w:hAnsiTheme="minorHAnsi" w:cstheme="minorHAnsi"/>
          <w:sz w:val="24"/>
          <w:szCs w:val="24"/>
        </w:rPr>
        <w:t>Home Office, National Crime Agency (2019) Tackling serious and organised crime. Available at: https://www.nao.org.uk/wp-content/uploads/2019/03/Tackling-serious-and-organised-crime-Summary.pdf.  Last accessed 13th December 2020.</w:t>
      </w:r>
    </w:p>
    <w:p w:rsidR="003D488D" w:rsidRPr="008D228F" w:rsidRDefault="003D488D" w:rsidP="003D488D">
      <w:pPr>
        <w:rPr>
          <w:rFonts w:asciiTheme="minorHAnsi" w:hAnsiTheme="minorHAnsi" w:cstheme="minorHAnsi"/>
          <w:sz w:val="24"/>
          <w:szCs w:val="24"/>
        </w:rPr>
      </w:pPr>
    </w:p>
    <w:p w:rsidR="003D488D" w:rsidRPr="008D228F" w:rsidRDefault="003D488D" w:rsidP="003D488D">
      <w:pPr>
        <w:rPr>
          <w:rFonts w:asciiTheme="minorHAnsi" w:hAnsiTheme="minorHAnsi" w:cstheme="minorHAnsi"/>
          <w:sz w:val="24"/>
          <w:szCs w:val="24"/>
        </w:rPr>
      </w:pPr>
      <w:proofErr w:type="spellStart"/>
      <w:r w:rsidRPr="008D228F">
        <w:rPr>
          <w:rFonts w:asciiTheme="minorHAnsi" w:hAnsiTheme="minorHAnsi" w:cstheme="minorHAnsi"/>
          <w:sz w:val="24"/>
          <w:szCs w:val="24"/>
        </w:rPr>
        <w:t>Lauritsen</w:t>
      </w:r>
      <w:proofErr w:type="spellEnd"/>
      <w:r w:rsidRPr="008D228F">
        <w:rPr>
          <w:rFonts w:asciiTheme="minorHAnsi" w:hAnsiTheme="minorHAnsi" w:cstheme="minorHAnsi"/>
          <w:sz w:val="24"/>
          <w:szCs w:val="24"/>
        </w:rPr>
        <w:t xml:space="preserve">, J., and </w:t>
      </w:r>
      <w:proofErr w:type="spellStart"/>
      <w:r w:rsidRPr="008D228F">
        <w:rPr>
          <w:rFonts w:asciiTheme="minorHAnsi" w:hAnsiTheme="minorHAnsi" w:cstheme="minorHAnsi"/>
          <w:sz w:val="24"/>
          <w:szCs w:val="24"/>
        </w:rPr>
        <w:t>Quinet</w:t>
      </w:r>
      <w:proofErr w:type="spellEnd"/>
      <w:r w:rsidRPr="008D228F">
        <w:rPr>
          <w:rFonts w:asciiTheme="minorHAnsi" w:hAnsiTheme="minorHAnsi" w:cstheme="minorHAnsi"/>
          <w:sz w:val="24"/>
          <w:szCs w:val="24"/>
        </w:rPr>
        <w:t>, K. (1995). Repeat Victimization among adolescents and young adults.  Journal of Quantitative Criminology, 11, 143-166.</w:t>
      </w:r>
    </w:p>
    <w:p w:rsidR="003D488D" w:rsidRPr="008D228F" w:rsidRDefault="003D488D" w:rsidP="003D488D">
      <w:pPr>
        <w:rPr>
          <w:rFonts w:asciiTheme="minorHAnsi" w:hAnsiTheme="minorHAnsi" w:cstheme="minorHAnsi"/>
          <w:sz w:val="24"/>
          <w:szCs w:val="24"/>
        </w:rPr>
      </w:pPr>
    </w:p>
    <w:p w:rsidR="003D488D" w:rsidRDefault="003D488D" w:rsidP="003D488D">
      <w:pPr>
        <w:rPr>
          <w:rFonts w:asciiTheme="minorHAnsi" w:hAnsiTheme="minorHAnsi" w:cstheme="minorHAnsi"/>
          <w:sz w:val="24"/>
          <w:szCs w:val="24"/>
        </w:rPr>
      </w:pPr>
      <w:r w:rsidRPr="008D228F">
        <w:rPr>
          <w:rFonts w:asciiTheme="minorHAnsi" w:hAnsiTheme="minorHAnsi" w:cstheme="minorHAnsi"/>
          <w:sz w:val="24"/>
          <w:szCs w:val="24"/>
        </w:rPr>
        <w:t>Lord Lamming. (2003). </w:t>
      </w:r>
      <w:proofErr w:type="gramStart"/>
      <w:r w:rsidRPr="008D228F">
        <w:rPr>
          <w:rFonts w:asciiTheme="minorHAnsi" w:hAnsiTheme="minorHAnsi" w:cstheme="minorHAnsi"/>
          <w:i/>
          <w:iCs/>
          <w:sz w:val="24"/>
          <w:szCs w:val="24"/>
        </w:rPr>
        <w:t>The</w:t>
      </w:r>
      <w:proofErr w:type="gramEnd"/>
      <w:r w:rsidRPr="008D228F">
        <w:rPr>
          <w:rFonts w:asciiTheme="minorHAnsi" w:hAnsiTheme="minorHAnsi" w:cstheme="minorHAnsi"/>
          <w:i/>
          <w:iCs/>
          <w:sz w:val="24"/>
          <w:szCs w:val="24"/>
        </w:rPr>
        <w:t xml:space="preserve"> Victoria </w:t>
      </w:r>
      <w:proofErr w:type="spellStart"/>
      <w:r w:rsidRPr="008D228F">
        <w:rPr>
          <w:rFonts w:asciiTheme="minorHAnsi" w:hAnsiTheme="minorHAnsi" w:cstheme="minorHAnsi"/>
          <w:i/>
          <w:iCs/>
          <w:sz w:val="24"/>
          <w:szCs w:val="24"/>
        </w:rPr>
        <w:t>Climbie</w:t>
      </w:r>
      <w:proofErr w:type="spellEnd"/>
      <w:r w:rsidRPr="008D228F">
        <w:rPr>
          <w:rFonts w:asciiTheme="minorHAnsi" w:hAnsiTheme="minorHAnsi" w:cstheme="minorHAnsi"/>
          <w:i/>
          <w:iCs/>
          <w:sz w:val="24"/>
          <w:szCs w:val="24"/>
        </w:rPr>
        <w:t xml:space="preserve"> Inquiry.</w:t>
      </w:r>
      <w:r w:rsidRPr="008D228F">
        <w:rPr>
          <w:rFonts w:asciiTheme="minorHAnsi" w:hAnsiTheme="minorHAnsi" w:cstheme="minorHAnsi"/>
          <w:sz w:val="24"/>
          <w:szCs w:val="24"/>
        </w:rPr>
        <w:t> Available: https://assets.publishing.service.gov.uk/government/uploads/system/uploads/attachment_data/file/273183/5730.pdf. Last accessed 29th December 2020.</w:t>
      </w:r>
    </w:p>
    <w:p w:rsidR="003D488D" w:rsidRDefault="003D488D" w:rsidP="003D488D">
      <w:pPr>
        <w:rPr>
          <w:rFonts w:asciiTheme="minorHAnsi" w:hAnsiTheme="minorHAnsi" w:cstheme="minorHAnsi"/>
          <w:sz w:val="24"/>
          <w:szCs w:val="24"/>
        </w:rPr>
      </w:pPr>
    </w:p>
    <w:p w:rsidR="003D488D" w:rsidRDefault="003D488D" w:rsidP="003D488D">
      <w:pPr>
        <w:rPr>
          <w:rFonts w:asciiTheme="minorHAnsi" w:hAnsiTheme="minorHAnsi" w:cstheme="minorHAnsi"/>
          <w:sz w:val="24"/>
          <w:szCs w:val="24"/>
          <w:shd w:val="clear" w:color="auto" w:fill="FFFFFF"/>
        </w:rPr>
      </w:pPr>
      <w:r w:rsidRPr="008D228F">
        <w:rPr>
          <w:rFonts w:asciiTheme="minorHAnsi" w:hAnsiTheme="minorHAnsi" w:cstheme="minorHAnsi"/>
          <w:sz w:val="24"/>
          <w:szCs w:val="24"/>
          <w:shd w:val="clear" w:color="auto" w:fill="FFFFFF"/>
        </w:rPr>
        <w:t xml:space="preserve">Maguire, M, </w:t>
      </w:r>
      <w:proofErr w:type="spellStart"/>
      <w:r w:rsidRPr="008D228F">
        <w:rPr>
          <w:rFonts w:asciiTheme="minorHAnsi" w:hAnsiTheme="minorHAnsi" w:cstheme="minorHAnsi"/>
          <w:sz w:val="24"/>
          <w:szCs w:val="24"/>
          <w:shd w:val="clear" w:color="auto" w:fill="FFFFFF"/>
        </w:rPr>
        <w:t>Kemshall</w:t>
      </w:r>
      <w:proofErr w:type="spellEnd"/>
      <w:r w:rsidRPr="008D228F">
        <w:rPr>
          <w:rFonts w:asciiTheme="minorHAnsi" w:hAnsiTheme="minorHAnsi" w:cstheme="minorHAnsi"/>
          <w:sz w:val="24"/>
          <w:szCs w:val="24"/>
          <w:shd w:val="clear" w:color="auto" w:fill="FFFFFF"/>
        </w:rPr>
        <w:t xml:space="preserve">, H, </w:t>
      </w:r>
      <w:proofErr w:type="spellStart"/>
      <w:r w:rsidRPr="008D228F">
        <w:rPr>
          <w:rFonts w:asciiTheme="minorHAnsi" w:hAnsiTheme="minorHAnsi" w:cstheme="minorHAnsi"/>
          <w:sz w:val="24"/>
          <w:szCs w:val="24"/>
          <w:shd w:val="clear" w:color="auto" w:fill="FFFFFF"/>
        </w:rPr>
        <w:t>Noaks</w:t>
      </w:r>
      <w:proofErr w:type="spellEnd"/>
      <w:r w:rsidRPr="008D228F">
        <w:rPr>
          <w:rFonts w:asciiTheme="minorHAnsi" w:hAnsiTheme="minorHAnsi" w:cstheme="minorHAnsi"/>
          <w:sz w:val="24"/>
          <w:szCs w:val="24"/>
          <w:shd w:val="clear" w:color="auto" w:fill="FFFFFF"/>
        </w:rPr>
        <w:t xml:space="preserve">, L, </w:t>
      </w:r>
      <w:proofErr w:type="spellStart"/>
      <w:r w:rsidRPr="008D228F">
        <w:rPr>
          <w:rFonts w:asciiTheme="minorHAnsi" w:hAnsiTheme="minorHAnsi" w:cstheme="minorHAnsi"/>
          <w:sz w:val="24"/>
          <w:szCs w:val="24"/>
          <w:shd w:val="clear" w:color="auto" w:fill="FFFFFF"/>
        </w:rPr>
        <w:t>Wincup</w:t>
      </w:r>
      <w:proofErr w:type="spellEnd"/>
      <w:r w:rsidRPr="008D228F">
        <w:rPr>
          <w:rFonts w:asciiTheme="minorHAnsi" w:hAnsiTheme="minorHAnsi" w:cstheme="minorHAnsi"/>
          <w:sz w:val="24"/>
          <w:szCs w:val="24"/>
          <w:shd w:val="clear" w:color="auto" w:fill="FFFFFF"/>
        </w:rPr>
        <w:t>, E, Sharpe, K (</w:t>
      </w:r>
      <w:r w:rsidRPr="008D228F">
        <w:rPr>
          <w:rStyle w:val="nlmyear"/>
          <w:rFonts w:asciiTheme="minorHAnsi" w:hAnsiTheme="minorHAnsi" w:cstheme="minorHAnsi"/>
          <w:sz w:val="24"/>
          <w:szCs w:val="24"/>
          <w:shd w:val="clear" w:color="auto" w:fill="FFFFFF"/>
        </w:rPr>
        <w:t>2001</w:t>
      </w:r>
      <w:r w:rsidRPr="008D228F">
        <w:rPr>
          <w:rFonts w:asciiTheme="minorHAnsi" w:hAnsiTheme="minorHAnsi" w:cstheme="minorHAnsi"/>
          <w:sz w:val="24"/>
          <w:szCs w:val="24"/>
          <w:shd w:val="clear" w:color="auto" w:fill="FFFFFF"/>
        </w:rPr>
        <w:t>) Risk Management of Sexual and Violent Offenders: The Work of Public Protection Panels. Police Research Series Paper 139. </w:t>
      </w:r>
      <w:r w:rsidRPr="008D228F">
        <w:rPr>
          <w:rStyle w:val="nlmpublisher-loc"/>
          <w:rFonts w:asciiTheme="minorHAnsi" w:hAnsiTheme="minorHAnsi" w:cstheme="minorHAnsi"/>
          <w:sz w:val="24"/>
          <w:szCs w:val="24"/>
          <w:shd w:val="clear" w:color="auto" w:fill="FFFFFF"/>
        </w:rPr>
        <w:t>London</w:t>
      </w:r>
      <w:r w:rsidRPr="008D228F">
        <w:rPr>
          <w:rFonts w:asciiTheme="minorHAnsi" w:hAnsiTheme="minorHAnsi" w:cstheme="minorHAnsi"/>
          <w:sz w:val="24"/>
          <w:szCs w:val="24"/>
          <w:shd w:val="clear" w:color="auto" w:fill="FFFFFF"/>
        </w:rPr>
        <w:t>: </w:t>
      </w:r>
      <w:r w:rsidRPr="008D228F">
        <w:rPr>
          <w:rStyle w:val="nlmpublisher-name"/>
          <w:rFonts w:asciiTheme="minorHAnsi" w:hAnsiTheme="minorHAnsi" w:cstheme="minorHAnsi"/>
          <w:sz w:val="24"/>
          <w:szCs w:val="24"/>
          <w:shd w:val="clear" w:color="auto" w:fill="FFFFFF"/>
        </w:rPr>
        <w:t>Home Office</w:t>
      </w:r>
      <w:r w:rsidRPr="008D228F">
        <w:rPr>
          <w:rFonts w:asciiTheme="minorHAnsi" w:hAnsiTheme="minorHAnsi" w:cstheme="minorHAnsi"/>
          <w:sz w:val="24"/>
          <w:szCs w:val="24"/>
          <w:shd w:val="clear" w:color="auto" w:fill="FFFFFF"/>
        </w:rPr>
        <w:t>.</w:t>
      </w:r>
    </w:p>
    <w:p w:rsidR="003D488D" w:rsidRDefault="003D488D" w:rsidP="003D488D">
      <w:pPr>
        <w:rPr>
          <w:rFonts w:asciiTheme="minorHAnsi" w:hAnsiTheme="minorHAnsi" w:cstheme="minorHAnsi"/>
          <w:sz w:val="24"/>
          <w:szCs w:val="24"/>
          <w:shd w:val="clear" w:color="auto" w:fill="FFFFFF"/>
        </w:rPr>
      </w:pPr>
    </w:p>
    <w:p w:rsidR="003D488D" w:rsidRPr="008D228F" w:rsidRDefault="003D488D" w:rsidP="003D488D">
      <w:pPr>
        <w:rPr>
          <w:rFonts w:asciiTheme="minorHAnsi" w:hAnsiTheme="minorHAnsi" w:cstheme="minorHAnsi"/>
          <w:sz w:val="24"/>
          <w:szCs w:val="24"/>
        </w:rPr>
      </w:pPr>
      <w:r w:rsidRPr="006C548B">
        <w:rPr>
          <w:rFonts w:asciiTheme="minorHAnsi" w:hAnsiTheme="minorHAnsi" w:cstheme="minorHAnsi"/>
          <w:sz w:val="24"/>
          <w:szCs w:val="24"/>
        </w:rPr>
        <w:t xml:space="preserve">Miller, S. (2020). What is a Sexual Harm Prevention </w:t>
      </w:r>
      <w:proofErr w:type="gramStart"/>
      <w:r w:rsidRPr="006C548B">
        <w:rPr>
          <w:rFonts w:asciiTheme="minorHAnsi" w:hAnsiTheme="minorHAnsi" w:cstheme="minorHAnsi"/>
          <w:sz w:val="24"/>
          <w:szCs w:val="24"/>
        </w:rPr>
        <w:t>Order.</w:t>
      </w:r>
      <w:proofErr w:type="gramEnd"/>
      <w:r w:rsidRPr="006C548B">
        <w:rPr>
          <w:rFonts w:asciiTheme="minorHAnsi" w:hAnsiTheme="minorHAnsi" w:cstheme="minorHAnsi"/>
          <w:sz w:val="24"/>
          <w:szCs w:val="24"/>
        </w:rPr>
        <w:t xml:space="preserve"> Available: https://www.stuartmillersolicitors.co.uk/what-is-a-sexual-harm-prevention-order/#what_is_a_sexual_harm_prevention_order. Last accessed 3rd Jan 2021.</w:t>
      </w:r>
    </w:p>
    <w:p w:rsidR="003D488D" w:rsidRPr="008D228F" w:rsidRDefault="003D488D" w:rsidP="003D488D">
      <w:pPr>
        <w:rPr>
          <w:rFonts w:asciiTheme="minorHAnsi" w:hAnsiTheme="minorHAnsi" w:cstheme="minorHAnsi"/>
          <w:sz w:val="24"/>
          <w:szCs w:val="24"/>
        </w:rPr>
      </w:pPr>
    </w:p>
    <w:p w:rsidR="003D488D" w:rsidRPr="008D228F" w:rsidRDefault="003D488D" w:rsidP="003D488D">
      <w:pPr>
        <w:spacing w:before="100" w:beforeAutospacing="1" w:after="100" w:afterAutospacing="1"/>
        <w:rPr>
          <w:rFonts w:asciiTheme="minorHAnsi" w:hAnsiTheme="minorHAnsi" w:cstheme="minorHAnsi"/>
          <w:sz w:val="24"/>
          <w:szCs w:val="24"/>
        </w:rPr>
      </w:pPr>
      <w:r w:rsidRPr="008D228F">
        <w:rPr>
          <w:rFonts w:asciiTheme="minorHAnsi" w:hAnsiTheme="minorHAnsi" w:cstheme="minorHAnsi"/>
          <w:sz w:val="24"/>
          <w:szCs w:val="24"/>
        </w:rPr>
        <w:lastRenderedPageBreak/>
        <w:t>Ministry of Justice. (2015). </w:t>
      </w:r>
      <w:r w:rsidRPr="008D228F">
        <w:rPr>
          <w:rFonts w:asciiTheme="minorHAnsi" w:hAnsiTheme="minorHAnsi" w:cstheme="minorHAnsi"/>
          <w:i/>
          <w:iCs/>
          <w:sz w:val="24"/>
          <w:szCs w:val="24"/>
        </w:rPr>
        <w:t>Codes of Practice for Victims of Crime.</w:t>
      </w:r>
      <w:r w:rsidRPr="008D228F">
        <w:rPr>
          <w:rFonts w:asciiTheme="minorHAnsi" w:hAnsiTheme="minorHAnsi" w:cstheme="minorHAnsi"/>
          <w:sz w:val="24"/>
          <w:szCs w:val="24"/>
        </w:rPr>
        <w:t> Available: https://assets.publishing.service.gov.uk/government/uploads/system/uploads/attachment_data/file/476900/code-of-practice-for-victims-of-crime.PDF. Last accessed 1st Jan 2021.</w:t>
      </w:r>
    </w:p>
    <w:p w:rsidR="003D488D" w:rsidRDefault="003D488D" w:rsidP="003D488D">
      <w:pPr>
        <w:spacing w:before="100" w:beforeAutospacing="1" w:after="100" w:afterAutospacing="1"/>
        <w:rPr>
          <w:rFonts w:asciiTheme="minorHAnsi" w:hAnsiTheme="minorHAnsi" w:cstheme="minorHAnsi"/>
          <w:sz w:val="24"/>
          <w:szCs w:val="24"/>
        </w:rPr>
      </w:pPr>
      <w:r w:rsidRPr="008D228F">
        <w:rPr>
          <w:rFonts w:asciiTheme="minorHAnsi" w:hAnsiTheme="minorHAnsi" w:cstheme="minorHAnsi"/>
          <w:sz w:val="24"/>
          <w:szCs w:val="24"/>
        </w:rPr>
        <w:t>Ministry of Justice. (2020). </w:t>
      </w:r>
      <w:r w:rsidRPr="008D228F">
        <w:rPr>
          <w:rFonts w:asciiTheme="minorHAnsi" w:hAnsiTheme="minorHAnsi" w:cstheme="minorHAnsi"/>
          <w:i/>
          <w:iCs/>
          <w:sz w:val="24"/>
          <w:szCs w:val="24"/>
        </w:rPr>
        <w:t>Code of Practice for Victims of Crime in England and Wales.</w:t>
      </w:r>
      <w:r w:rsidRPr="008D228F">
        <w:rPr>
          <w:rFonts w:asciiTheme="minorHAnsi" w:hAnsiTheme="minorHAnsi" w:cstheme="minorHAnsi"/>
          <w:sz w:val="24"/>
          <w:szCs w:val="24"/>
        </w:rPr>
        <w:t> Available: https://assets.publishing.service.gov.uk/government/uploads/system/uploads/attachment_data/file/936239/victims-code-2020.pdf. Last accessed 1st Jan 2021.</w:t>
      </w:r>
    </w:p>
    <w:p w:rsidR="003D488D" w:rsidRDefault="003D488D" w:rsidP="003D488D">
      <w:pPr>
        <w:rPr>
          <w:rFonts w:asciiTheme="minorHAnsi" w:hAnsiTheme="minorHAnsi" w:cstheme="minorHAnsi"/>
          <w:sz w:val="24"/>
          <w:szCs w:val="24"/>
        </w:rPr>
      </w:pPr>
      <w:proofErr w:type="spellStart"/>
      <w:r w:rsidRPr="008D228F">
        <w:rPr>
          <w:rFonts w:asciiTheme="minorHAnsi" w:hAnsiTheme="minorHAnsi" w:cstheme="minorHAnsi"/>
          <w:sz w:val="24"/>
          <w:szCs w:val="24"/>
        </w:rPr>
        <w:t>Nacro</w:t>
      </w:r>
      <w:proofErr w:type="spellEnd"/>
      <w:r w:rsidRPr="008D228F">
        <w:rPr>
          <w:rFonts w:asciiTheme="minorHAnsi" w:hAnsiTheme="minorHAnsi" w:cstheme="minorHAnsi"/>
          <w:sz w:val="24"/>
          <w:szCs w:val="24"/>
        </w:rPr>
        <w:t>. (2020). </w:t>
      </w:r>
      <w:r w:rsidRPr="008D228F">
        <w:rPr>
          <w:rFonts w:asciiTheme="minorHAnsi" w:hAnsiTheme="minorHAnsi" w:cstheme="minorHAnsi"/>
          <w:i/>
          <w:iCs/>
          <w:sz w:val="24"/>
          <w:szCs w:val="24"/>
        </w:rPr>
        <w:t>Advice for people under MAPPA.</w:t>
      </w:r>
      <w:r w:rsidRPr="008D228F">
        <w:rPr>
          <w:rFonts w:asciiTheme="minorHAnsi" w:hAnsiTheme="minorHAnsi" w:cstheme="minorHAnsi"/>
          <w:sz w:val="24"/>
          <w:szCs w:val="24"/>
        </w:rPr>
        <w:t> Available: https://www.nacro.org.uk/criminal-record-support-service/support-for-individuals/advice-prisoners-people-licence-sex-offenders-mappa/advice-people-mappa/. Last accessed 1st Jan 2021.</w:t>
      </w:r>
      <w:r w:rsidRPr="009D476C">
        <w:rPr>
          <w:rFonts w:asciiTheme="minorHAnsi" w:hAnsiTheme="minorHAnsi" w:cstheme="minorHAnsi"/>
          <w:sz w:val="24"/>
          <w:szCs w:val="24"/>
        </w:rPr>
        <w:t xml:space="preserve"> </w:t>
      </w:r>
    </w:p>
    <w:p w:rsidR="003D488D" w:rsidRDefault="003D488D" w:rsidP="003D488D">
      <w:pPr>
        <w:rPr>
          <w:rFonts w:asciiTheme="minorHAnsi" w:hAnsiTheme="minorHAnsi" w:cstheme="minorHAnsi"/>
          <w:sz w:val="24"/>
          <w:szCs w:val="24"/>
        </w:rPr>
      </w:pPr>
    </w:p>
    <w:p w:rsidR="003D488D" w:rsidRDefault="003D488D" w:rsidP="003D488D">
      <w:pPr>
        <w:rPr>
          <w:rFonts w:asciiTheme="minorHAnsi" w:hAnsiTheme="minorHAnsi" w:cstheme="minorHAnsi"/>
          <w:sz w:val="24"/>
          <w:szCs w:val="24"/>
        </w:rPr>
      </w:pPr>
      <w:r w:rsidRPr="008D228F">
        <w:rPr>
          <w:rFonts w:asciiTheme="minorHAnsi" w:hAnsiTheme="minorHAnsi" w:cstheme="minorHAnsi"/>
          <w:sz w:val="24"/>
          <w:szCs w:val="24"/>
        </w:rPr>
        <w:t>NHS. (2018). </w:t>
      </w:r>
      <w:r w:rsidRPr="008D228F">
        <w:rPr>
          <w:rFonts w:asciiTheme="minorHAnsi" w:hAnsiTheme="minorHAnsi" w:cstheme="minorHAnsi"/>
          <w:i/>
          <w:iCs/>
          <w:sz w:val="24"/>
          <w:szCs w:val="24"/>
        </w:rPr>
        <w:t>Abuse and Neglect of Vulnerable Adults.</w:t>
      </w:r>
      <w:r w:rsidRPr="008D228F">
        <w:rPr>
          <w:rFonts w:asciiTheme="minorHAnsi" w:hAnsiTheme="minorHAnsi" w:cstheme="minorHAnsi"/>
          <w:sz w:val="24"/>
          <w:szCs w:val="24"/>
        </w:rPr>
        <w:t> Available: https://www.nhs.uk/conditions/social-care-and-support-guide/help-from-social-services-and-charities/abuse-and-neglect-vulnerable-adults/. Last accessed 22nd October 2020.</w:t>
      </w:r>
    </w:p>
    <w:p w:rsidR="003D488D" w:rsidRPr="008D228F" w:rsidRDefault="003D488D" w:rsidP="003D488D">
      <w:pPr>
        <w:rPr>
          <w:rFonts w:asciiTheme="minorHAnsi" w:hAnsiTheme="minorHAnsi" w:cstheme="minorHAnsi"/>
          <w:sz w:val="24"/>
          <w:szCs w:val="24"/>
        </w:rPr>
      </w:pPr>
    </w:p>
    <w:p w:rsidR="003D488D" w:rsidRPr="008D228F" w:rsidRDefault="003D488D" w:rsidP="003D488D">
      <w:pPr>
        <w:rPr>
          <w:rFonts w:asciiTheme="minorHAnsi" w:hAnsiTheme="minorHAnsi" w:cstheme="minorHAnsi"/>
          <w:sz w:val="24"/>
          <w:szCs w:val="24"/>
        </w:rPr>
      </w:pPr>
      <w:r w:rsidRPr="008D228F">
        <w:rPr>
          <w:rFonts w:asciiTheme="minorHAnsi" w:hAnsiTheme="minorHAnsi" w:cstheme="minorHAnsi"/>
          <w:sz w:val="24"/>
          <w:szCs w:val="24"/>
        </w:rPr>
        <w:t>National Policing Improvement Agency. (2007). </w:t>
      </w:r>
      <w:r w:rsidRPr="008D228F">
        <w:rPr>
          <w:rFonts w:asciiTheme="minorHAnsi" w:hAnsiTheme="minorHAnsi" w:cstheme="minorHAnsi"/>
          <w:i/>
          <w:iCs/>
          <w:sz w:val="24"/>
          <w:szCs w:val="24"/>
        </w:rPr>
        <w:t>Protecting the Public: Managing Sexual Offenders and Violent Offenders.</w:t>
      </w:r>
      <w:r w:rsidRPr="008D228F">
        <w:rPr>
          <w:rFonts w:asciiTheme="minorHAnsi" w:hAnsiTheme="minorHAnsi" w:cstheme="minorHAnsi"/>
          <w:sz w:val="24"/>
          <w:szCs w:val="24"/>
        </w:rPr>
        <w:t> Available: http://library.college.police.uk/docs/acpo/Guidance-Protecting-the-Public-2007.pdf. Last accessed 22nd October 2020.</w:t>
      </w:r>
    </w:p>
    <w:p w:rsidR="003D488D" w:rsidRPr="008D228F" w:rsidRDefault="003D488D" w:rsidP="003D488D">
      <w:pPr>
        <w:rPr>
          <w:rFonts w:asciiTheme="minorHAnsi" w:hAnsiTheme="minorHAnsi" w:cstheme="minorHAnsi"/>
          <w:sz w:val="24"/>
          <w:szCs w:val="24"/>
        </w:rPr>
      </w:pPr>
    </w:p>
    <w:p w:rsidR="003D488D" w:rsidRPr="008D228F" w:rsidRDefault="003D488D" w:rsidP="003D488D">
      <w:pPr>
        <w:rPr>
          <w:rFonts w:asciiTheme="minorHAnsi" w:hAnsiTheme="minorHAnsi" w:cstheme="minorHAnsi"/>
          <w:sz w:val="24"/>
          <w:szCs w:val="24"/>
        </w:rPr>
      </w:pPr>
      <w:r w:rsidRPr="008D228F">
        <w:rPr>
          <w:rFonts w:asciiTheme="minorHAnsi" w:hAnsiTheme="minorHAnsi" w:cstheme="minorHAnsi"/>
          <w:sz w:val="24"/>
          <w:szCs w:val="24"/>
        </w:rPr>
        <w:t>Pickles, J. (2007). </w:t>
      </w:r>
      <w:r w:rsidRPr="008D228F">
        <w:rPr>
          <w:rFonts w:asciiTheme="minorHAnsi" w:hAnsiTheme="minorHAnsi" w:cstheme="minorHAnsi"/>
          <w:i/>
          <w:iCs/>
          <w:sz w:val="24"/>
          <w:szCs w:val="24"/>
        </w:rPr>
        <w:t xml:space="preserve">Risk Assessment and Domestic Violence: the Multi-Agency </w:t>
      </w:r>
      <w:proofErr w:type="spellStart"/>
      <w:r w:rsidRPr="008D228F">
        <w:rPr>
          <w:rFonts w:asciiTheme="minorHAnsi" w:hAnsiTheme="minorHAnsi" w:cstheme="minorHAnsi"/>
          <w:i/>
          <w:iCs/>
          <w:sz w:val="24"/>
          <w:szCs w:val="24"/>
        </w:rPr>
        <w:t>Marac</w:t>
      </w:r>
      <w:proofErr w:type="spellEnd"/>
      <w:r w:rsidRPr="008D228F">
        <w:rPr>
          <w:rFonts w:asciiTheme="minorHAnsi" w:hAnsiTheme="minorHAnsi" w:cstheme="minorHAnsi"/>
          <w:i/>
          <w:iCs/>
          <w:sz w:val="24"/>
          <w:szCs w:val="24"/>
        </w:rPr>
        <w:t xml:space="preserve"> Model of Intervention.</w:t>
      </w:r>
      <w:r w:rsidRPr="008D228F">
        <w:rPr>
          <w:rFonts w:asciiTheme="minorHAnsi" w:hAnsiTheme="minorHAnsi" w:cstheme="minorHAnsi"/>
          <w:sz w:val="24"/>
          <w:szCs w:val="24"/>
        </w:rPr>
        <w:t> Available: https://www.communitycare.co.uk/2007/04/18/risk-assessment-and-domestic-violence-the-multi-agency-marac-model-of-intervention/#:~:text=It%20was%20in%20April%202003</w:t>
      </w:r>
      <w:proofErr w:type="gramStart"/>
      <w:r w:rsidRPr="008D228F">
        <w:rPr>
          <w:rFonts w:asciiTheme="minorHAnsi" w:hAnsiTheme="minorHAnsi" w:cstheme="minorHAnsi"/>
          <w:sz w:val="24"/>
          <w:szCs w:val="24"/>
        </w:rPr>
        <w:t>,Women</w:t>
      </w:r>
      <w:proofErr w:type="gramEnd"/>
      <w:r w:rsidRPr="008D228F">
        <w:rPr>
          <w:rFonts w:asciiTheme="minorHAnsi" w:hAnsiTheme="minorHAnsi" w:cstheme="minorHAnsi"/>
          <w:sz w:val="24"/>
          <w:szCs w:val="24"/>
        </w:rPr>
        <w:t>%27s%20Safety%20Unit%20(WSU).. Last accessed 1st Jan 2021.</w:t>
      </w:r>
    </w:p>
    <w:p w:rsidR="003D488D" w:rsidRDefault="003D488D" w:rsidP="003D488D">
      <w:pPr>
        <w:rPr>
          <w:rFonts w:asciiTheme="minorHAnsi" w:hAnsiTheme="minorHAnsi" w:cstheme="minorHAnsi"/>
          <w:i/>
          <w:sz w:val="24"/>
          <w:szCs w:val="24"/>
        </w:rPr>
      </w:pPr>
    </w:p>
    <w:p w:rsidR="003D488D" w:rsidRPr="008D228F" w:rsidRDefault="003D488D" w:rsidP="003D488D">
      <w:pPr>
        <w:rPr>
          <w:rFonts w:asciiTheme="minorHAnsi" w:hAnsiTheme="minorHAnsi" w:cstheme="minorHAnsi"/>
          <w:sz w:val="24"/>
          <w:szCs w:val="24"/>
        </w:rPr>
      </w:pPr>
      <w:r w:rsidRPr="008D228F">
        <w:rPr>
          <w:rFonts w:asciiTheme="minorHAnsi" w:hAnsiTheme="minorHAnsi" w:cstheme="minorHAnsi"/>
          <w:i/>
          <w:sz w:val="24"/>
          <w:szCs w:val="24"/>
        </w:rPr>
        <w:t xml:space="preserve">Police and Criminal Evidence Act (1984). </w:t>
      </w:r>
      <w:r w:rsidRPr="008D228F">
        <w:rPr>
          <w:rFonts w:asciiTheme="minorHAnsi" w:hAnsiTheme="minorHAnsi" w:cstheme="minorHAnsi"/>
          <w:sz w:val="24"/>
          <w:szCs w:val="24"/>
        </w:rPr>
        <w:t xml:space="preserve">Available at: https://www.legislation.gov.uk/ukpga/1984/60/contents </w:t>
      </w:r>
    </w:p>
    <w:p w:rsidR="003D488D" w:rsidRPr="008D228F" w:rsidRDefault="003D488D" w:rsidP="003D488D">
      <w:pPr>
        <w:rPr>
          <w:rFonts w:asciiTheme="minorHAnsi" w:hAnsiTheme="minorHAnsi" w:cstheme="minorHAnsi"/>
          <w:sz w:val="24"/>
          <w:szCs w:val="24"/>
        </w:rPr>
      </w:pPr>
    </w:p>
    <w:p w:rsidR="003D488D" w:rsidRPr="008D228F" w:rsidRDefault="003D488D" w:rsidP="003D488D">
      <w:pPr>
        <w:rPr>
          <w:rFonts w:asciiTheme="minorHAnsi" w:hAnsiTheme="minorHAnsi" w:cstheme="minorHAnsi"/>
          <w:sz w:val="24"/>
          <w:szCs w:val="24"/>
        </w:rPr>
      </w:pPr>
      <w:r w:rsidRPr="008D228F">
        <w:rPr>
          <w:rFonts w:asciiTheme="minorHAnsi" w:hAnsiTheme="minorHAnsi" w:cstheme="minorHAnsi"/>
          <w:sz w:val="24"/>
          <w:szCs w:val="24"/>
        </w:rPr>
        <w:t>PTSD UK. (2020). </w:t>
      </w:r>
      <w:r w:rsidRPr="008D228F">
        <w:rPr>
          <w:rFonts w:asciiTheme="minorHAnsi" w:hAnsiTheme="minorHAnsi" w:cstheme="minorHAnsi"/>
          <w:i/>
          <w:iCs/>
          <w:sz w:val="24"/>
          <w:szCs w:val="24"/>
        </w:rPr>
        <w:t>What is PTSD</w:t>
      </w:r>
      <w:proofErr w:type="gramStart"/>
      <w:r w:rsidRPr="008D228F">
        <w:rPr>
          <w:rFonts w:asciiTheme="minorHAnsi" w:hAnsiTheme="minorHAnsi" w:cstheme="minorHAnsi"/>
          <w:i/>
          <w:iCs/>
          <w:sz w:val="24"/>
          <w:szCs w:val="24"/>
        </w:rPr>
        <w:t>?.</w:t>
      </w:r>
      <w:proofErr w:type="gramEnd"/>
      <w:r w:rsidRPr="008D228F">
        <w:rPr>
          <w:rFonts w:asciiTheme="minorHAnsi" w:hAnsiTheme="minorHAnsi" w:cstheme="minorHAnsi"/>
          <w:sz w:val="24"/>
          <w:szCs w:val="24"/>
        </w:rPr>
        <w:t> Available: https://www.ptsduk.org/what-is-ptsd/?gclid=EAIaIQobChMIl_X0hpH87QIV2N_tCh3uoAyjEAAYASAAEgJcsfD_BwE. Last accessed 1st Jan 2021.</w:t>
      </w:r>
    </w:p>
    <w:p w:rsidR="003D488D" w:rsidRPr="008D228F" w:rsidRDefault="003D488D" w:rsidP="003D488D">
      <w:pPr>
        <w:rPr>
          <w:rFonts w:asciiTheme="minorHAnsi" w:hAnsiTheme="minorHAnsi" w:cstheme="minorHAnsi"/>
          <w:sz w:val="24"/>
          <w:szCs w:val="24"/>
        </w:rPr>
      </w:pPr>
    </w:p>
    <w:p w:rsidR="003D488D" w:rsidRPr="008D228F" w:rsidRDefault="003D488D" w:rsidP="003D488D">
      <w:pPr>
        <w:rPr>
          <w:rFonts w:asciiTheme="minorHAnsi" w:hAnsiTheme="minorHAnsi" w:cstheme="minorHAnsi"/>
          <w:sz w:val="24"/>
          <w:szCs w:val="24"/>
        </w:rPr>
      </w:pPr>
      <w:r w:rsidRPr="008D228F">
        <w:rPr>
          <w:rFonts w:asciiTheme="minorHAnsi" w:hAnsiTheme="minorHAnsi" w:cstheme="minorHAnsi"/>
          <w:sz w:val="24"/>
          <w:szCs w:val="24"/>
          <w:shd w:val="clear" w:color="auto" w:fill="FFFFFF"/>
        </w:rPr>
        <w:t>Reeves, C., (2013). How multi-agency are Multi-Agency Risk Assessment Committees? </w:t>
      </w:r>
      <w:r w:rsidRPr="008D228F">
        <w:rPr>
          <w:rFonts w:asciiTheme="minorHAnsi" w:hAnsiTheme="minorHAnsi" w:cstheme="minorHAnsi"/>
          <w:i/>
          <w:iCs/>
          <w:sz w:val="24"/>
          <w:szCs w:val="24"/>
          <w:shd w:val="clear" w:color="auto" w:fill="FFFFFF"/>
        </w:rPr>
        <w:t>Probation journal</w:t>
      </w:r>
      <w:r w:rsidRPr="008D228F">
        <w:rPr>
          <w:rFonts w:asciiTheme="minorHAnsi" w:hAnsiTheme="minorHAnsi" w:cstheme="minorHAnsi"/>
          <w:sz w:val="24"/>
          <w:szCs w:val="24"/>
          <w:shd w:val="clear" w:color="auto" w:fill="FFFFFF"/>
        </w:rPr>
        <w:t>, 60(1), pp.40–55.</w:t>
      </w:r>
    </w:p>
    <w:p w:rsidR="003D488D" w:rsidRPr="008D228F" w:rsidRDefault="003D488D" w:rsidP="003D488D">
      <w:pPr>
        <w:rPr>
          <w:rFonts w:asciiTheme="minorHAnsi" w:hAnsiTheme="minorHAnsi" w:cstheme="minorHAnsi"/>
          <w:sz w:val="24"/>
          <w:szCs w:val="24"/>
        </w:rPr>
      </w:pPr>
    </w:p>
    <w:p w:rsidR="003D488D" w:rsidRPr="008D228F" w:rsidRDefault="003D488D" w:rsidP="003D488D">
      <w:pPr>
        <w:rPr>
          <w:rFonts w:asciiTheme="minorHAnsi" w:hAnsiTheme="minorHAnsi" w:cstheme="minorHAnsi"/>
          <w:sz w:val="24"/>
          <w:szCs w:val="24"/>
        </w:rPr>
      </w:pPr>
      <w:r w:rsidRPr="008D228F">
        <w:rPr>
          <w:rFonts w:asciiTheme="minorHAnsi" w:hAnsiTheme="minorHAnsi" w:cstheme="minorHAnsi"/>
          <w:sz w:val="24"/>
          <w:szCs w:val="24"/>
        </w:rPr>
        <w:t>Sense. (2019). </w:t>
      </w:r>
      <w:r w:rsidRPr="008D228F">
        <w:rPr>
          <w:rFonts w:asciiTheme="minorHAnsi" w:hAnsiTheme="minorHAnsi" w:cstheme="minorHAnsi"/>
          <w:i/>
          <w:iCs/>
          <w:sz w:val="24"/>
          <w:szCs w:val="24"/>
        </w:rPr>
        <w:t>Safeguarding and Keeping Safe.</w:t>
      </w:r>
      <w:r w:rsidRPr="008D228F">
        <w:rPr>
          <w:rFonts w:asciiTheme="minorHAnsi" w:hAnsiTheme="minorHAnsi" w:cstheme="minorHAnsi"/>
          <w:sz w:val="24"/>
          <w:szCs w:val="24"/>
        </w:rPr>
        <w:t> Available: https://www.sense.org.uk/get-support/information-and-advice/safeguarding-and-keeping-safe/?gclid=EAIaIQobChMIiOS1tt_j7AIVTOztCh1mvwzGEAAYAiAAEgKRWPD_BwE. Last accessed 3rd September 2020.</w:t>
      </w:r>
    </w:p>
    <w:p w:rsidR="003D488D" w:rsidRPr="008D228F" w:rsidRDefault="003D488D" w:rsidP="003D488D">
      <w:pPr>
        <w:rPr>
          <w:rFonts w:asciiTheme="minorHAnsi" w:hAnsiTheme="minorHAnsi" w:cstheme="minorHAnsi"/>
          <w:sz w:val="24"/>
          <w:szCs w:val="24"/>
        </w:rPr>
      </w:pPr>
    </w:p>
    <w:p w:rsidR="003D488D" w:rsidRPr="008D228F" w:rsidRDefault="003D488D" w:rsidP="003D488D">
      <w:pPr>
        <w:rPr>
          <w:rFonts w:asciiTheme="minorHAnsi" w:hAnsiTheme="minorHAnsi" w:cstheme="minorHAnsi"/>
          <w:sz w:val="24"/>
          <w:szCs w:val="24"/>
        </w:rPr>
      </w:pPr>
      <w:r w:rsidRPr="008D228F">
        <w:rPr>
          <w:rFonts w:asciiTheme="minorHAnsi" w:hAnsiTheme="minorHAnsi" w:cstheme="minorHAnsi"/>
          <w:sz w:val="24"/>
          <w:szCs w:val="24"/>
        </w:rPr>
        <w:t xml:space="preserve">United Nations (1985) Declaration of Basic Principles of Justice for Victims of Crime and Abuse of Power. Available at: </w:t>
      </w:r>
      <w:r w:rsidRPr="008D228F">
        <w:rPr>
          <w:rFonts w:asciiTheme="minorHAnsi" w:hAnsiTheme="minorHAnsi" w:cstheme="minorHAnsi"/>
          <w:sz w:val="24"/>
          <w:szCs w:val="24"/>
        </w:rPr>
        <w:lastRenderedPageBreak/>
        <w:t>https://www.ohchr.org/en/professionalinterest/pages/</w:t>
      </w:r>
      <w:proofErr w:type="gramStart"/>
      <w:r w:rsidRPr="008D228F">
        <w:rPr>
          <w:rFonts w:asciiTheme="minorHAnsi" w:hAnsiTheme="minorHAnsi" w:cstheme="minorHAnsi"/>
          <w:sz w:val="24"/>
          <w:szCs w:val="24"/>
        </w:rPr>
        <w:t>victimsofcrimeandabuseofpower.aspx  Accessed</w:t>
      </w:r>
      <w:proofErr w:type="gramEnd"/>
      <w:r w:rsidRPr="008D228F">
        <w:rPr>
          <w:rFonts w:asciiTheme="minorHAnsi" w:hAnsiTheme="minorHAnsi" w:cstheme="minorHAnsi"/>
          <w:sz w:val="24"/>
          <w:szCs w:val="24"/>
        </w:rPr>
        <w:t xml:space="preserve"> 9</w:t>
      </w:r>
      <w:r w:rsidRPr="008D228F">
        <w:rPr>
          <w:rFonts w:asciiTheme="minorHAnsi" w:hAnsiTheme="minorHAnsi" w:cstheme="minorHAnsi"/>
          <w:sz w:val="24"/>
          <w:szCs w:val="24"/>
          <w:vertAlign w:val="superscript"/>
        </w:rPr>
        <w:t>th</w:t>
      </w:r>
      <w:r w:rsidRPr="008D228F">
        <w:rPr>
          <w:rFonts w:asciiTheme="minorHAnsi" w:hAnsiTheme="minorHAnsi" w:cstheme="minorHAnsi"/>
          <w:sz w:val="24"/>
          <w:szCs w:val="24"/>
        </w:rPr>
        <w:t xml:space="preserve"> December 2020.</w:t>
      </w:r>
    </w:p>
    <w:p w:rsidR="003D488D" w:rsidRPr="008D228F" w:rsidRDefault="003D488D" w:rsidP="003D488D">
      <w:pPr>
        <w:rPr>
          <w:rFonts w:asciiTheme="minorHAnsi" w:hAnsiTheme="minorHAnsi" w:cstheme="minorHAnsi"/>
          <w:sz w:val="24"/>
          <w:szCs w:val="24"/>
        </w:rPr>
      </w:pPr>
    </w:p>
    <w:p w:rsidR="003D488D" w:rsidRPr="008D228F" w:rsidRDefault="003D488D" w:rsidP="003D488D">
      <w:pPr>
        <w:rPr>
          <w:rFonts w:asciiTheme="minorHAnsi" w:hAnsiTheme="minorHAnsi" w:cstheme="minorHAnsi"/>
          <w:sz w:val="24"/>
          <w:szCs w:val="24"/>
        </w:rPr>
      </w:pPr>
      <w:r w:rsidRPr="008D228F">
        <w:rPr>
          <w:rFonts w:asciiTheme="minorHAnsi" w:hAnsiTheme="minorHAnsi" w:cstheme="minorHAnsi"/>
          <w:sz w:val="24"/>
          <w:szCs w:val="24"/>
        </w:rPr>
        <w:t>Unseen. (2020). </w:t>
      </w:r>
      <w:r w:rsidRPr="008D228F">
        <w:rPr>
          <w:rFonts w:asciiTheme="minorHAnsi" w:hAnsiTheme="minorHAnsi" w:cstheme="minorHAnsi"/>
          <w:i/>
          <w:iCs/>
          <w:sz w:val="24"/>
          <w:szCs w:val="24"/>
        </w:rPr>
        <w:t xml:space="preserve">Modern Slavery Explained/ </w:t>
      </w:r>
      <w:proofErr w:type="gramStart"/>
      <w:r w:rsidRPr="008D228F">
        <w:rPr>
          <w:rFonts w:asciiTheme="minorHAnsi" w:hAnsiTheme="minorHAnsi" w:cstheme="minorHAnsi"/>
          <w:i/>
          <w:iCs/>
          <w:sz w:val="24"/>
          <w:szCs w:val="24"/>
        </w:rPr>
        <w:t>What</w:t>
      </w:r>
      <w:proofErr w:type="gramEnd"/>
      <w:r w:rsidRPr="008D228F">
        <w:rPr>
          <w:rFonts w:asciiTheme="minorHAnsi" w:hAnsiTheme="minorHAnsi" w:cstheme="minorHAnsi"/>
          <w:i/>
          <w:iCs/>
          <w:sz w:val="24"/>
          <w:szCs w:val="24"/>
        </w:rPr>
        <w:t xml:space="preserve"> is Human Trafficking.</w:t>
      </w:r>
      <w:r w:rsidRPr="008D228F">
        <w:rPr>
          <w:rFonts w:asciiTheme="minorHAnsi" w:hAnsiTheme="minorHAnsi" w:cstheme="minorHAnsi"/>
          <w:sz w:val="24"/>
          <w:szCs w:val="24"/>
        </w:rPr>
        <w:t> Available: https://www.unseenuk.org/modern-slavery/human-trafficking?gclid=EAIaIQobChMI16ul5o7L7QIVU-3tCh3t-QlCEAAYAiAAEgKpsPD_BwE. Last accessed 13th December 2020.</w:t>
      </w:r>
    </w:p>
    <w:p w:rsidR="003D488D" w:rsidRDefault="003D488D"/>
    <w:sectPr w:rsidR="003D488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Arial,Times New Roman">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488D"/>
    <w:rsid w:val="002A0AB3"/>
    <w:rsid w:val="003D488D"/>
    <w:rsid w:val="009C0A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1B4102"/>
  <w15:chartTrackingRefBased/>
  <w15:docId w15:val="{D4F1B2E5-F0BB-48B7-B6F1-56ED928B63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488D"/>
    <w:pPr>
      <w:spacing w:after="0" w:line="240" w:lineRule="auto"/>
    </w:pPr>
    <w:rPr>
      <w:rFonts w:ascii="Times New Roman" w:eastAsia="Times New Roman" w:hAnsi="Times New Roman" w:cs="Times New Roman"/>
      <w:sz w:val="20"/>
      <w:szCs w:val="20"/>
      <w:lang w:eastAsia="en-GB"/>
    </w:rPr>
  </w:style>
  <w:style w:type="paragraph" w:styleId="Heading2">
    <w:name w:val="heading 2"/>
    <w:basedOn w:val="Normal"/>
    <w:next w:val="Normal"/>
    <w:link w:val="Heading2Char"/>
    <w:qFormat/>
    <w:rsid w:val="003D488D"/>
    <w:pPr>
      <w:keepNext/>
      <w:jc w:val="both"/>
      <w:outlineLvl w:val="1"/>
    </w:pPr>
    <w:rPr>
      <w:b/>
      <w:sz w:val="24"/>
    </w:rPr>
  </w:style>
  <w:style w:type="paragraph" w:styleId="Heading4">
    <w:name w:val="heading 4"/>
    <w:basedOn w:val="Normal"/>
    <w:next w:val="Normal"/>
    <w:link w:val="Heading4Char"/>
    <w:qFormat/>
    <w:rsid w:val="003D488D"/>
    <w:pPr>
      <w:keepNext/>
      <w:spacing w:before="120" w:after="120"/>
      <w:jc w:val="center"/>
      <w:outlineLvl w:val="3"/>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3D488D"/>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3D488D"/>
    <w:rPr>
      <w:rFonts w:ascii="Times New Roman" w:eastAsia="Times New Roman" w:hAnsi="Times New Roman" w:cs="Times New Roman"/>
      <w:sz w:val="40"/>
      <w:szCs w:val="20"/>
      <w:lang w:eastAsia="en-GB"/>
    </w:rPr>
  </w:style>
  <w:style w:type="paragraph" w:styleId="Header">
    <w:name w:val="header"/>
    <w:basedOn w:val="Normal"/>
    <w:link w:val="HeaderChar"/>
    <w:rsid w:val="003D488D"/>
    <w:pPr>
      <w:tabs>
        <w:tab w:val="center" w:pos="4153"/>
        <w:tab w:val="right" w:pos="8306"/>
      </w:tabs>
    </w:pPr>
  </w:style>
  <w:style w:type="character" w:customStyle="1" w:styleId="HeaderChar">
    <w:name w:val="Header Char"/>
    <w:basedOn w:val="DefaultParagraphFont"/>
    <w:link w:val="Header"/>
    <w:rsid w:val="003D488D"/>
    <w:rPr>
      <w:rFonts w:ascii="Times New Roman" w:eastAsia="Times New Roman" w:hAnsi="Times New Roman" w:cs="Times New Roman"/>
      <w:sz w:val="20"/>
      <w:szCs w:val="20"/>
      <w:lang w:eastAsia="en-GB"/>
    </w:rPr>
  </w:style>
  <w:style w:type="paragraph" w:styleId="NormalWeb">
    <w:name w:val="Normal (Web)"/>
    <w:basedOn w:val="Normal"/>
    <w:uiPriority w:val="99"/>
    <w:unhideWhenUsed/>
    <w:rsid w:val="003D488D"/>
    <w:pPr>
      <w:spacing w:before="100" w:beforeAutospacing="1" w:after="100" w:afterAutospacing="1"/>
    </w:pPr>
    <w:rPr>
      <w:sz w:val="24"/>
      <w:szCs w:val="24"/>
    </w:rPr>
  </w:style>
  <w:style w:type="character" w:customStyle="1" w:styleId="nlmyear">
    <w:name w:val="nlm_year"/>
    <w:basedOn w:val="DefaultParagraphFont"/>
    <w:rsid w:val="003D488D"/>
  </w:style>
  <w:style w:type="character" w:customStyle="1" w:styleId="nlmpublisher-loc">
    <w:name w:val="nlm_publisher-loc"/>
    <w:basedOn w:val="DefaultParagraphFont"/>
    <w:rsid w:val="003D488D"/>
  </w:style>
  <w:style w:type="character" w:customStyle="1" w:styleId="nlmpublisher-name">
    <w:name w:val="nlm_publisher-name"/>
    <w:basedOn w:val="DefaultParagraphFont"/>
    <w:rsid w:val="003D48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png"/><Relationship Id="rId5" Type="http://schemas.openxmlformats.org/officeDocument/2006/relationships/image" Target="cid:image001.png@01D0EA4A.2BD679A0"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14</Pages>
  <Words>5709</Words>
  <Characters>32546</Characters>
  <Application>Microsoft Office Word</Application>
  <DocSecurity>0</DocSecurity>
  <Lines>271</Lines>
  <Paragraphs>76</Paragraphs>
  <ScaleCrop>false</ScaleCrop>
  <Company>South Wales Police</Company>
  <LinksUpToDate>false</LinksUpToDate>
  <CharactersWithSpaces>38179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Treadwell,Samantha swp6444</dc:creator>
  <cp:keywords/>
  <dc:description/>
  <cp:lastModifiedBy>Treadwell,Samantha swp6444</cp:lastModifiedBy>
  <cp:revision>2</cp:revision>
  <dcterms:created xsi:type="dcterms:W3CDTF">2021-01-04T02:35:00Z</dcterms:created>
  <dcterms:modified xsi:type="dcterms:W3CDTF">2021-01-04T02:41:00Z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b040eb65-5da3-4757-ab8c-0c4d95e4c39f</vt:lpwstr>
  </property>
</Properties>
</file>