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en-US"/>
          <w14:ligatures w14:val="standardContextual"/>
        </w:rPr>
        <w:id w:val="-1774859068"/>
        <w:docPartObj>
          <w:docPartGallery w:val="Cover Pages"/>
          <w:docPartUnique/>
        </w:docPartObj>
      </w:sdtPr>
      <w:sdtContent>
        <w:p w14:paraId="6D6A8536" w14:textId="48C720B9" w:rsidR="008B6221" w:rsidRDefault="008B6221" w:rsidP="001B75DF">
          <w:pPr>
            <w:pStyle w:val="NoSpacing"/>
            <w:spacing w:line="360" w:lineRule="auto"/>
          </w:pPr>
          <w:r>
            <w:rPr>
              <w:noProof/>
            </w:rPr>
            <mc:AlternateContent>
              <mc:Choice Requires="wpg">
                <w:drawing>
                  <wp:anchor distT="0" distB="0" distL="114300" distR="114300" simplePos="0" relativeHeight="251659264" behindDoc="1" locked="0" layoutInCell="1" allowOverlap="1" wp14:anchorId="2FAE8758" wp14:editId="558AFB6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7T00:00:00Z">
                                      <w:dateFormat w:val="M/d/yyyy"/>
                                      <w:lid w:val="en-US"/>
                                      <w:storeMappedDataAs w:val="dateTime"/>
                                      <w:calendar w:val="gregorian"/>
                                    </w:date>
                                  </w:sdtPr>
                                  <w:sdtContent>
                                    <w:p w14:paraId="4E60CC19" w14:textId="5F150221" w:rsidR="008B6221" w:rsidRDefault="00FF2B52">
                                      <w:pPr>
                                        <w:pStyle w:val="NoSpacing"/>
                                        <w:jc w:val="right"/>
                                        <w:rPr>
                                          <w:color w:val="FFFFFF" w:themeColor="background1"/>
                                          <w:sz w:val="28"/>
                                          <w:szCs w:val="28"/>
                                        </w:rPr>
                                      </w:pPr>
                                      <w:r>
                                        <w:rPr>
                                          <w:color w:val="FFFFFF" w:themeColor="background1"/>
                                          <w:sz w:val="28"/>
                                          <w:szCs w:val="28"/>
                                        </w:rPr>
                                        <w:t>5/7/2024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http://schemas.openxmlformats.org/drawingml/2006/main">
                <w:pict>
                  <v:group id="Group 14"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2FAE875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style="position:absolute;width:1945;height:91257;visibility:visible;mso-wrap-style:square;v-text-anchor:middle" o:spid="_x0000_s1027" fillcolor="#505046 [3215]"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e84c22 [3204]" stroked="f" strokeweight="1pt" type="#_x0000_t15" adj="18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7T00:00:00Z">
                                <w:dateFormat w:val="M/d/yyyy"/>
                                <w:lid w:val="en-US"/>
                                <w:storeMappedDataAs w:val="dateTime"/>
                                <w:calendar w:val="gregorian"/>
                              </w:date>
                            </w:sdtPr>
                            <w:sdtContent>
                              <w:p w:rsidR="008B6221" w:rsidRDefault="00FF2B52" w14:paraId="4E60CC19" w14:textId="5F150221">
                                <w:pPr>
                                  <w:pStyle w:val="NoSpacing"/>
                                  <w:jc w:val="right"/>
                                  <w:rPr>
                                    <w:color w:val="FFFFFF" w:themeColor="background1"/>
                                    <w:sz w:val="28"/>
                                    <w:szCs w:val="28"/>
                                  </w:rPr>
                                </w:pPr>
                                <w:r>
                                  <w:rPr>
                                    <w:color w:val="FFFFFF" w:themeColor="background1"/>
                                    <w:sz w:val="28"/>
                                    <w:szCs w:val="28"/>
                                  </w:rPr>
                                  <w:t>5/7/2024</w:t>
                                </w:r>
                              </w:p>
                            </w:sdtContent>
                          </w:sdt>
                        </w:txbxContent>
                      </v:textbox>
                    </v:shape>
                    <v:group id="Group 5" style="position:absolute;left:762;top:42100;width:20574;height:49103" coordsize="13062,31210" coordorigin="806,42118"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style="position:absolute;left:1410;top:42118;width:10478;height:31210" coordsize="10477,31210" coordorigin="1410,42118" o:spid="_x0000_s10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style="position:absolute;left:3696;top:62168;width:1937;height:6985;visibility:visible;mso-wrap-style:square;v-text-anchor:top" coordsize="122,440" o:spid="_x0000_s1031" fillcolor="#505046 [3215]" strokecolor="#505046 [3215]" strokeweight="0" path="m,l39,152,84,304r38,113l122,440,76,306,39,180,6,5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505046 [3215]" strokecolor="#505046 [3215]" strokeweight="0" path="m,l8,19,37,93r30,74l116,269r-8,l60,169,30,98,1,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505046 [3215]" strokecolor="#505046 [3215]" strokeweight="0" path="m,l,,1,79r2,80l12,317,23,476,39,634,58,792,83,948r24,138l135,1223r5,49l138,1262,105,1106,77,949,53,792,35,634,20,476,9,317,2,159,,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505046 [3215]" strokecolor="#505046 [3215]" strokeweight="0" path="m45,r,l35,66r-9,67l14,267,6,401,3,534,6,669r8,134l18,854r,-3l9,814,8,803,1,669,,534,3,401,12,267,25,132,34,66,4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505046 [3215]" strokecolor="#505046 [3215]" strokeweight="0" path="m,l10,44r11,82l34,207r19,86l75,380r25,86l120,521r21,55l152,618r2,11l140,595,115,532,93,468,67,383,47,295,28,207,12,10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505046 [3215]" strokecolor="#505046 [3215]" strokeweight="0" path="m,l33,69r-9,l12,3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505046 [3215]" strokecolor="#505046 [3215]" strokeweight="0" path="m,l9,37r,3l15,93,5,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505046 [3215]" strokecolor="#505046 [3215]" strokeweight="0" path="m394,r,l356,38,319,77r-35,40l249,160r-42,58l168,276r-37,63l98,402,69,467,45,535,26,604,14,673,7,746,6,766,,749r1,-5l7,673,21,603,40,533,65,466,94,400r33,-64l164,275r40,-60l248,158r34,-42l318,76,354,37,39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505046 [3215]" strokecolor="#505046 [3215]" strokeweight="0" path="m,l6,16r1,3l11,80r9,52l33,185r3,9l21,161,15,145,5,81,1,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505046 [3215]" strokecolor="#505046 [3215]" strokeweight="0" path="m,l31,65r-8,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v:path arrowok="t" o:connecttype="custom" o:connectlocs="0,0;49213,103188;36513,103188;0,0" o:connectangles="0,0,0,0"/>
                        </v:shape>
                        <v:shape id="Freeform 30" style="position:absolute;left:5633;top:68788;width:111;height:666;visibility:visible;mso-wrap-style:square;v-text-anchor:top" coordsize="7,42" o:spid="_x0000_s1041" fillcolor="#505046 [3215]" strokecolor="#505046 [3215]" strokeweight="0" path="m,l6,17,7,42,6,39,,2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505046 [3215]" strokecolor="#505046 [3215]" strokeweight="0" path="m,l6,16,21,49,33,84r12,34l44,118,13,53,11,4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style="position:absolute;left:1187;top:51897;width:1984;height:7143;visibility:visible;mso-wrap-style:square;v-text-anchor:top" coordsize="125,450" o:spid="_x0000_s1044" fillcolor="#505046 [3215]" strokecolor="#505046 [3215]" strokeweight="0" path="m,l41,155,86,309r39,116l125,450,79,311,41,183,7,5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505046 [3215]" strokecolor="#505046 [3215]" strokeweight="0" path="m,l8,20,37,96r32,74l118,275r-9,l61,174,30,100,,2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505046 [3215]" strokecolor="#505046 [3215]" strokeweight="0" path="m,l16,72r4,49l18,112,,3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505046 [3215]" strokecolor="#505046 [3215]" strokeweight="0" path="m,l11,46r11,83l36,211r19,90l76,389r27,87l123,533r21,55l155,632r3,11l142,608,118,544,95,478,69,391,47,302,29,212,13,107,,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505046 [3215]" strokecolor="#505046 [3215]" strokeweight="0" path="m,l33,71r-9,l11,3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505046 [3215]" strokecolor="#505046 [3215]" strokeweight="0" path="m,l8,37r,4l15,95,4,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505046 [3215]" strokecolor="#505046 [3215]" strokeweight="0" path="m402,r,1l363,39,325,79r-35,42l255,164r-44,58l171,284r-38,62l100,411,71,478,45,546,27,617,13,689,7,761r,21l,765r1,-4l7,688,21,616,40,545,66,475,95,409r35,-66l167,281r42,-61l253,163r34,-43l324,78,362,38,40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505046 [3215]" strokecolor="#505046 [3215]" strokeweight="0" path="m,l6,15r1,3l12,80r9,54l33,188r4,8l22,162,15,146,5,81,1,40,,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505046 [3215]" strokecolor="#505046 [3215]" strokeweight="0" path="m,l31,66r-7,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505046 [3215]" strokecolor="#505046 [3215]" strokeweight="0" path="m,l7,17r,26l6,40,,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505046 [3215]" strokecolor="#505046 [3215]" strokeweight="0" path="m,l7,16,22,50,33,86r13,35l45,121,14,55,11,4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FDBA6B6" wp14:editId="38977D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43525" w14:textId="6C266C4C" w:rsidR="008B6221" w:rsidRDefault="00000000">
                                <w:pPr>
                                  <w:pStyle w:val="NoSpacing"/>
                                  <w:rPr>
                                    <w:color w:val="E84C22" w:themeColor="accent1"/>
                                    <w:sz w:val="26"/>
                                    <w:szCs w:val="26"/>
                                  </w:rPr>
                                </w:pPr>
                                <w:sdt>
                                  <w:sdtPr>
                                    <w:rPr>
                                      <w:color w:val="E84C2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6221">
                                      <w:rPr>
                                        <w:color w:val="E84C22" w:themeColor="accent1"/>
                                        <w:sz w:val="26"/>
                                        <w:szCs w:val="26"/>
                                      </w:rPr>
                                      <w:t>Caitlyn White</w:t>
                                    </w:r>
                                  </w:sdtContent>
                                </w:sdt>
                              </w:p>
                              <w:p w14:paraId="2277A097" w14:textId="54F404C2" w:rsidR="008B6221"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B6221">
                                      <w:rPr>
                                        <w:caps/>
                                        <w:color w:val="595959" w:themeColor="text1" w:themeTint="A6"/>
                                        <w:sz w:val="20"/>
                                        <w:szCs w:val="20"/>
                                      </w:rPr>
                                      <w:t>1818930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4FDBA6B6">
                    <v:stroke joinstyle="miter"/>
                    <v:path gradientshapeok="t" o:connecttype="rect"/>
                  </v:shapetype>
                  <v:shape id="Text Box 15"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v:textbox style="mso-fit-shape-to-text:t" inset="0,0,0,0">
                      <w:txbxContent>
                        <w:p w:rsidR="008B6221" w:rsidRDefault="00000000" w14:paraId="1E043525" w14:textId="6C266C4C">
                          <w:pPr>
                            <w:pStyle w:val="NoSpacing"/>
                            <w:rPr>
                              <w:color w:val="E84C22" w:themeColor="accent1"/>
                              <w:sz w:val="26"/>
                              <w:szCs w:val="26"/>
                            </w:rPr>
                          </w:pPr>
                          <w:sdt>
                            <w:sdtPr>
                              <w:rPr>
                                <w:color w:val="E84C2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6221">
                                <w:rPr>
                                  <w:color w:val="E84C22" w:themeColor="accent1"/>
                                  <w:sz w:val="26"/>
                                  <w:szCs w:val="26"/>
                                </w:rPr>
                                <w:t>Caitlyn White</w:t>
                              </w:r>
                            </w:sdtContent>
                          </w:sdt>
                        </w:p>
                        <w:p w:rsidR="008B6221" w:rsidRDefault="00000000" w14:paraId="2277A097" w14:textId="54F404C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B6221">
                                <w:rPr>
                                  <w:caps/>
                                  <w:color w:val="595959" w:themeColor="text1" w:themeTint="A6"/>
                                  <w:sz w:val="20"/>
                                  <w:szCs w:val="20"/>
                                </w:rPr>
                                <w:t>1818930</w:t>
                              </w:r>
                            </w:sdtContent>
                          </w:sdt>
                        </w:p>
                      </w:txbxContent>
                    </v:textbox>
                    <w10:wrap anchorx="page" anchory="page"/>
                  </v:shape>
                </w:pict>
              </mc:Fallback>
            </mc:AlternateContent>
          </w:r>
        </w:p>
        <w:p w14:paraId="2A854CB9" w14:textId="1A3F3A3E" w:rsidR="008B6221" w:rsidRDefault="008B6221" w:rsidP="001B75DF">
          <w:pPr>
            <w:spacing w:line="360" w:lineRule="auto"/>
          </w:pPr>
          <w:r>
            <w:rPr>
              <w:noProof/>
            </w:rPr>
            <mc:AlternateContent>
              <mc:Choice Requires="wps">
                <w:drawing>
                  <wp:anchor distT="0" distB="0" distL="114300" distR="114300" simplePos="0" relativeHeight="251660288" behindDoc="0" locked="0" layoutInCell="1" allowOverlap="1" wp14:anchorId="26B526E8" wp14:editId="7103B56A">
                    <wp:simplePos x="0" y="0"/>
                    <wp:positionH relativeFrom="page">
                      <wp:posOffset>642551</wp:posOffset>
                    </wp:positionH>
                    <wp:positionV relativeFrom="page">
                      <wp:posOffset>3608173</wp:posOffset>
                    </wp:positionV>
                    <wp:extent cx="6771503" cy="1069340"/>
                    <wp:effectExtent l="0" t="0" r="0" b="8890"/>
                    <wp:wrapNone/>
                    <wp:docPr id="1" name="Text Box 16"/>
                    <wp:cNvGraphicFramePr/>
                    <a:graphic xmlns:a="http://schemas.openxmlformats.org/drawingml/2006/main">
                      <a:graphicData uri="http://schemas.microsoft.com/office/word/2010/wordprocessingShape">
                        <wps:wsp>
                          <wps:cNvSpPr txBox="1"/>
                          <wps:spPr>
                            <a:xfrm>
                              <a:off x="0" y="0"/>
                              <a:ext cx="677150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59D3B6" w14:textId="3E03EEBE" w:rsidR="008B622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B6221">
                                      <w:rPr>
                                        <w:rFonts w:asciiTheme="majorHAnsi" w:eastAsiaTheme="majorEastAsia" w:hAnsiTheme="majorHAnsi" w:cstheme="majorBidi"/>
                                        <w:color w:val="262626" w:themeColor="text1" w:themeTint="D9"/>
                                        <w:sz w:val="72"/>
                                        <w:szCs w:val="72"/>
                                      </w:rPr>
                                      <w:t xml:space="preserve">Sut mae cynllun eistedd yn effeithio ar ymgysylltiad disgyblion blwyddyn </w:t>
                                    </w:r>
                                    <w:r w:rsidR="008F2CF7">
                                      <w:rPr>
                                        <w:rFonts w:asciiTheme="majorHAnsi" w:eastAsiaTheme="majorEastAsia" w:hAnsiTheme="majorHAnsi" w:cstheme="majorBidi"/>
                                        <w:color w:val="262626" w:themeColor="text1" w:themeTint="D9"/>
                                        <w:sz w:val="72"/>
                                        <w:szCs w:val="72"/>
                                      </w:rPr>
                                      <w:t>9</w:t>
                                    </w:r>
                                    <w:r w:rsidR="008B6221">
                                      <w:rPr>
                                        <w:rFonts w:asciiTheme="majorHAnsi" w:eastAsiaTheme="majorEastAsia" w:hAnsiTheme="majorHAnsi" w:cstheme="majorBidi"/>
                                        <w:color w:val="262626" w:themeColor="text1" w:themeTint="D9"/>
                                        <w:sz w:val="72"/>
                                        <w:szCs w:val="72"/>
                                      </w:rPr>
                                      <w:t xml:space="preserve"> mewn gwersi Hanes?</w:t>
                                    </w:r>
                                  </w:sdtContent>
                                </w:sdt>
                              </w:p>
                              <w:p w14:paraId="6F1BEB98" w14:textId="398A9E95" w:rsidR="008B622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B6221">
                                      <w:rPr>
                                        <w:color w:val="404040" w:themeColor="text1" w:themeTint="BF"/>
                                        <w:sz w:val="36"/>
                                        <w:szCs w:val="36"/>
                                      </w:rPr>
                                      <w:t>ECAD7004-C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a="http://schemas.openxmlformats.org/drawingml/2006/main">
                <w:pict>
                  <v:shapetype id="_x0000_t202" coordsize="21600,21600" o:spt="202" path="m,l,21600r21600,l21600,xe" w14:anchorId="26B526E8">
                    <v:stroke joinstyle="miter"/>
                    <v:path gradientshapeok="t" o:connecttype="rect"/>
                  </v:shapetype>
                  <v:shape id="Text Box 16" style="position:absolute;margin-left:50.6pt;margin-top:284.1pt;width:533.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spid="_x0000_s105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">
                    <v:textbox style="mso-fit-shape-to-text:t" inset="0,0,0,0">
                      <w:txbxContent>
                        <w:p w:rsidR="008B6221" w:rsidRDefault="00000000" w14:paraId="7659D3B6" w14:textId="3E03EEBE">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B6221">
                                <w:rPr>
                                  <w:rFonts w:asciiTheme="majorHAnsi" w:hAnsiTheme="majorHAnsi" w:eastAsiaTheme="majorEastAsia" w:cstheme="majorBidi"/>
                                  <w:color w:val="262626" w:themeColor="text1" w:themeTint="D9"/>
                                  <w:sz w:val="72"/>
                                  <w:szCs w:val="72"/>
                                </w:rPr>
                                <w:t xml:space="preserve">Sut mae cynllun eistedd yn effeithio ar </w:t>
                              </w:r>
                              <w:proofErr w:type="spellStart"/>
                              <w:r w:rsidR="008B6221">
                                <w:rPr>
                                  <w:rFonts w:asciiTheme="majorHAnsi" w:hAnsiTheme="majorHAnsi" w:eastAsiaTheme="majorEastAsia" w:cstheme="majorBidi"/>
                                  <w:color w:val="262626" w:themeColor="text1" w:themeTint="D9"/>
                                  <w:sz w:val="72"/>
                                  <w:szCs w:val="72"/>
                                </w:rPr>
                                <w:t>ymgysylltiad</w:t>
                              </w:r>
                              <w:proofErr w:type="spellEnd"/>
                              <w:r w:rsidR="008B6221">
                                <w:rPr>
                                  <w:rFonts w:asciiTheme="majorHAnsi" w:hAnsiTheme="majorHAnsi" w:eastAsiaTheme="majorEastAsia" w:cstheme="majorBidi"/>
                                  <w:color w:val="262626" w:themeColor="text1" w:themeTint="D9"/>
                                  <w:sz w:val="72"/>
                                  <w:szCs w:val="72"/>
                                </w:rPr>
                                <w:t xml:space="preserve"> </w:t>
                              </w:r>
                              <w:proofErr w:type="spellStart"/>
                              <w:r w:rsidR="008B6221">
                                <w:rPr>
                                  <w:rFonts w:asciiTheme="majorHAnsi" w:hAnsiTheme="majorHAnsi" w:eastAsiaTheme="majorEastAsia" w:cstheme="majorBidi"/>
                                  <w:color w:val="262626" w:themeColor="text1" w:themeTint="D9"/>
                                  <w:sz w:val="72"/>
                                  <w:szCs w:val="72"/>
                                </w:rPr>
                                <w:t>disgyblion</w:t>
                              </w:r>
                              <w:proofErr w:type="spellEnd"/>
                              <w:r w:rsidR="008B6221">
                                <w:rPr>
                                  <w:rFonts w:asciiTheme="majorHAnsi" w:hAnsiTheme="majorHAnsi" w:eastAsiaTheme="majorEastAsia" w:cstheme="majorBidi"/>
                                  <w:color w:val="262626" w:themeColor="text1" w:themeTint="D9"/>
                                  <w:sz w:val="72"/>
                                  <w:szCs w:val="72"/>
                                </w:rPr>
                                <w:t xml:space="preserve"> </w:t>
                              </w:r>
                              <w:proofErr w:type="spellStart"/>
                              <w:r w:rsidR="008B6221">
                                <w:rPr>
                                  <w:rFonts w:asciiTheme="majorHAnsi" w:hAnsiTheme="majorHAnsi" w:eastAsiaTheme="majorEastAsia" w:cstheme="majorBidi"/>
                                  <w:color w:val="262626" w:themeColor="text1" w:themeTint="D9"/>
                                  <w:sz w:val="72"/>
                                  <w:szCs w:val="72"/>
                                </w:rPr>
                                <w:t>blwyddyn</w:t>
                              </w:r>
                              <w:proofErr w:type="spellEnd"/>
                              <w:r w:rsidR="008B6221">
                                <w:rPr>
                                  <w:rFonts w:asciiTheme="majorHAnsi" w:hAnsiTheme="majorHAnsi" w:eastAsiaTheme="majorEastAsia" w:cstheme="majorBidi"/>
                                  <w:color w:val="262626" w:themeColor="text1" w:themeTint="D9"/>
                                  <w:sz w:val="72"/>
                                  <w:szCs w:val="72"/>
                                </w:rPr>
                                <w:t xml:space="preserve"> </w:t>
                              </w:r>
                              <w:r w:rsidR="008F2CF7">
                                <w:rPr>
                                  <w:rFonts w:asciiTheme="majorHAnsi" w:hAnsiTheme="majorHAnsi" w:eastAsiaTheme="majorEastAsia" w:cstheme="majorBidi"/>
                                  <w:color w:val="262626" w:themeColor="text1" w:themeTint="D9"/>
                                  <w:sz w:val="72"/>
                                  <w:szCs w:val="72"/>
                                </w:rPr>
                                <w:t>9</w:t>
                              </w:r>
                              <w:r w:rsidR="008B6221">
                                <w:rPr>
                                  <w:rFonts w:asciiTheme="majorHAnsi" w:hAnsiTheme="majorHAnsi" w:eastAsiaTheme="majorEastAsia" w:cstheme="majorBidi"/>
                                  <w:color w:val="262626" w:themeColor="text1" w:themeTint="D9"/>
                                  <w:sz w:val="72"/>
                                  <w:szCs w:val="72"/>
                                </w:rPr>
                                <w:t xml:space="preserve"> </w:t>
                              </w:r>
                              <w:proofErr w:type="spellStart"/>
                              <w:r w:rsidR="008B6221">
                                <w:rPr>
                                  <w:rFonts w:asciiTheme="majorHAnsi" w:hAnsiTheme="majorHAnsi" w:eastAsiaTheme="majorEastAsia" w:cstheme="majorBidi"/>
                                  <w:color w:val="262626" w:themeColor="text1" w:themeTint="D9"/>
                                  <w:sz w:val="72"/>
                                  <w:szCs w:val="72"/>
                                </w:rPr>
                                <w:t>mewn</w:t>
                              </w:r>
                              <w:proofErr w:type="spellEnd"/>
                              <w:r w:rsidR="008B6221">
                                <w:rPr>
                                  <w:rFonts w:asciiTheme="majorHAnsi" w:hAnsiTheme="majorHAnsi" w:eastAsiaTheme="majorEastAsia" w:cstheme="majorBidi"/>
                                  <w:color w:val="262626" w:themeColor="text1" w:themeTint="D9"/>
                                  <w:sz w:val="72"/>
                                  <w:szCs w:val="72"/>
                                </w:rPr>
                                <w:t xml:space="preserve"> </w:t>
                              </w:r>
                              <w:proofErr w:type="spellStart"/>
                              <w:r w:rsidR="008B6221">
                                <w:rPr>
                                  <w:rFonts w:asciiTheme="majorHAnsi" w:hAnsiTheme="majorHAnsi" w:eastAsiaTheme="majorEastAsia" w:cstheme="majorBidi"/>
                                  <w:color w:val="262626" w:themeColor="text1" w:themeTint="D9"/>
                                  <w:sz w:val="72"/>
                                  <w:szCs w:val="72"/>
                                </w:rPr>
                                <w:t>gwersi</w:t>
                              </w:r>
                              <w:proofErr w:type="spellEnd"/>
                              <w:r w:rsidR="008B6221">
                                <w:rPr>
                                  <w:rFonts w:asciiTheme="majorHAnsi" w:hAnsiTheme="majorHAnsi" w:eastAsiaTheme="majorEastAsia" w:cstheme="majorBidi"/>
                                  <w:color w:val="262626" w:themeColor="text1" w:themeTint="D9"/>
                                  <w:sz w:val="72"/>
                                  <w:szCs w:val="72"/>
                                </w:rPr>
                                <w:t xml:space="preserve"> Hanes?</w:t>
                              </w:r>
                            </w:sdtContent>
                          </w:sdt>
                        </w:p>
                        <w:p w:rsidR="008B6221" w:rsidRDefault="00000000" w14:paraId="6F1BEB98" w14:textId="398A9E9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B6221">
                                <w:rPr>
                                  <w:color w:val="404040" w:themeColor="text1" w:themeTint="BF"/>
                                  <w:sz w:val="36"/>
                                  <w:szCs w:val="36"/>
                                </w:rPr>
                                <w:t>ECAD7004-C</w:t>
                              </w:r>
                            </w:sdtContent>
                          </w:sdt>
                        </w:p>
                      </w:txbxContent>
                    </v:textbox>
                    <w10:wrap anchorx="page" anchory="page"/>
                  </v:shape>
                </w:pict>
              </mc:Fallback>
            </mc:AlternateContent>
          </w:r>
          <w:r>
            <w:br w:type="page"/>
          </w:r>
        </w:p>
      </w:sdtContent>
    </w:sdt>
    <w:p w14:paraId="56DD2275" w14:textId="0C02950D" w:rsidR="007831B3" w:rsidRDefault="008B6221" w:rsidP="001B75DF">
      <w:pPr>
        <w:spacing w:line="360" w:lineRule="auto"/>
        <w:rPr>
          <w:u w:val="single"/>
        </w:rPr>
      </w:pPr>
      <w:r>
        <w:rPr>
          <w:u w:val="single"/>
        </w:rPr>
        <w:lastRenderedPageBreak/>
        <w:t>Cyd-destun yr ymchwiliad</w:t>
      </w:r>
    </w:p>
    <w:p w14:paraId="64E21CC1" w14:textId="77777777" w:rsidR="00C33CC8" w:rsidRDefault="00C33CC8" w:rsidP="001B75DF">
      <w:pPr>
        <w:spacing w:line="360" w:lineRule="auto"/>
        <w:rPr>
          <w:u w:val="single"/>
        </w:rPr>
      </w:pPr>
    </w:p>
    <w:p w14:paraId="3522F8D3" w14:textId="3249863E" w:rsidR="3F0304AE" w:rsidRDefault="3F0304AE" w:rsidP="001B75DF">
      <w:pPr>
        <w:spacing w:line="360" w:lineRule="auto"/>
        <w:rPr>
          <w:sz w:val="22"/>
          <w:szCs w:val="22"/>
        </w:rPr>
      </w:pPr>
      <w:r w:rsidRPr="53193FB9">
        <w:rPr>
          <w:sz w:val="22"/>
          <w:szCs w:val="22"/>
        </w:rPr>
        <w:t xml:space="preserve">Digwyddodd y gweithgarwch ymchwil hwn o fewn cyd-destun rhaglen Tystysgrif Addysg Raddedig (TAR) Partneriaeth Dysgu Proffesiynol Yr Athrofa (PDPA). Pwrpas yr ymchwil oedd datblygu dealltwriaeth o'r hyn sy’n effeithio ar ymgysylltiad disgyblion o fewn gwersi hanes a’r ffordd mae cynlluniau eistedd ac felly dylanwadau gan eraill o’u cwmpas yn cael effaith ar hyn. Yn fwy penodol fell es i ati i geisio ymchwilio i sut mae cynlluniau eistedd yn effeithio ar ymgysylltiad disgyblion blwyddyn 9 mewn gwersi Hanes? </w:t>
      </w:r>
    </w:p>
    <w:p w14:paraId="5BC0AEA0" w14:textId="12C6B0FC" w:rsidR="3F0304AE" w:rsidRDefault="3F0304AE" w:rsidP="001B75DF">
      <w:pPr>
        <w:spacing w:line="360" w:lineRule="auto"/>
      </w:pPr>
      <w:r w:rsidRPr="53193FB9">
        <w:rPr>
          <w:sz w:val="22"/>
          <w:szCs w:val="22"/>
        </w:rPr>
        <w:t xml:space="preserve"> </w:t>
      </w:r>
    </w:p>
    <w:p w14:paraId="1BCC52C9" w14:textId="370EAF2C" w:rsidR="3F0304AE" w:rsidRDefault="3F0304AE" w:rsidP="001B75DF">
      <w:pPr>
        <w:spacing w:line="360" w:lineRule="auto"/>
      </w:pPr>
      <w:r w:rsidRPr="53193FB9">
        <w:rPr>
          <w:sz w:val="22"/>
          <w:szCs w:val="22"/>
        </w:rPr>
        <w:t xml:space="preserve">Cynigodd yr ymchwiliad cyfle i archwilio amryw o ddulliau ymarferol a hynny er mwyn meithrin amgylchedd dosbarth sy’n datblygu ac yn sicrhau dysgu gweithredol yn ogystal â chyflawniadau academaidd pob disgybl er gwaethaf eu gallu. Yn ôl Black (2007) gall trefniadau a lleoliadau eistedd amhriodol o fewn dosbarth effeithio 50% ar ddysgu disgybl. Ni chefais nifer o gyfleoedd tra ar fy leoliad cyntaf i greu cynlluniau eistedd, o ganlyniad felly penderfynais trwy ganolbwyntio ar yr elfen yma o addysgeg, medrais wella fy nealltwriaeth o sut mae’r amgylchedd dysgu yn dylanwadu ar ymddygiad, cyfranogiad ac ymgysylltiad disgyblion, yn enwedig yng nghyd-destun gwersi Hanes. Mae’n bosib i’r ymchwil datblygu fy rheolaeth dosbarth yn ogystal, fel awgryma HEFCE (2008). </w:t>
      </w:r>
    </w:p>
    <w:p w14:paraId="704C22C6" w14:textId="65673E8C" w:rsidR="3F0304AE" w:rsidRDefault="3F0304AE" w:rsidP="001B75DF">
      <w:pPr>
        <w:spacing w:line="360" w:lineRule="auto"/>
        <w:rPr>
          <w:sz w:val="22"/>
          <w:szCs w:val="22"/>
        </w:rPr>
      </w:pPr>
      <w:r w:rsidRPr="53193FB9">
        <w:rPr>
          <w:sz w:val="22"/>
          <w:szCs w:val="22"/>
        </w:rPr>
        <w:t xml:space="preserve"> </w:t>
      </w:r>
    </w:p>
    <w:p w14:paraId="62E43A3F" w14:textId="53173580" w:rsidR="3F0304AE" w:rsidRDefault="3F0304AE" w:rsidP="001B75DF">
      <w:pPr>
        <w:spacing w:line="360" w:lineRule="auto"/>
        <w:rPr>
          <w:sz w:val="22"/>
          <w:szCs w:val="22"/>
        </w:rPr>
      </w:pPr>
      <w:r w:rsidRPr="53193FB9">
        <w:rPr>
          <w:sz w:val="22"/>
          <w:szCs w:val="22"/>
        </w:rPr>
        <w:t xml:space="preserve">Cynhelir yr ymchwil ar safle ysgol uwchradd yn Ne Cymru lle mae 1,113 o ddisgyblion 11-18 oed ar ei chofrestr (ESTYN, 2023). Noda’r uchod, o reini daw 27.5% o ddisgyblion o deuluoedd Cymraeg eu hiaith. Mae gan 16.9% o ddisgyblion anghenion dysgu ychwanegol (ADY) sydd yn is na’r canran cenedlaethol sef 17.8% (ESTYN, 2023). Nid oes disgyblion ar y gofrestr sydd â Saesneg fel iaith ychwanegol.  </w:t>
      </w:r>
    </w:p>
    <w:p w14:paraId="25C18A70" w14:textId="40242CE1" w:rsidR="3F0304AE" w:rsidRDefault="3F0304AE" w:rsidP="001B75DF">
      <w:pPr>
        <w:spacing w:line="360" w:lineRule="auto"/>
      </w:pPr>
      <w:r w:rsidRPr="53193FB9">
        <w:rPr>
          <w:sz w:val="22"/>
          <w:szCs w:val="22"/>
        </w:rPr>
        <w:t xml:space="preserve"> </w:t>
      </w:r>
    </w:p>
    <w:p w14:paraId="13EAD7D1" w14:textId="3DDA7167" w:rsidR="3F0304AE" w:rsidRDefault="3F0304AE" w:rsidP="001B75DF">
      <w:pPr>
        <w:spacing w:line="360" w:lineRule="auto"/>
        <w:rPr>
          <w:sz w:val="22"/>
          <w:szCs w:val="22"/>
          <w:highlight w:val="yellow"/>
        </w:rPr>
      </w:pPr>
      <w:r w:rsidRPr="53193FB9">
        <w:rPr>
          <w:sz w:val="22"/>
          <w:szCs w:val="22"/>
          <w:highlight w:val="yellow"/>
        </w:rPr>
        <w:t>Defnyddiais ddosbarth o … o ddisgyblion blwyddyn 9 (13-14 oed) gallu cymysg fel testun yr ymchwil. Yma roedd … o fechgyn a … o ferched ar y gofrestr. Bu canran isel o ddisgyblion ag ADY emosiynol, ymddygiadol ac academaidd, pwysig oedd ystyried hyn wrth gynnal yr ymchwil.</w:t>
      </w:r>
      <w:r w:rsidRPr="53193FB9">
        <w:rPr>
          <w:sz w:val="22"/>
          <w:szCs w:val="22"/>
        </w:rPr>
        <w:t xml:space="preserve">  </w:t>
      </w:r>
    </w:p>
    <w:p w14:paraId="0AD13789" w14:textId="77777777" w:rsidR="00E109FA" w:rsidRDefault="00E109FA" w:rsidP="001B75DF">
      <w:pPr>
        <w:spacing w:line="360" w:lineRule="auto"/>
        <w:rPr>
          <w:sz w:val="22"/>
          <w:szCs w:val="22"/>
          <w:highlight w:val="yellow"/>
        </w:rPr>
      </w:pPr>
    </w:p>
    <w:p w14:paraId="00385707" w14:textId="0BF66E18" w:rsidR="00E109FA" w:rsidRDefault="00E109FA" w:rsidP="001B75DF">
      <w:pPr>
        <w:spacing w:line="360" w:lineRule="auto"/>
        <w:rPr>
          <w:u w:val="single"/>
        </w:rPr>
      </w:pPr>
      <w:r>
        <w:rPr>
          <w:u w:val="single"/>
        </w:rPr>
        <w:t>Adolygiad Llenyddiaet</w:t>
      </w:r>
      <w:r w:rsidR="007D4970">
        <w:rPr>
          <w:u w:val="single"/>
        </w:rPr>
        <w:t>h</w:t>
      </w:r>
    </w:p>
    <w:p w14:paraId="4966A074" w14:textId="77777777" w:rsidR="00E109FA" w:rsidRDefault="00E109FA" w:rsidP="001B75DF">
      <w:pPr>
        <w:spacing w:line="360" w:lineRule="auto"/>
        <w:rPr>
          <w:u w:val="single"/>
        </w:rPr>
      </w:pPr>
    </w:p>
    <w:p w14:paraId="093B65FB" w14:textId="209CF6BF" w:rsidR="15F5146B" w:rsidRDefault="15F5146B" w:rsidP="001B75DF">
      <w:pPr>
        <w:spacing w:line="360" w:lineRule="auto"/>
        <w:rPr>
          <w:sz w:val="22"/>
          <w:szCs w:val="22"/>
        </w:rPr>
      </w:pPr>
      <w:r w:rsidRPr="53193FB9">
        <w:rPr>
          <w:sz w:val="22"/>
          <w:szCs w:val="22"/>
        </w:rPr>
        <w:t xml:space="preserve">Mae’r cysyniad o ymgysylltiad disgyblion â’r ysgol ac o fewn gwersi wedi bod yn destun i gorff mawr o ymchwil, gyda rhan helaeth o hynny’n dangos ei gysylltiad ag ystod o weithgareddau cymdeithasol, ymddygiadol a chanlyniadau academaidd (Clerkin et al., 2013). Gwnaed sawl ymgais i ddiffinio ystyr ymgysylltiad unigolyn, ond noda waith Fredericks et al., (2004) yn ogystal â gwaith Jimerson et al., </w:t>
      </w:r>
      <w:r w:rsidRPr="53193FB9">
        <w:rPr>
          <w:sz w:val="22"/>
          <w:szCs w:val="22"/>
        </w:rPr>
        <w:lastRenderedPageBreak/>
        <w:t xml:space="preserve">(2003) bod ymgysylltiad yn cwmpasu elfennau emosiynol, ymddygiadol a gwybyddol unigolyn gan felly awgrymu pwysigrwydd ystyried yr uchod yn eu cyfanrwydd wrth drafod ymgysylltiad unigolion. Mae’r diffiniad uchod felly’n cytuno gydag ymgais Clerkin et al., (2013) yn y modd effeithia ymgysylltiad unigolyn ar ei sgiliau cymdeithasol ac ymddygiad. Ym myd addysg, diffiniwyd ymgysylltiad dysgwyr fel cyfranogiad dysgwr mewn arferion addysgol effeithiol, y tu mewn a thu hwnt i’r ystafell ddosbarth, sy’n arwain at ystod o ganlyniadau mesuradwy (Kuh et al., 2007).  </w:t>
      </w:r>
    </w:p>
    <w:p w14:paraId="327F292E" w14:textId="5E3A0854" w:rsidR="15F5146B" w:rsidRDefault="15F5146B" w:rsidP="001B75DF">
      <w:pPr>
        <w:spacing w:line="360" w:lineRule="auto"/>
      </w:pPr>
      <w:r w:rsidRPr="53193FB9">
        <w:rPr>
          <w:sz w:val="22"/>
          <w:szCs w:val="22"/>
        </w:rPr>
        <w:t xml:space="preserve"> </w:t>
      </w:r>
    </w:p>
    <w:p w14:paraId="43D6AC12" w14:textId="5EACC031" w:rsidR="15F5146B" w:rsidRDefault="15F5146B" w:rsidP="001B75DF">
      <w:pPr>
        <w:spacing w:line="360" w:lineRule="auto"/>
      </w:pPr>
      <w:r w:rsidRPr="53193FB9">
        <w:rPr>
          <w:sz w:val="22"/>
          <w:szCs w:val="22"/>
        </w:rPr>
        <w:t xml:space="preserve">Yn debyg i’r uchod, diffinia Hu &amp; Kuh (2001) ymgysylltiad ym myd addysg fel ansawdd yr ymdrech caiff ei rhoi gan ddysgwr i weithgareddau addysgol sy'n cyfrannu'n uniongyrchol at ganlyniadau. Mae’r ddau uchod felly’n rhoi pwyslais ar yr unigolyn i sicrhau ei fod yn ymdrechu’n gyson i ymgysylltu mewn gwersi. Rhodda ymchwilwyr eraill fodd bynnag bwyslais ar athrawon i sicrhau ymgysylltiad disgyblion o fewn eu dosbarth. Noda HEFCE (2008) ymgysylltiad fel proses sy’n sicrhau ymdrech barhaus i gynnwys a grymuso dysgwyr yn y broses o lunio profiadau dysgu eu hun. Gellir dadlau felly wrth edrych ar waith HEFCE (2008) bod gan y wers ac yn benodol cynnwys y wers a thasgau mwy o ddylanwad ar ymgysylltiad disgyblion na phwy maent yn eistedd ac felly’n rhyngweithio gydag yn ystod y wers. </w:t>
      </w:r>
    </w:p>
    <w:p w14:paraId="6DA1630C" w14:textId="58B7FB22" w:rsidR="15F5146B" w:rsidRDefault="15F5146B" w:rsidP="001B75DF">
      <w:pPr>
        <w:spacing w:line="360" w:lineRule="auto"/>
      </w:pPr>
      <w:r w:rsidRPr="53193FB9">
        <w:rPr>
          <w:sz w:val="22"/>
          <w:szCs w:val="22"/>
        </w:rPr>
        <w:t xml:space="preserve"> </w:t>
      </w:r>
    </w:p>
    <w:p w14:paraId="3A493E8A" w14:textId="0D0E115A" w:rsidR="15F5146B" w:rsidRDefault="15F5146B" w:rsidP="001B75DF">
      <w:pPr>
        <w:spacing w:line="360" w:lineRule="auto"/>
      </w:pPr>
      <w:r w:rsidRPr="53193FB9">
        <w:rPr>
          <w:sz w:val="22"/>
          <w:szCs w:val="22"/>
        </w:rPr>
        <w:t xml:space="preserve">Mae profiad addysgol dysgwr yn aml yn fwy na phrofion, gwersi a gwaith cartref. Caiff hefyd ei ddylanwadu gan ffactorau amgylcheddol. Un ffactor yw sut mae'r ystafell ddosbarth wedi’i pharatoi a’i gosod (Michen, 2007). Gwelwn ragdybiaeth ym myd addysg bod lle mae dysgwyr yn penderfynu neu wedi’u rhoi i eistedd o fewn ystafell ddosbarth yn effeithio ar eu cymhelliant, ymgysylltiad gyda’r wers a pharodrwydd i ddysgu (Benedict &amp; Hoag, 2004; Betoret &amp; Artiga, 2004; Budge, 2000; Perkins et al., 2005). Wrth gwblhau’r ymchwil felly cefais gyfle i weld a oedd gwirionedd y tu ôl i’r rhagdybiaeth uchod gan ystyried ymhellach y rhesymau pam gostyngodd neu cododd lefelau ymgysylltiad disgybl. </w:t>
      </w:r>
    </w:p>
    <w:p w14:paraId="213BF7C7" w14:textId="5B26558D" w:rsidR="15F5146B" w:rsidRDefault="15F5146B" w:rsidP="001B75DF">
      <w:pPr>
        <w:spacing w:line="360" w:lineRule="auto"/>
      </w:pPr>
      <w:r w:rsidRPr="53193FB9">
        <w:rPr>
          <w:sz w:val="22"/>
          <w:szCs w:val="22"/>
        </w:rPr>
        <w:t xml:space="preserve"> </w:t>
      </w:r>
    </w:p>
    <w:p w14:paraId="0A103020" w14:textId="26799907" w:rsidR="15F5146B" w:rsidRDefault="15F5146B" w:rsidP="001B75DF">
      <w:pPr>
        <w:spacing w:line="360" w:lineRule="auto"/>
        <w:rPr>
          <w:sz w:val="22"/>
          <w:szCs w:val="22"/>
        </w:rPr>
      </w:pPr>
      <w:r w:rsidRPr="53193FB9">
        <w:rPr>
          <w:sz w:val="22"/>
          <w:szCs w:val="22"/>
        </w:rPr>
        <w:t xml:space="preserve">Gall yr hyn a ystyrir i fod yn ddisgybl da ac uchelgeisiol amrywio o athro i athro a chaiff y safonau yma hefyd eu newid yn ddibynnol ar y disgybl neu ddosbarth o achos ffactorau allan o reolaeth unigolyn megis ADY neu anghenion ymddygiadol. Dengys ymchwil gysylltiad rhwng lleoliad eistedd disgyblion o fewn y dosbarth a’u cyflawniad academaidd ac felly eu parodrwydd i gyfrannu ac ymgysylltu gyda’r mater o dan sylw (Budge, 2000; Marx et al., 2000; Weinstein, 1979).  </w:t>
      </w:r>
    </w:p>
    <w:p w14:paraId="5CD246C7" w14:textId="690602B9" w:rsidR="15F5146B" w:rsidRDefault="15F5146B" w:rsidP="001B75DF">
      <w:pPr>
        <w:spacing w:line="360" w:lineRule="auto"/>
      </w:pPr>
      <w:r w:rsidRPr="53193FB9">
        <w:rPr>
          <w:sz w:val="22"/>
          <w:szCs w:val="22"/>
        </w:rPr>
        <w:t xml:space="preserve"> </w:t>
      </w:r>
    </w:p>
    <w:p w14:paraId="01D34C43" w14:textId="13EEBC4C" w:rsidR="15F5146B" w:rsidRDefault="15F5146B" w:rsidP="001B75DF">
      <w:pPr>
        <w:spacing w:line="360" w:lineRule="auto"/>
        <w:rPr>
          <w:sz w:val="22"/>
          <w:szCs w:val="22"/>
        </w:rPr>
      </w:pPr>
      <w:r w:rsidRPr="53193FB9">
        <w:rPr>
          <w:sz w:val="22"/>
          <w:szCs w:val="22"/>
        </w:rPr>
        <w:t xml:space="preserve">Gallwn gysylltu effaith cynlluniau eistedd ar ymgysylltiad i raddau i waith damcaniaethwyr megis Vygotsky (1978) a amlygodd bwysigrwydd rhyngweithiadau cymdeithasol i ddatblygiad plentyn. Yn ôl </w:t>
      </w:r>
      <w:r w:rsidRPr="53193FB9">
        <w:rPr>
          <w:sz w:val="22"/>
          <w:szCs w:val="22"/>
        </w:rPr>
        <w:lastRenderedPageBreak/>
        <w:t xml:space="preserve">yr uchod, gall defnydd o sgaffaldio gan ddysgwr uwch eu gallu er enghraifft cynorthwyo disgyblion is eu gallu neu ddisgyblion sydd o bosib heb ddeall i gyrraedd nod y wers sydd o bosib y tu hwnt i’w cyrhaeddiad (Dowley, 2012). Un ffordd o blethu syniadaeth Vygotsky (1978) a defnydd o gynlluniau eistedd i gynyddu ymgysylltiad yw trwy greu cynllun eistedd sy’n sicrhau cydweithrediad rhwng disgyblion cymysg eu gallu. Gall rhoi disgyblion mewn man penodol i eistedd felly dylanwadu ar eu bodlonrwydd i ryngweithio gyda'i gilydd a gyda’r wers ac felly eu hymgysylltiad gyda’r deunydd.  </w:t>
      </w:r>
    </w:p>
    <w:p w14:paraId="0B1C4646" w14:textId="105A28AA" w:rsidR="15F5146B" w:rsidRDefault="15F5146B" w:rsidP="001B75DF">
      <w:pPr>
        <w:spacing w:line="360" w:lineRule="auto"/>
      </w:pPr>
      <w:r w:rsidRPr="53193FB9">
        <w:rPr>
          <w:sz w:val="22"/>
          <w:szCs w:val="22"/>
        </w:rPr>
        <w:t xml:space="preserve"> </w:t>
      </w:r>
    </w:p>
    <w:p w14:paraId="04BE71E7" w14:textId="2EB972F8" w:rsidR="15F5146B" w:rsidRDefault="15F5146B" w:rsidP="001B75DF">
      <w:pPr>
        <w:spacing w:line="360" w:lineRule="auto"/>
      </w:pPr>
      <w:r w:rsidRPr="53193FB9">
        <w:rPr>
          <w:sz w:val="22"/>
          <w:szCs w:val="22"/>
        </w:rPr>
        <w:t xml:space="preserve">Heb amheuaeth, mae addysgwyr yn chwarae rhan hanfodol yn ymddygiad academaidd a chymdeithasol plentyn a hynny wrth iddynt strwythuro a gosod trefn ar gyfleoedd disgyblion i gymdeithasu trwy osod cynlluniau eistedd (Hughes, 2012). Wrth adael dysgwyr i arwain dysgu eu hun a hynny yn gyntaf trwy benderfynu ar le maent am eistedd cynyddu eu hymgysylltiad yn enwedig wrth osod gwaith grŵp neu wrth gynnal trafodaethau dosbarth. Noda waith Bandura (1997, t 175) “cooperative structures, in which members encourage and teach one another, generally promote higher performance attainments than do ... individualistic ones” hynny yw bod disgyblion yn medru cyflawni mwy o waith a gwaith sydd o safon uwch pan maent o gwmpas ffrindiau a phobl maent yn gyfforddus o gwmpas, cryfder felly i gynllun eistedd rhydd neu ar fwrdd lle mae un ffrind gan ddisgybl ydy hwn.  </w:t>
      </w:r>
    </w:p>
    <w:p w14:paraId="3E3E50C9" w14:textId="3E06F00C" w:rsidR="15F5146B" w:rsidRDefault="15F5146B" w:rsidP="001B75DF">
      <w:pPr>
        <w:spacing w:line="360" w:lineRule="auto"/>
      </w:pPr>
      <w:r w:rsidRPr="53193FB9">
        <w:rPr>
          <w:sz w:val="22"/>
          <w:szCs w:val="22"/>
        </w:rPr>
        <w:t xml:space="preserve"> </w:t>
      </w:r>
    </w:p>
    <w:p w14:paraId="0983DD28" w14:textId="7969C1E6" w:rsidR="15F5146B" w:rsidRDefault="15F5146B" w:rsidP="001B75DF">
      <w:pPr>
        <w:spacing w:line="360" w:lineRule="auto"/>
      </w:pPr>
      <w:r w:rsidRPr="53193FB9">
        <w:rPr>
          <w:sz w:val="22"/>
          <w:szCs w:val="22"/>
        </w:rPr>
        <w:t xml:space="preserve">Yn wahanol i fuddion Bandura (1997), un ffordd o greu cynllun eistedd yn ôl Grainne (2019) a Dowley (2012) yw rhannu dysgwyr yw ar sail eu rhyw, dyma gynllun eistedd sy’n medru cynyddu ymgysylltiad disgyblion yn bennaf o ran ymddygiad gan eu bod yn dueddol o darfu llai yn ystod gwersi. Er hyn, credaf gallai’r fath yma o gynlluniau eistedd amlygu’i hyn yn ffactor sy'n cyfrannu at stereoteipio a’r gred bod pob disgybl yn uniaethu fel bachgen neu ferch. Dyma wendid mawr yn y fath yma o gynllun yn fy marn i. Dywed Cairns et al (2016, t 40) “Separation between groups, whether it is based on race, gender, ethnicity or religion is evident all around us,” awgryma felly trwy greu cynlluniau eistedd megis rhai bachgen-merch mae modd i addysgwyr cyfrannu at y gwahaniadau yma. Gwendid amlwg ydy’r fath yma o gynllun eistedd o ran ategu at stigmâu a gwahaniaethau cymdeithasol felly yn fy marn i.  </w:t>
      </w:r>
    </w:p>
    <w:p w14:paraId="34F7FE29" w14:textId="77777777" w:rsidR="00BF3D60" w:rsidRDefault="00BF3D60" w:rsidP="001B75DF">
      <w:pPr>
        <w:spacing w:line="360" w:lineRule="auto"/>
        <w:rPr>
          <w:sz w:val="22"/>
          <w:szCs w:val="22"/>
        </w:rPr>
      </w:pPr>
    </w:p>
    <w:p w14:paraId="6DF15CA3" w14:textId="1606A748" w:rsidR="00BA7E95" w:rsidRDefault="00BF3D60" w:rsidP="001B75DF">
      <w:pPr>
        <w:spacing w:line="360" w:lineRule="auto"/>
        <w:rPr>
          <w:u w:val="single"/>
        </w:rPr>
      </w:pPr>
      <w:r>
        <w:rPr>
          <w:u w:val="single"/>
        </w:rPr>
        <w:t>Astudiaeth achos</w:t>
      </w:r>
    </w:p>
    <w:p w14:paraId="1EAEEA8B" w14:textId="77777777" w:rsidR="00191FFC" w:rsidRDefault="00191FFC" w:rsidP="001B75DF">
      <w:pPr>
        <w:spacing w:line="360" w:lineRule="auto"/>
        <w:rPr>
          <w:u w:val="single"/>
        </w:rPr>
      </w:pPr>
    </w:p>
    <w:p w14:paraId="446D12E0" w14:textId="782884FB" w:rsidR="36E4F437" w:rsidRDefault="36E4F437" w:rsidP="001B75DF">
      <w:pPr>
        <w:spacing w:line="360" w:lineRule="auto"/>
        <w:rPr>
          <w:sz w:val="22"/>
          <w:szCs w:val="22"/>
        </w:rPr>
      </w:pPr>
      <w:r w:rsidRPr="53193FB9">
        <w:rPr>
          <w:sz w:val="22"/>
          <w:szCs w:val="22"/>
        </w:rPr>
        <w:t xml:space="preserve">Trwy ddefnyddio astudiaeth achos, roedd modd cwblhau ymchwil ansoddol a gynigodd archwiliadau manwl a hynny gan ddefnyddio cyd-destun bywyd go-iawn (Simmons, 2009; Robson, 1993; Yin, 2018). Yn debyg, diffinia Tight (2010) astudiaeth achos fel astudiaeth o achlysur ar waith gan felly eto </w:t>
      </w:r>
      <w:r w:rsidRPr="53193FB9">
        <w:rPr>
          <w:sz w:val="22"/>
          <w:szCs w:val="22"/>
        </w:rPr>
        <w:lastRenderedPageBreak/>
        <w:t xml:space="preserve">pwysleisio’r elfen o gyd-destun bywyd go-iawn. Er hyn, noda Stake (1995) diffiniad ychydig yn wahanol. Yn ôl yr uchod, rhaid i ymchwilwyr ymholi i wrthrych yn hytrach na phroses.  </w:t>
      </w:r>
    </w:p>
    <w:p w14:paraId="0CA9C0D2" w14:textId="1692C235" w:rsidR="36E4F437" w:rsidRDefault="36E4F437" w:rsidP="001B75DF">
      <w:pPr>
        <w:spacing w:line="360" w:lineRule="auto"/>
      </w:pPr>
      <w:r w:rsidRPr="53193FB9">
        <w:rPr>
          <w:sz w:val="22"/>
          <w:szCs w:val="22"/>
        </w:rPr>
        <w:t xml:space="preserve"> </w:t>
      </w:r>
    </w:p>
    <w:p w14:paraId="12C985AB" w14:textId="3E0FDFBA" w:rsidR="36E4F437" w:rsidRDefault="36E4F437" w:rsidP="001B75DF">
      <w:pPr>
        <w:spacing w:line="360" w:lineRule="auto"/>
      </w:pPr>
      <w:r w:rsidRPr="53193FB9">
        <w:rPr>
          <w:sz w:val="22"/>
          <w:szCs w:val="22"/>
        </w:rPr>
        <w:t xml:space="preserve">Ceir ddwy elfen i astudiaeth achos sef y ‘gwrthrych’ a’r ‘pwnc’ (Stake, 1995; Yin, 2018). Yn fy achos i, y gwrthych oedd yr effaith cafodd cynlluniau eistedd ar ymgysylltiad disgyblion a’r pwnc oedd holl ddisgyblion blwyddyn 9 o fewn y dosbarth Hanes (boed eu bod wedi tynnu nôl o’r ymchwiliad). Bu trawstoriad o fechgyn a merched yn y dosbarth fel y soniwyd eisoes gan felly derbyn mewnwelediad i effaith y cynlluniau eistedd ar ymgysylltiad gwahanol rywiau o fewn y dosbarth. Trwy ganolbwyntio ar un achos yn unig, roedd modd ymchwilio'n ddwfn i brosesau a deinameg cymhleth (Stake, 1995) a hynny o brofiad ac arsylwadau llaw gyntaf. Lleihaodd i raddau defnydd o’r dull astudiaeth achos dilysrwydd a dibynadwyedd yr ymchwil yn fy marn i gan mai arsylwadau dros gyfnod byr yn unig oedd modd cynnal a hynny’n bennaf o ganlyniad i natur y cwrs a ffactorau allanol o fewn yr ysgol. </w:t>
      </w:r>
    </w:p>
    <w:p w14:paraId="7220C7AE" w14:textId="3EE91770" w:rsidR="36E4F437" w:rsidRDefault="36E4F437" w:rsidP="001B75DF">
      <w:pPr>
        <w:spacing w:line="360" w:lineRule="auto"/>
      </w:pPr>
      <w:r w:rsidRPr="53193FB9">
        <w:rPr>
          <w:sz w:val="22"/>
          <w:szCs w:val="22"/>
        </w:rPr>
        <w:t xml:space="preserve"> </w:t>
      </w:r>
    </w:p>
    <w:p w14:paraId="7F343809" w14:textId="760DF09B" w:rsidR="36E4F437" w:rsidRDefault="36E4F437" w:rsidP="001B75DF">
      <w:pPr>
        <w:spacing w:line="360" w:lineRule="auto"/>
        <w:rPr>
          <w:sz w:val="22"/>
          <w:szCs w:val="22"/>
        </w:rPr>
      </w:pPr>
      <w:r w:rsidRPr="53193FB9">
        <w:rPr>
          <w:sz w:val="22"/>
          <w:szCs w:val="22"/>
        </w:rPr>
        <w:t xml:space="preserve">Er hyn, cyniga rhai megis Yin (2018) rhai cyfyngiadau i’r dull megis canlyniadau sydd wedi’u cyffredinoli gan ein bod ond yn ffocysu ar nifer bach o achosion. Yn ôl yr uchod, gall hyn tanseilio cymhwysedd ehangach y canfyddiadau. Mae’n bosib felly er bod cynllun eistedd yn cynyddu ymgysylltiad un dosbarth nad yw’n sicr o weithio gyda phob dosbarth, pwysig felly oedd cadw’r agwedd yma mewn golwg wrth gyflwyno’r astudiaeth. Cytuna Gerring (2007) gan ychwanegu bod modd i’r dehongliad goddrychol sy’n gynhenid mewn astudiaethau achos gyflwyno tuedd gan felly effeithio ar ganlyniadau’r ymchwil. Yn y bôn, mae ansawdd canlyniadau’r astudiaeth achos yn ddibynol ar brofiad ac arbenigedd yr ymchwilydd (Yin, 2018). Wrth ystyried hyn felly, dyma i raddau gwendid i’r ymchwiliad gan mai dyma fy ymgais gyntaf o gynnal ymchwil cyntaf o’r fath. Dadleua Stake (1995) yn erbyn canfyddiadau Yin (2018) yn bennaf wrth iddo nodi trwy ddefnyddio un achos yn unig, gellir derbyn canlyniadau â phatrymau cynnil, perthnasoedd, a ffactorau cyd-destunol sy'n cyfrannu at ddealltwriaeth ddyfnach o'r pwnc sydd wedi ei ymchwilio.  </w:t>
      </w:r>
    </w:p>
    <w:p w14:paraId="14F80EE7" w14:textId="3E1B3DBB" w:rsidR="36E4F437" w:rsidRDefault="36E4F437" w:rsidP="001B75DF">
      <w:pPr>
        <w:spacing w:line="360" w:lineRule="auto"/>
      </w:pPr>
      <w:r w:rsidRPr="53193FB9">
        <w:rPr>
          <w:sz w:val="22"/>
          <w:szCs w:val="22"/>
        </w:rPr>
        <w:t xml:space="preserve"> </w:t>
      </w:r>
    </w:p>
    <w:p w14:paraId="7297FF5E" w14:textId="521F6932" w:rsidR="36E4F437" w:rsidRDefault="36E4F437" w:rsidP="001B75DF">
      <w:pPr>
        <w:spacing w:line="360" w:lineRule="auto"/>
      </w:pPr>
      <w:r w:rsidRPr="53193FB9">
        <w:rPr>
          <w:sz w:val="22"/>
          <w:szCs w:val="22"/>
        </w:rPr>
        <w:t xml:space="preserve">Un agwedd yn sicr a daw o gynnal astudiaeth achos o fewn cyd-destun fy ymchwiliad yw’r ffordd y caiff y gwersi eu hamserlennu a hynny yn bennaf gan nad ydy Hanes yn bwnc craidd. Gan fod y dosbarth ond yn derbyn 3 wers y bythefnos, nad ydynt o reidrwydd wedi’u hamserlennu yn ystod yr un adeg o’r diwrnod na chwaith diwrnod o’r wythnos. Mae modd i’r uchod heb os effeithio ar naws dosbarth ac felly ar eu hymgysylltiad a chyfranogiad. Hynny yw, mae’n bosib i ddosbarth ymgysylltu gyda gwers yn well ar ddechrau diwrnod o wersi ar ddechrau’r wythnos i gymharu gyda gwers sydd ar brynhawn dydd Gwener er enghraifft. O ganlyniad i’r diffyg gwersi ar yr amserlen, ceir gwendid i’r ymchwil yn y modd nad oes modd cynnal astudiaeth achos dros gyfnod eang o amser a hynny o </w:t>
      </w:r>
      <w:r w:rsidRPr="53193FB9">
        <w:rPr>
          <w:sz w:val="22"/>
          <w:szCs w:val="22"/>
        </w:rPr>
        <w:lastRenderedPageBreak/>
        <w:t xml:space="preserve">ganlyniad i’r amserlen ysgol yn ogystal ag amserlen y cwrs TAR, er mai cipolwg yn unig a geir gan ddefnyddio dull astudiaeth achos, mae’n bosib dod at ychydig o gasgliadau am y fath o gynllun eistedd sy’n fuddiol i ymgysylltiad y dosbarth blwyddyn 9 o dan sylw, gallaf yna roi’r cynllun eistedd yma ar waith.  </w:t>
      </w:r>
    </w:p>
    <w:p w14:paraId="06E413EA" w14:textId="77777777" w:rsidR="00BA7E95" w:rsidRDefault="00BA7E95" w:rsidP="001B75DF">
      <w:pPr>
        <w:spacing w:line="360" w:lineRule="auto"/>
        <w:rPr>
          <w:sz w:val="22"/>
          <w:szCs w:val="22"/>
        </w:rPr>
      </w:pPr>
    </w:p>
    <w:p w14:paraId="6DEF20C8" w14:textId="2129F8E2" w:rsidR="00BF3D60" w:rsidRDefault="00BA7E95" w:rsidP="001B75DF">
      <w:pPr>
        <w:spacing w:line="360" w:lineRule="auto"/>
        <w:rPr>
          <w:sz w:val="28"/>
          <w:szCs w:val="28"/>
          <w:u w:val="single"/>
        </w:rPr>
      </w:pPr>
      <w:r w:rsidRPr="00BA7E95">
        <w:rPr>
          <w:u w:val="single"/>
        </w:rPr>
        <w:t>Moeseg</w:t>
      </w:r>
    </w:p>
    <w:p w14:paraId="608004F0" w14:textId="77777777" w:rsidR="00BA7E95" w:rsidRDefault="00BA7E95" w:rsidP="001B75DF">
      <w:pPr>
        <w:spacing w:line="360" w:lineRule="auto"/>
        <w:rPr>
          <w:sz w:val="28"/>
          <w:szCs w:val="28"/>
          <w:u w:val="single"/>
        </w:rPr>
      </w:pPr>
    </w:p>
    <w:p w14:paraId="25728087" w14:textId="63A5277E" w:rsidR="65683E01" w:rsidRDefault="65683E01" w:rsidP="001B75DF">
      <w:pPr>
        <w:spacing w:line="360" w:lineRule="auto"/>
        <w:rPr>
          <w:sz w:val="22"/>
          <w:szCs w:val="22"/>
        </w:rPr>
      </w:pPr>
      <w:r w:rsidRPr="53193FB9">
        <w:rPr>
          <w:sz w:val="22"/>
          <w:szCs w:val="22"/>
        </w:rPr>
        <w:t xml:space="preserve">Wrth ymchwilio i effaith cynllun eistedd ar ymgysylltiad disgyblion blwyddyn 9, pwysig oedd sicrhau fy mod yn cynnal ymchwil moesegol. Er mwyn sicrhau perthynas broffesiynol ac eglur gyda chyfranogwyr, sicrheais fod nodau a phwrpas yr ymchwil wedi’u hegluro yn eu cyfanrwydd cyn dechrau casglu’r data. Sicrheais fy mod yn cadw enwau a manylion y personol y cyfranogwyr yn ogystal â’r ysgol yn anhysbys (BERA, 2018). </w:t>
      </w:r>
    </w:p>
    <w:p w14:paraId="74B1D93E" w14:textId="5F70FE74" w:rsidR="65683E01" w:rsidRDefault="65683E01" w:rsidP="001B75DF">
      <w:pPr>
        <w:spacing w:line="360" w:lineRule="auto"/>
      </w:pPr>
      <w:r w:rsidRPr="53193FB9">
        <w:rPr>
          <w:sz w:val="22"/>
          <w:szCs w:val="22"/>
        </w:rPr>
        <w:t xml:space="preserve"> </w:t>
      </w:r>
    </w:p>
    <w:p w14:paraId="1E185B49" w14:textId="2CC18001" w:rsidR="65683E01" w:rsidRDefault="65683E01" w:rsidP="001B75DF">
      <w:pPr>
        <w:spacing w:line="360" w:lineRule="auto"/>
      </w:pPr>
      <w:r w:rsidRPr="53193FB9">
        <w:rPr>
          <w:sz w:val="22"/>
          <w:szCs w:val="22"/>
        </w:rPr>
        <w:t xml:space="preserve">Cynhaliwyd fy ymchwil gyda chaniatâd gwybodus y disgyblion a’u rhieni, ac roedd yn unol â chanllawiau cyfredol BERA (2018). Gan fod y cyfranogwyr o dan 18 oed, danfonais lythyr gan ddefnyddio system cysywllt ‘Class-charts’ yr ysgol gan ofyn iddynt i lofnodi er mwyn rhoi cydsyniad dros eu plentyn. O fewn y llythyr, esboniais yn syml pwrpas neu sail resymegol ar gyfer yr ymchwil a disgrifiad o gynllun yr ymchwil, gan gynnwys sut y caiff y data ei ddefnyddio a’i ddadansoddi (Wright, 2011). Yn ogystal, er mwyn i ddisgyblion deall y rhesymau tu ôl i’r newidiadau yn y cynllun eistedd ac i dderbyn eu cydsyniad, danfonais holiadur (lle bu rhaid i gyfranogwyr darllen a rhoi cydsyniad cyn parhau gyda chwestiynau) a gadarnhaodd ymwybyddiaeth cyfranogwyr o’u hawl i dynnu nôl ar unrhyw adeg yn ystod yr ymchwiliad, yn ogystal â sicrhau cyfrinachedd ac anhysbysrwydd (BERA, 2018). Yn ogystal, esboniais bwrpas yr astudiaeth ar lafar, gan fynd i'r afael ag unrhyw gwestiynau neu bryderon oedd ganddynt. Rhoddais digon o amser i gyfranogwyr adolygu'r wybodaeth a gwneud penderfyniad gwybodus ynghylch a ddylid cymryd rhan. </w:t>
      </w:r>
    </w:p>
    <w:p w14:paraId="057238B7" w14:textId="24D988A1" w:rsidR="65683E01" w:rsidRDefault="65683E01" w:rsidP="001B75DF">
      <w:pPr>
        <w:spacing w:line="360" w:lineRule="auto"/>
      </w:pPr>
      <w:r w:rsidRPr="53193FB9">
        <w:rPr>
          <w:sz w:val="22"/>
          <w:szCs w:val="22"/>
        </w:rPr>
        <w:t xml:space="preserve"> </w:t>
      </w:r>
    </w:p>
    <w:p w14:paraId="5C3ECACC" w14:textId="5F4C7744" w:rsidR="65683E01" w:rsidRDefault="65683E01" w:rsidP="001B75DF">
      <w:pPr>
        <w:spacing w:line="360" w:lineRule="auto"/>
      </w:pPr>
      <w:r w:rsidRPr="53193FB9">
        <w:rPr>
          <w:sz w:val="22"/>
          <w:szCs w:val="22"/>
        </w:rPr>
        <w:t xml:space="preserve">Ceir ddatganiad ar ddechrau’r holiadur er mwyn sicrhau bod cyfranogwyr yn ymwybodol o natur anhysbys a chyfrinachol yr ymchwiliad yn ogystal â’u hawl i dynnu ôl ar unrhyw adeg yn ystod yr ymchwil (BERA, 2018). Pe bai cyfranogwr yn penderfynu tynnu nôl, ni fydd ei ganlyniadau nag arsylwadau yn cael eu hystyried o fewn canlyniadau’r ymchwil. </w:t>
      </w:r>
    </w:p>
    <w:p w14:paraId="4D78D98B" w14:textId="79230109" w:rsidR="65683E01" w:rsidRDefault="65683E01" w:rsidP="001B75DF">
      <w:pPr>
        <w:spacing w:line="360" w:lineRule="auto"/>
      </w:pPr>
      <w:r w:rsidRPr="53193FB9">
        <w:rPr>
          <w:sz w:val="22"/>
          <w:szCs w:val="22"/>
        </w:rPr>
        <w:t xml:space="preserve"> </w:t>
      </w:r>
    </w:p>
    <w:p w14:paraId="60132555" w14:textId="0657D333" w:rsidR="65683E01" w:rsidRDefault="65683E01" w:rsidP="001B75DF">
      <w:pPr>
        <w:spacing w:line="360" w:lineRule="auto"/>
      </w:pPr>
      <w:r w:rsidRPr="53193FB9">
        <w:rPr>
          <w:sz w:val="22"/>
          <w:szCs w:val="22"/>
        </w:rPr>
        <w:t>Gwelir atodiad 4 am fwy o wybodaeth.</w:t>
      </w:r>
    </w:p>
    <w:p w14:paraId="16146DC2" w14:textId="77777777" w:rsidR="00B30D4B" w:rsidRDefault="00B30D4B" w:rsidP="001B75DF">
      <w:pPr>
        <w:spacing w:line="360" w:lineRule="auto"/>
        <w:rPr>
          <w:sz w:val="22"/>
          <w:szCs w:val="22"/>
        </w:rPr>
      </w:pPr>
    </w:p>
    <w:p w14:paraId="6ADC3FC6" w14:textId="0C28CE57" w:rsidR="00B30D4B" w:rsidRDefault="00B30D4B" w:rsidP="001B75DF">
      <w:pPr>
        <w:spacing w:line="360" w:lineRule="auto"/>
        <w:rPr>
          <w:u w:val="single"/>
        </w:rPr>
      </w:pPr>
      <w:r>
        <w:rPr>
          <w:u w:val="single"/>
        </w:rPr>
        <w:t>Dulliau ymchwil</w:t>
      </w:r>
    </w:p>
    <w:p w14:paraId="684B5D8A" w14:textId="77777777" w:rsidR="00B30D4B" w:rsidRDefault="00B30D4B" w:rsidP="001B75DF">
      <w:pPr>
        <w:spacing w:line="360" w:lineRule="auto"/>
        <w:rPr>
          <w:u w:val="single"/>
        </w:rPr>
      </w:pPr>
    </w:p>
    <w:p w14:paraId="268395D2" w14:textId="451210D1" w:rsidR="69113251" w:rsidRDefault="69113251" w:rsidP="001B75DF">
      <w:pPr>
        <w:spacing w:line="360" w:lineRule="auto"/>
      </w:pPr>
      <w:r w:rsidRPr="53193FB9">
        <w:rPr>
          <w:sz w:val="22"/>
          <w:szCs w:val="22"/>
        </w:rPr>
        <w:t xml:space="preserve">Defnyddiais ystod o ddulliau ymchwil gwahanol er mwyn sicrhau bod fy ymchwil mor ddilys a dibynadwy a bu modd o dan gyfyngiadau amser. Wrth ymchwilio i’r cwestiwn, es i ati i gynnal astudiaeth archwiliadol a hynny er mwyn ymchwilio i effaith cynllun eistedd ar ymgysylltiad disgybl ym mlwyddyn 9 mewn gwersi Hanes. O fewn yr ymchwiliad, ymchwiliais mewn i astudiaeth achos bywyd go iawn a oedd yn seiliedig ar ymchwil a chanfyddiadau. </w:t>
      </w:r>
    </w:p>
    <w:p w14:paraId="6FFF9AC3" w14:textId="11A3140C" w:rsidR="69113251" w:rsidRDefault="69113251" w:rsidP="001B75DF">
      <w:pPr>
        <w:spacing w:line="360" w:lineRule="auto"/>
      </w:pPr>
      <w:r w:rsidRPr="53193FB9">
        <w:rPr>
          <w:sz w:val="22"/>
          <w:szCs w:val="22"/>
        </w:rPr>
        <w:t xml:space="preserve"> </w:t>
      </w:r>
    </w:p>
    <w:p w14:paraId="20693231" w14:textId="44623A53" w:rsidR="69113251" w:rsidRDefault="69113251" w:rsidP="001B75DF">
      <w:pPr>
        <w:spacing w:line="360" w:lineRule="auto"/>
      </w:pPr>
      <w:r w:rsidRPr="53193FB9">
        <w:rPr>
          <w:sz w:val="22"/>
          <w:szCs w:val="22"/>
        </w:rPr>
        <w:t xml:space="preserve">Er mwyn canfod barn y disgyblion am gynlluniau eistedd a chynnig cyfle mewn ffordd iddynt hunan arfarnu eu hymgysylltiad gyda’r wers, penderfynais greu holiadur gydag amryw o gwestiynau agored a chaeedig er mwyn sicrhau fy mod yn cynnig cyfle i ddisgyblion mynegi eu barn yn glir heb unrhyw gyfyngiadau na chwaith arweiniad o’r hyn roeddwn am iddynt roi. Sicrhaodd hyn nad oedd disgyblion yn teimlo fel eu bod o dan bwysau i roi unrhyw ateb penodol. Dyma gryfder i’r dull o ddefnyddio holiaduron dienw yn ôl Nock (2016) a hynny’n bennaf wrth ystyried oed y disgyblion o dan sylw. Yn ôl yr uchod, mae’r rheini oed glasoed yn aml yn dangos lefelau uwch o hunanymwybyddiaeth a gallant deimlo’n fwy cyfforddus yn mynegi eu meddyliau a’u barn yn ddienw trwy ymatebion ysgrifenedig, gan wneud holiaduron yn gyfrwng delfrydol ar gyfer cael adborth didwyll. Er hyn, cyfranna oed y rheini o dan sylw fel gwendid i’r dull ymchwil yn ôl Salkind (2010). Dywed gall ffactorau fel tuedd dymunoldeb cymdeithasol a dylanwad cyfoedion ddylanwadu ar atebion ymatebwyr, gan danlinellu pwysigrwydd cyfrinachedd ac anhysbysrwydd wrth weinyddu holiaduron (Salkind 2010). Mae’n bosib felly cafodd yr uchod effaith ar ddibynadwyedd canlyniadau’r dull hwn o gasglu data. Ar y llaw arall, noda Cohen et al (2018) cryfder y dull i gymharu gyda dull o gynnal cyfweliadau a hynny o ran ei ddibynadwyedd. Gellir sicrhau bod holiaduron wedi’u hateb yn anhysbys gan felly annog atebion mwy cywir. Yn ogystal, cryfder holiadur i gymharu â chyfweliad ydy’r ffaith ei fod yn ddarbodus yn economaidd ac o ran amser (Cohen et al, 2018). </w:t>
      </w:r>
    </w:p>
    <w:p w14:paraId="4044DCBA" w14:textId="693467EE" w:rsidR="69113251" w:rsidRDefault="69113251" w:rsidP="001B75DF">
      <w:pPr>
        <w:spacing w:line="360" w:lineRule="auto"/>
      </w:pPr>
      <w:r w:rsidRPr="53193FB9">
        <w:rPr>
          <w:sz w:val="22"/>
          <w:szCs w:val="22"/>
        </w:rPr>
        <w:t xml:space="preserve"> </w:t>
      </w:r>
    </w:p>
    <w:p w14:paraId="6D0AF70A" w14:textId="3E2BEE49" w:rsidR="69113251" w:rsidRDefault="69113251" w:rsidP="001B75DF">
      <w:pPr>
        <w:spacing w:line="360" w:lineRule="auto"/>
      </w:pPr>
      <w:r w:rsidRPr="53193FB9">
        <w:rPr>
          <w:sz w:val="22"/>
          <w:szCs w:val="22"/>
        </w:rPr>
        <w:t xml:space="preserve">O fewn yr holiadur a gafodd ei ddosbarthu a’i lenwi ar ddiwedd yr ail gyfnod o newid i’r cynllun eistedd, cyflwynais ystod o gwestiynau agored a chaeedig i ddisgyblion er mwyn canfod eu barn a’u hymgysylltiad personol o fewn gwersi. Credaf trwy gynnal holiadur gyda disgyblion o fewn y dosbarth, roedd modd sicrhau fy mod yn rhoi llais iddynt yn unol âg Erthygl 12 Comisiynydd Plant Cymru (CPC). Noda’r uchod bod gan blant “yr hawl i gael gwrandawiad ac i gael dy gymryd o ddifrif.” (CPC, 2024). Cryfder amlwg felly ydy’r uchod i ddefnydd holiaduron fel dull casglu data gan ei fod yn cynnig llais i ddisgyblion dros faterion sy’n eu heffeithio o wers i wers. Cynigodd gwestiynau caeedig megis cwestiwn 7 a welir yn atodiad 2 ymateb strwythuredig, gan hwyluso dadansoddiad meintiol a chymariaethau ystadegol (Bryman, 2016). Er hyn, mae cwestiynau agored yn annog cyfranogwyr i </w:t>
      </w:r>
      <w:r w:rsidRPr="53193FB9">
        <w:rPr>
          <w:sz w:val="22"/>
          <w:szCs w:val="22"/>
        </w:rPr>
        <w:lastRenderedPageBreak/>
        <w:t xml:space="preserve">ddarparu mewnwelediadau a safbwyntiau manwl, gan gyfoethogi agweddau ansoddol y data (Creswell a Creswell, 2017). Trwy ymgorffori defnydd o’r ddwy fath o gwestiwn, bu modd derbyn mewnwelediad cynhwysfawr i brofiadau, agweddau, ac ymddygiadau disgyblion o fewn cyd-destun yr ymchwiliad, cryfder felly i’r defnydd o’r dull ydy’r uchod. </w:t>
      </w:r>
    </w:p>
    <w:p w14:paraId="3AAD4A63" w14:textId="08F87C58" w:rsidR="69113251" w:rsidRDefault="69113251" w:rsidP="001B75DF">
      <w:pPr>
        <w:spacing w:line="360" w:lineRule="auto"/>
      </w:pPr>
      <w:r w:rsidRPr="53193FB9">
        <w:rPr>
          <w:sz w:val="22"/>
          <w:szCs w:val="22"/>
        </w:rPr>
        <w:t xml:space="preserve"> </w:t>
      </w:r>
    </w:p>
    <w:p w14:paraId="52588F33" w14:textId="2F8A44CE" w:rsidR="69113251" w:rsidRDefault="69113251" w:rsidP="001B75DF">
      <w:pPr>
        <w:spacing w:line="360" w:lineRule="auto"/>
      </w:pPr>
      <w:r w:rsidRPr="53193FB9">
        <w:rPr>
          <w:sz w:val="22"/>
          <w:szCs w:val="22"/>
        </w:rPr>
        <w:t xml:space="preserve">Penderfynais ddefnyddio arsylwadau fel un ffordd o gasglu data. Dywed Cowie (2009, t166) “Observation is the conscious noticing and detailed examination of participants’ behaviour in a naturalistic setting. Cryfder amlwg yn fy marn i ydy’r uchod gan fod modd derbyn canlyniadau ar y cyfan sy’n cyfleu safbwyntiau a rhyngweithiadau amrywiol ymysg pobl ifanc (Gibbs, 2018). Defnyddir arsylwadau gan athrawon sy’n cynnal ymchwil fel dull i gasglu data am brosesau, pobl a diwylliannau (Kawulich, 2012). O ganlyniad i natur amserlenni’r ysgol ac amgylchiadau y tu hwnt i’m rheolaeth, roedd ond yn bosib cynhaliwyd fy ymchwil dros gyfres o ddwy wers, ac yn ystod y rhain newidiais y cynllun eistedd yn ôl yr angen. Heb amheuaeth, gwendid i’r ymchwil ydy’r uchod. Er hyn, cryfder i ddull arsylwad yn ôl De Munck &amp; Sobo, (1998) yw’r cyfle a rhoddir i ymchwilwyr i weld digwyddiadau sydd heb eu trefnu gan yna derbyn cyfle i wella, dehongli a datblygu cwestiynau yn ôl yr angen. Cytuna Kawulich, (2012) gyda manteision y dull wrth iddo nodi bod arsylwadau eisoes wedi’u ‘profi’ i fod o fudd i ymchwilwyr ym meysydd megis cymdeithaseg, addysg, seicoleg a meysydd gwyddorau cymdeithasol eraill. Caiff dechnegau arsylwi eu defnyddio mewn lleoliadau naturiol bob dydd i gyfrif a disgrifio math ac amlder ymddygiadau arwahanol (Bakeman &amp; Gottman, 1997; Dolloghan &amp; Miller, 1986). Cryfder mawr i’r dull ydy’r uchod felly. O fewn un wers, rhoddais ryddid i ddisgyblion eistedd lle hoffent gan yna’u rhoi mewn cynllun eistedd bachgen-merch yn ystod yr ail gyfnod o arsylwi. </w:t>
      </w:r>
    </w:p>
    <w:p w14:paraId="22551080" w14:textId="5EE5A229" w:rsidR="69113251" w:rsidRDefault="69113251" w:rsidP="001B75DF">
      <w:pPr>
        <w:spacing w:line="360" w:lineRule="auto"/>
      </w:pPr>
      <w:r w:rsidRPr="53193FB9">
        <w:rPr>
          <w:sz w:val="22"/>
          <w:szCs w:val="22"/>
        </w:rPr>
        <w:t xml:space="preserve"> </w:t>
      </w:r>
    </w:p>
    <w:p w14:paraId="79CB938D" w14:textId="65C39C6E" w:rsidR="69113251" w:rsidRDefault="69113251" w:rsidP="001B75DF">
      <w:pPr>
        <w:spacing w:line="360" w:lineRule="auto"/>
        <w:rPr>
          <w:sz w:val="22"/>
          <w:szCs w:val="22"/>
        </w:rPr>
      </w:pPr>
      <w:r w:rsidRPr="53193FB9">
        <w:rPr>
          <w:sz w:val="22"/>
          <w:szCs w:val="22"/>
        </w:rPr>
        <w:t xml:space="preserve">Er hyn, gwendid amlwg i raddau yn fy astudiaeth ymchwil oedd y ffaith roedd yn angenrheidiol i mi arsylwi fel arsylwr cyfranogol a hynny am y rhesymau'r sonniwyd eisoes. Cafodd hyn yn sicr effaith ar ddibynadwyedd yr astudiaeth gan ei fod yn debygol iawn i mi wedi colli rhai agweddau llai amlwg o ran ymgysylltiad yn y wers.  Defnyddiais raddfa Leuven (Laevers, 2000) wrth arsylwi (gwelir atodiad 1) a hynny gan ei fod yn darparu dull strwythuredig a systematig o asesu agweddau amrywiol ar ddatblygiad cymdeithasol ac emosiynol plant, gan gynorthwyo addysgwyr i nodi cryfderau a meysydd i'w gwella (Laevers, 2014; Vandenbroeck et al, 2009).  </w:t>
      </w:r>
    </w:p>
    <w:p w14:paraId="056C0593" w14:textId="711A486A" w:rsidR="69113251" w:rsidRDefault="69113251" w:rsidP="001B75DF">
      <w:pPr>
        <w:spacing w:line="360" w:lineRule="auto"/>
        <w:rPr>
          <w:sz w:val="22"/>
          <w:szCs w:val="22"/>
        </w:rPr>
      </w:pPr>
      <w:r w:rsidRPr="53193FB9">
        <w:rPr>
          <w:sz w:val="22"/>
          <w:szCs w:val="22"/>
        </w:rPr>
        <w:t xml:space="preserve"> </w:t>
      </w:r>
    </w:p>
    <w:p w14:paraId="3E3BB89E" w14:textId="417E8BA9" w:rsidR="69113251" w:rsidRDefault="69113251" w:rsidP="001B75DF">
      <w:pPr>
        <w:spacing w:line="360" w:lineRule="auto"/>
        <w:rPr>
          <w:sz w:val="22"/>
          <w:szCs w:val="22"/>
        </w:rPr>
      </w:pPr>
      <w:r w:rsidRPr="53193FB9">
        <w:rPr>
          <w:sz w:val="22"/>
          <w:szCs w:val="22"/>
        </w:rPr>
        <w:t xml:space="preserve">Nid oes modd gwadu’r ffaith bod gennym ni gyd rhagfarnau personol ac fe ychwanega’r rheini gwendid amlwg i ddefnydd o ddull arsylwi a chanlyniadau’r ymchwil yn fy marn i. Cytuna Ratner (2002) gan nodi er mwyn i ymchwilwyr llwyddo i ddehongli’r mater o dan sylw’n llwyddiannus, hanfodol ydy sicrhau nad ydy’r rhagfarnau hynny’n effeithio’u gallu i ddehongli a chasglu data. Rhaid </w:t>
      </w:r>
      <w:r w:rsidRPr="53193FB9">
        <w:rPr>
          <w:sz w:val="22"/>
          <w:szCs w:val="22"/>
        </w:rPr>
        <w:lastRenderedPageBreak/>
        <w:t xml:space="preserve">felly hepgor y tueddiadau er mwyn derbyn data a ystyrir i fod yn niwtral (Ratner, 2002). Gellir ystyried i raddau'r uchod i leihau dibynadwyedd canlyniadau’r ymchwil gan nad oes modd o hyd di-ystyrru’ch rhagfarnau’n llwyr.  </w:t>
      </w:r>
    </w:p>
    <w:p w14:paraId="3928F7DC" w14:textId="5CCD180A" w:rsidR="69113251" w:rsidRDefault="69113251" w:rsidP="001B75DF">
      <w:pPr>
        <w:spacing w:line="360" w:lineRule="auto"/>
      </w:pPr>
      <w:r w:rsidRPr="53193FB9">
        <w:rPr>
          <w:sz w:val="22"/>
          <w:szCs w:val="22"/>
        </w:rPr>
        <w:t xml:space="preserve"> </w:t>
      </w:r>
    </w:p>
    <w:p w14:paraId="1E323D5E" w14:textId="1B42CC76" w:rsidR="69113251" w:rsidRDefault="69113251" w:rsidP="001B75DF">
      <w:pPr>
        <w:spacing w:line="360" w:lineRule="auto"/>
      </w:pPr>
      <w:r w:rsidRPr="53193FB9">
        <w:rPr>
          <w:sz w:val="22"/>
          <w:szCs w:val="22"/>
        </w:rPr>
        <w:t xml:space="preserve">Er y tuedd posib a daw o ddefnydd o arsylwad cyfranogol, dadleua Becker &amp; Geer (1957) bod defnydd o’r dull yn cynyddu dibynadwyedd a defnyddioldeb ymchwil i gymharu â defnydd o ddull megis cyfweliadau strwythuredig a hynny gan ein bod yn derbyn gwybodaeth lai strwythuredig mewn ffordd. Cytuna i raddau felly gyda’r hyn a dywed gan De Munck &amp; Sobo (1998).  </w:t>
      </w:r>
    </w:p>
    <w:p w14:paraId="4CF46DB3" w14:textId="6B10CB46" w:rsidR="00BF3D60" w:rsidRDefault="00BF3D60" w:rsidP="001B75DF">
      <w:pPr>
        <w:spacing w:line="360" w:lineRule="auto"/>
        <w:rPr>
          <w:sz w:val="22"/>
          <w:szCs w:val="22"/>
        </w:rPr>
      </w:pPr>
    </w:p>
    <w:p w14:paraId="3F5A774E" w14:textId="3511FF84" w:rsidR="008F7114" w:rsidRDefault="008F7114" w:rsidP="001B75DF">
      <w:pPr>
        <w:spacing w:line="360" w:lineRule="auto"/>
        <w:rPr>
          <w:color w:val="FF0000"/>
          <w:u w:val="single"/>
        </w:rPr>
      </w:pPr>
      <w:r>
        <w:rPr>
          <w:u w:val="single"/>
        </w:rPr>
        <w:t>Dulliau Cyflwyno a Dadansoddi Data</w:t>
      </w:r>
    </w:p>
    <w:p w14:paraId="0A76E0BB" w14:textId="2E48A5A8" w:rsidR="008F7114" w:rsidRDefault="008F7114" w:rsidP="001B75DF">
      <w:pPr>
        <w:spacing w:line="360" w:lineRule="auto"/>
        <w:rPr>
          <w:color w:val="FF0000"/>
          <w:u w:val="single"/>
        </w:rPr>
      </w:pPr>
    </w:p>
    <w:p w14:paraId="0EB6C1D8" w14:textId="4F1653AD" w:rsidR="11C19561" w:rsidRDefault="11C19561" w:rsidP="001B75DF">
      <w:pPr>
        <w:spacing w:line="360" w:lineRule="auto"/>
        <w:rPr>
          <w:color w:val="000000" w:themeColor="text1"/>
          <w:sz w:val="22"/>
          <w:szCs w:val="22"/>
        </w:rPr>
      </w:pPr>
      <w:r w:rsidRPr="53193FB9">
        <w:rPr>
          <w:color w:val="000000" w:themeColor="text1"/>
          <w:sz w:val="22"/>
          <w:szCs w:val="22"/>
        </w:rPr>
        <w:t xml:space="preserve">Er mwyn mynd ati i ddadansoddi’r data, defnyddiais y dull thematig a hynny gan fod modd dadansoddi patrymau nodweddiadol neu eithriadol o fewn y data gan eu defnyddio i ymchwilio i duedd penodol a gwelir (Braune &amp; Clarke, 2006; Macguire &amp; Delahunt, 2017). Mae ei hygyrchedd a'i natur reddfol yn ei gwneud yn addas ar gyfer ymchwilwyr ar draws disgyblaethau amrywiol a lefelau profiad (Braune &amp; Clarke, 2019).  Er mwyn sicrhau dadansoddiad manwl o ddata a’u cyflwyno yn y ffordd fwyaf priodol, es ati i drefnu’r nodiadau ymchwil ar sail thema hynny yw ymgysylltiad o ran cyflawniad gwaith, cwestiynu a tharfu yn ddibynnol ar y fath o gynllun eistedd a rhoddais. Cynydda hyn dibynadwyedd a dilysrwydd yr ymchwil yn ôl Smith (2015) a noda bod trefnu data cyn ei ddadansoddi yn galluogi ymchwilir i ddadansoddi’r themâu yn ddyfnach.  </w:t>
      </w:r>
    </w:p>
    <w:p w14:paraId="7B539704" w14:textId="50EE6A43" w:rsidR="11C19561" w:rsidRDefault="11C19561" w:rsidP="001B75DF">
      <w:pPr>
        <w:spacing w:line="360" w:lineRule="auto"/>
      </w:pPr>
      <w:r w:rsidRPr="53193FB9">
        <w:rPr>
          <w:color w:val="000000" w:themeColor="text1"/>
          <w:sz w:val="22"/>
          <w:szCs w:val="22"/>
        </w:rPr>
        <w:t xml:space="preserve"> </w:t>
      </w:r>
    </w:p>
    <w:p w14:paraId="49AA789E" w14:textId="03D3CF97" w:rsidR="11C19561" w:rsidRDefault="11C19561" w:rsidP="001B75DF">
      <w:pPr>
        <w:spacing w:line="360" w:lineRule="auto"/>
        <w:rPr>
          <w:color w:val="000000" w:themeColor="text1"/>
          <w:sz w:val="22"/>
          <w:szCs w:val="22"/>
        </w:rPr>
      </w:pPr>
      <w:r w:rsidRPr="53193FB9">
        <w:rPr>
          <w:color w:val="000000" w:themeColor="text1"/>
          <w:sz w:val="22"/>
          <w:szCs w:val="22"/>
        </w:rPr>
        <w:t xml:space="preserve">Fel y sonniwyd eisoes, er mwyn casglu data dibynadwy, rhaid cynnal yr astudiaeth achos dros gyfnod ehangach o amser a hynny’n bennaf fel bod modd gweld patrymau, tueddiadau a thriongli data’n llwyddiannus. Awgryma Braune &amp; Clarke (2006) defnydd o 6 cam wrth ddadansoddi data gan ddefnyddio dull thematig er mwyn sicrhau dadansoddiad cywir a dilys o ddata. Cryfder ydy hyn felly i’r dull yn fy marn i. Atgyfnertha Guest et al (2011) y cryfder uchod wrth iddynt nodi bod defnydd o’r dull yn hwyluso’r dadansoddiad o ran patrymau a thueddiadau ag ymddengys o fewn y canlyniadau. Er hyn, rhaid pwyso a mesur effaith y cryfder yn ôl yr amser oedd rhaid buddsoddi er mwyn grwpio’r data’n llwyddiannus, cyfyngiad i’r dull ydy’r uchod yn ôl Nowell et al (2017).  </w:t>
      </w:r>
    </w:p>
    <w:p w14:paraId="735792FB" w14:textId="2AB9C40F" w:rsidR="11C19561" w:rsidRDefault="11C19561" w:rsidP="001B75DF">
      <w:pPr>
        <w:spacing w:line="360" w:lineRule="auto"/>
      </w:pPr>
      <w:r w:rsidRPr="53193FB9">
        <w:rPr>
          <w:color w:val="000000" w:themeColor="text1"/>
          <w:sz w:val="22"/>
          <w:szCs w:val="22"/>
        </w:rPr>
        <w:t xml:space="preserve"> </w:t>
      </w:r>
    </w:p>
    <w:p w14:paraId="2EA62663" w14:textId="3657B2ED" w:rsidR="11C19561" w:rsidRDefault="11C19561" w:rsidP="001B75DF">
      <w:pPr>
        <w:spacing w:line="360" w:lineRule="auto"/>
        <w:rPr>
          <w:color w:val="000000" w:themeColor="text1"/>
          <w:sz w:val="22"/>
          <w:szCs w:val="22"/>
        </w:rPr>
      </w:pPr>
      <w:r w:rsidRPr="53193FB9">
        <w:rPr>
          <w:color w:val="000000" w:themeColor="text1"/>
          <w:sz w:val="22"/>
          <w:szCs w:val="22"/>
        </w:rPr>
        <w:t xml:space="preserve">Er y cryfderau uchod, mae’n bosib i’r defnydd o’r dull lleihau dibynadwyedd yr astudiaeth i raddau a hynny o ganlyniad i’r ffaith mai dehongliad gen i fydd i’w weld gan y canlyniadau. Ychwanega Braune &amp; Clarke (2006) i’r uchod gan nodi gall dadansoddiad thematig cynnig heriau, megis goddrychedd </w:t>
      </w:r>
      <w:r w:rsidRPr="53193FB9">
        <w:rPr>
          <w:color w:val="000000" w:themeColor="text1"/>
          <w:sz w:val="22"/>
          <w:szCs w:val="22"/>
        </w:rPr>
        <w:lastRenderedPageBreak/>
        <w:t xml:space="preserve">wrth nodi a dehongli themâu gall y rheini ategu at gasgliadau rhagfarnllyd. Unwaith eto felly, gwendid o ran rhagfarn a dehongliad a gwelir yma.  </w:t>
      </w:r>
    </w:p>
    <w:p w14:paraId="31577E95" w14:textId="19BC648F" w:rsidR="11C19561" w:rsidRDefault="11C19561" w:rsidP="001B75DF">
      <w:pPr>
        <w:spacing w:line="360" w:lineRule="auto"/>
      </w:pPr>
      <w:r w:rsidRPr="53193FB9">
        <w:rPr>
          <w:color w:val="000000" w:themeColor="text1"/>
          <w:sz w:val="22"/>
          <w:szCs w:val="22"/>
        </w:rPr>
        <w:t xml:space="preserve"> </w:t>
      </w:r>
    </w:p>
    <w:p w14:paraId="451FFA35" w14:textId="5473066A" w:rsidR="11C19561" w:rsidRDefault="11C19561" w:rsidP="001B75DF">
      <w:pPr>
        <w:spacing w:line="360" w:lineRule="auto"/>
      </w:pPr>
      <w:r w:rsidRPr="53193FB9">
        <w:rPr>
          <w:color w:val="000000" w:themeColor="text1"/>
          <w:sz w:val="22"/>
          <w:szCs w:val="22"/>
        </w:rPr>
        <w:t xml:space="preserve">Cyflwynais rannau o’r data gan ddefnyddio graffiau bar a hynny’n bennaf er mwyn dadansoddi canlyniadau’r holiadur a barn disgyblion am y fath o gynllun eistedd roeddent yn dueddol o ffafrio. Yn ôl Sariya et al (2005) mae’r graffiau’n hwyluso’r gymhariaeth o ddata gan gynorthwyo ymchwilwyr gyda dehongliadau.  </w:t>
      </w:r>
    </w:p>
    <w:p w14:paraId="2913D272" w14:textId="77777777" w:rsidR="00480466" w:rsidRPr="00480466" w:rsidRDefault="00480466" w:rsidP="001B75DF">
      <w:pPr>
        <w:spacing w:line="360" w:lineRule="auto"/>
        <w:rPr>
          <w:color w:val="000000" w:themeColor="text1"/>
          <w:sz w:val="22"/>
          <w:szCs w:val="22"/>
        </w:rPr>
      </w:pPr>
    </w:p>
    <w:p w14:paraId="0697A15C" w14:textId="7C2D6E4D" w:rsidR="008F7114" w:rsidRDefault="008F7114" w:rsidP="001B75DF">
      <w:pPr>
        <w:spacing w:line="360" w:lineRule="auto"/>
        <w:rPr>
          <w:color w:val="000000" w:themeColor="text1"/>
          <w:sz w:val="22"/>
          <w:szCs w:val="22"/>
        </w:rPr>
      </w:pPr>
      <w:r w:rsidRPr="53193FB9">
        <w:rPr>
          <w:color w:val="000000" w:themeColor="text1"/>
          <w:u w:val="single"/>
        </w:rPr>
        <w:t>Dadansoddiad o’r canlyniadau</w:t>
      </w:r>
    </w:p>
    <w:p w14:paraId="60BE9A68" w14:textId="341DC6D3" w:rsidR="577800B8" w:rsidRDefault="577800B8" w:rsidP="001B75DF">
      <w:pPr>
        <w:spacing w:line="360" w:lineRule="auto"/>
        <w:rPr>
          <w:color w:val="000000" w:themeColor="text1"/>
          <w:sz w:val="22"/>
          <w:szCs w:val="22"/>
        </w:rPr>
      </w:pPr>
      <w:r w:rsidRPr="53193FB9">
        <w:rPr>
          <w:color w:val="000000" w:themeColor="text1"/>
          <w:sz w:val="22"/>
          <w:szCs w:val="22"/>
        </w:rPr>
        <w:t xml:space="preserve">Er bod modd ystyried canlyniadau’r ymchwil yn ddilys ar gyfer y dosbarth o dan sylw, nid oes o reidrwydd modd eu defnyddio fel sail ddilys ar gyfer ymchwil manwl a digwyddir dros gyfnod eang o amser a gydag amryw o ddosbarthiadau a hynny yn bennaf o ganlyniad i ddiffyg amser ymchwilio. Mae'n bwysig cofio bod mwy o ferched na bechgyn yn y dosbarth, a all fod yn gyfrifol am rai o'r anghysondebau rhwng y ddau ryw a’u lefelau o ymgysylltiad, er ei bod yn amhosibl dweud ar ba adegau y gallai hyn fod yn wir (Dowley, 2012).  </w:t>
      </w:r>
    </w:p>
    <w:p w14:paraId="68F3C09C" w14:textId="406B2C4A" w:rsidR="577800B8" w:rsidRDefault="577800B8" w:rsidP="001B75DF">
      <w:pPr>
        <w:spacing w:line="360" w:lineRule="auto"/>
      </w:pPr>
      <w:r w:rsidRPr="53193FB9">
        <w:rPr>
          <w:color w:val="000000" w:themeColor="text1"/>
          <w:sz w:val="22"/>
          <w:szCs w:val="22"/>
        </w:rPr>
        <w:t xml:space="preserve"> </w:t>
      </w:r>
    </w:p>
    <w:p w14:paraId="32851F88" w14:textId="23103CB1" w:rsidR="577800B8" w:rsidRDefault="577800B8" w:rsidP="001B75DF">
      <w:pPr>
        <w:spacing w:line="360" w:lineRule="auto"/>
      </w:pPr>
      <w:r w:rsidRPr="53193FB9">
        <w:rPr>
          <w:color w:val="000000" w:themeColor="text1"/>
          <w:sz w:val="22"/>
          <w:szCs w:val="22"/>
          <w:highlight w:val="yellow"/>
        </w:rPr>
        <w:t>O’r ?</w:t>
      </w:r>
      <w:r w:rsidRPr="53193FB9">
        <w:rPr>
          <w:color w:val="000000" w:themeColor="text1"/>
          <w:sz w:val="22"/>
          <w:szCs w:val="22"/>
        </w:rPr>
        <w:t xml:space="preserve"> o ddisgyblion yn y dosbarth, pwysleisiodd lefelau ymgysylltiad y pedwar o dan sylw yn ystod y cyfnod arsylwi yn ogystal âg atebion y dosbarth cyfan i’r holiadur y newid mewn ymgysylltiad disgyblion yn ddibynnol ar bwy roeddent yn gweithio gyda. Gwelwn ganfyddiadau tebyg gan Dowley (2012) wrth iddi nodi bod hyder disgyblion ac felly eu hymgysylltiad a pharodrwydd i ateb yn ddibynol ar bwy roeddent yn eistedd gyda. </w:t>
      </w:r>
    </w:p>
    <w:p w14:paraId="340826E2" w14:textId="6EF7D53D" w:rsidR="577800B8" w:rsidRDefault="577800B8" w:rsidP="001B75DF">
      <w:pPr>
        <w:spacing w:line="360" w:lineRule="auto"/>
      </w:pPr>
      <w:r w:rsidRPr="53193FB9">
        <w:rPr>
          <w:color w:val="000000" w:themeColor="text1"/>
          <w:sz w:val="22"/>
          <w:szCs w:val="22"/>
        </w:rPr>
        <w:t xml:space="preserve"> </w:t>
      </w:r>
    </w:p>
    <w:p w14:paraId="23B364E8" w14:textId="39D69792" w:rsidR="577800B8" w:rsidRDefault="577800B8" w:rsidP="001B75DF">
      <w:pPr>
        <w:spacing w:line="360" w:lineRule="auto"/>
      </w:pPr>
      <w:r w:rsidRPr="53193FB9">
        <w:rPr>
          <w:color w:val="000000" w:themeColor="text1"/>
          <w:sz w:val="22"/>
          <w:szCs w:val="22"/>
        </w:rPr>
        <w:t xml:space="preserve">Âf ati i drafod rhai canfyddiadau a daw o’r dulliau ymchwil amrywiol ymhellach. O ran cwestiynau'r holiaduron a drafododd barn disgyblion ac athrawon am effaith cynllun eistedd ar ymgysylltiad (gwelir cwestiynau 2, 9 a 10 yn atodiad 2 a chwestiynau 2 a 5 yn atodiad 3), nododd y rhan fwyaf o ddisgyblion bod cynlluniau eistedd yn effeithio ar eu hymgysylltiad mewn gwersi yn gadarnhaol. Cytuna’r canfyddiadau gydag ymchwil Morgan et al (2013). Dywed gall trefniadau eistedd strategol hwyluso rhyngweithio, lleihau ymyriadau, a hyrwyddo amgylchedd dysgu ffafriol, gan wella ffocws a chyfranogiad myfyrwyr yn y pen draw. Noda rhai disgyblion rhesymau tebyg i’r uchod megis “mae’n haws i ganolbwyntio gan nad oes ffrindiau i siarad gyda” a “oherwydd ei fod yn fy atal rhag siarad” (gwelir cwestiwn ? atodiad ?). Yn debyg i ymchwil (Hastings &amp; Schwieso, 1995; Wannarka &amp; Ruhl, 2008) dengys canfyddiadau disgyblion bod cynlluniau eistedd yn medru rheoli a dylanwadu ar ymddygiad ac ymgysylltiad disgyblion. </w:t>
      </w:r>
    </w:p>
    <w:p w14:paraId="78B7FECB" w14:textId="66F0765B" w:rsidR="577800B8" w:rsidRDefault="577800B8" w:rsidP="001B75DF">
      <w:pPr>
        <w:spacing w:line="360" w:lineRule="auto"/>
      </w:pPr>
      <w:r w:rsidRPr="53193FB9">
        <w:rPr>
          <w:color w:val="000000" w:themeColor="text1"/>
          <w:sz w:val="22"/>
          <w:szCs w:val="22"/>
        </w:rPr>
        <w:t xml:space="preserve"> </w:t>
      </w:r>
    </w:p>
    <w:p w14:paraId="11FB688D" w14:textId="2ECF950F" w:rsidR="577800B8" w:rsidRDefault="577800B8" w:rsidP="001B75DF">
      <w:pPr>
        <w:spacing w:line="360" w:lineRule="auto"/>
      </w:pPr>
      <w:r w:rsidRPr="53193FB9">
        <w:rPr>
          <w:color w:val="000000" w:themeColor="text1"/>
          <w:sz w:val="22"/>
          <w:szCs w:val="22"/>
        </w:rPr>
        <w:lastRenderedPageBreak/>
        <w:t xml:space="preserve">Er hyn, rhaid nodi ymateb eraill yn y dosbarth i’r un cwestiwn, dywed nad oeddent yn hoff o gynlluniau eistedd ac roedd yn fwy buddiol yn eu barn nhw i eistedd gyda ffrindiau neu mewn cynllun eistedd gydag un ffrind gan roeddent yn ymgysylltu llai gyda gwersi o ran parodrwydd i ateb a thrafod y testun o dan sylw. Dywed un disgybl “mae'n well eistedd gyda ffrindiau achos gallwch drafod y gwaith a theimlo'n gyfforddus a chael gwers mwy hwyl a diddorol”. Gwelodd bod cynlluniau eistedd y neu atal i raddau rhag gwneud cynnydd mewn gwersi a hynny ar sail trafodaethau, sgil hanfodol o fewn dosbarth Hanes yn fy marn i. Cytuna’r disgyblion yma felly gyda Vygotsky (1978) gan eu bod o’r farn bod creu cynllun eistedd sy’n sicrhau cydweithrediad a thrafodaethau rhwng disgyblion cymysg eu gallu yn hwyluso trafodaethau ac ymatebion o fewn y dosbarth. </w:t>
      </w:r>
    </w:p>
    <w:p w14:paraId="468FD209" w14:textId="28403322" w:rsidR="577800B8" w:rsidRDefault="577800B8" w:rsidP="001B75DF">
      <w:pPr>
        <w:spacing w:line="360" w:lineRule="auto"/>
      </w:pPr>
      <w:r w:rsidRPr="53193FB9">
        <w:rPr>
          <w:color w:val="000000" w:themeColor="text1"/>
          <w:sz w:val="22"/>
          <w:szCs w:val="22"/>
        </w:rPr>
        <w:t xml:space="preserve"> </w:t>
      </w:r>
    </w:p>
    <w:p w14:paraId="10DBA542" w14:textId="6DB3FF5B" w:rsidR="577800B8" w:rsidRDefault="577800B8" w:rsidP="001B75DF">
      <w:pPr>
        <w:spacing w:line="360" w:lineRule="auto"/>
      </w:pPr>
      <w:r w:rsidRPr="53193FB9">
        <w:rPr>
          <w:color w:val="000000" w:themeColor="text1"/>
          <w:sz w:val="22"/>
          <w:szCs w:val="22"/>
        </w:rPr>
        <w:t xml:space="preserve">Nid yw'n ymddangos, fodd bynnag, fod gwahaniaeth mawr rhwng ymddygiad bechgyn a merched wrth iddynt eistedd mewn cynllun penodol, yn hytrach roedd y ddau ryw yn llai parod i gymryd rhan mewn rhai trefniadau megis trefniant bachgen merch.  Cefnoga hyn y dystiolaeth anecdotaidd y bydd bechgyn a merched yn ymgysylltu’n well os ydynt yn eistedd gyda phobl o’u rhywedd eu hunain. Anghytuna ganlyniadau’r ymchwil i raddau felly gydag astudiaeth Martin &amp; Dowson (2009) a nododd bod cynlluniau eistedd rhyw gymysg yn hyrwyddo rhyngweithio cadarnhaol a mwy o gyfranogiad ymhlith bechgyn a merched. Awgryma y gallai cynllun eistedd i fechgyn a merched wella ymgysylltiad trwy feithrin amgylcheddau dysgu cydweithredol a lleihau gwrthdyniadau. </w:t>
      </w:r>
    </w:p>
    <w:p w14:paraId="3F67FE74" w14:textId="5B85BC0D" w:rsidR="577800B8" w:rsidRDefault="577800B8" w:rsidP="001B75DF">
      <w:pPr>
        <w:spacing w:line="360" w:lineRule="auto"/>
      </w:pPr>
      <w:r w:rsidRPr="53193FB9">
        <w:rPr>
          <w:color w:val="000000" w:themeColor="text1"/>
          <w:sz w:val="22"/>
          <w:szCs w:val="22"/>
        </w:rPr>
        <w:t xml:space="preserve"> </w:t>
      </w:r>
    </w:p>
    <w:p w14:paraId="6B6A8C5D" w14:textId="7D6E4240" w:rsidR="577800B8" w:rsidRDefault="577800B8" w:rsidP="001B75DF">
      <w:pPr>
        <w:spacing w:line="360" w:lineRule="auto"/>
        <w:rPr>
          <w:color w:val="000000" w:themeColor="text1"/>
          <w:sz w:val="22"/>
          <w:szCs w:val="22"/>
        </w:rPr>
      </w:pPr>
      <w:r w:rsidRPr="53193FB9">
        <w:rPr>
          <w:color w:val="000000" w:themeColor="text1"/>
          <w:sz w:val="22"/>
          <w:szCs w:val="22"/>
        </w:rPr>
        <w:t xml:space="preserve">Er y gwahaniaeth yn y lefelau o ymgysylltiad, mae’n bosib roedd rheswm arall tu ôl y lefelau amrywiol o ymgysylltiad a dangosodd disgyblion. Hynn yw, cynhaliais yr ymchwil yn ystod cyfnod lle dewisodd blwyddyn 9 eisoes eu hopsiynau TGAU ac roeddent ar fin eu dechrau ymhen rhai wythnosau. Mae’n bosib felly nad oedd rhai wedi ymgysylltu gyda’r gwersi yn eu cyfanrwydd a hynny o ganlyniad i’r ffaith nad oeddent yn parhau i astudio’r pwnc ymhen rhai wythnosau.  </w:t>
      </w:r>
    </w:p>
    <w:p w14:paraId="7C650ACA" w14:textId="28C5C9E5" w:rsidR="577800B8" w:rsidRDefault="577800B8" w:rsidP="001B75DF">
      <w:pPr>
        <w:spacing w:line="360" w:lineRule="auto"/>
      </w:pPr>
      <w:r w:rsidRPr="53193FB9">
        <w:rPr>
          <w:color w:val="000000" w:themeColor="text1"/>
          <w:sz w:val="22"/>
          <w:szCs w:val="22"/>
        </w:rPr>
        <w:t xml:space="preserve"> </w:t>
      </w:r>
    </w:p>
    <w:p w14:paraId="381B2F91" w14:textId="5DD36701" w:rsidR="577800B8" w:rsidRDefault="577800B8" w:rsidP="001B75DF">
      <w:pPr>
        <w:spacing w:line="360" w:lineRule="auto"/>
        <w:rPr>
          <w:color w:val="000000" w:themeColor="text1"/>
          <w:sz w:val="22"/>
          <w:szCs w:val="22"/>
        </w:rPr>
      </w:pPr>
      <w:r w:rsidRPr="53193FB9">
        <w:rPr>
          <w:color w:val="000000" w:themeColor="text1"/>
          <w:sz w:val="22"/>
          <w:szCs w:val="22"/>
        </w:rPr>
        <w:t xml:space="preserve">O’r cyfnod arsylwi dysgom fod disgyblion ac yn enwedig bechgyn yn dueddol o darfu llai yn ystod y wers gan gyflawni mwy o waith os ydynt yn eistedd mewn cynllun eistedd bachgen-merch, er nad oedd y disgyblion yn hoff iawn o’r trefniant yma bu’n amlwg ei fod o fudd i’w lefelau ymgysylltiad trwy gydol y wers. Gwelir canfyddiadau tebyg gan Grainne (2019) a Dowley (2012) awgryma’n gryf bod cynlluniau eistedd ar sail rhyw yn effeithio’n gadarnhaol ar lefelau ymgysylltiad yn y dosbarth ac yn bennaf o ran ymddygiad a tharfu. Cytuna yn ogystal rhan helaeth o’r athrawon yn yr holiadur wrth iddynt nodi eu bod yn defnyddio cynlluniau eistedd bachgen-merch yn aml o fewn eu dosbarthiadau er mwyn lleihau lefelau tarfu a chynyddu cyfaint y gwaith sy’n cael eu cyflawni. Mae’r athrawon yma felly’n mynd yn groes i’r hyn a noda ymchwil Buckingham (2016) gan efallai y bydd rhai disgyblion yn </w:t>
      </w:r>
      <w:r w:rsidRPr="53193FB9">
        <w:rPr>
          <w:color w:val="000000" w:themeColor="text1"/>
          <w:sz w:val="22"/>
          <w:szCs w:val="22"/>
        </w:rPr>
        <w:lastRenderedPageBreak/>
        <w:t xml:space="preserve">teimlo'n anghyfforddus neu'n bryderus wrth eistedd ar sail rhyw, gan arwain at ymddieithrio neu ddicter ac felly lefelau ymgysylltiad llai wrth gyfrannu o fewn y dosbarth.  </w:t>
      </w:r>
    </w:p>
    <w:p w14:paraId="2810E39B" w14:textId="33C71AC5" w:rsidR="577800B8" w:rsidRDefault="577800B8" w:rsidP="001B75DF">
      <w:pPr>
        <w:spacing w:line="360" w:lineRule="auto"/>
      </w:pPr>
      <w:r w:rsidRPr="53193FB9">
        <w:rPr>
          <w:color w:val="000000" w:themeColor="text1"/>
          <w:sz w:val="22"/>
          <w:szCs w:val="22"/>
        </w:rPr>
        <w:t xml:space="preserve"> </w:t>
      </w:r>
    </w:p>
    <w:p w14:paraId="0BD310E7" w14:textId="288308E0" w:rsidR="577800B8" w:rsidRDefault="577800B8" w:rsidP="001B75DF">
      <w:pPr>
        <w:spacing w:line="360" w:lineRule="auto"/>
      </w:pPr>
      <w:r w:rsidRPr="53193FB9">
        <w:rPr>
          <w:color w:val="000000" w:themeColor="text1"/>
          <w:sz w:val="22"/>
          <w:szCs w:val="22"/>
        </w:rPr>
        <w:t>Er hyn, rhaid peidio gwneud casgliadau manwl yn seiliedig ar ganlyniadau’r ymchwil o achos y diffyg amrywiaeth o ddosbarthiadau a phlant.  Mae’n bosib gyda mwy o amser a defnydd o gyfweliadau lled-strwythuredig er enghraifft y byddaf wedi dod at gasgliadau tebyg ar y cyfan i waith Dowley (2012). Byddai’r uchod wedi fy ngalluogi i ddilyn syniadau, archwilio ymatebion ac ymchwilio i gymhellion a theimladau, yn groes i’r hyn a gynigir gan holiadur ysgrifenedig (Bell &amp; Waters, 2018). Ar y llaw arall, profa’r canlyniadau’n ddefnyddiol wrth geisio derbyn mewnwelediad o ganfyddiadau disgyblion am effaith cynlluniau eistedd are u hymgysylltiad a’r fath o gynllun oedd yn cynorthwyo dysgu’r dosbarth o dan sylw. Er y gall cynlluniau eistedd bachgen-merch gynnig rhai buddion canfyddedig, dylai addysgwyr werthuso eu goblygiadau yn feirniadol ac ystyried dulliau amgen sy'n blaenoriaethu cynwysoldeb ac amgylcheddau dysgu sy'n canolbwyntio ar y dysgwyr.</w:t>
      </w:r>
    </w:p>
    <w:p w14:paraId="2047D65C" w14:textId="77777777" w:rsidR="008F7114" w:rsidRDefault="008F7114" w:rsidP="001B75DF">
      <w:pPr>
        <w:spacing w:line="360" w:lineRule="auto"/>
        <w:rPr>
          <w:color w:val="FF0000"/>
          <w:sz w:val="22"/>
          <w:szCs w:val="22"/>
        </w:rPr>
      </w:pPr>
    </w:p>
    <w:p w14:paraId="6DF19758" w14:textId="02D80EEB" w:rsidR="008F7114" w:rsidRDefault="008F7114" w:rsidP="001B75DF">
      <w:pPr>
        <w:spacing w:line="360" w:lineRule="auto"/>
        <w:rPr>
          <w:color w:val="FF0000"/>
          <w:u w:val="single"/>
        </w:rPr>
      </w:pPr>
      <w:r>
        <w:rPr>
          <w:color w:val="000000" w:themeColor="text1"/>
          <w:u w:val="single"/>
        </w:rPr>
        <w:t>Casgliad</w:t>
      </w:r>
    </w:p>
    <w:p w14:paraId="646283ED" w14:textId="77777777" w:rsidR="008F7114" w:rsidRDefault="008F7114" w:rsidP="001B75DF">
      <w:pPr>
        <w:spacing w:line="360" w:lineRule="auto"/>
        <w:rPr>
          <w:color w:val="FF0000"/>
          <w:u w:val="single"/>
        </w:rPr>
      </w:pPr>
    </w:p>
    <w:p w14:paraId="0AF90E25" w14:textId="5F402EA3" w:rsidR="1A334C4A" w:rsidRDefault="1A334C4A" w:rsidP="001B75DF">
      <w:pPr>
        <w:spacing w:line="360" w:lineRule="auto"/>
        <w:rPr>
          <w:color w:val="000000" w:themeColor="text1"/>
          <w:sz w:val="22"/>
          <w:szCs w:val="22"/>
        </w:rPr>
      </w:pPr>
      <w:r w:rsidRPr="53193FB9">
        <w:rPr>
          <w:color w:val="000000" w:themeColor="text1"/>
          <w:sz w:val="22"/>
          <w:szCs w:val="22"/>
        </w:rPr>
        <w:t xml:space="preserve">Heb amheuaeth, mae’r ymchwil hwn, er gwaethaf ei gyfyngiadau, wedi bod yn hynod werthfawr ar gyfer gwella fy ymarfer ar lawr ystafell ddosbarth, a bydd yn hynod ddefnyddiol wrth gynllunio gwersi a threfni ddosbarthiadau yn y dyfodol. Er gwaethaf y ffaith bod yr ymchwil hwn wedi digwydd dros gyfnod cyfyngedig o amser, gydag un dosbarth penodol â'i gymeriad penodol ei hun, nid oes amheuaeth bod modd dod at gasgliad ar sail tueddiadau ag ymddengys o fewn yr ymchwil a’u harchwilio ymhellach trwy ymchwil mwy estynedig yn y dyfodol, o ganlyniad petawn yn ail wneud yr ymchwil af at i ddefnyddio amryw o ddosbarthiadau fel sail i’r ymchwil.  </w:t>
      </w:r>
    </w:p>
    <w:p w14:paraId="3DBE3858" w14:textId="2D739373" w:rsidR="1A334C4A" w:rsidRDefault="1A334C4A" w:rsidP="001B75DF">
      <w:pPr>
        <w:spacing w:line="360" w:lineRule="auto"/>
      </w:pPr>
      <w:r w:rsidRPr="53193FB9">
        <w:rPr>
          <w:color w:val="000000" w:themeColor="text1"/>
          <w:sz w:val="22"/>
          <w:szCs w:val="22"/>
        </w:rPr>
        <w:t xml:space="preserve"> </w:t>
      </w:r>
    </w:p>
    <w:p w14:paraId="114D8B59" w14:textId="7C3CDC76" w:rsidR="1A334C4A" w:rsidRDefault="1A334C4A" w:rsidP="001B75DF">
      <w:pPr>
        <w:spacing w:line="360" w:lineRule="auto"/>
      </w:pPr>
      <w:r w:rsidRPr="53193FB9">
        <w:rPr>
          <w:color w:val="000000" w:themeColor="text1"/>
          <w:sz w:val="22"/>
          <w:szCs w:val="22"/>
        </w:rPr>
        <w:t xml:space="preserve">Profodd gyfuniad o ddulliau ymchwil yn fuddiol wrth iddynt fy ngalluogi i ystyried barn oddrychol y rheini o dan sylw yn ogystal â data meintiol (Creswell, 2016). Trwy gydol yr ymchwil, roedd pob disgybl yn ddienw, ond mae’n ymddangos y byddai fy nghanfyddiadau wedi bod yn fwy arwyddocaol pe bawn wedi cael darlun manylach ynglŷn â phwy oedd yn cymryd rhan, yn hytrach na rhyw'r cyfranogwr yn unig. Gyda gwybodaeth fwy penodol, gallai’r ymchwil hwn ddechrau awgrymu effaith cynllun eistedd ar ymgysylltiad mathau penodol o bobl, er yn gyffredinol iawn, ac felly gallai helpu i lywio cynllunio ac ymarfer yn y dyfodol. </w:t>
      </w:r>
    </w:p>
    <w:p w14:paraId="5DA653B7" w14:textId="210E6FF8" w:rsidR="1A334C4A" w:rsidRDefault="1A334C4A" w:rsidP="001B75DF">
      <w:pPr>
        <w:spacing w:line="360" w:lineRule="auto"/>
      </w:pPr>
      <w:r w:rsidRPr="53193FB9">
        <w:rPr>
          <w:color w:val="000000" w:themeColor="text1"/>
          <w:sz w:val="22"/>
          <w:szCs w:val="22"/>
        </w:rPr>
        <w:t xml:space="preserve"> </w:t>
      </w:r>
    </w:p>
    <w:p w14:paraId="4A8ADBE3" w14:textId="64BF4DF5" w:rsidR="1A334C4A" w:rsidRDefault="1A334C4A" w:rsidP="001B75DF">
      <w:pPr>
        <w:spacing w:line="360" w:lineRule="auto"/>
      </w:pPr>
      <w:r w:rsidRPr="53193FB9">
        <w:rPr>
          <w:color w:val="000000" w:themeColor="text1"/>
          <w:sz w:val="22"/>
          <w:szCs w:val="22"/>
        </w:rPr>
        <w:t xml:space="preserve">Wrth adfyfyrio ar yr ymchwil, awgrymaf fod cynlluniau eistedd yn effeithio ar lefelau ymgysylltiad disgyblion a bod y rhan fwyaf o ddisgyblion yn medru cydnabod bod cynlluniau eistedd wedi’u creu </w:t>
      </w:r>
      <w:r w:rsidRPr="53193FB9">
        <w:rPr>
          <w:color w:val="000000" w:themeColor="text1"/>
          <w:sz w:val="22"/>
          <w:szCs w:val="22"/>
        </w:rPr>
        <w:lastRenderedPageBreak/>
        <w:t xml:space="preserve">er lles eu haddysg a chanolbwyntiad. Awgrymaf hefyd defnydd o lais y disgybl wrth drefnu cynlluniau eistedd lle bu modd er mwyn derbyn mewnwelediad o farn disgyblion a phwy hoffent eistedd ar bwys mewn gwersi er mwyn meithrin awyrgylch dosbarth lle bu modd i bawb ffynnu a dysgu i’w potential llawn fel noda Budge (2000). </w:t>
      </w:r>
    </w:p>
    <w:p w14:paraId="25F18028" w14:textId="3E7EE296" w:rsidR="1A334C4A" w:rsidRDefault="1A334C4A" w:rsidP="001B75DF">
      <w:pPr>
        <w:spacing w:line="360" w:lineRule="auto"/>
      </w:pPr>
      <w:r w:rsidRPr="53193FB9">
        <w:rPr>
          <w:color w:val="000000" w:themeColor="text1"/>
          <w:sz w:val="22"/>
          <w:szCs w:val="22"/>
        </w:rPr>
        <w:t xml:space="preserve"> </w:t>
      </w:r>
    </w:p>
    <w:p w14:paraId="01B8123D" w14:textId="1D2F904A" w:rsidR="1A334C4A" w:rsidRDefault="1A334C4A" w:rsidP="001B75DF">
      <w:pPr>
        <w:spacing w:line="360" w:lineRule="auto"/>
      </w:pPr>
      <w:r w:rsidRPr="53193FB9">
        <w:rPr>
          <w:color w:val="000000" w:themeColor="text1"/>
          <w:sz w:val="22"/>
          <w:szCs w:val="22"/>
        </w:rPr>
        <w:t xml:space="preserve">Gwendid mawr i’r astudiaeth oedd prinder amser, pe bawn yn cynnal ymchwil o’r fath eto, penodaf mwy o wersi i’r achos yn ogystal âg amryw o ddosbarthiadau er mwyn cynyddu’r dibynadwyedd yn ogystal â’r dilysrwydd. Yn ei gyfanrwydd, er bod y dulliau a defnyddiais wedi cynnig  cipolwg gwerthfawr i fy nealltwriaeth o effaith cynlluniau eistedd ar ymgysylltiad disgyblion ym mlwyddyn 9, credaf fod lle i gynyddu dibynadwyedd a dilysrwydd yr ymchwil ymhellach. Er hyn, dengys yr ymchwil pwysigrwydd creu cynllun eistedd a dewis y fath o gynllun eistedd yn ddibynol ar eich dosbarth, rhywbeth a fydd yn rhaid imi ystyried wrth fentro i’r ystafell ddosbarth fel athrawes y flwyddyn nesaf er mwyn sicrhau fy mod gorau i’m gallu yn creu awyrgylch yn y dosbarth sy’n hybu ““dysgwyr galluog ac uchelgeisiol, unigolion iach a hyderus, cyfranwyr mentrus a chreadigol a dinasyddion egwyddorol a gwybodus” (Cwricwlwm i Gymru, 2019). </w:t>
      </w:r>
    </w:p>
    <w:p w14:paraId="28D77DE6" w14:textId="7D3D8221" w:rsidR="53193FB9" w:rsidRDefault="53193FB9" w:rsidP="001B75DF">
      <w:pPr>
        <w:spacing w:line="360" w:lineRule="auto"/>
        <w:rPr>
          <w:color w:val="000000" w:themeColor="text1"/>
          <w:sz w:val="22"/>
          <w:szCs w:val="22"/>
        </w:rPr>
      </w:pPr>
    </w:p>
    <w:p w14:paraId="344514F8" w14:textId="42C18EF1" w:rsidR="53193FB9" w:rsidRDefault="001B75DF" w:rsidP="001B75DF">
      <w:pPr>
        <w:spacing w:line="360" w:lineRule="auto"/>
        <w:rPr>
          <w:color w:val="000000" w:themeColor="text1"/>
          <w:u w:val="single"/>
        </w:rPr>
      </w:pPr>
      <w:r>
        <w:rPr>
          <w:color w:val="000000" w:themeColor="text1"/>
          <w:u w:val="single"/>
        </w:rPr>
        <w:t xml:space="preserve">Rhestr Llyfryddiaeth </w:t>
      </w:r>
    </w:p>
    <w:p w14:paraId="7686B1E7" w14:textId="77777777" w:rsidR="001B75DF" w:rsidRDefault="001B75DF" w:rsidP="001B75DF">
      <w:pPr>
        <w:rPr>
          <w:color w:val="000000" w:themeColor="text1"/>
          <w:u w:val="single"/>
        </w:rPr>
      </w:pPr>
    </w:p>
    <w:p w14:paraId="06D3B26C" w14:textId="77777777" w:rsidR="001B75DF" w:rsidRPr="001B75DF" w:rsidRDefault="001B75DF" w:rsidP="001B75DF">
      <w:pPr>
        <w:rPr>
          <w:rFonts w:cstheme="minorHAnsi"/>
          <w:i/>
          <w:iCs/>
          <w:color w:val="000000" w:themeColor="text1"/>
          <w:sz w:val="22"/>
          <w:szCs w:val="22"/>
        </w:rPr>
      </w:pPr>
      <w:r w:rsidRPr="00D84902">
        <w:rPr>
          <w:rFonts w:cstheme="minorHAnsi"/>
          <w:color w:val="000000" w:themeColor="text1"/>
          <w:sz w:val="22"/>
          <w:szCs w:val="22"/>
        </w:rPr>
        <w:t xml:space="preserve">Bakeman, R., &amp; Gottman, J. (1997). </w:t>
      </w:r>
      <w:r w:rsidRPr="00D84902">
        <w:rPr>
          <w:rFonts w:cstheme="minorHAnsi"/>
          <w:i/>
          <w:iCs/>
          <w:color w:val="000000" w:themeColor="text1"/>
          <w:sz w:val="22"/>
          <w:szCs w:val="22"/>
        </w:rPr>
        <w:t>Observing interaction: An introduction to sequential</w:t>
      </w:r>
      <w:r>
        <w:rPr>
          <w:rFonts w:cstheme="minorHAnsi"/>
          <w:i/>
          <w:iCs/>
          <w:color w:val="000000" w:themeColor="text1"/>
          <w:sz w:val="22"/>
          <w:szCs w:val="22"/>
        </w:rPr>
        <w:t xml:space="preserve"> </w:t>
      </w:r>
      <w:r w:rsidRPr="00D84902">
        <w:rPr>
          <w:rFonts w:cstheme="minorHAnsi"/>
          <w:i/>
          <w:iCs/>
          <w:color w:val="000000" w:themeColor="text1"/>
          <w:sz w:val="22"/>
          <w:szCs w:val="22"/>
        </w:rPr>
        <w:t>analysis</w:t>
      </w:r>
      <w:r w:rsidRPr="00D84902">
        <w:rPr>
          <w:rFonts w:cstheme="minorHAnsi"/>
          <w:color w:val="000000" w:themeColor="text1"/>
          <w:sz w:val="22"/>
          <w:szCs w:val="22"/>
        </w:rPr>
        <w:t xml:space="preserve"> (2nd ed.). Cambridge: Cambridge University Press.</w:t>
      </w:r>
    </w:p>
    <w:p w14:paraId="02707AF5"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Bakeman, R., &amp; Gottman, J. M. (1997). </w:t>
      </w:r>
      <w:r w:rsidRPr="00D84902">
        <w:rPr>
          <w:rFonts w:asciiTheme="minorHAnsi" w:hAnsiTheme="minorHAnsi" w:cstheme="minorHAnsi"/>
          <w:i/>
          <w:iCs/>
          <w:color w:val="000000" w:themeColor="text1"/>
          <w:sz w:val="22"/>
          <w:szCs w:val="22"/>
        </w:rPr>
        <w:t>Observing Interaction: An Introduction to Sequential Analysis (2nd ed.)</w:t>
      </w:r>
      <w:r w:rsidRPr="00D84902">
        <w:rPr>
          <w:rFonts w:asciiTheme="minorHAnsi" w:hAnsiTheme="minorHAnsi" w:cstheme="minorHAnsi"/>
          <w:color w:val="000000" w:themeColor="text1"/>
          <w:sz w:val="22"/>
          <w:szCs w:val="22"/>
        </w:rPr>
        <w:t>. Cambridge: Cambridge University Press.</w:t>
      </w:r>
    </w:p>
    <w:p w14:paraId="3029B271"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Becker, H.S., Geer, B (1957) </w:t>
      </w:r>
      <w:r w:rsidRPr="00D84902">
        <w:rPr>
          <w:rFonts w:cstheme="minorHAnsi"/>
          <w:i/>
          <w:iCs/>
          <w:color w:val="000000" w:themeColor="text1"/>
          <w:sz w:val="22"/>
          <w:szCs w:val="22"/>
        </w:rPr>
        <w:t xml:space="preserve">Participant observation and interviewing: a comparison. </w:t>
      </w:r>
      <w:r w:rsidRPr="00D84902">
        <w:rPr>
          <w:rFonts w:cstheme="minorHAnsi"/>
          <w:color w:val="000000" w:themeColor="text1"/>
          <w:sz w:val="22"/>
          <w:szCs w:val="22"/>
        </w:rPr>
        <w:t>Human organization 16: 28-34</w:t>
      </w:r>
    </w:p>
    <w:p w14:paraId="4AAF5DB0"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Benedict, M., &amp; Hoag, J. (2004). </w:t>
      </w:r>
      <w:r w:rsidRPr="00D84902">
        <w:rPr>
          <w:rFonts w:asciiTheme="minorHAnsi" w:hAnsiTheme="minorHAnsi" w:cstheme="minorHAnsi"/>
          <w:i/>
          <w:iCs/>
          <w:color w:val="000000" w:themeColor="text1"/>
          <w:sz w:val="22"/>
          <w:szCs w:val="22"/>
        </w:rPr>
        <w:t>Seating location in large lectures: Are seating preferences or location related to course performance?</w:t>
      </w:r>
      <w:r w:rsidRPr="00D84902">
        <w:rPr>
          <w:rFonts w:asciiTheme="minorHAnsi" w:hAnsiTheme="minorHAnsi" w:cstheme="minorHAnsi"/>
          <w:color w:val="000000" w:themeColor="text1"/>
          <w:sz w:val="22"/>
          <w:szCs w:val="22"/>
        </w:rPr>
        <w:t xml:space="preserve"> Journal of Economic Education, 35(2), 215-231. </w:t>
      </w:r>
    </w:p>
    <w:p w14:paraId="44AA021A"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Betoret, F. &amp; Artiga, A. (2004). </w:t>
      </w:r>
      <w:r w:rsidRPr="00D84902">
        <w:rPr>
          <w:rFonts w:asciiTheme="minorHAnsi" w:hAnsiTheme="minorHAnsi" w:cstheme="minorHAnsi"/>
          <w:i/>
          <w:iCs/>
          <w:color w:val="000000" w:themeColor="text1"/>
          <w:sz w:val="22"/>
          <w:szCs w:val="22"/>
        </w:rPr>
        <w:t>Trainee teachers’ conceptions of teaching and learning, classroom layout and exam design.</w:t>
      </w:r>
      <w:r w:rsidRPr="00D84902">
        <w:rPr>
          <w:rFonts w:asciiTheme="minorHAnsi" w:hAnsiTheme="minorHAnsi" w:cstheme="minorHAnsi"/>
          <w:color w:val="000000" w:themeColor="text1"/>
          <w:sz w:val="22"/>
          <w:szCs w:val="22"/>
        </w:rPr>
        <w:t xml:space="preserve"> Educational Studies, 30(4), 354-372. </w:t>
      </w:r>
    </w:p>
    <w:p w14:paraId="491F7F21"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Black, S. (2007). </w:t>
      </w:r>
      <w:r w:rsidRPr="00D84902">
        <w:rPr>
          <w:rFonts w:asciiTheme="minorHAnsi" w:hAnsiTheme="minorHAnsi" w:cstheme="minorHAnsi"/>
          <w:i/>
          <w:iCs/>
          <w:color w:val="000000" w:themeColor="text1"/>
          <w:sz w:val="22"/>
          <w:szCs w:val="22"/>
        </w:rPr>
        <w:t>Achievement by design.</w:t>
      </w:r>
      <w:r w:rsidRPr="00D84902">
        <w:rPr>
          <w:rFonts w:asciiTheme="minorHAnsi" w:hAnsiTheme="minorHAnsi" w:cstheme="minorHAnsi"/>
          <w:color w:val="000000" w:themeColor="text1"/>
          <w:sz w:val="22"/>
          <w:szCs w:val="22"/>
        </w:rPr>
        <w:t xml:space="preserve"> American School Board Journal, 194(10), 39-41. </w:t>
      </w:r>
    </w:p>
    <w:p w14:paraId="585CED1A"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Bryman A. (2016) </w:t>
      </w:r>
      <w:r w:rsidRPr="00D84902">
        <w:rPr>
          <w:rFonts w:asciiTheme="minorHAnsi" w:hAnsiTheme="minorHAnsi" w:cstheme="minorHAnsi"/>
          <w:i/>
          <w:iCs/>
          <w:color w:val="000000" w:themeColor="text1"/>
          <w:sz w:val="22"/>
          <w:szCs w:val="22"/>
        </w:rPr>
        <w:t>Social Research Methods.</w:t>
      </w:r>
      <w:r w:rsidRPr="00D84902">
        <w:rPr>
          <w:rFonts w:asciiTheme="minorHAnsi" w:hAnsiTheme="minorHAnsi" w:cstheme="minorHAnsi"/>
          <w:color w:val="000000" w:themeColor="text1"/>
          <w:sz w:val="22"/>
          <w:szCs w:val="22"/>
        </w:rPr>
        <w:t xml:space="preserve"> Oxford University Press</w:t>
      </w:r>
    </w:p>
    <w:p w14:paraId="0000EFAB"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Buckingham, J. (2016</w:t>
      </w:r>
      <w:r w:rsidRPr="00D84902">
        <w:rPr>
          <w:rFonts w:asciiTheme="minorHAnsi" w:hAnsiTheme="minorHAnsi" w:cstheme="minorHAnsi"/>
          <w:i/>
          <w:iCs/>
          <w:color w:val="000000" w:themeColor="text1"/>
          <w:sz w:val="22"/>
          <w:szCs w:val="22"/>
        </w:rPr>
        <w:t>). Beyond School Improvement: The Journey to Innovative Classroom Practices.</w:t>
      </w:r>
      <w:r w:rsidRPr="00D84902">
        <w:rPr>
          <w:rFonts w:asciiTheme="minorHAnsi" w:hAnsiTheme="minorHAnsi" w:cstheme="minorHAnsi"/>
          <w:color w:val="000000" w:themeColor="text1"/>
          <w:sz w:val="22"/>
          <w:szCs w:val="22"/>
        </w:rPr>
        <w:t xml:space="preserve"> New York: Teachers College Press.</w:t>
      </w:r>
    </w:p>
    <w:p w14:paraId="3EF711D8"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Budge, D. (2000). </w:t>
      </w:r>
      <w:r w:rsidRPr="00D84902">
        <w:rPr>
          <w:rFonts w:asciiTheme="minorHAnsi" w:hAnsiTheme="minorHAnsi" w:cstheme="minorHAnsi"/>
          <w:i/>
          <w:iCs/>
          <w:color w:val="000000" w:themeColor="text1"/>
          <w:sz w:val="22"/>
          <w:szCs w:val="22"/>
        </w:rPr>
        <w:t>Secret is in the seating.</w:t>
      </w:r>
      <w:r w:rsidRPr="00D84902">
        <w:rPr>
          <w:rFonts w:asciiTheme="minorHAnsi" w:hAnsiTheme="minorHAnsi" w:cstheme="minorHAnsi"/>
          <w:color w:val="000000" w:themeColor="text1"/>
          <w:sz w:val="22"/>
          <w:szCs w:val="22"/>
        </w:rPr>
        <w:t xml:space="preserve"> Times Educational Supplement, 4396, 26-27.</w:t>
      </w:r>
    </w:p>
    <w:p w14:paraId="27745115" w14:textId="77777777" w:rsidR="001B75DF" w:rsidRPr="008B54C5" w:rsidRDefault="001B75DF" w:rsidP="001B75DF">
      <w:pPr>
        <w:rPr>
          <w:rFonts w:cstheme="minorHAnsi"/>
          <w:color w:val="000000" w:themeColor="text1"/>
          <w:sz w:val="22"/>
          <w:szCs w:val="22"/>
        </w:rPr>
      </w:pPr>
      <w:r w:rsidRPr="00D84902">
        <w:rPr>
          <w:rFonts w:cstheme="minorHAnsi"/>
          <w:color w:val="000000" w:themeColor="text1"/>
          <w:sz w:val="22"/>
          <w:szCs w:val="22"/>
        </w:rPr>
        <w:lastRenderedPageBreak/>
        <w:t xml:space="preserve">Cairns, E, McKeown, S (2016) </w:t>
      </w:r>
      <w:r w:rsidRPr="00D84902">
        <w:rPr>
          <w:rFonts w:cstheme="minorHAnsi"/>
          <w:i/>
          <w:iCs/>
          <w:color w:val="000000" w:themeColor="text1"/>
          <w:sz w:val="22"/>
          <w:szCs w:val="22"/>
        </w:rPr>
        <w:t xml:space="preserve">Classroom segregation: where do students sit and how is this related to group relations? </w:t>
      </w:r>
      <w:r w:rsidRPr="00D84902">
        <w:rPr>
          <w:rFonts w:cstheme="minorHAnsi"/>
          <w:color w:val="000000" w:themeColor="text1"/>
          <w:sz w:val="22"/>
          <w:szCs w:val="22"/>
        </w:rPr>
        <w:t xml:space="preserve">British Educational Research Journal Vol. 42, No.1 </w:t>
      </w:r>
    </w:p>
    <w:p w14:paraId="34574A14"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Cohen, L., Manion, L., &amp; Morrison, K. (2018). </w:t>
      </w:r>
      <w:r w:rsidRPr="00D84902">
        <w:rPr>
          <w:rFonts w:asciiTheme="minorHAnsi" w:hAnsiTheme="minorHAnsi" w:cstheme="minorHAnsi"/>
          <w:i/>
          <w:iCs/>
          <w:color w:val="000000" w:themeColor="text1"/>
          <w:sz w:val="22"/>
          <w:szCs w:val="22"/>
        </w:rPr>
        <w:t>Research Methods in Education (8th ed.)</w:t>
      </w:r>
      <w:r w:rsidRPr="00D84902">
        <w:rPr>
          <w:rFonts w:asciiTheme="minorHAnsi" w:hAnsiTheme="minorHAnsi" w:cstheme="minorHAnsi"/>
          <w:color w:val="000000" w:themeColor="text1"/>
          <w:sz w:val="22"/>
          <w:szCs w:val="22"/>
        </w:rPr>
        <w:t>. London: Routledge.</w:t>
      </w:r>
    </w:p>
    <w:p w14:paraId="13C1A4A1" w14:textId="77777777" w:rsidR="001B75DF" w:rsidRPr="00D84902" w:rsidRDefault="001B75DF" w:rsidP="001B75DF">
      <w:pPr>
        <w:rPr>
          <w:rFonts w:cstheme="minorHAnsi"/>
          <w:color w:val="000000" w:themeColor="text1"/>
          <w:sz w:val="22"/>
          <w:szCs w:val="22"/>
        </w:rPr>
      </w:pPr>
      <w:r w:rsidRPr="00D84902">
        <w:rPr>
          <w:rFonts w:cstheme="minorHAnsi"/>
          <w:i/>
          <w:iCs/>
          <w:color w:val="000000" w:themeColor="text1"/>
          <w:sz w:val="22"/>
          <w:szCs w:val="22"/>
        </w:rPr>
        <w:t>competence.</w:t>
      </w:r>
      <w:r w:rsidRPr="00D84902">
        <w:rPr>
          <w:rFonts w:cstheme="minorHAnsi"/>
          <w:color w:val="000000" w:themeColor="text1"/>
          <w:sz w:val="22"/>
          <w:szCs w:val="22"/>
        </w:rPr>
        <w:t xml:space="preserve"> In R. Schiefelbusch (Ed.), Language competence: Assessment and</w:t>
      </w:r>
    </w:p>
    <w:p w14:paraId="06D57348" w14:textId="77777777" w:rsidR="001B75DF" w:rsidRPr="00D84902" w:rsidRDefault="001B75DF" w:rsidP="001B75DF">
      <w:pPr>
        <w:rPr>
          <w:rFonts w:cstheme="minorHAnsi"/>
          <w:color w:val="000000" w:themeColor="text1"/>
          <w:sz w:val="22"/>
          <w:szCs w:val="22"/>
        </w:rPr>
      </w:pPr>
      <w:r w:rsidRPr="00D84902">
        <w:rPr>
          <w:rFonts w:cstheme="minorHAnsi"/>
          <w:i/>
          <w:iCs/>
          <w:color w:val="000000" w:themeColor="text1"/>
          <w:sz w:val="22"/>
          <w:szCs w:val="22"/>
        </w:rPr>
        <w:t>concept, state of the evidence.</w:t>
      </w:r>
      <w:r w:rsidRPr="00D84902">
        <w:rPr>
          <w:rFonts w:cstheme="minorHAnsi"/>
          <w:color w:val="000000" w:themeColor="text1"/>
          <w:sz w:val="22"/>
          <w:szCs w:val="22"/>
        </w:rPr>
        <w:t xml:space="preserve"> Review of Educational Research, 74, 59-109.</w:t>
      </w:r>
    </w:p>
    <w:p w14:paraId="45B44CE0"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Cowie, N (2009) </w:t>
      </w:r>
      <w:r w:rsidRPr="00D84902">
        <w:rPr>
          <w:rFonts w:cstheme="minorHAnsi"/>
          <w:i/>
          <w:iCs/>
          <w:color w:val="000000" w:themeColor="text1"/>
          <w:sz w:val="22"/>
          <w:szCs w:val="22"/>
        </w:rPr>
        <w:t xml:space="preserve">Observation. </w:t>
      </w:r>
      <w:r w:rsidRPr="00D84902">
        <w:rPr>
          <w:rFonts w:cstheme="minorHAnsi"/>
          <w:color w:val="000000" w:themeColor="text1"/>
          <w:sz w:val="22"/>
          <w:szCs w:val="22"/>
        </w:rPr>
        <w:t xml:space="preserve">Qualitative research in applied linguistics: A practical introduction, Springer Link. </w:t>
      </w:r>
    </w:p>
    <w:p w14:paraId="30F5FE4C" w14:textId="77777777" w:rsidR="001B75DF" w:rsidRPr="00D84902" w:rsidRDefault="001B75DF" w:rsidP="001B75DF">
      <w:pPr>
        <w:pStyle w:val="NormalWeb"/>
        <w:rPr>
          <w:rFonts w:ascii="Verdana" w:hAnsi="Verdana"/>
          <w:color w:val="000000" w:themeColor="text1"/>
          <w:sz w:val="21"/>
          <w:szCs w:val="21"/>
          <w:shd w:val="clear" w:color="auto" w:fill="FFFFFF"/>
        </w:rPr>
      </w:pPr>
      <w:r w:rsidRPr="00D84902">
        <w:rPr>
          <w:rFonts w:ascii="Verdana" w:hAnsi="Verdana"/>
          <w:color w:val="000000" w:themeColor="text1"/>
          <w:sz w:val="21"/>
          <w:szCs w:val="21"/>
          <w:shd w:val="clear" w:color="auto" w:fill="FFFFFF"/>
        </w:rPr>
        <w:t>Creswell, J. (2016) Research in Education: Design, Conduct and Evaluation of Quantitative and Qualitative Research (Translated by Kouvarakou, N.). Ion (Year of Publication of the Original 2005), Athens.</w:t>
      </w:r>
    </w:p>
    <w:p w14:paraId="68298A0A"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Creswell. J.W. and Creswell, J.D. (2017) </w:t>
      </w:r>
      <w:r w:rsidRPr="00D84902">
        <w:rPr>
          <w:rFonts w:asciiTheme="minorHAnsi" w:hAnsiTheme="minorHAnsi" w:cstheme="minorHAnsi"/>
          <w:i/>
          <w:iCs/>
          <w:color w:val="000000" w:themeColor="text1"/>
          <w:sz w:val="22"/>
          <w:szCs w:val="22"/>
        </w:rPr>
        <w:t>Research Design: Qualitative, Quantitative, and Mixed Methods Approaches</w:t>
      </w:r>
      <w:r w:rsidRPr="00D84902">
        <w:rPr>
          <w:rFonts w:asciiTheme="minorHAnsi" w:hAnsiTheme="minorHAnsi" w:cstheme="minorHAnsi"/>
          <w:color w:val="000000" w:themeColor="text1"/>
          <w:sz w:val="22"/>
          <w:szCs w:val="22"/>
        </w:rPr>
        <w:t>. 4th Edition, Sage, Newbury Park.</w:t>
      </w:r>
    </w:p>
    <w:p w14:paraId="1CA19912"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De Munck. V., Sobo. E (1998) </w:t>
      </w:r>
      <w:r w:rsidRPr="00D84902">
        <w:rPr>
          <w:rFonts w:asciiTheme="minorHAnsi" w:hAnsiTheme="minorHAnsi" w:cstheme="minorHAnsi"/>
          <w:i/>
          <w:iCs/>
          <w:color w:val="000000" w:themeColor="text1"/>
          <w:sz w:val="22"/>
          <w:szCs w:val="22"/>
        </w:rPr>
        <w:t xml:space="preserve">Using Methods in the Field: A practical introduction and case book. </w:t>
      </w:r>
      <w:r w:rsidRPr="00D84902">
        <w:rPr>
          <w:rFonts w:asciiTheme="minorHAnsi" w:hAnsiTheme="minorHAnsi" w:cstheme="minorHAnsi"/>
          <w:color w:val="000000" w:themeColor="text1"/>
          <w:sz w:val="22"/>
          <w:szCs w:val="22"/>
        </w:rPr>
        <w:t xml:space="preserve">Google Books. </w:t>
      </w:r>
    </w:p>
    <w:p w14:paraId="7E7A0F8B" w14:textId="77777777" w:rsidR="001B75DF" w:rsidRPr="00D84902" w:rsidRDefault="001B75DF" w:rsidP="001B75DF">
      <w:pPr>
        <w:rPr>
          <w:rFonts w:cstheme="minorHAnsi"/>
          <w:i/>
          <w:iCs/>
          <w:color w:val="000000" w:themeColor="text1"/>
          <w:sz w:val="22"/>
          <w:szCs w:val="22"/>
        </w:rPr>
      </w:pPr>
      <w:r w:rsidRPr="00D84902">
        <w:rPr>
          <w:rFonts w:cstheme="minorHAnsi"/>
          <w:color w:val="000000" w:themeColor="text1"/>
          <w:sz w:val="22"/>
          <w:szCs w:val="22"/>
        </w:rPr>
        <w:t xml:space="preserve">Dolloghan, C., &amp; Miller, J. (1986). </w:t>
      </w:r>
      <w:r w:rsidRPr="00D84902">
        <w:rPr>
          <w:rFonts w:cstheme="minorHAnsi"/>
          <w:i/>
          <w:iCs/>
          <w:color w:val="000000" w:themeColor="text1"/>
          <w:sz w:val="22"/>
          <w:szCs w:val="22"/>
        </w:rPr>
        <w:t>Observational methods in the study of communicative</w:t>
      </w:r>
    </w:p>
    <w:p w14:paraId="2BB336B1"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Dowley, L, (2012) </w:t>
      </w:r>
      <w:r w:rsidRPr="00D84902">
        <w:rPr>
          <w:rFonts w:asciiTheme="minorHAnsi" w:hAnsiTheme="minorHAnsi" w:cstheme="minorHAnsi"/>
          <w:i/>
          <w:iCs/>
          <w:color w:val="000000" w:themeColor="text1"/>
          <w:sz w:val="22"/>
          <w:szCs w:val="22"/>
        </w:rPr>
        <w:t>A critical investigation of whether seating students by gender affects participation in discussion-based learning: A case study with a Year 8 studying death</w:t>
      </w:r>
      <w:r w:rsidRPr="00D84902">
        <w:rPr>
          <w:rFonts w:asciiTheme="minorHAnsi" w:hAnsiTheme="minorHAnsi" w:cstheme="minorHAnsi"/>
          <w:color w:val="000000" w:themeColor="text1"/>
          <w:sz w:val="22"/>
          <w:szCs w:val="22"/>
        </w:rPr>
        <w:t>. Journal of Trainee Teacher Education Research, 3 (1).</w:t>
      </w:r>
    </w:p>
    <w:p w14:paraId="1545ED0F" w14:textId="77777777" w:rsidR="001B75DF" w:rsidRPr="00702B9A" w:rsidRDefault="001B75DF" w:rsidP="001B75DF">
      <w:pPr>
        <w:pStyle w:val="NormalWeb"/>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 xml:space="preserve">ESTYN (2023) </w:t>
      </w:r>
      <w:r>
        <w:rPr>
          <w:rFonts w:asciiTheme="minorHAnsi" w:hAnsiTheme="minorHAnsi" w:cstheme="minorHAnsi"/>
          <w:i/>
          <w:iCs/>
          <w:color w:val="000000" w:themeColor="text1"/>
          <w:sz w:val="22"/>
          <w:szCs w:val="22"/>
        </w:rPr>
        <w:t xml:space="preserve">Ysgol </w:t>
      </w:r>
      <w:r w:rsidRPr="00702B9A">
        <w:rPr>
          <w:rFonts w:asciiTheme="minorHAnsi" w:hAnsiTheme="minorHAnsi" w:cstheme="minorHAnsi"/>
          <w:i/>
          <w:iCs/>
          <w:color w:val="000000" w:themeColor="text1"/>
          <w:sz w:val="22"/>
          <w:szCs w:val="22"/>
          <w:highlight w:val="black"/>
        </w:rPr>
        <w:t>Gyfun Gŵyr</w:t>
      </w:r>
      <w:r>
        <w:rPr>
          <w:rFonts w:asciiTheme="minorHAnsi" w:hAnsiTheme="minorHAnsi" w:cstheme="minorHAnsi"/>
          <w:i/>
          <w:iCs/>
          <w:color w:val="000000" w:themeColor="text1"/>
          <w:sz w:val="22"/>
          <w:szCs w:val="22"/>
        </w:rPr>
        <w:t xml:space="preserve">. </w:t>
      </w:r>
      <w:r>
        <w:rPr>
          <w:rFonts w:asciiTheme="minorHAnsi" w:hAnsiTheme="minorHAnsi" w:cstheme="minorHAnsi"/>
          <w:color w:val="000000" w:themeColor="text1"/>
          <w:sz w:val="22"/>
          <w:szCs w:val="22"/>
        </w:rPr>
        <w:t xml:space="preserve">Gwelir yn: </w:t>
      </w:r>
      <w:hyperlink r:id="rId5" w:history="1">
        <w:r w:rsidRPr="00F92922">
          <w:rPr>
            <w:rStyle w:val="Hyperlink"/>
            <w:rFonts w:asciiTheme="minorHAnsi" w:hAnsiTheme="minorHAnsi" w:cstheme="minorHAnsi"/>
            <w:sz w:val="22"/>
            <w:szCs w:val="22"/>
          </w:rPr>
          <w:t>https://www.estyn.llyw.cymru/darparwr/6704074</w:t>
        </w:r>
      </w:hyperlink>
      <w:r>
        <w:rPr>
          <w:rFonts w:asciiTheme="minorHAnsi" w:hAnsiTheme="minorHAnsi" w:cstheme="minorHAnsi"/>
          <w:color w:val="000000" w:themeColor="text1"/>
          <w:sz w:val="22"/>
          <w:szCs w:val="22"/>
        </w:rPr>
        <w:t xml:space="preserve"> (Cyrchwyd: 15 Ebrill 2024)</w:t>
      </w:r>
    </w:p>
    <w:p w14:paraId="36A41A3D" w14:textId="77777777" w:rsidR="001B75DF" w:rsidRPr="00D84902" w:rsidRDefault="001B75DF" w:rsidP="001B75DF">
      <w:pPr>
        <w:rPr>
          <w:rFonts w:cstheme="minorHAnsi"/>
          <w:i/>
          <w:iCs/>
          <w:color w:val="000000" w:themeColor="text1"/>
          <w:sz w:val="22"/>
          <w:szCs w:val="22"/>
        </w:rPr>
      </w:pPr>
      <w:r w:rsidRPr="00D84902">
        <w:rPr>
          <w:rFonts w:cstheme="minorHAnsi"/>
          <w:color w:val="000000" w:themeColor="text1"/>
          <w:sz w:val="22"/>
          <w:szCs w:val="22"/>
        </w:rPr>
        <w:t xml:space="preserve">Fredricks, J.A., Blumenfeld, P.C., &amp; Paris, A.H. (2004). </w:t>
      </w:r>
      <w:r w:rsidRPr="00D84902">
        <w:rPr>
          <w:rFonts w:cstheme="minorHAnsi"/>
          <w:i/>
          <w:iCs/>
          <w:color w:val="000000" w:themeColor="text1"/>
          <w:sz w:val="22"/>
          <w:szCs w:val="22"/>
        </w:rPr>
        <w:t>School engagement: Potential of the</w:t>
      </w:r>
    </w:p>
    <w:p w14:paraId="508F5C11"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Garner, M. (eds.) Doing Social Research: A Global Context. McGraw Hill.</w:t>
      </w:r>
    </w:p>
    <w:p w14:paraId="26CBE413"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Guest, G., MacQueen, K. M., &amp; Namey, E. E. (2011). Applied Thematic Analysis. Thousand Oaks, CA: Sage Publications.</w:t>
      </w:r>
    </w:p>
    <w:p w14:paraId="76F975F4"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HEFCE (2008) </w:t>
      </w:r>
      <w:r w:rsidRPr="00D84902">
        <w:rPr>
          <w:rFonts w:asciiTheme="minorHAnsi" w:hAnsiTheme="minorHAnsi" w:cstheme="minorHAnsi"/>
          <w:i/>
          <w:iCs/>
          <w:color w:val="000000" w:themeColor="text1"/>
          <w:sz w:val="22"/>
          <w:szCs w:val="22"/>
        </w:rPr>
        <w:t>Tender for a Study into Student Engagement.</w:t>
      </w:r>
      <w:r w:rsidRPr="00D84902">
        <w:rPr>
          <w:rFonts w:asciiTheme="minorHAnsi" w:hAnsiTheme="minorHAnsi" w:cstheme="minorHAnsi"/>
          <w:color w:val="000000" w:themeColor="text1"/>
          <w:sz w:val="22"/>
          <w:szCs w:val="22"/>
        </w:rPr>
        <w:t xml:space="preserve"> Bristol: Higher Education Funding Council for England. </w:t>
      </w:r>
    </w:p>
    <w:p w14:paraId="5B2F15AA" w14:textId="77777777" w:rsidR="001B75DF"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Holdgrafer, G. E., &amp; Dunst, C. J. (1990). Use of low structured observation for assessing communicative intents in young children. First Language, 10(30), 243-253. Ar gael yn: </w:t>
      </w:r>
      <w:hyperlink r:id="rId6" w:history="1">
        <w:r w:rsidRPr="00D84902">
          <w:rPr>
            <w:rStyle w:val="Hyperlink"/>
            <w:rFonts w:asciiTheme="minorHAnsi" w:hAnsiTheme="minorHAnsi" w:cstheme="minorHAnsi"/>
            <w:color w:val="000000" w:themeColor="text1"/>
            <w:sz w:val="22"/>
            <w:szCs w:val="22"/>
          </w:rPr>
          <w:t>https://journals.sagepub.com/doi/10.1177/014272379001003005</w:t>
        </w:r>
      </w:hyperlink>
      <w:r w:rsidRPr="00D84902">
        <w:rPr>
          <w:rFonts w:asciiTheme="minorHAnsi" w:hAnsiTheme="minorHAnsi" w:cstheme="minorHAnsi"/>
          <w:color w:val="000000" w:themeColor="text1"/>
          <w:sz w:val="22"/>
          <w:szCs w:val="22"/>
        </w:rPr>
        <w:t xml:space="preserve"> (Cyrchwyd 3 Mai 2024). </w:t>
      </w:r>
    </w:p>
    <w:p w14:paraId="385EF6B2"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Hu, S. and Kuh, G.D. (2001) </w:t>
      </w:r>
      <w:r w:rsidRPr="00D84902">
        <w:rPr>
          <w:rFonts w:asciiTheme="minorHAnsi" w:hAnsiTheme="minorHAnsi" w:cstheme="minorHAnsi"/>
          <w:i/>
          <w:iCs/>
          <w:color w:val="000000" w:themeColor="text1"/>
          <w:sz w:val="22"/>
          <w:szCs w:val="22"/>
        </w:rPr>
        <w:t>Being (Dis)Engaged in Educationally Purposeful Activities: The Inluences of Student and Institutional Characteristics.</w:t>
      </w:r>
      <w:r w:rsidRPr="00D84902">
        <w:rPr>
          <w:rFonts w:asciiTheme="minorHAnsi" w:hAnsiTheme="minorHAnsi" w:cstheme="minorHAnsi"/>
          <w:color w:val="000000" w:themeColor="text1"/>
          <w:sz w:val="22"/>
          <w:szCs w:val="22"/>
        </w:rPr>
        <w:t xml:space="preserve"> Paper presented at the American Educational Research Association Annual Conference. Seattle, WA, 10–14 Ebrill.</w:t>
      </w:r>
    </w:p>
    <w:p w14:paraId="2E2ADFA2"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Hughes, J. N. (2014). </w:t>
      </w:r>
      <w:r w:rsidRPr="00D84902">
        <w:rPr>
          <w:rFonts w:asciiTheme="minorHAnsi" w:hAnsiTheme="minorHAnsi" w:cstheme="minorHAnsi"/>
          <w:i/>
          <w:iCs/>
          <w:color w:val="000000" w:themeColor="text1"/>
          <w:sz w:val="22"/>
          <w:szCs w:val="22"/>
        </w:rPr>
        <w:t>Peer relationships and adjustment at school</w:t>
      </w:r>
      <w:r w:rsidRPr="00D84902">
        <w:rPr>
          <w:rFonts w:asciiTheme="minorHAnsi" w:hAnsiTheme="minorHAnsi" w:cstheme="minorHAnsi"/>
          <w:color w:val="000000" w:themeColor="text1"/>
          <w:sz w:val="22"/>
          <w:szCs w:val="22"/>
        </w:rPr>
        <w:t>, Information Age, Published: Charlotte, NC , p. 189–218</w:t>
      </w:r>
    </w:p>
    <w:p w14:paraId="3DD222F1"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intervention (pp. 99-129). London: Taylor &amp; Francis</w:t>
      </w:r>
    </w:p>
    <w:p w14:paraId="41935044" w14:textId="77777777" w:rsidR="001B75DF" w:rsidRPr="00D84902" w:rsidRDefault="001B75DF" w:rsidP="001B75DF">
      <w:pPr>
        <w:rPr>
          <w:rFonts w:cstheme="minorHAnsi"/>
          <w:i/>
          <w:iCs/>
          <w:color w:val="000000" w:themeColor="text1"/>
          <w:sz w:val="22"/>
          <w:szCs w:val="22"/>
        </w:rPr>
      </w:pPr>
      <w:r w:rsidRPr="00D84902">
        <w:rPr>
          <w:rFonts w:cstheme="minorHAnsi"/>
          <w:color w:val="000000" w:themeColor="text1"/>
          <w:sz w:val="22"/>
          <w:szCs w:val="22"/>
        </w:rPr>
        <w:lastRenderedPageBreak/>
        <w:t xml:space="preserve">Jimerson, S., Campos, E., &amp; Greif, J. (2003). </w:t>
      </w:r>
      <w:r w:rsidRPr="00D84902">
        <w:rPr>
          <w:rFonts w:cstheme="minorHAnsi"/>
          <w:i/>
          <w:iCs/>
          <w:color w:val="000000" w:themeColor="text1"/>
          <w:sz w:val="22"/>
          <w:szCs w:val="22"/>
        </w:rPr>
        <w:t>Towards an understanding of definitions and</w:t>
      </w:r>
    </w:p>
    <w:p w14:paraId="4B7B1CF1"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Kawulich, B. (2012) </w:t>
      </w:r>
      <w:r w:rsidRPr="00D84902">
        <w:rPr>
          <w:rFonts w:cstheme="minorHAnsi"/>
          <w:i/>
          <w:iCs/>
          <w:color w:val="000000" w:themeColor="text1"/>
          <w:sz w:val="22"/>
          <w:szCs w:val="22"/>
        </w:rPr>
        <w:t>Collecting data through observation</w:t>
      </w:r>
      <w:r w:rsidRPr="00D84902">
        <w:rPr>
          <w:rFonts w:cstheme="minorHAnsi"/>
          <w:color w:val="000000" w:themeColor="text1"/>
          <w:sz w:val="22"/>
          <w:szCs w:val="22"/>
        </w:rPr>
        <w:t>. In Wagner, C., Kawulich, B. &amp;</w:t>
      </w:r>
    </w:p>
    <w:p w14:paraId="4D121407"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Kuh, G.D. (2001) </w:t>
      </w:r>
      <w:r w:rsidRPr="00D84902">
        <w:rPr>
          <w:rFonts w:asciiTheme="minorHAnsi" w:hAnsiTheme="minorHAnsi" w:cstheme="minorHAnsi"/>
          <w:i/>
          <w:iCs/>
          <w:color w:val="000000" w:themeColor="text1"/>
          <w:sz w:val="22"/>
          <w:szCs w:val="22"/>
        </w:rPr>
        <w:t>Assessing What Really Matters to Student Learning</w:t>
      </w:r>
      <w:r w:rsidRPr="00D84902">
        <w:rPr>
          <w:rFonts w:asciiTheme="minorHAnsi" w:hAnsiTheme="minorHAnsi" w:cstheme="minorHAnsi"/>
          <w:color w:val="000000" w:themeColor="text1"/>
          <w:sz w:val="22"/>
          <w:szCs w:val="22"/>
        </w:rPr>
        <w:t xml:space="preserve"> Inside the National Survey of Student Engagement. Change. 33 (3), tt 10–17. </w:t>
      </w:r>
    </w:p>
    <w:p w14:paraId="49973F83"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Laevers, F. (2014). The Leuven Involvement Scale for Young Children. In S. Fraser, V. A. Lee, D. J. Harris, &amp; S. J. Uzzo (Eds.), The SAGE Handbook of Curriculum, Pedagogy and Assessment (pp. 405-420). Sage Publications.</w:t>
      </w:r>
    </w:p>
    <w:p w14:paraId="4A6C5ECE" w14:textId="77777777" w:rsidR="001B75DF" w:rsidRPr="00D84902" w:rsidRDefault="001B75DF" w:rsidP="001B75DF">
      <w:pPr>
        <w:pStyle w:val="NormalWeb"/>
        <w:rPr>
          <w:rFonts w:asciiTheme="minorHAnsi" w:hAnsiTheme="minorHAnsi" w:cstheme="minorHAnsi"/>
          <w:color w:val="000000" w:themeColor="text1"/>
          <w:sz w:val="22"/>
          <w:szCs w:val="22"/>
          <w:shd w:val="clear" w:color="auto" w:fill="FFFFFF"/>
        </w:rPr>
      </w:pPr>
      <w:r w:rsidRPr="00D84902">
        <w:rPr>
          <w:rFonts w:asciiTheme="minorHAnsi" w:hAnsiTheme="minorHAnsi" w:cstheme="minorHAnsi"/>
          <w:color w:val="000000" w:themeColor="text1"/>
          <w:sz w:val="22"/>
          <w:szCs w:val="22"/>
          <w:shd w:val="clear" w:color="auto" w:fill="FFFFFF"/>
        </w:rPr>
        <w:t>Martin, A. J., &amp; Dowson, M. (2009). Interpersonal relationships, motivation, engagement, and achievement: Yields for theory, current issues, and educational practice. Review of Educational Research, 79(1), 327-365.</w:t>
      </w:r>
    </w:p>
    <w:p w14:paraId="3A7DD2FD"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Marx, A., Fuhrer, U., &amp; Hartig, T. (2000). </w:t>
      </w:r>
      <w:r w:rsidRPr="00D84902">
        <w:rPr>
          <w:rFonts w:asciiTheme="minorHAnsi" w:hAnsiTheme="minorHAnsi" w:cstheme="minorHAnsi"/>
          <w:i/>
          <w:iCs/>
          <w:color w:val="000000" w:themeColor="text1"/>
          <w:sz w:val="22"/>
          <w:szCs w:val="22"/>
        </w:rPr>
        <w:t>Effects of classroom seating arrangements on children’s question- asking.</w:t>
      </w:r>
      <w:r w:rsidRPr="00D84902">
        <w:rPr>
          <w:rFonts w:asciiTheme="minorHAnsi" w:hAnsiTheme="minorHAnsi" w:cstheme="minorHAnsi"/>
          <w:color w:val="000000" w:themeColor="text1"/>
          <w:sz w:val="22"/>
          <w:szCs w:val="22"/>
        </w:rPr>
        <w:t xml:space="preserve"> Learning Environments Research, 2, 249-263. </w:t>
      </w:r>
    </w:p>
    <w:p w14:paraId="0813F8B3" w14:textId="77777777" w:rsidR="001B75DF" w:rsidRPr="00D84902" w:rsidRDefault="001B75DF" w:rsidP="001B75DF">
      <w:pPr>
        <w:rPr>
          <w:rFonts w:cstheme="minorHAnsi"/>
          <w:color w:val="000000" w:themeColor="text1"/>
          <w:sz w:val="22"/>
          <w:szCs w:val="22"/>
        </w:rPr>
      </w:pPr>
      <w:r w:rsidRPr="00D84902">
        <w:rPr>
          <w:rFonts w:cstheme="minorHAnsi"/>
          <w:i/>
          <w:iCs/>
          <w:color w:val="000000" w:themeColor="text1"/>
          <w:sz w:val="22"/>
          <w:szCs w:val="22"/>
        </w:rPr>
        <w:t>measures of school engagement and related terms</w:t>
      </w:r>
      <w:r w:rsidRPr="00D84902">
        <w:rPr>
          <w:rFonts w:cstheme="minorHAnsi"/>
          <w:color w:val="000000" w:themeColor="text1"/>
          <w:sz w:val="22"/>
          <w:szCs w:val="22"/>
        </w:rPr>
        <w:t>. California School Psychologist, 8, 7-28.</w:t>
      </w:r>
    </w:p>
    <w:p w14:paraId="013894C4"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Minchen, B. (2007) </w:t>
      </w:r>
      <w:r w:rsidRPr="00D84902">
        <w:rPr>
          <w:rFonts w:asciiTheme="minorHAnsi" w:hAnsiTheme="minorHAnsi" w:cstheme="minorHAnsi"/>
          <w:i/>
          <w:iCs/>
          <w:color w:val="000000" w:themeColor="text1"/>
          <w:sz w:val="22"/>
          <w:szCs w:val="22"/>
        </w:rPr>
        <w:t>The Effects of Classroom Seating on Students' Performance in a High School Science Setting</w:t>
      </w:r>
      <w:r w:rsidRPr="00D84902">
        <w:rPr>
          <w:rFonts w:asciiTheme="minorHAnsi" w:hAnsiTheme="minorHAnsi" w:cstheme="minorHAnsi"/>
          <w:color w:val="000000" w:themeColor="text1"/>
          <w:sz w:val="22"/>
          <w:szCs w:val="22"/>
        </w:rPr>
        <w:t xml:space="preserve">. SUNY. Ar gael yn </w:t>
      </w:r>
      <w:hyperlink r:id="rId7" w:history="1">
        <w:r w:rsidRPr="00D84902">
          <w:rPr>
            <w:rStyle w:val="Hyperlink"/>
            <w:rFonts w:asciiTheme="minorHAnsi" w:hAnsiTheme="minorHAnsi" w:cstheme="minorHAnsi"/>
            <w:color w:val="000000" w:themeColor="text1"/>
            <w:sz w:val="22"/>
            <w:szCs w:val="22"/>
          </w:rPr>
          <w:t>https://soar.suny.edu/handle/20.500.12648/5615</w:t>
        </w:r>
      </w:hyperlink>
      <w:r w:rsidRPr="00D84902">
        <w:rPr>
          <w:rFonts w:asciiTheme="minorHAnsi" w:hAnsiTheme="minorHAnsi" w:cstheme="minorHAnsi"/>
          <w:color w:val="000000" w:themeColor="text1"/>
          <w:sz w:val="22"/>
          <w:szCs w:val="22"/>
        </w:rPr>
        <w:t xml:space="preserve"> (Cyrchwyd: 27 Mawrth 2024). </w:t>
      </w:r>
    </w:p>
    <w:p w14:paraId="72AFDD58" w14:textId="77777777" w:rsidR="001B75DF" w:rsidRPr="00D84902" w:rsidRDefault="001B75DF" w:rsidP="001B75DF">
      <w:pPr>
        <w:pStyle w:val="NormalWeb"/>
        <w:rPr>
          <w:rFonts w:asciiTheme="minorHAnsi" w:hAnsiTheme="minorHAnsi" w:cstheme="minorHAnsi"/>
          <w:color w:val="000000" w:themeColor="text1"/>
          <w:sz w:val="22"/>
          <w:szCs w:val="22"/>
          <w:shd w:val="clear" w:color="auto" w:fill="FFFFFF"/>
        </w:rPr>
      </w:pPr>
      <w:r w:rsidRPr="00D84902">
        <w:rPr>
          <w:rFonts w:asciiTheme="minorHAnsi" w:hAnsiTheme="minorHAnsi" w:cstheme="minorHAnsi"/>
          <w:color w:val="000000" w:themeColor="text1"/>
          <w:sz w:val="22"/>
          <w:szCs w:val="22"/>
          <w:shd w:val="clear" w:color="auto" w:fill="FFFFFF"/>
        </w:rPr>
        <w:t>Morgan, H., Tomlinson, P. D., &amp; Tomlinson, S. (2013). Effective learning and teaching in secondary schools. Routledge.</w:t>
      </w:r>
    </w:p>
    <w:p w14:paraId="5FCB775F"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Nock, M. K. (2016). </w:t>
      </w:r>
      <w:r w:rsidRPr="00D84902">
        <w:rPr>
          <w:rFonts w:cstheme="minorHAnsi"/>
          <w:i/>
          <w:iCs/>
          <w:color w:val="000000" w:themeColor="text1"/>
          <w:sz w:val="22"/>
          <w:szCs w:val="22"/>
        </w:rPr>
        <w:t>The Oxford Handbook of Adolescent Development</w:t>
      </w:r>
      <w:r w:rsidRPr="00D84902">
        <w:rPr>
          <w:rFonts w:cstheme="minorHAnsi"/>
          <w:color w:val="000000" w:themeColor="text1"/>
          <w:sz w:val="22"/>
          <w:szCs w:val="22"/>
        </w:rPr>
        <w:t>. Oxford University Press.</w:t>
      </w:r>
    </w:p>
    <w:p w14:paraId="1BAF6D60"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shd w:val="clear" w:color="auto" w:fill="FFFFFF"/>
        </w:rPr>
        <w:t xml:space="preserve">Nowell, L. S., Norris, J. M., White, D. E., &amp; Moules, N. J. (2017). </w:t>
      </w:r>
      <w:r w:rsidRPr="00D84902">
        <w:rPr>
          <w:rFonts w:cstheme="minorHAnsi"/>
          <w:i/>
          <w:iCs/>
          <w:color w:val="000000" w:themeColor="text1"/>
          <w:sz w:val="22"/>
          <w:szCs w:val="22"/>
          <w:shd w:val="clear" w:color="auto" w:fill="FFFFFF"/>
        </w:rPr>
        <w:t>Thematic analysis: Striving to meet the trustworthiness criteria.</w:t>
      </w:r>
      <w:r w:rsidRPr="00D84902">
        <w:rPr>
          <w:rFonts w:cstheme="minorHAnsi"/>
          <w:color w:val="000000" w:themeColor="text1"/>
          <w:sz w:val="22"/>
          <w:szCs w:val="22"/>
          <w:shd w:val="clear" w:color="auto" w:fill="FFFFFF"/>
        </w:rPr>
        <w:t xml:space="preserve"> International Journal of Qualitative Methods, 16(1)</w:t>
      </w:r>
    </w:p>
    <w:p w14:paraId="3403CB00"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Perkins, K., &amp; Wieman, C. (2005). </w:t>
      </w:r>
      <w:r w:rsidRPr="00D84902">
        <w:rPr>
          <w:rFonts w:asciiTheme="minorHAnsi" w:hAnsiTheme="minorHAnsi" w:cstheme="minorHAnsi"/>
          <w:i/>
          <w:iCs/>
          <w:color w:val="000000" w:themeColor="text1"/>
          <w:sz w:val="22"/>
          <w:szCs w:val="22"/>
        </w:rPr>
        <w:t>The surprising impact of seat location on student performance.</w:t>
      </w:r>
      <w:r w:rsidRPr="00D84902">
        <w:rPr>
          <w:rFonts w:asciiTheme="minorHAnsi" w:hAnsiTheme="minorHAnsi" w:cstheme="minorHAnsi"/>
          <w:color w:val="000000" w:themeColor="text1"/>
          <w:sz w:val="22"/>
          <w:szCs w:val="22"/>
        </w:rPr>
        <w:t xml:space="preserve"> The Physics Teacher, 43, 30-33. </w:t>
      </w:r>
    </w:p>
    <w:p w14:paraId="108F91A6"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Ratner, C. (2002) </w:t>
      </w:r>
      <w:r w:rsidRPr="00D84902">
        <w:rPr>
          <w:rFonts w:cstheme="minorHAnsi"/>
          <w:i/>
          <w:iCs/>
          <w:color w:val="000000" w:themeColor="text1"/>
          <w:sz w:val="22"/>
          <w:szCs w:val="22"/>
        </w:rPr>
        <w:t>Subjectivity and objectivity in qualitative methodology.</w:t>
      </w:r>
      <w:r w:rsidRPr="00D84902">
        <w:rPr>
          <w:rFonts w:cstheme="minorHAnsi"/>
          <w:color w:val="000000" w:themeColor="text1"/>
          <w:sz w:val="22"/>
          <w:szCs w:val="22"/>
        </w:rPr>
        <w:t xml:space="preserve"> Forum Qualitative</w:t>
      </w:r>
    </w:p>
    <w:p w14:paraId="6ED34E31"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Robson, C. (1993) </w:t>
      </w:r>
      <w:r w:rsidRPr="00D84902">
        <w:rPr>
          <w:rFonts w:cstheme="minorHAnsi"/>
          <w:i/>
          <w:iCs/>
          <w:color w:val="000000" w:themeColor="text1"/>
          <w:sz w:val="22"/>
          <w:szCs w:val="22"/>
        </w:rPr>
        <w:t>Real World Research. A Resource for Social Scientists and Practitioner Researchers.</w:t>
      </w:r>
      <w:r w:rsidRPr="00D84902">
        <w:rPr>
          <w:rFonts w:cstheme="minorHAnsi"/>
          <w:color w:val="000000" w:themeColor="text1"/>
          <w:sz w:val="22"/>
          <w:szCs w:val="22"/>
        </w:rPr>
        <w:t xml:space="preserve"> Blackwell Publishers Inc., Oxford.</w:t>
      </w:r>
    </w:p>
    <w:p w14:paraId="3B6B932E"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Salkind, N. J. (2010). </w:t>
      </w:r>
      <w:r w:rsidRPr="00D84902">
        <w:rPr>
          <w:rFonts w:cstheme="minorHAnsi"/>
          <w:i/>
          <w:iCs/>
          <w:color w:val="000000" w:themeColor="text1"/>
          <w:sz w:val="22"/>
          <w:szCs w:val="22"/>
        </w:rPr>
        <w:t>Encyclopedia of Research Design.</w:t>
      </w:r>
      <w:r w:rsidRPr="00D84902">
        <w:rPr>
          <w:rFonts w:cstheme="minorHAnsi"/>
          <w:color w:val="000000" w:themeColor="text1"/>
          <w:sz w:val="22"/>
          <w:szCs w:val="22"/>
        </w:rPr>
        <w:t xml:space="preserve"> Sage Publications.</w:t>
      </w:r>
    </w:p>
    <w:p w14:paraId="28FA1C69" w14:textId="77777777" w:rsidR="001B75DF" w:rsidRPr="00D84902" w:rsidRDefault="001B75DF" w:rsidP="001B75DF">
      <w:pPr>
        <w:pStyle w:val="NormalWeb"/>
        <w:rPr>
          <w:rFonts w:ascii="Source Sans Pro" w:hAnsi="Source Sans Pro"/>
          <w:color w:val="000000" w:themeColor="text1"/>
          <w:sz w:val="23"/>
          <w:szCs w:val="23"/>
          <w:shd w:val="clear" w:color="auto" w:fill="FFFFFF"/>
        </w:rPr>
      </w:pPr>
      <w:r w:rsidRPr="00D84902">
        <w:rPr>
          <w:rFonts w:ascii="Source Sans Pro" w:hAnsi="Source Sans Pro"/>
          <w:color w:val="000000" w:themeColor="text1"/>
          <w:sz w:val="23"/>
          <w:szCs w:val="23"/>
          <w:shd w:val="clear" w:color="auto" w:fill="FFFFFF"/>
        </w:rPr>
        <w:t>Saraiya, P., Lee, P., &amp; North, C. (2005). Visualization of graphs with associated timeseries data.</w:t>
      </w:r>
    </w:p>
    <w:p w14:paraId="1E20B3AD"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Smith, J.A. (2015) Qualitative Psychology: A Practical Guide to Research Methods. Sage, London.</w:t>
      </w:r>
    </w:p>
    <w:p w14:paraId="6799AAEB"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Sozialforschung / Forum: Qualitative Social Research [On-line Journal], 3(3), Art.16.</w:t>
      </w:r>
    </w:p>
    <w:p w14:paraId="0D3EE69F"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Stake, R. E. (1995). The art of case study research. Sage Publications, Inc.</w:t>
      </w:r>
    </w:p>
    <w:p w14:paraId="41220ECB" w14:textId="77777777" w:rsidR="001B75DF" w:rsidRPr="00D84902" w:rsidRDefault="001B75DF" w:rsidP="001B75DF">
      <w:pPr>
        <w:rPr>
          <w:rFonts w:cstheme="minorHAnsi"/>
          <w:color w:val="000000" w:themeColor="text1"/>
          <w:sz w:val="22"/>
          <w:szCs w:val="22"/>
        </w:rPr>
      </w:pPr>
      <w:r w:rsidRPr="00D84902">
        <w:rPr>
          <w:rFonts w:cstheme="minorHAnsi"/>
          <w:color w:val="000000" w:themeColor="text1"/>
          <w:sz w:val="22"/>
          <w:szCs w:val="22"/>
        </w:rPr>
        <w:t xml:space="preserve">Tight, M. (2010) </w:t>
      </w:r>
      <w:r w:rsidRPr="00D84902">
        <w:rPr>
          <w:rFonts w:cstheme="minorHAnsi"/>
          <w:i/>
          <w:iCs/>
          <w:color w:val="000000" w:themeColor="text1"/>
          <w:sz w:val="22"/>
          <w:szCs w:val="22"/>
        </w:rPr>
        <w:t>The curious case of case study: a viewpoint</w:t>
      </w:r>
      <w:r w:rsidRPr="00D84902">
        <w:rPr>
          <w:rFonts w:cstheme="minorHAnsi"/>
          <w:color w:val="000000" w:themeColor="text1"/>
          <w:sz w:val="22"/>
          <w:szCs w:val="22"/>
        </w:rPr>
        <w:t>, International Journal of Social Research Methodology, 13:4, 329-339, DOI: 10.1080/13645570903187181</w:t>
      </w:r>
    </w:p>
    <w:p w14:paraId="529E61F4"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Vandenbroeck, M., Lazzari, A., &amp; Vanlaere, I. (2009). The Leuven Involvement Scale for Young Children: Manual and Training. Leuven: KU Leuven.</w:t>
      </w:r>
    </w:p>
    <w:p w14:paraId="2120B02C"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lastRenderedPageBreak/>
        <w:t>Vygotsky, L. S. (1978). Mind in Society: The Development of Higher Psychological Processes. Cambridge, MA: Harvard University Press.</w:t>
      </w:r>
    </w:p>
    <w:p w14:paraId="7E135C5A"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Weinstein, C. (1979). </w:t>
      </w:r>
      <w:r w:rsidRPr="00D84902">
        <w:rPr>
          <w:rFonts w:asciiTheme="minorHAnsi" w:hAnsiTheme="minorHAnsi" w:cstheme="minorHAnsi"/>
          <w:i/>
          <w:iCs/>
          <w:color w:val="000000" w:themeColor="text1"/>
          <w:sz w:val="22"/>
          <w:szCs w:val="22"/>
        </w:rPr>
        <w:t>The physical environment of the school: A review of the research.</w:t>
      </w:r>
      <w:r w:rsidRPr="00D84902">
        <w:rPr>
          <w:rFonts w:asciiTheme="minorHAnsi" w:hAnsiTheme="minorHAnsi" w:cstheme="minorHAnsi"/>
          <w:color w:val="000000" w:themeColor="text1"/>
          <w:sz w:val="22"/>
          <w:szCs w:val="22"/>
        </w:rPr>
        <w:t xml:space="preserve"> Review of Education Research, 49(4), 577-610. </w:t>
      </w:r>
    </w:p>
    <w:p w14:paraId="47CAD6C4"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Yin, R. K. (2018). </w:t>
      </w:r>
      <w:r w:rsidRPr="00D84902">
        <w:rPr>
          <w:rFonts w:asciiTheme="minorHAnsi" w:hAnsiTheme="minorHAnsi" w:cstheme="minorHAnsi"/>
          <w:i/>
          <w:iCs/>
          <w:color w:val="000000" w:themeColor="text1"/>
          <w:sz w:val="22"/>
          <w:szCs w:val="22"/>
        </w:rPr>
        <w:t>Case study research and applications: Design and methods.</w:t>
      </w:r>
      <w:r w:rsidRPr="00D84902">
        <w:rPr>
          <w:rFonts w:asciiTheme="minorHAnsi" w:hAnsiTheme="minorHAnsi" w:cstheme="minorHAnsi"/>
          <w:color w:val="000000" w:themeColor="text1"/>
          <w:sz w:val="22"/>
          <w:szCs w:val="22"/>
        </w:rPr>
        <w:t xml:space="preserve"> SAGE Publications.</w:t>
      </w:r>
    </w:p>
    <w:p w14:paraId="38F7605B"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 </w:t>
      </w:r>
    </w:p>
    <w:p w14:paraId="05384466" w14:textId="77777777" w:rsidR="001B75DF" w:rsidRPr="00D84902" w:rsidRDefault="001B75DF" w:rsidP="001B75DF">
      <w:pPr>
        <w:pStyle w:val="NormalWeb"/>
        <w:rPr>
          <w:rFonts w:asciiTheme="minorHAnsi" w:hAnsiTheme="minorHAnsi" w:cstheme="minorHAnsi"/>
          <w:color w:val="000000" w:themeColor="text1"/>
          <w:sz w:val="22"/>
          <w:szCs w:val="22"/>
        </w:rPr>
      </w:pPr>
    </w:p>
    <w:p w14:paraId="5AA4BF84" w14:textId="77777777" w:rsidR="001B75DF" w:rsidRPr="00D84902" w:rsidRDefault="001B75DF" w:rsidP="001B75DF">
      <w:pPr>
        <w:pStyle w:val="NormalWeb"/>
        <w:rPr>
          <w:rFonts w:asciiTheme="minorHAnsi" w:hAnsiTheme="minorHAnsi" w:cstheme="minorHAnsi"/>
          <w:color w:val="000000" w:themeColor="text1"/>
          <w:sz w:val="22"/>
          <w:szCs w:val="22"/>
        </w:rPr>
      </w:pPr>
    </w:p>
    <w:p w14:paraId="7D540936" w14:textId="77777777" w:rsidR="001B75DF" w:rsidRPr="00D84902" w:rsidRDefault="001B75DF" w:rsidP="001B75DF">
      <w:pPr>
        <w:rPr>
          <w:rFonts w:cstheme="minorHAnsi"/>
          <w:color w:val="000000" w:themeColor="text1"/>
          <w:sz w:val="22"/>
          <w:szCs w:val="22"/>
        </w:rPr>
      </w:pPr>
    </w:p>
    <w:p w14:paraId="1BF249CA" w14:textId="77777777" w:rsidR="001B75DF" w:rsidRPr="00D84902" w:rsidRDefault="001B75DF" w:rsidP="001B75DF">
      <w:pPr>
        <w:rPr>
          <w:rFonts w:cstheme="minorHAnsi"/>
          <w:color w:val="000000" w:themeColor="text1"/>
          <w:sz w:val="22"/>
          <w:szCs w:val="22"/>
        </w:rPr>
      </w:pPr>
    </w:p>
    <w:p w14:paraId="390596E3" w14:textId="77777777" w:rsidR="001B75DF" w:rsidRPr="00D84902" w:rsidRDefault="001B75DF" w:rsidP="001B75DF">
      <w:pPr>
        <w:rPr>
          <w:rFonts w:cstheme="minorHAnsi"/>
          <w:color w:val="000000" w:themeColor="text1"/>
          <w:sz w:val="22"/>
          <w:szCs w:val="22"/>
        </w:rPr>
      </w:pPr>
    </w:p>
    <w:p w14:paraId="267A4767" w14:textId="77777777" w:rsidR="001B75DF" w:rsidRPr="00D84902" w:rsidRDefault="001B75DF" w:rsidP="001B75DF">
      <w:pPr>
        <w:rPr>
          <w:rFonts w:cstheme="minorHAnsi"/>
          <w:color w:val="000000" w:themeColor="text1"/>
          <w:sz w:val="22"/>
          <w:szCs w:val="22"/>
        </w:rPr>
      </w:pPr>
    </w:p>
    <w:p w14:paraId="5BD30CCC" w14:textId="77777777" w:rsidR="001B75DF" w:rsidRPr="00D84902" w:rsidRDefault="001B75DF" w:rsidP="001B75DF">
      <w:pPr>
        <w:pStyle w:val="NormalWeb"/>
        <w:rPr>
          <w:rFonts w:asciiTheme="minorHAnsi" w:hAnsiTheme="minorHAnsi" w:cstheme="minorHAnsi"/>
          <w:color w:val="000000" w:themeColor="text1"/>
          <w:sz w:val="22"/>
          <w:szCs w:val="22"/>
        </w:rPr>
      </w:pPr>
    </w:p>
    <w:p w14:paraId="4A9ECF24" w14:textId="77777777" w:rsidR="001B75DF" w:rsidRPr="00D84902" w:rsidRDefault="001B75DF" w:rsidP="001B75DF">
      <w:pPr>
        <w:pStyle w:val="NormalWeb"/>
        <w:rPr>
          <w:rFonts w:asciiTheme="minorHAnsi" w:hAnsiTheme="minorHAnsi" w:cstheme="minorHAnsi"/>
          <w:b/>
          <w:bCs/>
          <w:color w:val="000000" w:themeColor="text1"/>
          <w:sz w:val="22"/>
          <w:szCs w:val="22"/>
        </w:rPr>
      </w:pPr>
    </w:p>
    <w:p w14:paraId="497D7A89" w14:textId="77777777" w:rsidR="001B75DF" w:rsidRPr="00D84902" w:rsidRDefault="001B75DF" w:rsidP="001B75DF">
      <w:pPr>
        <w:pStyle w:val="NormalWeb"/>
        <w:rPr>
          <w:rFonts w:asciiTheme="minorHAnsi" w:hAnsiTheme="minorHAnsi" w:cstheme="minorHAnsi"/>
          <w:color w:val="000000" w:themeColor="text1"/>
          <w:sz w:val="22"/>
          <w:szCs w:val="22"/>
        </w:rPr>
      </w:pPr>
    </w:p>
    <w:p w14:paraId="6DD2A72B" w14:textId="77777777" w:rsidR="001B75DF" w:rsidRPr="00D84902" w:rsidRDefault="001B75DF" w:rsidP="001B75DF">
      <w:pPr>
        <w:pStyle w:val="NormalWeb"/>
        <w:rPr>
          <w:rFonts w:asciiTheme="minorHAnsi" w:hAnsiTheme="minorHAnsi" w:cstheme="minorHAnsi"/>
          <w:color w:val="000000" w:themeColor="text1"/>
          <w:sz w:val="22"/>
          <w:szCs w:val="22"/>
        </w:rPr>
      </w:pPr>
      <w:r w:rsidRPr="00D84902">
        <w:rPr>
          <w:rFonts w:asciiTheme="minorHAnsi" w:hAnsiTheme="minorHAnsi" w:cstheme="minorHAnsi"/>
          <w:color w:val="000000" w:themeColor="text1"/>
          <w:sz w:val="22"/>
          <w:szCs w:val="22"/>
        </w:rPr>
        <w:t xml:space="preserve"> </w:t>
      </w:r>
    </w:p>
    <w:p w14:paraId="45640ED0" w14:textId="77777777" w:rsidR="001B75DF" w:rsidRPr="00D84902" w:rsidRDefault="001B75DF" w:rsidP="001B75DF">
      <w:pPr>
        <w:pStyle w:val="NormalWeb"/>
        <w:rPr>
          <w:rFonts w:asciiTheme="minorHAnsi" w:hAnsiTheme="minorHAnsi" w:cstheme="minorHAnsi"/>
          <w:color w:val="000000" w:themeColor="text1"/>
          <w:sz w:val="22"/>
          <w:szCs w:val="22"/>
        </w:rPr>
      </w:pPr>
    </w:p>
    <w:p w14:paraId="2A991482" w14:textId="77777777" w:rsidR="001B75DF" w:rsidRPr="00D84902" w:rsidRDefault="001B75DF" w:rsidP="001B75DF">
      <w:pPr>
        <w:pStyle w:val="NormalWeb"/>
        <w:rPr>
          <w:rFonts w:asciiTheme="minorHAnsi" w:hAnsiTheme="minorHAnsi" w:cstheme="minorHAnsi"/>
          <w:color w:val="000000" w:themeColor="text1"/>
          <w:sz w:val="22"/>
          <w:szCs w:val="22"/>
        </w:rPr>
      </w:pPr>
    </w:p>
    <w:p w14:paraId="4DB49BFD" w14:textId="77777777" w:rsidR="001B75DF" w:rsidRPr="00D84902" w:rsidRDefault="001B75DF" w:rsidP="001B75DF">
      <w:pPr>
        <w:rPr>
          <w:rFonts w:cstheme="minorHAnsi"/>
          <w:color w:val="000000" w:themeColor="text1"/>
          <w:sz w:val="22"/>
          <w:szCs w:val="22"/>
        </w:rPr>
      </w:pPr>
    </w:p>
    <w:p w14:paraId="24D10DCE" w14:textId="77777777" w:rsidR="001B75DF" w:rsidRPr="00D84902" w:rsidRDefault="001B75DF" w:rsidP="001B75DF">
      <w:pPr>
        <w:rPr>
          <w:rFonts w:cstheme="minorHAnsi"/>
          <w:color w:val="000000" w:themeColor="text1"/>
          <w:sz w:val="22"/>
          <w:szCs w:val="22"/>
        </w:rPr>
      </w:pPr>
    </w:p>
    <w:p w14:paraId="030B69F6" w14:textId="77777777" w:rsidR="001B75DF" w:rsidRPr="00D84902" w:rsidRDefault="001B75DF" w:rsidP="001B75DF">
      <w:pPr>
        <w:rPr>
          <w:rFonts w:cstheme="minorHAnsi"/>
          <w:color w:val="000000" w:themeColor="text1"/>
          <w:sz w:val="22"/>
          <w:szCs w:val="22"/>
        </w:rPr>
      </w:pPr>
    </w:p>
    <w:p w14:paraId="67ECB8D7" w14:textId="77777777" w:rsidR="001B75DF" w:rsidRPr="00D84902" w:rsidRDefault="001B75DF" w:rsidP="001B75DF">
      <w:pPr>
        <w:rPr>
          <w:rFonts w:cstheme="minorHAnsi"/>
          <w:color w:val="000000" w:themeColor="text1"/>
          <w:sz w:val="22"/>
          <w:szCs w:val="22"/>
        </w:rPr>
      </w:pPr>
    </w:p>
    <w:p w14:paraId="2DE5BE60" w14:textId="77777777" w:rsidR="001B75DF" w:rsidRPr="001B75DF" w:rsidRDefault="001B75DF" w:rsidP="001B75DF">
      <w:pPr>
        <w:spacing w:line="360" w:lineRule="auto"/>
        <w:rPr>
          <w:color w:val="000000" w:themeColor="text1"/>
          <w:sz w:val="22"/>
          <w:szCs w:val="22"/>
        </w:rPr>
      </w:pPr>
    </w:p>
    <w:p w14:paraId="002B614F" w14:textId="0DAAD3EB" w:rsidR="004946C4" w:rsidRPr="008A66E7" w:rsidRDefault="004946C4" w:rsidP="001B75DF">
      <w:pPr>
        <w:spacing w:line="360" w:lineRule="auto"/>
        <w:rPr>
          <w:color w:val="000000" w:themeColor="text1"/>
          <w:sz w:val="22"/>
          <w:szCs w:val="22"/>
        </w:rPr>
      </w:pPr>
    </w:p>
    <w:sectPr w:rsidR="004946C4" w:rsidRPr="008A66E7" w:rsidSect="008B62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21"/>
    <w:rsid w:val="00014197"/>
    <w:rsid w:val="000148E7"/>
    <w:rsid w:val="00016DC6"/>
    <w:rsid w:val="000367C6"/>
    <w:rsid w:val="000666C4"/>
    <w:rsid w:val="000755CC"/>
    <w:rsid w:val="00080E6B"/>
    <w:rsid w:val="000825F6"/>
    <w:rsid w:val="000959F3"/>
    <w:rsid w:val="000A46FA"/>
    <w:rsid w:val="000B3161"/>
    <w:rsid w:val="000B3382"/>
    <w:rsid w:val="000B355B"/>
    <w:rsid w:val="000B6EC2"/>
    <w:rsid w:val="000E5AB2"/>
    <w:rsid w:val="001134DD"/>
    <w:rsid w:val="00123F18"/>
    <w:rsid w:val="00137BF5"/>
    <w:rsid w:val="001626E1"/>
    <w:rsid w:val="00172096"/>
    <w:rsid w:val="0018368E"/>
    <w:rsid w:val="00191FFC"/>
    <w:rsid w:val="001A117E"/>
    <w:rsid w:val="001A27C3"/>
    <w:rsid w:val="001B2EE4"/>
    <w:rsid w:val="001B75DF"/>
    <w:rsid w:val="001C062C"/>
    <w:rsid w:val="001F29AC"/>
    <w:rsid w:val="001F38D9"/>
    <w:rsid w:val="001F4FA7"/>
    <w:rsid w:val="00204C6E"/>
    <w:rsid w:val="00212A3C"/>
    <w:rsid w:val="00241932"/>
    <w:rsid w:val="00243008"/>
    <w:rsid w:val="00243B99"/>
    <w:rsid w:val="00253503"/>
    <w:rsid w:val="002557E3"/>
    <w:rsid w:val="00260A95"/>
    <w:rsid w:val="0027422D"/>
    <w:rsid w:val="0027727F"/>
    <w:rsid w:val="00296C54"/>
    <w:rsid w:val="00297636"/>
    <w:rsid w:val="00297663"/>
    <w:rsid w:val="00297AED"/>
    <w:rsid w:val="002A663E"/>
    <w:rsid w:val="002B12E0"/>
    <w:rsid w:val="002B3381"/>
    <w:rsid w:val="002C4FAB"/>
    <w:rsid w:val="002D51A9"/>
    <w:rsid w:val="002D773B"/>
    <w:rsid w:val="002F34A0"/>
    <w:rsid w:val="0030455B"/>
    <w:rsid w:val="00315EE4"/>
    <w:rsid w:val="0035307B"/>
    <w:rsid w:val="003575BE"/>
    <w:rsid w:val="00360BB6"/>
    <w:rsid w:val="003638BC"/>
    <w:rsid w:val="003656A0"/>
    <w:rsid w:val="00367DAB"/>
    <w:rsid w:val="003A6713"/>
    <w:rsid w:val="003B7C84"/>
    <w:rsid w:val="003E746B"/>
    <w:rsid w:val="00413FA4"/>
    <w:rsid w:val="00416C62"/>
    <w:rsid w:val="004220AD"/>
    <w:rsid w:val="00422F56"/>
    <w:rsid w:val="00437334"/>
    <w:rsid w:val="00437BBA"/>
    <w:rsid w:val="00446D1C"/>
    <w:rsid w:val="0046622C"/>
    <w:rsid w:val="00480466"/>
    <w:rsid w:val="004849FD"/>
    <w:rsid w:val="004946C4"/>
    <w:rsid w:val="00497768"/>
    <w:rsid w:val="004C1F24"/>
    <w:rsid w:val="004C47B9"/>
    <w:rsid w:val="004D76FC"/>
    <w:rsid w:val="004F165F"/>
    <w:rsid w:val="0050268C"/>
    <w:rsid w:val="0051088E"/>
    <w:rsid w:val="005146DD"/>
    <w:rsid w:val="00531061"/>
    <w:rsid w:val="005311F7"/>
    <w:rsid w:val="00534875"/>
    <w:rsid w:val="0054585A"/>
    <w:rsid w:val="00555376"/>
    <w:rsid w:val="0056730F"/>
    <w:rsid w:val="00574943"/>
    <w:rsid w:val="0059138B"/>
    <w:rsid w:val="005A6BBA"/>
    <w:rsid w:val="005B7E1E"/>
    <w:rsid w:val="005D705D"/>
    <w:rsid w:val="005D7245"/>
    <w:rsid w:val="005D79AC"/>
    <w:rsid w:val="005F1DDA"/>
    <w:rsid w:val="00605C15"/>
    <w:rsid w:val="006172C2"/>
    <w:rsid w:val="00634B42"/>
    <w:rsid w:val="006642EE"/>
    <w:rsid w:val="00665353"/>
    <w:rsid w:val="00670816"/>
    <w:rsid w:val="00684587"/>
    <w:rsid w:val="006A57B0"/>
    <w:rsid w:val="006B3D4A"/>
    <w:rsid w:val="006C2FFA"/>
    <w:rsid w:val="006C513D"/>
    <w:rsid w:val="006E0C30"/>
    <w:rsid w:val="006E29EF"/>
    <w:rsid w:val="006E5ADE"/>
    <w:rsid w:val="006F4D1C"/>
    <w:rsid w:val="0070187C"/>
    <w:rsid w:val="0074407C"/>
    <w:rsid w:val="00782D73"/>
    <w:rsid w:val="007831B3"/>
    <w:rsid w:val="007956B6"/>
    <w:rsid w:val="007A3FE3"/>
    <w:rsid w:val="007B0C73"/>
    <w:rsid w:val="007C4B08"/>
    <w:rsid w:val="007C5563"/>
    <w:rsid w:val="007D1488"/>
    <w:rsid w:val="007D4970"/>
    <w:rsid w:val="007D4D42"/>
    <w:rsid w:val="007E0784"/>
    <w:rsid w:val="007E0A4B"/>
    <w:rsid w:val="007F6CED"/>
    <w:rsid w:val="00807860"/>
    <w:rsid w:val="00812E3C"/>
    <w:rsid w:val="008234A6"/>
    <w:rsid w:val="008263C9"/>
    <w:rsid w:val="00827934"/>
    <w:rsid w:val="00827F11"/>
    <w:rsid w:val="0083092B"/>
    <w:rsid w:val="008345A2"/>
    <w:rsid w:val="008604D5"/>
    <w:rsid w:val="00890082"/>
    <w:rsid w:val="008978D1"/>
    <w:rsid w:val="008A646D"/>
    <w:rsid w:val="008A66E7"/>
    <w:rsid w:val="008A6B71"/>
    <w:rsid w:val="008B6221"/>
    <w:rsid w:val="008D2096"/>
    <w:rsid w:val="008D3F64"/>
    <w:rsid w:val="008D5953"/>
    <w:rsid w:val="008F2CF7"/>
    <w:rsid w:val="008F465A"/>
    <w:rsid w:val="008F7114"/>
    <w:rsid w:val="00903C7B"/>
    <w:rsid w:val="0090501C"/>
    <w:rsid w:val="00907D78"/>
    <w:rsid w:val="009239AE"/>
    <w:rsid w:val="00924121"/>
    <w:rsid w:val="0092566B"/>
    <w:rsid w:val="00930681"/>
    <w:rsid w:val="00932C2C"/>
    <w:rsid w:val="00954CE5"/>
    <w:rsid w:val="00963078"/>
    <w:rsid w:val="0097275D"/>
    <w:rsid w:val="009732F2"/>
    <w:rsid w:val="00973FFB"/>
    <w:rsid w:val="009819E4"/>
    <w:rsid w:val="00984DA1"/>
    <w:rsid w:val="009A30EB"/>
    <w:rsid w:val="009B76DF"/>
    <w:rsid w:val="009B7DDC"/>
    <w:rsid w:val="009D13E8"/>
    <w:rsid w:val="009E0A6C"/>
    <w:rsid w:val="009E6A18"/>
    <w:rsid w:val="009F0C9A"/>
    <w:rsid w:val="00A02DC9"/>
    <w:rsid w:val="00A068C2"/>
    <w:rsid w:val="00A07C55"/>
    <w:rsid w:val="00A13920"/>
    <w:rsid w:val="00A40D00"/>
    <w:rsid w:val="00A467B4"/>
    <w:rsid w:val="00A720C2"/>
    <w:rsid w:val="00A75A5C"/>
    <w:rsid w:val="00A9328C"/>
    <w:rsid w:val="00A96138"/>
    <w:rsid w:val="00AA608E"/>
    <w:rsid w:val="00AB1206"/>
    <w:rsid w:val="00AB7527"/>
    <w:rsid w:val="00AC04F4"/>
    <w:rsid w:val="00AC5636"/>
    <w:rsid w:val="00AD3DE4"/>
    <w:rsid w:val="00AE320D"/>
    <w:rsid w:val="00AE7756"/>
    <w:rsid w:val="00B117A9"/>
    <w:rsid w:val="00B20191"/>
    <w:rsid w:val="00B22B89"/>
    <w:rsid w:val="00B30D4B"/>
    <w:rsid w:val="00B33FE3"/>
    <w:rsid w:val="00B40612"/>
    <w:rsid w:val="00B430F8"/>
    <w:rsid w:val="00B4793C"/>
    <w:rsid w:val="00B519BB"/>
    <w:rsid w:val="00B555BF"/>
    <w:rsid w:val="00B744A3"/>
    <w:rsid w:val="00B850E8"/>
    <w:rsid w:val="00B907D7"/>
    <w:rsid w:val="00B968F8"/>
    <w:rsid w:val="00BA09FB"/>
    <w:rsid w:val="00BA5AE1"/>
    <w:rsid w:val="00BA78F8"/>
    <w:rsid w:val="00BA7E95"/>
    <w:rsid w:val="00BB524E"/>
    <w:rsid w:val="00BC0BE0"/>
    <w:rsid w:val="00BD122D"/>
    <w:rsid w:val="00BD3B52"/>
    <w:rsid w:val="00BD6709"/>
    <w:rsid w:val="00BE030E"/>
    <w:rsid w:val="00BE3343"/>
    <w:rsid w:val="00BE7780"/>
    <w:rsid w:val="00BE77E6"/>
    <w:rsid w:val="00BF3C54"/>
    <w:rsid w:val="00BF3D60"/>
    <w:rsid w:val="00C13BE2"/>
    <w:rsid w:val="00C1721E"/>
    <w:rsid w:val="00C33CC8"/>
    <w:rsid w:val="00C44A90"/>
    <w:rsid w:val="00C61856"/>
    <w:rsid w:val="00C70B32"/>
    <w:rsid w:val="00C74817"/>
    <w:rsid w:val="00C830D4"/>
    <w:rsid w:val="00C95F3C"/>
    <w:rsid w:val="00CA194B"/>
    <w:rsid w:val="00CB2AA9"/>
    <w:rsid w:val="00CC3EDA"/>
    <w:rsid w:val="00CF322D"/>
    <w:rsid w:val="00D05D8B"/>
    <w:rsid w:val="00D13CD8"/>
    <w:rsid w:val="00D24601"/>
    <w:rsid w:val="00D25D00"/>
    <w:rsid w:val="00D25D8B"/>
    <w:rsid w:val="00D275B7"/>
    <w:rsid w:val="00D3628B"/>
    <w:rsid w:val="00D426D3"/>
    <w:rsid w:val="00D51DA3"/>
    <w:rsid w:val="00D5355D"/>
    <w:rsid w:val="00D76442"/>
    <w:rsid w:val="00D832BE"/>
    <w:rsid w:val="00D95F9E"/>
    <w:rsid w:val="00DA46A2"/>
    <w:rsid w:val="00DB570B"/>
    <w:rsid w:val="00DB68A2"/>
    <w:rsid w:val="00DC1EE5"/>
    <w:rsid w:val="00E109FA"/>
    <w:rsid w:val="00E20B54"/>
    <w:rsid w:val="00E20B67"/>
    <w:rsid w:val="00E326D2"/>
    <w:rsid w:val="00E378F4"/>
    <w:rsid w:val="00E56B64"/>
    <w:rsid w:val="00E6055E"/>
    <w:rsid w:val="00E864BA"/>
    <w:rsid w:val="00E9448F"/>
    <w:rsid w:val="00EA24C7"/>
    <w:rsid w:val="00EA669D"/>
    <w:rsid w:val="00EB0C68"/>
    <w:rsid w:val="00EB6D5E"/>
    <w:rsid w:val="00EB762F"/>
    <w:rsid w:val="00ED12F1"/>
    <w:rsid w:val="00ED2B95"/>
    <w:rsid w:val="00ED3516"/>
    <w:rsid w:val="00F0600E"/>
    <w:rsid w:val="00F11C92"/>
    <w:rsid w:val="00F17498"/>
    <w:rsid w:val="00F215A2"/>
    <w:rsid w:val="00F27D28"/>
    <w:rsid w:val="00F27EE6"/>
    <w:rsid w:val="00F4146B"/>
    <w:rsid w:val="00F70560"/>
    <w:rsid w:val="00F77E3C"/>
    <w:rsid w:val="00FA1886"/>
    <w:rsid w:val="00FA6158"/>
    <w:rsid w:val="00FB6672"/>
    <w:rsid w:val="00FF1085"/>
    <w:rsid w:val="00FF17C8"/>
    <w:rsid w:val="00FF1A0F"/>
    <w:rsid w:val="00FF2B52"/>
    <w:rsid w:val="0B289DE2"/>
    <w:rsid w:val="11C19561"/>
    <w:rsid w:val="15D172E0"/>
    <w:rsid w:val="15F5146B"/>
    <w:rsid w:val="163568C0"/>
    <w:rsid w:val="1A334C4A"/>
    <w:rsid w:val="1F89EDA5"/>
    <w:rsid w:val="22F3BF4A"/>
    <w:rsid w:val="2E96B0F4"/>
    <w:rsid w:val="2EF0529C"/>
    <w:rsid w:val="36E4F437"/>
    <w:rsid w:val="3D932561"/>
    <w:rsid w:val="3E18E250"/>
    <w:rsid w:val="3F0304AE"/>
    <w:rsid w:val="53193FB9"/>
    <w:rsid w:val="577800B8"/>
    <w:rsid w:val="60F99ED8"/>
    <w:rsid w:val="65683E01"/>
    <w:rsid w:val="69113251"/>
    <w:rsid w:val="71057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2D956"/>
  <w15:chartTrackingRefBased/>
  <w15:docId w15:val="{6E9D9035-7627-E247-8AB4-5A892ADA5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22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B6221"/>
    <w:rPr>
      <w:rFonts w:eastAsiaTheme="minorEastAsia"/>
      <w:kern w:val="0"/>
      <w:sz w:val="22"/>
      <w:szCs w:val="22"/>
      <w:lang w:val="en-US" w:eastAsia="zh-CN"/>
      <w14:ligatures w14:val="none"/>
    </w:rPr>
  </w:style>
  <w:style w:type="paragraph" w:styleId="NormalWeb">
    <w:name w:val="Normal (Web)"/>
    <w:basedOn w:val="Normal"/>
    <w:uiPriority w:val="99"/>
    <w:unhideWhenUsed/>
    <w:rsid w:val="001134D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B75DF"/>
    <w:rPr>
      <w:color w:val="CC99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030322">
      <w:bodyDiv w:val="1"/>
      <w:marLeft w:val="0"/>
      <w:marRight w:val="0"/>
      <w:marTop w:val="0"/>
      <w:marBottom w:val="0"/>
      <w:divBdr>
        <w:top w:val="none" w:sz="0" w:space="0" w:color="auto"/>
        <w:left w:val="none" w:sz="0" w:space="0" w:color="auto"/>
        <w:bottom w:val="none" w:sz="0" w:space="0" w:color="auto"/>
        <w:right w:val="none" w:sz="0" w:space="0" w:color="auto"/>
      </w:divBdr>
      <w:divsChild>
        <w:div w:id="1937520471">
          <w:marLeft w:val="0"/>
          <w:marRight w:val="0"/>
          <w:marTop w:val="0"/>
          <w:marBottom w:val="0"/>
          <w:divBdr>
            <w:top w:val="none" w:sz="0" w:space="0" w:color="auto"/>
            <w:left w:val="none" w:sz="0" w:space="0" w:color="auto"/>
            <w:bottom w:val="none" w:sz="0" w:space="0" w:color="auto"/>
            <w:right w:val="none" w:sz="0" w:space="0" w:color="auto"/>
          </w:divBdr>
          <w:divsChild>
            <w:div w:id="1409228228">
              <w:marLeft w:val="0"/>
              <w:marRight w:val="0"/>
              <w:marTop w:val="0"/>
              <w:marBottom w:val="0"/>
              <w:divBdr>
                <w:top w:val="none" w:sz="0" w:space="0" w:color="auto"/>
                <w:left w:val="none" w:sz="0" w:space="0" w:color="auto"/>
                <w:bottom w:val="none" w:sz="0" w:space="0" w:color="auto"/>
                <w:right w:val="none" w:sz="0" w:space="0" w:color="auto"/>
              </w:divBdr>
              <w:divsChild>
                <w:div w:id="146927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082425">
      <w:bodyDiv w:val="1"/>
      <w:marLeft w:val="0"/>
      <w:marRight w:val="0"/>
      <w:marTop w:val="0"/>
      <w:marBottom w:val="0"/>
      <w:divBdr>
        <w:top w:val="none" w:sz="0" w:space="0" w:color="auto"/>
        <w:left w:val="none" w:sz="0" w:space="0" w:color="auto"/>
        <w:bottom w:val="none" w:sz="0" w:space="0" w:color="auto"/>
        <w:right w:val="none" w:sz="0" w:space="0" w:color="auto"/>
      </w:divBdr>
      <w:divsChild>
        <w:div w:id="2053771880">
          <w:marLeft w:val="0"/>
          <w:marRight w:val="0"/>
          <w:marTop w:val="0"/>
          <w:marBottom w:val="0"/>
          <w:divBdr>
            <w:top w:val="none" w:sz="0" w:space="0" w:color="auto"/>
            <w:left w:val="none" w:sz="0" w:space="0" w:color="auto"/>
            <w:bottom w:val="none" w:sz="0" w:space="0" w:color="auto"/>
            <w:right w:val="none" w:sz="0" w:space="0" w:color="auto"/>
          </w:divBdr>
          <w:divsChild>
            <w:div w:id="59405540">
              <w:marLeft w:val="0"/>
              <w:marRight w:val="0"/>
              <w:marTop w:val="0"/>
              <w:marBottom w:val="0"/>
              <w:divBdr>
                <w:top w:val="none" w:sz="0" w:space="0" w:color="auto"/>
                <w:left w:val="none" w:sz="0" w:space="0" w:color="auto"/>
                <w:bottom w:val="none" w:sz="0" w:space="0" w:color="auto"/>
                <w:right w:val="none" w:sz="0" w:space="0" w:color="auto"/>
              </w:divBdr>
              <w:divsChild>
                <w:div w:id="142279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oar.suny.edu/handle/20.500.12648/561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journals.sagepub.com/doi/10.1177/014272379001003005" TargetMode="External"/><Relationship Id="rId5" Type="http://schemas.openxmlformats.org/officeDocument/2006/relationships/hyperlink" Target="https://www.estyn.llyw.cymru/darparwr/6704074"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6044</Words>
  <Characters>31490</Characters>
  <Application>Microsoft Office Word</Application>
  <DocSecurity>0</DocSecurity>
  <Lines>524</Lines>
  <Paragraphs>99</Paragraphs>
  <ScaleCrop>false</ScaleCrop>
  <Company>1818930</Company>
  <LinksUpToDate>false</LinksUpToDate>
  <CharactersWithSpaces>37435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Sut mae cynllun eistedd yn effeithio ar ymgysylltiad disgyblion blwyddyn 9 mewn gwersi Hanes?</dc:title>
  <dc:subject>ECAD7004-C</dc:subject>
  <dc:creator>Caitlyn White</dc:creator>
  <cp:keywords/>
  <dc:description/>
  <cp:lastModifiedBy>Caitlyn White</cp:lastModifiedBy>
  <cp:revision>3</cp:revision>
  <dcterms:created xsi:type="dcterms:W3CDTF">2024-05-06T16:05:00Z</dcterms:created>
  <dcterms:modified xsi:type="dcterms:W3CDTF">2024-05-06T16:07:00Z</dcterms:modified>
</cp:coreProperties>
</file>