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E3B5B" w14:textId="7F0BD10D" w:rsidR="008B46E3" w:rsidRDefault="008B46E3" w:rsidP="008B46E3">
      <w:pPr>
        <w:spacing w:line="360" w:lineRule="auto"/>
        <w:jc w:val="center"/>
      </w:pPr>
      <w:r>
        <w:rPr>
          <w:noProof/>
        </w:rPr>
        <w:drawing>
          <wp:inline distT="0" distB="0" distL="0" distR="0" wp14:anchorId="0C9003DA" wp14:editId="70476C1F">
            <wp:extent cx="3898900" cy="4108450"/>
            <wp:effectExtent l="0" t="0" r="6350" b="6350"/>
            <wp:docPr id="562995952" name="图片 1" descr="微信图片_20221214215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 descr="微信图片_202212142150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0" cy="410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7E4C8" w14:textId="1B2B4EE2" w:rsidR="008B46E3" w:rsidRDefault="008B46E3" w:rsidP="008B46E3">
      <w:pPr>
        <w:pStyle w:val="1"/>
        <w:jc w:val="center"/>
        <w:rPr>
          <w:rFonts w:ascii="Arial" w:eastAsia="宋体" w:hAnsi="Arial" w:cs="Arial"/>
          <w:b/>
          <w:bCs/>
          <w:color w:val="auto"/>
          <w:sz w:val="22"/>
          <w:szCs w:val="22"/>
          <w:u w:val="single"/>
          <w:lang w:val="en-US" w:eastAsia="zh-CN"/>
        </w:rPr>
      </w:pPr>
      <w:r>
        <w:rPr>
          <w:rFonts w:ascii="Arial" w:eastAsia="宋体" w:hAnsi="Arial" w:cs="Arial"/>
          <w:b/>
          <w:bCs/>
          <w:color w:val="auto"/>
          <w:sz w:val="22"/>
          <w:szCs w:val="22"/>
          <w:u w:val="single"/>
          <w:lang w:val="en-US" w:eastAsia="zh-CN"/>
        </w:rPr>
        <w:t>April 2023</w:t>
      </w:r>
    </w:p>
    <w:p w14:paraId="42809483" w14:textId="77777777" w:rsidR="008B46E3" w:rsidRDefault="008B46E3" w:rsidP="008B46E3">
      <w:pPr>
        <w:rPr>
          <w:rFonts w:ascii="Arial" w:eastAsia="宋体" w:hAnsi="Arial" w:cs="Arial"/>
          <w:b/>
          <w:bCs/>
          <w:u w:val="single"/>
          <w:lang w:val="en-US" w:eastAsia="zh-CN"/>
        </w:rPr>
      </w:pPr>
    </w:p>
    <w:p w14:paraId="59CE46D8" w14:textId="77777777" w:rsidR="008B46E3" w:rsidRDefault="008B46E3" w:rsidP="008B46E3">
      <w:pPr>
        <w:pStyle w:val="1"/>
        <w:rPr>
          <w:rFonts w:ascii="Arial" w:eastAsia="宋体" w:hAnsi="Arial" w:cs="Arial"/>
          <w:b/>
          <w:bCs/>
          <w:color w:val="000000" w:themeColor="text1"/>
          <w:sz w:val="22"/>
          <w:szCs w:val="22"/>
          <w:u w:val="single"/>
          <w:lang w:val="en-US" w:eastAsia="zh-CN"/>
        </w:rPr>
      </w:pPr>
      <w:r>
        <w:rPr>
          <w:rFonts w:ascii="Arial" w:eastAsia="宋体" w:hAnsi="Arial" w:cs="Arial"/>
          <w:b/>
          <w:bCs/>
          <w:color w:val="000000" w:themeColor="text1"/>
          <w:sz w:val="22"/>
          <w:szCs w:val="22"/>
          <w:u w:val="single"/>
          <w:lang w:val="en-US" w:eastAsia="zh-CN"/>
        </w:rPr>
        <w:t>MODULE NAME :Human Resource Management(BMMB7007)</w:t>
      </w:r>
    </w:p>
    <w:p w14:paraId="5980C3D4" w14:textId="77777777" w:rsidR="008B46E3" w:rsidRDefault="008B46E3" w:rsidP="008B46E3">
      <w:pPr>
        <w:rPr>
          <w:lang w:val="en-US" w:eastAsia="zh-CN"/>
        </w:rPr>
      </w:pPr>
    </w:p>
    <w:p w14:paraId="3BE5836B" w14:textId="77777777" w:rsidR="008B46E3" w:rsidRDefault="008B46E3" w:rsidP="008B46E3">
      <w:pP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</w:pPr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 xml:space="preserve">MODULE </w:t>
      </w:r>
      <w:proofErr w:type="spellStart"/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>LEADER:James</w:t>
      </w:r>
      <w:proofErr w:type="spellEnd"/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 xml:space="preserve"> Moore</w:t>
      </w:r>
    </w:p>
    <w:p w14:paraId="6EEF6CD2" w14:textId="77777777" w:rsidR="008B46E3" w:rsidRDefault="008B46E3" w:rsidP="008B46E3">
      <w:pP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</w:pPr>
    </w:p>
    <w:p w14:paraId="42B8E84D" w14:textId="19744129" w:rsidR="008B46E3" w:rsidRPr="008B46E3" w:rsidRDefault="008B46E3">
      <w:pP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</w:pPr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 xml:space="preserve">STUDENT </w:t>
      </w:r>
      <w:proofErr w:type="spellStart"/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>NAME:Jinhui</w:t>
      </w:r>
      <w:proofErr w:type="spellEnd"/>
      <w:r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 xml:space="preserve"> Li</w:t>
      </w:r>
    </w:p>
    <w:p w14:paraId="117D8D3C" w14:textId="77777777" w:rsidR="008B46E3" w:rsidRDefault="008B46E3"/>
    <w:p w14:paraId="40F6192A" w14:textId="406171A6" w:rsidR="009B14B3" w:rsidRDefault="008B46E3">
      <w:r w:rsidRPr="008B46E3">
        <w:rPr>
          <w:rFonts w:ascii="Arial" w:eastAsia="宋体" w:hAnsi="Arial" w:cs="Arial" w:hint="eastAsia"/>
          <w:b/>
          <w:bCs/>
          <w:color w:val="000000" w:themeColor="text1"/>
          <w:u w:val="single"/>
          <w:lang w:val="en-US" w:eastAsia="zh-CN"/>
        </w:rPr>
        <w:t>Vide</w:t>
      </w:r>
      <w:r w:rsidRPr="008B46E3">
        <w:rPr>
          <w:rFonts w:ascii="Arial" w:eastAsia="宋体" w:hAnsi="Arial" w:cs="Arial"/>
          <w:b/>
          <w:bCs/>
          <w:color w:val="000000" w:themeColor="text1"/>
          <w:u w:val="single"/>
          <w:lang w:val="en-US" w:eastAsia="zh-CN"/>
        </w:rPr>
        <w:t>o Link--</w:t>
      </w:r>
      <w:r>
        <w:t xml:space="preserve">-- </w:t>
      </w:r>
      <w:hyperlink r:id="rId8" w:history="1">
        <w:r>
          <w:rPr>
            <w:rStyle w:val="a7"/>
          </w:rPr>
          <w:t>Jinhui HRM .mp4</w:t>
        </w:r>
      </w:hyperlink>
    </w:p>
    <w:p w14:paraId="11B4F4BF" w14:textId="25C51E4F" w:rsidR="009B29E3" w:rsidRDefault="00D46BF3" w:rsidP="007D0A67">
      <w:pPr>
        <w:ind w:firstLineChars="700" w:firstLine="1540"/>
      </w:pPr>
      <w:hyperlink r:id="rId9" w:history="1">
        <w:r>
          <w:rPr>
            <w:rStyle w:val="a7"/>
          </w:rPr>
          <w:t>Jinhui HRM .mp4</w:t>
        </w:r>
      </w:hyperlink>
    </w:p>
    <w:p w14:paraId="5A46AB29" w14:textId="168BB9FE" w:rsidR="007D0A67" w:rsidRDefault="007D0A67" w:rsidP="007D0A67">
      <w:pPr>
        <w:ind w:firstLineChars="700" w:firstLine="1540"/>
        <w:rPr>
          <w:rFonts w:hint="eastAsia"/>
          <w:lang w:eastAsia="zh-CN"/>
        </w:rPr>
      </w:pPr>
      <w:r>
        <w:rPr>
          <w:lang w:eastAsia="zh-CN"/>
        </w:rPr>
        <w:t xml:space="preserve">Same video with different link </w:t>
      </w:r>
    </w:p>
    <w:p w14:paraId="25C55745" w14:textId="77777777" w:rsidR="009B29E3" w:rsidRDefault="009B29E3"/>
    <w:p w14:paraId="54901C65" w14:textId="77777777" w:rsidR="00D46BF3" w:rsidRDefault="00D46BF3"/>
    <w:p w14:paraId="4D097299" w14:textId="77777777" w:rsidR="00D46BF3" w:rsidRDefault="00D46BF3"/>
    <w:p w14:paraId="4C5455B9" w14:textId="77777777" w:rsidR="00D46BF3" w:rsidRDefault="00D46BF3"/>
    <w:p w14:paraId="72D6FA56" w14:textId="77777777" w:rsidR="009B29E3" w:rsidRPr="001F7FC4" w:rsidRDefault="009B29E3" w:rsidP="009B29E3">
      <w:pPr>
        <w:pStyle w:val="a9"/>
        <w:numPr>
          <w:ilvl w:val="0"/>
          <w:numId w:val="1"/>
        </w:numPr>
        <w:spacing w:line="360" w:lineRule="auto"/>
        <w:jc w:val="both"/>
        <w:rPr>
          <w:rFonts w:cs="Arial"/>
          <w:sz w:val="22"/>
          <w:szCs w:val="22"/>
        </w:rPr>
      </w:pPr>
      <w:r w:rsidRPr="001F7FC4">
        <w:rPr>
          <w:rFonts w:cs="Arial"/>
          <w:sz w:val="22"/>
          <w:szCs w:val="22"/>
        </w:rPr>
        <w:lastRenderedPageBreak/>
        <w:t>Reference list</w:t>
      </w:r>
    </w:p>
    <w:p w14:paraId="61DE7696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 xml:space="preserve">Armstrong, M. (2020) </w:t>
      </w:r>
      <w:r w:rsidRPr="009B29E3">
        <w:rPr>
          <w:i/>
          <w:iCs/>
        </w:rPr>
        <w:t>Armstrong's Handbook of Human Resource Management Practice.</w:t>
      </w:r>
      <w:r w:rsidRPr="009B29E3">
        <w:t xml:space="preserve"> 15</w:t>
      </w:r>
      <w:r w:rsidRPr="009B29E3">
        <w:rPr>
          <w:vertAlign w:val="superscript"/>
        </w:rPr>
        <w:t>th</w:t>
      </w:r>
      <w:r w:rsidRPr="009B29E3">
        <w:t xml:space="preserve"> Ed. London: Konan Page</w:t>
      </w:r>
    </w:p>
    <w:p w14:paraId="2E7849B6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Bank of America (n.d.) Company Profile. Available at https://investor.bankofamerica.com/profile [Accessed March 16, 2023].</w:t>
      </w:r>
    </w:p>
    <w:p w14:paraId="57B09033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Bank of America (n.d.). ‘</w:t>
      </w:r>
      <w:r w:rsidRPr="009B29E3">
        <w:rPr>
          <w:i/>
          <w:iCs/>
        </w:rPr>
        <w:t>Prioritizing your emotional wellness’</w:t>
      </w:r>
      <w:r w:rsidRPr="009B29E3">
        <w:t xml:space="preserve"> Available at https://www.bankofamerica.com/content/documents/employees/Prioritizing_emotional_wellness.pdf [Accessed March 12, 2023].</w:t>
      </w:r>
    </w:p>
    <w:p w14:paraId="2B98E080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Cooper, B., Wang, J., Bartram, T., &amp; Cooke, F. L. (2019). Well‐being‐oriented human resource management practices and employee performance in the Chinese banking sector: The role of social climate and resilience. </w:t>
      </w:r>
      <w:r w:rsidRPr="009B29E3">
        <w:rPr>
          <w:i/>
          <w:iCs/>
        </w:rPr>
        <w:t>Human Resource Management</w:t>
      </w:r>
      <w:r w:rsidRPr="009B29E3">
        <w:t>, </w:t>
      </w:r>
      <w:r w:rsidRPr="009B29E3">
        <w:rPr>
          <w:i/>
          <w:iCs/>
        </w:rPr>
        <w:t>58</w:t>
      </w:r>
      <w:r w:rsidRPr="009B29E3">
        <w:t>(1), 85-97.</w:t>
      </w:r>
    </w:p>
    <w:p w14:paraId="22E95E87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Edwards, T. and Rees, C. (2016)</w:t>
      </w:r>
      <w:r w:rsidRPr="009B29E3">
        <w:rPr>
          <w:i/>
          <w:iCs/>
        </w:rPr>
        <w:t xml:space="preserve"> International Human Resource Management: globalisation, national systems and multinational companies.</w:t>
      </w:r>
      <w:r w:rsidRPr="009B29E3">
        <w:t xml:space="preserve"> 3</w:t>
      </w:r>
      <w:r w:rsidRPr="009B29E3">
        <w:rPr>
          <w:vertAlign w:val="superscript"/>
        </w:rPr>
        <w:t>rd</w:t>
      </w:r>
      <w:r w:rsidRPr="009B29E3">
        <w:t xml:space="preserve"> Ed. Essex: Palgrave </w:t>
      </w:r>
    </w:p>
    <w:p w14:paraId="6DDC1437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 xml:space="preserve">Goetzel, R.Z., Ozminkowski, R.J., </w:t>
      </w:r>
      <w:proofErr w:type="spellStart"/>
      <w:r w:rsidRPr="009B29E3">
        <w:t>Sederer</w:t>
      </w:r>
      <w:proofErr w:type="spellEnd"/>
      <w:r w:rsidRPr="009B29E3">
        <w:t>, L.I. and Mark, T.L. (2012). The business case for quality mental health services: why employers should care about the mental health and well-being of their employees. </w:t>
      </w:r>
      <w:r w:rsidRPr="009B29E3">
        <w:rPr>
          <w:i/>
          <w:iCs/>
        </w:rPr>
        <w:t>Journal of occupational and environmental medicine</w:t>
      </w:r>
      <w:r w:rsidRPr="009B29E3">
        <w:t>, pp.320-330.</w:t>
      </w:r>
    </w:p>
    <w:p w14:paraId="2F008482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Gulzar, S., Ghauri, S., Abbas, Z., Hussain, K. and Jibril, A.B. (2020). Antecedents of employee wellbeing in the banking sector: The moderating role of working environment.‖ Problems and Perspectives in Management, 18 (4), 448–460.</w:t>
      </w:r>
    </w:p>
    <w:p w14:paraId="41E832E3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Juniper, B. (2011). Defining employee wellbeing. </w:t>
      </w:r>
      <w:r w:rsidRPr="009B29E3">
        <w:rPr>
          <w:i/>
          <w:iCs/>
        </w:rPr>
        <w:t>Occupational Health &amp; Wellbeing</w:t>
      </w:r>
      <w:r w:rsidRPr="009B29E3">
        <w:t>, </w:t>
      </w:r>
      <w:r w:rsidRPr="009B29E3">
        <w:rPr>
          <w:i/>
          <w:iCs/>
        </w:rPr>
        <w:t>63</w:t>
      </w:r>
      <w:r w:rsidRPr="009B29E3">
        <w:t>(10), p.25.</w:t>
      </w:r>
    </w:p>
    <w:p w14:paraId="03F50922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Kaur, R. P., &amp; Sharma, P. G. (2016). Stress management in the banking sector. </w:t>
      </w:r>
      <w:r w:rsidRPr="009B29E3">
        <w:rPr>
          <w:i/>
          <w:iCs/>
        </w:rPr>
        <w:t>Imperial Journal of Interdisciplinary research</w:t>
      </w:r>
      <w:r w:rsidRPr="009B29E3">
        <w:t>, </w:t>
      </w:r>
      <w:r w:rsidRPr="009B29E3">
        <w:rPr>
          <w:i/>
          <w:iCs/>
        </w:rPr>
        <w:t>2</w:t>
      </w:r>
      <w:r w:rsidRPr="009B29E3">
        <w:t>(3), 113-117.</w:t>
      </w:r>
    </w:p>
    <w:p w14:paraId="6A6C0895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Krekel, C., Ward, G., &amp; De Neve, J. E. (2019). Employee well-being, productivity, and firm performance: Evidence and case studies. </w:t>
      </w:r>
      <w:r w:rsidRPr="009B29E3">
        <w:rPr>
          <w:i/>
          <w:iCs/>
        </w:rPr>
        <w:t>Global happiness and wellbeing</w:t>
      </w:r>
      <w:r w:rsidRPr="009B29E3">
        <w:t>.</w:t>
      </w:r>
    </w:p>
    <w:p w14:paraId="4D9234EA" w14:textId="77777777" w:rsidR="009B29E3" w:rsidRPr="009B29E3" w:rsidRDefault="009B29E3" w:rsidP="009B29E3">
      <w:pPr>
        <w:numPr>
          <w:ilvl w:val="0"/>
          <w:numId w:val="1"/>
        </w:numPr>
      </w:pPr>
      <w:proofErr w:type="spellStart"/>
      <w:r w:rsidRPr="009B29E3">
        <w:t>Kooij</w:t>
      </w:r>
      <w:proofErr w:type="spellEnd"/>
      <w:r w:rsidRPr="009B29E3">
        <w:t>, D.T., Guest, D.E., Clinton, M., Knight, T., Jansen, P.G. and Dikkers, J.S. (2013). How the impact of HR practices on employee well‐being and performance changes with age. </w:t>
      </w:r>
      <w:r w:rsidRPr="009B29E3">
        <w:rPr>
          <w:i/>
          <w:iCs/>
        </w:rPr>
        <w:t>Human Resource Management Journal</w:t>
      </w:r>
      <w:r w:rsidRPr="009B29E3">
        <w:t>, </w:t>
      </w:r>
      <w:r w:rsidRPr="009B29E3">
        <w:rPr>
          <w:i/>
          <w:iCs/>
        </w:rPr>
        <w:t>23</w:t>
      </w:r>
      <w:r w:rsidRPr="009B29E3">
        <w:t>(1), pp.18-35.</w:t>
      </w:r>
    </w:p>
    <w:p w14:paraId="7D04C75A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 xml:space="preserve">Marchington, M. and Wilkinson, A. (2016) </w:t>
      </w:r>
      <w:r w:rsidRPr="009B29E3">
        <w:rPr>
          <w:i/>
          <w:iCs/>
        </w:rPr>
        <w:t>Human Resource Management at Work.</w:t>
      </w:r>
      <w:r w:rsidRPr="009B29E3">
        <w:t xml:space="preserve"> 6</w:t>
      </w:r>
      <w:r w:rsidRPr="009B29E3">
        <w:rPr>
          <w:vertAlign w:val="superscript"/>
        </w:rPr>
        <w:t>th</w:t>
      </w:r>
      <w:r w:rsidRPr="009B29E3">
        <w:t xml:space="preserve"> Ed. Wiltshire: CIPD </w:t>
      </w:r>
    </w:p>
    <w:p w14:paraId="3B60B970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 xml:space="preserve">Nielsen, K., Nielsen, M.B., Ogbonnaya, C., </w:t>
      </w:r>
      <w:proofErr w:type="spellStart"/>
      <w:r w:rsidRPr="009B29E3">
        <w:t>Känsälä</w:t>
      </w:r>
      <w:proofErr w:type="spellEnd"/>
      <w:r w:rsidRPr="009B29E3">
        <w:t xml:space="preserve">, M., Saari, E. and Isaksson, K. (2017). Workplace resources to improve both employee well-being and </w:t>
      </w:r>
      <w:r w:rsidRPr="009B29E3">
        <w:lastRenderedPageBreak/>
        <w:t>performance: A systematic review and meta-analysis. </w:t>
      </w:r>
      <w:r w:rsidRPr="009B29E3">
        <w:rPr>
          <w:i/>
          <w:iCs/>
        </w:rPr>
        <w:t>Work &amp; Stress</w:t>
      </w:r>
      <w:r w:rsidRPr="009B29E3">
        <w:t>, </w:t>
      </w:r>
      <w:r w:rsidRPr="009B29E3">
        <w:rPr>
          <w:i/>
          <w:iCs/>
        </w:rPr>
        <w:t>31</w:t>
      </w:r>
      <w:r w:rsidRPr="009B29E3">
        <w:t>(2), pp.101-120.</w:t>
      </w:r>
    </w:p>
    <w:p w14:paraId="08B6CD57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Rasool, S. F., Wang, M., Tang, M., Saeed, A., &amp; Iqbal, J. (2021). How toxic workplace environment effects the employee engagement: The mediating role of organizational support and employee wellbeing. </w:t>
      </w:r>
      <w:r w:rsidRPr="009B29E3">
        <w:rPr>
          <w:i/>
          <w:iCs/>
        </w:rPr>
        <w:t>International journal of environmental research and public health</w:t>
      </w:r>
      <w:r w:rsidRPr="009B29E3">
        <w:t>, </w:t>
      </w:r>
      <w:r w:rsidRPr="009B29E3">
        <w:rPr>
          <w:i/>
          <w:iCs/>
        </w:rPr>
        <w:t>18</w:t>
      </w:r>
      <w:r w:rsidRPr="009B29E3">
        <w:t>(5), 2294.</w:t>
      </w:r>
    </w:p>
    <w:p w14:paraId="67F0394D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>Renwick, D. (2013). HR managers: guardians of employee wellbeing?. </w:t>
      </w:r>
      <w:r w:rsidRPr="009B29E3">
        <w:rPr>
          <w:i/>
          <w:iCs/>
        </w:rPr>
        <w:t>Personnel Review</w:t>
      </w:r>
      <w:r w:rsidRPr="009B29E3">
        <w:t>.</w:t>
      </w:r>
    </w:p>
    <w:p w14:paraId="05D32FBE" w14:textId="77777777" w:rsidR="009B29E3" w:rsidRPr="009B29E3" w:rsidRDefault="009B29E3" w:rsidP="009B29E3">
      <w:pPr>
        <w:numPr>
          <w:ilvl w:val="0"/>
          <w:numId w:val="1"/>
        </w:numPr>
      </w:pPr>
      <w:r w:rsidRPr="009B29E3">
        <w:t xml:space="preserve">Statista Research Department (2021). </w:t>
      </w:r>
      <w:r w:rsidRPr="009B29E3">
        <w:rPr>
          <w:i/>
          <w:iCs/>
        </w:rPr>
        <w:t>Leading banks in the U.S. 2021, by number of employees</w:t>
      </w:r>
      <w:r w:rsidRPr="009B29E3">
        <w:t>. Available at https://www.statista.com/statistics/250220/ranking-of-united-states-banks-by-number-of-employees-in-2012/ [Accessed March 14, 2023].</w:t>
      </w:r>
    </w:p>
    <w:p w14:paraId="24502752" w14:textId="77777777" w:rsidR="009B29E3" w:rsidRPr="009B29E3" w:rsidRDefault="009B29E3"/>
    <w:sectPr w:rsidR="009B29E3" w:rsidRPr="009B29E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ED74B" w14:textId="77777777" w:rsidR="006D3B65" w:rsidRDefault="006D3B65" w:rsidP="008B46E3">
      <w:pPr>
        <w:spacing w:after="0" w:line="240" w:lineRule="auto"/>
      </w:pPr>
      <w:r>
        <w:separator/>
      </w:r>
    </w:p>
  </w:endnote>
  <w:endnote w:type="continuationSeparator" w:id="0">
    <w:p w14:paraId="704864A1" w14:textId="77777777" w:rsidR="006D3B65" w:rsidRDefault="006D3B65" w:rsidP="008B4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D07C69" w14:textId="77777777" w:rsidR="006D3B65" w:rsidRDefault="006D3B65" w:rsidP="008B46E3">
      <w:pPr>
        <w:spacing w:after="0" w:line="240" w:lineRule="auto"/>
      </w:pPr>
      <w:r>
        <w:separator/>
      </w:r>
    </w:p>
  </w:footnote>
  <w:footnote w:type="continuationSeparator" w:id="0">
    <w:p w14:paraId="2760AFB5" w14:textId="77777777" w:rsidR="006D3B65" w:rsidRDefault="006D3B65" w:rsidP="008B46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D86C73"/>
    <w:multiLevelType w:val="hybridMultilevel"/>
    <w:tmpl w:val="85A801E4"/>
    <w:lvl w:ilvl="0" w:tplc="CDE66D6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752216A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C44B7A4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7F9AA042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A485F8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D903B66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420157E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10203E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C7A164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 w15:restartNumberingAfterBreak="0">
    <w:nsid w:val="2E5C2917"/>
    <w:multiLevelType w:val="hybridMultilevel"/>
    <w:tmpl w:val="026EB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1757226">
    <w:abstractNumId w:val="1"/>
  </w:num>
  <w:num w:numId="2" w16cid:durableId="618490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002"/>
    <w:rsid w:val="00242002"/>
    <w:rsid w:val="00324039"/>
    <w:rsid w:val="006D3B65"/>
    <w:rsid w:val="007C21A2"/>
    <w:rsid w:val="007D0A67"/>
    <w:rsid w:val="008B46E3"/>
    <w:rsid w:val="009B14B3"/>
    <w:rsid w:val="009B29E3"/>
    <w:rsid w:val="00D46BF3"/>
    <w:rsid w:val="00E36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D82FF1"/>
  <w15:chartTrackingRefBased/>
  <w15:docId w15:val="{B2E0D3C3-C21A-4E82-AD32-0D7DDE646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46E3"/>
    <w:pPr>
      <w:spacing w:after="160" w:line="256" w:lineRule="auto"/>
    </w:pPr>
    <w:rPr>
      <w:rFonts w:ascii="Calibri" w:hAnsi="Calibri" w:cs="Times New Roman"/>
      <w:kern w:val="0"/>
      <w:sz w:val="22"/>
      <w:lang w:val="en-GB" w:eastAsia="en-US"/>
    </w:rPr>
  </w:style>
  <w:style w:type="paragraph" w:styleId="1">
    <w:name w:val="heading 1"/>
    <w:basedOn w:val="a"/>
    <w:next w:val="a"/>
    <w:link w:val="10"/>
    <w:uiPriority w:val="9"/>
    <w:qFormat/>
    <w:rsid w:val="008B46E3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6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B46E3"/>
    <w:rPr>
      <w:sz w:val="18"/>
      <w:szCs w:val="18"/>
      <w:lang w:val="en-GB"/>
    </w:rPr>
  </w:style>
  <w:style w:type="paragraph" w:styleId="a5">
    <w:name w:val="footer"/>
    <w:basedOn w:val="a"/>
    <w:link w:val="a6"/>
    <w:uiPriority w:val="99"/>
    <w:unhideWhenUsed/>
    <w:rsid w:val="008B46E3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B46E3"/>
    <w:rPr>
      <w:sz w:val="18"/>
      <w:szCs w:val="18"/>
      <w:lang w:val="en-GB"/>
    </w:rPr>
  </w:style>
  <w:style w:type="character" w:styleId="a7">
    <w:name w:val="Hyperlink"/>
    <w:basedOn w:val="a0"/>
    <w:uiPriority w:val="99"/>
    <w:semiHidden/>
    <w:unhideWhenUsed/>
    <w:rsid w:val="008B46E3"/>
    <w:rPr>
      <w:color w:val="0000FF"/>
      <w:u w:val="single"/>
    </w:rPr>
  </w:style>
  <w:style w:type="character" w:customStyle="1" w:styleId="10">
    <w:name w:val="标题 1 字符"/>
    <w:basedOn w:val="a0"/>
    <w:link w:val="1"/>
    <w:uiPriority w:val="9"/>
    <w:qFormat/>
    <w:rsid w:val="008B46E3"/>
    <w:rPr>
      <w:rFonts w:ascii="Calibri Light" w:eastAsia="Times New Roman" w:hAnsi="Calibri Light" w:cs="Times New Roman"/>
      <w:color w:val="2E74B5"/>
      <w:kern w:val="0"/>
      <w:sz w:val="32"/>
      <w:szCs w:val="32"/>
      <w:lang w:val="en-GB" w:eastAsia="en-US"/>
    </w:rPr>
  </w:style>
  <w:style w:type="character" w:styleId="a8">
    <w:name w:val="FollowedHyperlink"/>
    <w:basedOn w:val="a0"/>
    <w:uiPriority w:val="99"/>
    <w:semiHidden/>
    <w:unhideWhenUsed/>
    <w:rsid w:val="00324039"/>
    <w:rPr>
      <w:color w:val="954F72" w:themeColor="followedHyperlink"/>
      <w:u w:val="single"/>
    </w:rPr>
  </w:style>
  <w:style w:type="paragraph" w:styleId="a9">
    <w:name w:val="No Spacing"/>
    <w:uiPriority w:val="1"/>
    <w:qFormat/>
    <w:rsid w:val="009B29E3"/>
    <w:rPr>
      <w:rFonts w:ascii="Arial" w:hAnsi="Arial" w:cs="Times New Roman"/>
      <w:kern w:val="0"/>
      <w:sz w:val="24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02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77456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81836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575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8809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74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217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219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14184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7114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704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474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4657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19480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7876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2473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63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owtsd-my.sharepoint.com/:v:/g/personal/2217121_student_uwtsd_ac_uk/EVFzt4rpTphJnSrhntg9xhQBRy4mGRAdDWyw2PnBh0scLQ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wtsd-my.sharepoint.com/:v:/r/personal/2217121_student_uwtsd_ac_uk/Documents/Jinhui%20HRM%20.mp4?csf=1&amp;web=1&amp;e=p6gMYj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509</Words>
  <Characters>2906</Characters>
  <Application>Microsoft Office Word</Application>
  <DocSecurity>0</DocSecurity>
  <Lines>24</Lines>
  <Paragraphs>6</Paragraphs>
  <ScaleCrop>false</ScaleCrop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Zhongzhe Zheng (Student)</dc:creator>
  <cp:keywords/>
  <dc:description/>
  <cp:lastModifiedBy>Zhongzhe Zheng (Student)</cp:lastModifiedBy>
  <cp:revision>8</cp:revision>
  <dcterms:created xsi:type="dcterms:W3CDTF">2023-04-27T15:01:00Z</dcterms:created>
  <dcterms:modified xsi:type="dcterms:W3CDTF">2023-04-27T15:15:00Z</dcterms:modified>
</cp:coreProperties>
</file>