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B86F3" w14:textId="77777777" w:rsidR="00990BEB" w:rsidRDefault="00990BEB">
      <w:pPr>
        <w:spacing w:line="278" w:lineRule="auto"/>
        <w:jc w:val="left"/>
      </w:pPr>
    </w:p>
    <w:p w14:paraId="1700EBD4" w14:textId="77777777" w:rsidR="00990BEB" w:rsidRDefault="00990BEB">
      <w:pPr>
        <w:spacing w:line="278" w:lineRule="auto"/>
        <w:jc w:val="left"/>
      </w:pPr>
    </w:p>
    <w:p w14:paraId="2A93344E" w14:textId="77777777" w:rsidR="00990BEB" w:rsidRDefault="00990BEB">
      <w:pPr>
        <w:spacing w:line="278" w:lineRule="auto"/>
        <w:jc w:val="left"/>
      </w:pPr>
    </w:p>
    <w:p w14:paraId="7E0CEA8B" w14:textId="77777777" w:rsidR="00990BEB" w:rsidRDefault="00990BEB">
      <w:pPr>
        <w:spacing w:line="278" w:lineRule="auto"/>
        <w:jc w:val="left"/>
      </w:pPr>
    </w:p>
    <w:p w14:paraId="115F7355" w14:textId="77777777" w:rsidR="00990BEB" w:rsidRDefault="00990BEB">
      <w:pPr>
        <w:spacing w:line="278" w:lineRule="auto"/>
        <w:jc w:val="left"/>
      </w:pPr>
    </w:p>
    <w:p w14:paraId="225A9509" w14:textId="77777777" w:rsidR="00990BEB" w:rsidRDefault="00990BEB">
      <w:pPr>
        <w:spacing w:line="278" w:lineRule="auto"/>
        <w:jc w:val="left"/>
      </w:pPr>
    </w:p>
    <w:p w14:paraId="355F1E9A" w14:textId="77777777" w:rsidR="006476C7" w:rsidRDefault="006476C7" w:rsidP="005327F6">
      <w:pPr>
        <w:spacing w:line="278" w:lineRule="auto"/>
        <w:jc w:val="center"/>
        <w:rPr>
          <w:rFonts w:cs="Arial"/>
          <w:b/>
          <w:bCs/>
          <w:color w:val="1D2125"/>
          <w:szCs w:val="22"/>
        </w:rPr>
      </w:pPr>
    </w:p>
    <w:p w14:paraId="7CBD4773" w14:textId="77777777" w:rsidR="00BA3471" w:rsidRDefault="006A4ECE" w:rsidP="008B6267">
      <w:pPr>
        <w:spacing w:line="278" w:lineRule="auto"/>
        <w:jc w:val="left"/>
        <w:rPr>
          <w:rFonts w:cs="Arial"/>
          <w:b/>
          <w:bCs/>
          <w:color w:val="1D2125"/>
          <w:szCs w:val="22"/>
        </w:rPr>
      </w:pPr>
      <w:r>
        <w:rPr>
          <w:rFonts w:cs="Arial"/>
          <w:b/>
          <w:bCs/>
          <w:color w:val="1D2125"/>
          <w:szCs w:val="22"/>
        </w:rPr>
        <w:t>Mo</w:t>
      </w:r>
      <w:r w:rsidR="00BA3471">
        <w:rPr>
          <w:rFonts w:cs="Arial"/>
          <w:b/>
          <w:bCs/>
          <w:color w:val="1D2125"/>
          <w:szCs w:val="22"/>
        </w:rPr>
        <w:t xml:space="preserve">dule Code: </w:t>
      </w:r>
      <w:r w:rsidR="00A43E7B" w:rsidRPr="001E2C37">
        <w:rPr>
          <w:rFonts w:cs="Arial"/>
          <w:b/>
          <w:bCs/>
          <w:color w:val="1D2125"/>
          <w:szCs w:val="22"/>
        </w:rPr>
        <w:t>BMHP6029</w:t>
      </w:r>
      <w:r w:rsidR="00BA3471">
        <w:rPr>
          <w:rFonts w:cs="Arial"/>
          <w:b/>
          <w:bCs/>
          <w:color w:val="1D2125"/>
          <w:szCs w:val="22"/>
        </w:rPr>
        <w:t xml:space="preserve"> </w:t>
      </w:r>
    </w:p>
    <w:p w14:paraId="084D47B9" w14:textId="06056C02" w:rsidR="00A43E7B" w:rsidRPr="001E2C37" w:rsidRDefault="00BA3471" w:rsidP="008B6267">
      <w:pPr>
        <w:spacing w:line="278" w:lineRule="auto"/>
        <w:jc w:val="left"/>
        <w:rPr>
          <w:rFonts w:cs="Arial"/>
          <w:b/>
          <w:bCs/>
          <w:color w:val="1D2125"/>
          <w:szCs w:val="22"/>
        </w:rPr>
      </w:pPr>
      <w:r>
        <w:rPr>
          <w:rFonts w:cs="Arial"/>
          <w:b/>
          <w:bCs/>
          <w:color w:val="1D2125"/>
          <w:szCs w:val="22"/>
        </w:rPr>
        <w:t xml:space="preserve">Module Name: </w:t>
      </w:r>
      <w:r w:rsidR="00A43E7B" w:rsidRPr="001E2C37">
        <w:rPr>
          <w:rFonts w:cs="Arial"/>
          <w:b/>
          <w:bCs/>
          <w:color w:val="1D2125"/>
          <w:szCs w:val="22"/>
        </w:rPr>
        <w:t>Psychopathological Classifications and Provisions</w:t>
      </w:r>
    </w:p>
    <w:p w14:paraId="0160E3FF" w14:textId="2001ECF1" w:rsidR="00A43E7B" w:rsidRPr="001E2C37" w:rsidRDefault="00A43E7B" w:rsidP="00A43E7B">
      <w:pPr>
        <w:spacing w:line="278" w:lineRule="auto"/>
        <w:jc w:val="left"/>
        <w:rPr>
          <w:rFonts w:cs="Arial"/>
          <w:color w:val="1D2125"/>
          <w:szCs w:val="22"/>
        </w:rPr>
      </w:pPr>
      <w:r w:rsidRPr="001E2C37">
        <w:rPr>
          <w:rFonts w:cs="Arial"/>
          <w:b/>
          <w:bCs/>
          <w:color w:val="000000"/>
          <w:szCs w:val="22"/>
        </w:rPr>
        <w:t xml:space="preserve">Component 2: </w:t>
      </w:r>
      <w:r w:rsidR="002622ED">
        <w:rPr>
          <w:rFonts w:cs="Arial"/>
          <w:b/>
          <w:bCs/>
          <w:color w:val="000000"/>
          <w:szCs w:val="22"/>
        </w:rPr>
        <w:t>Report</w:t>
      </w:r>
    </w:p>
    <w:p w14:paraId="7D17556C" w14:textId="42CD5BCC" w:rsidR="00A43E7B" w:rsidRPr="001E2C37" w:rsidRDefault="00A43E7B" w:rsidP="00A43E7B">
      <w:pPr>
        <w:spacing w:line="278" w:lineRule="auto"/>
        <w:jc w:val="left"/>
        <w:rPr>
          <w:rFonts w:cs="Arial"/>
          <w:b/>
          <w:bCs/>
          <w:color w:val="1D2125"/>
          <w:szCs w:val="22"/>
        </w:rPr>
      </w:pPr>
      <w:r w:rsidRPr="001E2C37">
        <w:rPr>
          <w:rFonts w:cs="Arial"/>
          <w:b/>
          <w:bCs/>
          <w:color w:val="1D2125"/>
          <w:szCs w:val="22"/>
        </w:rPr>
        <w:t>Student name</w:t>
      </w:r>
      <w:r w:rsidR="005855AD">
        <w:rPr>
          <w:rFonts w:cs="Arial"/>
          <w:b/>
          <w:bCs/>
          <w:color w:val="1D2125"/>
          <w:szCs w:val="22"/>
        </w:rPr>
        <w:t xml:space="preserve">: </w:t>
      </w:r>
      <w:r w:rsidR="00895AA6">
        <w:rPr>
          <w:rFonts w:cs="Arial"/>
          <w:b/>
          <w:bCs/>
          <w:color w:val="1D2125"/>
          <w:szCs w:val="22"/>
        </w:rPr>
        <w:t xml:space="preserve">Julianah Iwalaiye </w:t>
      </w:r>
    </w:p>
    <w:p w14:paraId="08EC83D5" w14:textId="77777777" w:rsidR="00324F30" w:rsidRDefault="00A43E7B">
      <w:pPr>
        <w:spacing w:line="278" w:lineRule="auto"/>
        <w:jc w:val="left"/>
        <w:rPr>
          <w:rFonts w:cs="Arial"/>
          <w:b/>
          <w:bCs/>
          <w:color w:val="1D2125"/>
          <w:szCs w:val="22"/>
        </w:rPr>
      </w:pPr>
      <w:r w:rsidRPr="001E2C37">
        <w:rPr>
          <w:rFonts w:cs="Arial"/>
          <w:b/>
          <w:bCs/>
          <w:color w:val="1D2125"/>
          <w:szCs w:val="22"/>
        </w:rPr>
        <w:t>Student numbe</w:t>
      </w:r>
      <w:r w:rsidRPr="001E2C37">
        <w:rPr>
          <w:rFonts w:cs="Arial"/>
          <w:b/>
          <w:bCs/>
          <w:color w:val="1D2125"/>
          <w:szCs w:val="22"/>
        </w:rPr>
        <w:t>r</w:t>
      </w:r>
      <w:r w:rsidR="005855AD">
        <w:rPr>
          <w:rFonts w:cs="Arial"/>
          <w:b/>
          <w:bCs/>
          <w:color w:val="1D2125"/>
          <w:szCs w:val="22"/>
        </w:rPr>
        <w:t>: 213</w:t>
      </w:r>
      <w:r w:rsidR="00895AA6">
        <w:rPr>
          <w:rFonts w:cs="Arial"/>
          <w:b/>
          <w:bCs/>
          <w:color w:val="1D2125"/>
          <w:szCs w:val="22"/>
        </w:rPr>
        <w:t>3902</w:t>
      </w:r>
      <w:r w:rsidR="003A0827">
        <w:rPr>
          <w:rFonts w:cs="Arial"/>
          <w:b/>
          <w:bCs/>
          <w:color w:val="1D2125"/>
          <w:szCs w:val="22"/>
        </w:rPr>
        <w:t xml:space="preserve"> </w:t>
      </w:r>
    </w:p>
    <w:p w14:paraId="0B6D9011" w14:textId="010609D8" w:rsidR="00990BEB" w:rsidRPr="001E2C37" w:rsidRDefault="00324F30">
      <w:pPr>
        <w:spacing w:line="278" w:lineRule="auto"/>
        <w:jc w:val="left"/>
        <w:rPr>
          <w:szCs w:val="22"/>
        </w:rPr>
      </w:pPr>
      <w:r>
        <w:rPr>
          <w:rFonts w:cs="Arial"/>
          <w:b/>
          <w:bCs/>
          <w:color w:val="1D2125"/>
          <w:szCs w:val="22"/>
        </w:rPr>
        <w:t>Lecturer</w:t>
      </w:r>
      <w:r w:rsidR="00874237">
        <w:rPr>
          <w:rFonts w:cs="Arial"/>
          <w:b/>
          <w:bCs/>
          <w:color w:val="1D2125"/>
          <w:szCs w:val="22"/>
        </w:rPr>
        <w:t xml:space="preserve"> Name: </w:t>
      </w:r>
      <w:r w:rsidR="009238D0">
        <w:rPr>
          <w:rFonts w:cs="Arial"/>
          <w:b/>
          <w:bCs/>
          <w:color w:val="1D2125"/>
          <w:szCs w:val="22"/>
        </w:rPr>
        <w:t>Farah Wiita</w:t>
      </w:r>
    </w:p>
    <w:p w14:paraId="01A75117" w14:textId="77777777" w:rsidR="00990BEB" w:rsidRPr="001E2C37" w:rsidRDefault="00990BEB">
      <w:pPr>
        <w:spacing w:line="278" w:lineRule="auto"/>
        <w:jc w:val="left"/>
        <w:rPr>
          <w:szCs w:val="22"/>
        </w:rPr>
      </w:pPr>
    </w:p>
    <w:p w14:paraId="1F6DDCB6" w14:textId="1BD9C7A5" w:rsidR="00990BEB" w:rsidRDefault="00D02420" w:rsidP="001F476D">
      <w:pPr>
        <w:spacing w:line="278" w:lineRule="auto"/>
        <w:rPr>
          <w:rFonts w:cs="Arial"/>
          <w:b/>
          <w:bCs/>
        </w:rPr>
      </w:pPr>
      <w:r>
        <w:rPr>
          <w:rFonts w:cs="Arial"/>
          <w:b/>
          <w:bCs/>
        </w:rPr>
        <w:t xml:space="preserve">Title: </w:t>
      </w:r>
      <w:r w:rsidR="00990BEB" w:rsidRPr="00990BEB">
        <w:rPr>
          <w:rFonts w:cs="Arial"/>
          <w:b/>
          <w:bCs/>
        </w:rPr>
        <w:t>Depression in ICD</w:t>
      </w:r>
      <w:r w:rsidR="00990BEB" w:rsidRPr="00990BEB">
        <w:rPr>
          <w:rFonts w:ascii="Cambria Math" w:hAnsi="Cambria Math" w:cs="Cambria Math"/>
          <w:b/>
          <w:bCs/>
        </w:rPr>
        <w:t>‑</w:t>
      </w:r>
      <w:r w:rsidR="00990BEB" w:rsidRPr="00990BEB">
        <w:rPr>
          <w:rFonts w:cs="Arial"/>
          <w:b/>
          <w:bCs/>
        </w:rPr>
        <w:t>11: Critical Analysis of Classification, Diagnosis, Treatment, Rehabilitation, and Emerging Debates in UK Practice</w:t>
      </w:r>
    </w:p>
    <w:p w14:paraId="55104118" w14:textId="77777777" w:rsidR="00990BEB" w:rsidRDefault="00990BEB">
      <w:pPr>
        <w:spacing w:line="278" w:lineRule="auto"/>
        <w:jc w:val="left"/>
        <w:rPr>
          <w:rFonts w:cs="Arial"/>
          <w:b/>
          <w:bCs/>
        </w:rPr>
      </w:pPr>
      <w:r>
        <w:rPr>
          <w:rFonts w:cs="Arial"/>
          <w:b/>
          <w:bCs/>
        </w:rPr>
        <w:br w:type="page"/>
      </w:r>
    </w:p>
    <w:sdt>
      <w:sdtPr>
        <w:rPr>
          <w:rFonts w:ascii="Arial" w:eastAsiaTheme="minorHAnsi" w:hAnsi="Arial" w:cstheme="minorBidi"/>
          <w:color w:val="auto"/>
          <w:kern w:val="2"/>
          <w:sz w:val="22"/>
          <w:szCs w:val="24"/>
          <w:lang w:val="en-GB"/>
          <w14:ligatures w14:val="standardContextual"/>
        </w:rPr>
        <w:id w:val="493071545"/>
        <w:docPartObj>
          <w:docPartGallery w:val="Table of Contents"/>
          <w:docPartUnique/>
        </w:docPartObj>
      </w:sdtPr>
      <w:sdtEndPr>
        <w:rPr>
          <w:b/>
          <w:bCs/>
          <w:noProof/>
        </w:rPr>
      </w:sdtEndPr>
      <w:sdtContent>
        <w:p w14:paraId="4A450D37" w14:textId="5BB01F68" w:rsidR="00581486" w:rsidRDefault="00581486">
          <w:pPr>
            <w:pStyle w:val="TOCHeading"/>
          </w:pPr>
          <w:r>
            <w:t>Table of Contents</w:t>
          </w:r>
        </w:p>
        <w:p w14:paraId="4F67603D" w14:textId="1AB1D95A" w:rsidR="00581486" w:rsidRDefault="00581486">
          <w:pPr>
            <w:pStyle w:val="TOC1"/>
            <w:tabs>
              <w:tab w:val="right" w:leader="dot" w:pos="9350"/>
            </w:tabs>
            <w:rPr>
              <w:rFonts w:asciiTheme="minorHAnsi" w:eastAsiaTheme="minorEastAsia" w:hAnsiTheme="minorHAnsi"/>
              <w:noProof/>
              <w:sz w:val="24"/>
              <w:lang w:val="en-US"/>
            </w:rPr>
          </w:pPr>
          <w:r>
            <w:fldChar w:fldCharType="begin"/>
          </w:r>
          <w:r>
            <w:instrText xml:space="preserve"> TOC \o "1-3" \h \z \u </w:instrText>
          </w:r>
          <w:r>
            <w:fldChar w:fldCharType="separate"/>
          </w:r>
          <w:hyperlink w:anchor="_Toc216880429" w:history="1">
            <w:r w:rsidRPr="002D6B7D">
              <w:rPr>
                <w:rStyle w:val="Hyperlink"/>
                <w:noProof/>
              </w:rPr>
              <w:t>1. Introduction</w:t>
            </w:r>
            <w:r>
              <w:rPr>
                <w:noProof/>
                <w:webHidden/>
              </w:rPr>
              <w:tab/>
            </w:r>
            <w:r>
              <w:rPr>
                <w:noProof/>
                <w:webHidden/>
              </w:rPr>
              <w:fldChar w:fldCharType="begin"/>
            </w:r>
            <w:r>
              <w:rPr>
                <w:noProof/>
                <w:webHidden/>
              </w:rPr>
              <w:instrText xml:space="preserve"> PAGEREF _Toc216880429 \h </w:instrText>
            </w:r>
            <w:r>
              <w:rPr>
                <w:noProof/>
                <w:webHidden/>
              </w:rPr>
            </w:r>
            <w:r>
              <w:rPr>
                <w:noProof/>
                <w:webHidden/>
              </w:rPr>
              <w:fldChar w:fldCharType="separate"/>
            </w:r>
            <w:r w:rsidR="00F17F1A">
              <w:rPr>
                <w:noProof/>
                <w:webHidden/>
              </w:rPr>
              <w:t>3</w:t>
            </w:r>
            <w:r>
              <w:rPr>
                <w:noProof/>
                <w:webHidden/>
              </w:rPr>
              <w:fldChar w:fldCharType="end"/>
            </w:r>
          </w:hyperlink>
        </w:p>
        <w:p w14:paraId="4BE3E3EB" w14:textId="02F93EDB" w:rsidR="00581486" w:rsidRDefault="00581486">
          <w:pPr>
            <w:pStyle w:val="TOC1"/>
            <w:tabs>
              <w:tab w:val="right" w:leader="dot" w:pos="9350"/>
            </w:tabs>
            <w:rPr>
              <w:rFonts w:asciiTheme="minorHAnsi" w:eastAsiaTheme="minorEastAsia" w:hAnsiTheme="minorHAnsi"/>
              <w:noProof/>
              <w:sz w:val="24"/>
              <w:lang w:val="en-US"/>
            </w:rPr>
          </w:pPr>
          <w:hyperlink w:anchor="_Toc216880430" w:history="1">
            <w:r w:rsidRPr="002D6B7D">
              <w:rPr>
                <w:rStyle w:val="Hyperlink"/>
                <w:noProof/>
              </w:rPr>
              <w:t>2. Classification and Diagnosis in ICD</w:t>
            </w:r>
            <w:r w:rsidRPr="002D6B7D">
              <w:rPr>
                <w:rStyle w:val="Hyperlink"/>
                <w:rFonts w:ascii="Cambria Math" w:hAnsi="Cambria Math" w:cs="Cambria Math"/>
                <w:noProof/>
              </w:rPr>
              <w:t>‑</w:t>
            </w:r>
            <w:r w:rsidRPr="002D6B7D">
              <w:rPr>
                <w:rStyle w:val="Hyperlink"/>
                <w:noProof/>
              </w:rPr>
              <w:t>11 with UK Pathways</w:t>
            </w:r>
            <w:r>
              <w:rPr>
                <w:noProof/>
                <w:webHidden/>
              </w:rPr>
              <w:tab/>
            </w:r>
            <w:r>
              <w:rPr>
                <w:noProof/>
                <w:webHidden/>
              </w:rPr>
              <w:fldChar w:fldCharType="begin"/>
            </w:r>
            <w:r>
              <w:rPr>
                <w:noProof/>
                <w:webHidden/>
              </w:rPr>
              <w:instrText xml:space="preserve"> PAGEREF _Toc216880430 \h </w:instrText>
            </w:r>
            <w:r>
              <w:rPr>
                <w:noProof/>
                <w:webHidden/>
              </w:rPr>
            </w:r>
            <w:r>
              <w:rPr>
                <w:noProof/>
                <w:webHidden/>
              </w:rPr>
              <w:fldChar w:fldCharType="separate"/>
            </w:r>
            <w:r w:rsidR="00F17F1A">
              <w:rPr>
                <w:noProof/>
                <w:webHidden/>
              </w:rPr>
              <w:t>3</w:t>
            </w:r>
            <w:r>
              <w:rPr>
                <w:noProof/>
                <w:webHidden/>
              </w:rPr>
              <w:fldChar w:fldCharType="end"/>
            </w:r>
          </w:hyperlink>
        </w:p>
        <w:p w14:paraId="00AB8D76" w14:textId="562F110E" w:rsidR="00581486" w:rsidRDefault="00581486">
          <w:pPr>
            <w:pStyle w:val="TOC1"/>
            <w:tabs>
              <w:tab w:val="right" w:leader="dot" w:pos="9350"/>
            </w:tabs>
            <w:rPr>
              <w:rFonts w:asciiTheme="minorHAnsi" w:eastAsiaTheme="minorEastAsia" w:hAnsiTheme="minorHAnsi"/>
              <w:noProof/>
              <w:sz w:val="24"/>
              <w:lang w:val="en-US"/>
            </w:rPr>
          </w:pPr>
          <w:hyperlink w:anchor="_Toc216880431" w:history="1">
            <w:r w:rsidRPr="002D6B7D">
              <w:rPr>
                <w:rStyle w:val="Hyperlink"/>
                <w:noProof/>
              </w:rPr>
              <w:t>3. Treatment and Rehabilitation: Effectiveness, Implementation, and Equity</w:t>
            </w:r>
            <w:r>
              <w:rPr>
                <w:noProof/>
                <w:webHidden/>
              </w:rPr>
              <w:tab/>
            </w:r>
            <w:r>
              <w:rPr>
                <w:noProof/>
                <w:webHidden/>
              </w:rPr>
              <w:fldChar w:fldCharType="begin"/>
            </w:r>
            <w:r>
              <w:rPr>
                <w:noProof/>
                <w:webHidden/>
              </w:rPr>
              <w:instrText xml:space="preserve"> PAGEREF _Toc216880431 \h </w:instrText>
            </w:r>
            <w:r>
              <w:rPr>
                <w:noProof/>
                <w:webHidden/>
              </w:rPr>
            </w:r>
            <w:r>
              <w:rPr>
                <w:noProof/>
                <w:webHidden/>
              </w:rPr>
              <w:fldChar w:fldCharType="separate"/>
            </w:r>
            <w:r w:rsidR="00F17F1A">
              <w:rPr>
                <w:noProof/>
                <w:webHidden/>
              </w:rPr>
              <w:t>4</w:t>
            </w:r>
            <w:r>
              <w:rPr>
                <w:noProof/>
                <w:webHidden/>
              </w:rPr>
              <w:fldChar w:fldCharType="end"/>
            </w:r>
          </w:hyperlink>
        </w:p>
        <w:p w14:paraId="505E883C" w14:textId="43E5B7EC" w:rsidR="00581486" w:rsidRDefault="00581486">
          <w:pPr>
            <w:pStyle w:val="TOC1"/>
            <w:tabs>
              <w:tab w:val="right" w:leader="dot" w:pos="9350"/>
            </w:tabs>
            <w:rPr>
              <w:rFonts w:asciiTheme="minorHAnsi" w:eastAsiaTheme="minorEastAsia" w:hAnsiTheme="minorHAnsi"/>
              <w:noProof/>
              <w:sz w:val="24"/>
              <w:lang w:val="en-US"/>
            </w:rPr>
          </w:pPr>
          <w:hyperlink w:anchor="_Toc216880432" w:history="1">
            <w:r w:rsidRPr="002D6B7D">
              <w:rPr>
                <w:rStyle w:val="Hyperlink"/>
                <w:noProof/>
              </w:rPr>
              <w:t>4. Current Debates and Emerging Issues</w:t>
            </w:r>
            <w:r>
              <w:rPr>
                <w:noProof/>
                <w:webHidden/>
              </w:rPr>
              <w:tab/>
            </w:r>
            <w:r>
              <w:rPr>
                <w:noProof/>
                <w:webHidden/>
              </w:rPr>
              <w:fldChar w:fldCharType="begin"/>
            </w:r>
            <w:r>
              <w:rPr>
                <w:noProof/>
                <w:webHidden/>
              </w:rPr>
              <w:instrText xml:space="preserve"> PAGEREF _Toc216880432 \h </w:instrText>
            </w:r>
            <w:r>
              <w:rPr>
                <w:noProof/>
                <w:webHidden/>
              </w:rPr>
            </w:r>
            <w:r>
              <w:rPr>
                <w:noProof/>
                <w:webHidden/>
              </w:rPr>
              <w:fldChar w:fldCharType="separate"/>
            </w:r>
            <w:r w:rsidR="00F17F1A">
              <w:rPr>
                <w:noProof/>
                <w:webHidden/>
              </w:rPr>
              <w:t>6</w:t>
            </w:r>
            <w:r>
              <w:rPr>
                <w:noProof/>
                <w:webHidden/>
              </w:rPr>
              <w:fldChar w:fldCharType="end"/>
            </w:r>
          </w:hyperlink>
        </w:p>
        <w:p w14:paraId="559D519E" w14:textId="129396BC" w:rsidR="00581486" w:rsidRDefault="00581486">
          <w:pPr>
            <w:pStyle w:val="TOC1"/>
            <w:tabs>
              <w:tab w:val="right" w:leader="dot" w:pos="9350"/>
            </w:tabs>
            <w:rPr>
              <w:rFonts w:asciiTheme="minorHAnsi" w:eastAsiaTheme="minorEastAsia" w:hAnsiTheme="minorHAnsi"/>
              <w:noProof/>
              <w:sz w:val="24"/>
              <w:lang w:val="en-US"/>
            </w:rPr>
          </w:pPr>
          <w:hyperlink w:anchor="_Toc216880433" w:history="1">
            <w:r w:rsidRPr="002D6B7D">
              <w:rPr>
                <w:rStyle w:val="Hyperlink"/>
                <w:noProof/>
              </w:rPr>
              <w:t>5. Recommendations for Classification, Diagnosis, Treatment, Rehabilitation, and Policy</w:t>
            </w:r>
            <w:r>
              <w:rPr>
                <w:noProof/>
                <w:webHidden/>
              </w:rPr>
              <w:tab/>
            </w:r>
            <w:r>
              <w:rPr>
                <w:noProof/>
                <w:webHidden/>
              </w:rPr>
              <w:fldChar w:fldCharType="begin"/>
            </w:r>
            <w:r>
              <w:rPr>
                <w:noProof/>
                <w:webHidden/>
              </w:rPr>
              <w:instrText xml:space="preserve"> PAGEREF _Toc216880433 \h </w:instrText>
            </w:r>
            <w:r>
              <w:rPr>
                <w:noProof/>
                <w:webHidden/>
              </w:rPr>
            </w:r>
            <w:r>
              <w:rPr>
                <w:noProof/>
                <w:webHidden/>
              </w:rPr>
              <w:fldChar w:fldCharType="separate"/>
            </w:r>
            <w:r w:rsidR="00F17F1A">
              <w:rPr>
                <w:noProof/>
                <w:webHidden/>
              </w:rPr>
              <w:t>7</w:t>
            </w:r>
            <w:r>
              <w:rPr>
                <w:noProof/>
                <w:webHidden/>
              </w:rPr>
              <w:fldChar w:fldCharType="end"/>
            </w:r>
          </w:hyperlink>
        </w:p>
        <w:p w14:paraId="0F510E51" w14:textId="018DF1A8" w:rsidR="00581486" w:rsidRDefault="00581486">
          <w:pPr>
            <w:pStyle w:val="TOC1"/>
            <w:tabs>
              <w:tab w:val="right" w:leader="dot" w:pos="9350"/>
            </w:tabs>
            <w:rPr>
              <w:rFonts w:asciiTheme="minorHAnsi" w:eastAsiaTheme="minorEastAsia" w:hAnsiTheme="minorHAnsi"/>
              <w:noProof/>
              <w:sz w:val="24"/>
              <w:lang w:val="en-US"/>
            </w:rPr>
          </w:pPr>
          <w:hyperlink w:anchor="_Toc216880434" w:history="1">
            <w:r w:rsidRPr="002D6B7D">
              <w:rPr>
                <w:rStyle w:val="Hyperlink"/>
                <w:noProof/>
              </w:rPr>
              <w:t>6. Conclusion</w:t>
            </w:r>
            <w:r>
              <w:rPr>
                <w:noProof/>
                <w:webHidden/>
              </w:rPr>
              <w:tab/>
            </w:r>
            <w:r>
              <w:rPr>
                <w:noProof/>
                <w:webHidden/>
              </w:rPr>
              <w:fldChar w:fldCharType="begin"/>
            </w:r>
            <w:r>
              <w:rPr>
                <w:noProof/>
                <w:webHidden/>
              </w:rPr>
              <w:instrText xml:space="preserve"> PAGEREF _Toc216880434 \h </w:instrText>
            </w:r>
            <w:r>
              <w:rPr>
                <w:noProof/>
                <w:webHidden/>
              </w:rPr>
            </w:r>
            <w:r>
              <w:rPr>
                <w:noProof/>
                <w:webHidden/>
              </w:rPr>
              <w:fldChar w:fldCharType="separate"/>
            </w:r>
            <w:r w:rsidR="00F17F1A">
              <w:rPr>
                <w:noProof/>
                <w:webHidden/>
              </w:rPr>
              <w:t>8</w:t>
            </w:r>
            <w:r>
              <w:rPr>
                <w:noProof/>
                <w:webHidden/>
              </w:rPr>
              <w:fldChar w:fldCharType="end"/>
            </w:r>
          </w:hyperlink>
        </w:p>
        <w:p w14:paraId="339EECD4" w14:textId="67208151" w:rsidR="00581486" w:rsidRDefault="00581486">
          <w:pPr>
            <w:pStyle w:val="TOC1"/>
            <w:tabs>
              <w:tab w:val="right" w:leader="dot" w:pos="9350"/>
            </w:tabs>
            <w:rPr>
              <w:rFonts w:asciiTheme="minorHAnsi" w:eastAsiaTheme="minorEastAsia" w:hAnsiTheme="minorHAnsi"/>
              <w:noProof/>
              <w:sz w:val="24"/>
              <w:lang w:val="en-US"/>
            </w:rPr>
          </w:pPr>
          <w:hyperlink w:anchor="_Toc216880435" w:history="1">
            <w:r w:rsidRPr="002D6B7D">
              <w:rPr>
                <w:rStyle w:val="Hyperlink"/>
                <w:noProof/>
              </w:rPr>
              <w:t>References</w:t>
            </w:r>
            <w:r>
              <w:rPr>
                <w:noProof/>
                <w:webHidden/>
              </w:rPr>
              <w:tab/>
            </w:r>
            <w:r>
              <w:rPr>
                <w:noProof/>
                <w:webHidden/>
              </w:rPr>
              <w:fldChar w:fldCharType="begin"/>
            </w:r>
            <w:r>
              <w:rPr>
                <w:noProof/>
                <w:webHidden/>
              </w:rPr>
              <w:instrText xml:space="preserve"> PAGEREF _Toc216880435 \h </w:instrText>
            </w:r>
            <w:r>
              <w:rPr>
                <w:noProof/>
                <w:webHidden/>
              </w:rPr>
            </w:r>
            <w:r>
              <w:rPr>
                <w:noProof/>
                <w:webHidden/>
              </w:rPr>
              <w:fldChar w:fldCharType="separate"/>
            </w:r>
            <w:r w:rsidR="00F17F1A">
              <w:rPr>
                <w:noProof/>
                <w:webHidden/>
              </w:rPr>
              <w:t>9</w:t>
            </w:r>
            <w:r>
              <w:rPr>
                <w:noProof/>
                <w:webHidden/>
              </w:rPr>
              <w:fldChar w:fldCharType="end"/>
            </w:r>
          </w:hyperlink>
        </w:p>
        <w:p w14:paraId="5618DAEF" w14:textId="72F04BB7" w:rsidR="00581486" w:rsidRDefault="00581486">
          <w:r>
            <w:rPr>
              <w:b/>
              <w:bCs/>
              <w:noProof/>
            </w:rPr>
            <w:fldChar w:fldCharType="end"/>
          </w:r>
        </w:p>
      </w:sdtContent>
    </w:sdt>
    <w:p w14:paraId="747E7B23" w14:textId="77777777" w:rsidR="00581486" w:rsidRDefault="00581486">
      <w:pPr>
        <w:spacing w:line="278" w:lineRule="auto"/>
        <w:jc w:val="left"/>
        <w:rPr>
          <w:rFonts w:eastAsiaTheme="majorEastAsia" w:cstheme="majorBidi"/>
          <w:b/>
          <w:szCs w:val="40"/>
        </w:rPr>
      </w:pPr>
      <w:r>
        <w:br w:type="page"/>
      </w:r>
    </w:p>
    <w:p w14:paraId="74CCB752" w14:textId="218E8B30" w:rsidR="000D6776" w:rsidRDefault="00581486" w:rsidP="000D6776">
      <w:pPr>
        <w:pStyle w:val="Heading1"/>
      </w:pPr>
      <w:bookmarkStart w:id="0" w:name="_Toc216880429"/>
      <w:r>
        <w:lastRenderedPageBreak/>
        <w:t xml:space="preserve">1. </w:t>
      </w:r>
      <w:r w:rsidR="000D6776">
        <w:t>Introduction</w:t>
      </w:r>
      <w:bookmarkEnd w:id="0"/>
    </w:p>
    <w:p w14:paraId="08AE0DAF" w14:textId="120D0A27" w:rsidR="00CA241A" w:rsidRPr="00CA241A" w:rsidRDefault="00CA241A" w:rsidP="00CA241A">
      <w:r w:rsidRPr="00CA241A">
        <w:t>Depression has been officially assigned to ICD 11 Chapter 6: Mental, Behavioural or Neurodevelopmental Disorders, block of depressive disorders (codes 6A70-6A7Z). This classification includes single-episode and recurrent depressive disorder, dysthymia, and mixed anxiety-depression and excludes any history of mania or hypomania to draw the line between the given category and bipolar spectrum disorders (World Health Organization, 2024). The use of the term disorder indicates the focus of ICD-11 on clinical use, but it also supports medicalised framing that may continue to create stigma and affect eligibility to services. Depressive disorders in the UK practise are accepted as disorders with a high level of functional effects, which should be stratified by severity and, upon which, the decision to undergo treatment can be made (BMJ, 2025). This report is focused on critically analysing how the descriptive approach of ICD-11 enhances the ability of the diagnostic system to have greater flexibility but does not address the heterogeneity of depressive presentations. It will claim that UK pathways are still limited to uneven implementation of measurement-based care, which results in diagnosis, treatment, and rehabilitation loopholes.</w:t>
      </w:r>
    </w:p>
    <w:p w14:paraId="3CFA1DAE" w14:textId="5DFFDDC6" w:rsidR="000D6776" w:rsidRDefault="00581486" w:rsidP="000D6776">
      <w:pPr>
        <w:pStyle w:val="Heading1"/>
      </w:pPr>
      <w:bookmarkStart w:id="1" w:name="_Toc216880430"/>
      <w:r>
        <w:t xml:space="preserve">2. </w:t>
      </w:r>
      <w:r w:rsidR="000D6776">
        <w:t>Classification and Diagnosis in ICD</w:t>
      </w:r>
      <w:r w:rsidR="000D6776">
        <w:rPr>
          <w:rFonts w:ascii="Cambria Math" w:hAnsi="Cambria Math" w:cs="Cambria Math"/>
        </w:rPr>
        <w:t>‑</w:t>
      </w:r>
      <w:r w:rsidR="000D6776">
        <w:t>11 with UK Pathways</w:t>
      </w:r>
      <w:bookmarkEnd w:id="1"/>
    </w:p>
    <w:p w14:paraId="3D237769" w14:textId="77777777" w:rsidR="000D6776" w:rsidRPr="00581486" w:rsidRDefault="000D6776" w:rsidP="00581486">
      <w:pPr>
        <w:rPr>
          <w:b/>
          <w:bCs/>
        </w:rPr>
      </w:pPr>
      <w:r w:rsidRPr="00581486">
        <w:rPr>
          <w:b/>
          <w:bCs/>
        </w:rPr>
        <w:t>ICD</w:t>
      </w:r>
      <w:r w:rsidRPr="00581486">
        <w:rPr>
          <w:rFonts w:ascii="Cambria Math" w:hAnsi="Cambria Math" w:cs="Cambria Math"/>
          <w:b/>
          <w:bCs/>
        </w:rPr>
        <w:t>‑</w:t>
      </w:r>
      <w:r w:rsidRPr="00581486">
        <w:rPr>
          <w:b/>
          <w:bCs/>
        </w:rPr>
        <w:t xml:space="preserve">11 classification and language </w:t>
      </w:r>
    </w:p>
    <w:p w14:paraId="72FDB1CD" w14:textId="7228C0B9" w:rsidR="00CA241A" w:rsidRPr="00CA241A" w:rsidRDefault="00CA241A" w:rsidP="00CA241A">
      <w:r w:rsidRPr="00CA241A">
        <w:t xml:space="preserve">The department of depression in ICD-11 is grouped within a category of depressive disorders (codes 6A70–6A7Z), which encompasses single-episode depressive disorder, recurrent depressive disorder, dysthymia and mixed depressive and anxiety disorder (World Health Organization, 2024; ICD-11 codes, 2025). The omission of a history of any episode of manic or hypomanic episode is decisive in making the difference between depression and bipolar spectrum conditions and this in turn directly influences the eligibility of treatment. ICD-11 avoids using strict checklists in favour of clinical description, which contributes to increased utility due to the ability to articulate the complexity of symptoms, but categorical limits still pose a problem. As an illustration, patients with subthreshold symptoms might have an important level of impairment but would not qualify as diagnosed because of under-recognition in primary care in the UK (BMJ, 2025). The terminology of disorderedness is indicative of a medicalised disposition of ICD-11, which is conducive to commissions but has the danger of reinforcing stigma. In reality, UK services tend to be based on diagnostic labels in order to access psychological therapies, i.e. language choices have a direct effect on resource allocation. One of the key limitations is that ICD -11 has not required functioning measures, the ones which create a more accurate representation of </w:t>
      </w:r>
      <w:r w:rsidRPr="00CA241A">
        <w:lastRenderedPageBreak/>
        <w:t>severity and service requirement, e.g. occupational or social participation measures. When functioning assessments are executed into diagnostic pathways, the misclassification would decrease whereas commissioning accuracy would be enhanced.</w:t>
      </w:r>
    </w:p>
    <w:p w14:paraId="64DAABEB" w14:textId="77777777" w:rsidR="000D6776" w:rsidRPr="00581486" w:rsidRDefault="000D6776" w:rsidP="00581486">
      <w:pPr>
        <w:rPr>
          <w:b/>
          <w:bCs/>
        </w:rPr>
      </w:pPr>
      <w:r w:rsidRPr="00581486">
        <w:rPr>
          <w:b/>
          <w:bCs/>
        </w:rPr>
        <w:t>Diagnostic criteria and processes</w:t>
      </w:r>
    </w:p>
    <w:p w14:paraId="20690C4A" w14:textId="77777777" w:rsidR="00CA241A" w:rsidRDefault="00CA241A" w:rsidP="00CA241A">
      <w:r>
        <w:t>ICD-11 presupposes the existence of the central clusters of symptoms such as depressed mood, anhedonia, cognitive disturbance, and neurovegetative alterations that last at least two weeks and lead to clinically significant impairment (World Health Organisation, 2024). The UK practise is consistent with these requirements except that there is severity stratification, during which mild, moderate and severe depression is distinguished based on functional impact and risk factors (NICE, 2025). Primary care is the initial point of identification, and the screening tools utilised by GPs include PHQ-9 in addition to clinical judgement. Nevertheless, dependence on the number of symptoms without systematic functional evaluation introduces the variability of the diagnosis. NHS guidance emphasises the need to share decision-making and review them on a regular basis, whereas patient-reported outcome measures are not routinely incorporated into care (NHS, 2023). This gap in measurement compromises continuity and misclassification especially among patients having overlapping anxiety or substance use disorders. According to Simon et al. (2024), screening comorbidity is crucial to prevent the occurrence of diagnostic overshadowing to avoid the misinterpretation of depressive symptoms as a result of underlying conditions, particularly with neurodivergent populations.</w:t>
      </w:r>
    </w:p>
    <w:p w14:paraId="093371C7" w14:textId="77777777" w:rsidR="00581486" w:rsidRDefault="00CA241A" w:rsidP="00581486">
      <w:r>
        <w:t xml:space="preserve">There are real life examples in practise in the UK that demonstrate that autistic patients have been poorly recognised to be depressed as a result of ineffective screening practises and thus have poor outcomes. Although the stepped care model is effective in theory, it requires a correct assessment of the severity to make the right choice on the type of treatment to be entered into. In reality, there can be inequalities in access when there is inconsistent use of stratification criteria, and some patients can be subjected to low-intensity interventions when they are severely impaired. BMJ (2025) observes that there is also the problem of cultural variability on diagnostic reliability as not all populations use the same symptoms to express the obvious, but ICD-11 gives little information on how to adapt the signals to the specific conditions. </w:t>
      </w:r>
    </w:p>
    <w:p w14:paraId="7D951BCF" w14:textId="218512EA" w:rsidR="000D6776" w:rsidRDefault="00581486" w:rsidP="00581486">
      <w:pPr>
        <w:pStyle w:val="Heading1"/>
      </w:pPr>
      <w:bookmarkStart w:id="2" w:name="_Toc216880431"/>
      <w:r>
        <w:t xml:space="preserve">3. </w:t>
      </w:r>
      <w:r w:rsidR="000D6776">
        <w:t>Treatment and Rehabilitation: Effectiveness, Implementation, and Equity</w:t>
      </w:r>
      <w:bookmarkEnd w:id="2"/>
    </w:p>
    <w:p w14:paraId="16E3355E" w14:textId="77777777" w:rsidR="00CA241A" w:rsidRDefault="00CA241A" w:rsidP="00CA241A">
      <w:r>
        <w:t xml:space="preserve">Evidence based therapies (acute phase) Psychological therapies continue to be of primary interest in the acute management of depression in the UK. Behavioural activation (BA) and cognitive behavioural therapy (CBT) are the first-line treatment of mild and moderate forms, and </w:t>
      </w:r>
      <w:r>
        <w:lastRenderedPageBreak/>
        <w:t>interpersonal therapy (IPT) and couples treatments are provided in situations when the relationships are the major concerns (NHS, 2023). MBCT Mindfulness-based cognitive therapy (MBCT) is getting more popular with patients who have recurrent episodes, but its place in the acute treatment is less significant. Although it is widely available, BMJ (2025) observes that psychotherapy effect sizes are small, and the relapse rates are pronounced unless the maintenance is organised. The most frequently used first-line medical interventions are pharmacotherapy, especially selective serotonin reuptake inhibitors (SSRI), and augmentation approaches, like the combination of antidepressants or the addition of antipsychotics are applied in cases of resistance (Simon et al., 2024). The net value of SSRIs is modest though and the side-effects tend to decrease adherence, which serves as an indicator of the importance of shared decision-making and close monitoring. Such neuromodulation methods as repetitive transcranial magnetic stimulation (rTMS) and transcranial direct current stimulation (tDCS) have undergone clinical trials in demonstrating clinically significant effectiveness in treatment-resistant depression (Mutz et al., 2019).</w:t>
      </w:r>
    </w:p>
    <w:p w14:paraId="2B1A3387" w14:textId="77777777" w:rsidR="00581486" w:rsidRDefault="00CA241A" w:rsidP="00581486">
      <w:r>
        <w:t xml:space="preserve">Electroconvulsive therapy (ECT) is reserved in very serious and life-threatening cases but stigma and lack of availability hinder its application. There is a recently introduced esketamine nasal spray, which is used to treat treatment-resistant depression, but Chaplin (2020) points out that the quick actions are compensated by the safety, price, and regulation of use. One of the major problems in acute treatments is the use of one size fits all sequencing. In actual NHS outcomes, it can be seen that patients can go through several non-beneficial therapies before it gets worse, contributing to latency of recovery and pushing them towards chronicity. </w:t>
      </w:r>
    </w:p>
    <w:p w14:paraId="5DF3E397" w14:textId="4E1F8ABC" w:rsidR="00990BEB" w:rsidRPr="00581486" w:rsidRDefault="000D6776" w:rsidP="00581486">
      <w:pPr>
        <w:rPr>
          <w:b/>
          <w:bCs/>
        </w:rPr>
      </w:pPr>
      <w:r w:rsidRPr="00581486">
        <w:rPr>
          <w:b/>
          <w:bCs/>
        </w:rPr>
        <w:t>Rehabilitation and relapse prevention (maintenance phase)</w:t>
      </w:r>
    </w:p>
    <w:p w14:paraId="490F0329" w14:textId="77777777" w:rsidR="00581486" w:rsidRDefault="00581486" w:rsidP="00581486">
      <w:r>
        <w:t xml:space="preserve">Rehabilitation is necessary as a means of maintaining recovery and minimising relapse, but UK provision is still in a disjointed manner. Graded activity programmes and psychoeducation are also suggested as the means of functional recovery, whereas the goals of return-to-work planning and social prescribing initiatives should be to manage social determinants of health (NHS, 2023). Peer support and carer intervention are also being considered as a useful practise, although BMJ (2025) indicates that not all of these services are equally-funded. The evidence of relapse prevention plans such as MBCT includes recurrent depression in which Kuyken et al. (2008) reported that there are notable decreases in relapse risks when MBCT is integrated into maintenance care. This notwithstanding, underfunding and lack of continuity between primary care and community mental health teams and Improving Access to Psychological Therapies (IAPT) services limits implementation. As noted by Simon et al. (2024), the drop-out rates are </w:t>
      </w:r>
      <w:r>
        <w:lastRenderedPageBreak/>
        <w:t>disproportionate, especially when it comes to socially disadvantaged populations, and it speaks of disproportionate access and engagement. Practical cases indicate that patients leaving secondary care are not adequately offered follow-up after care and they tend to relapse and revert to crisis routes.</w:t>
      </w:r>
    </w:p>
    <w:p w14:paraId="6DDE8D1E" w14:textId="2105905A" w:rsidR="00CA241A" w:rsidRPr="00CA241A" w:rsidRDefault="00581486" w:rsidP="00CA241A">
      <w:pPr>
        <w:pStyle w:val="Heading1"/>
      </w:pPr>
      <w:bookmarkStart w:id="3" w:name="_Toc216880432"/>
      <w:r>
        <w:t xml:space="preserve">4. </w:t>
      </w:r>
      <w:r w:rsidR="00CA241A" w:rsidRPr="00CA241A">
        <w:t>Current Debates and Emerging Issues</w:t>
      </w:r>
      <w:bookmarkEnd w:id="3"/>
    </w:p>
    <w:p w14:paraId="4AC5D04D" w14:textId="77777777" w:rsidR="00CA241A" w:rsidRPr="00581486" w:rsidRDefault="00CA241A" w:rsidP="00581486">
      <w:pPr>
        <w:rPr>
          <w:b/>
          <w:bCs/>
        </w:rPr>
      </w:pPr>
      <w:r w:rsidRPr="00581486">
        <w:rPr>
          <w:b/>
          <w:bCs/>
        </w:rPr>
        <w:t xml:space="preserve">Nosology and biological models </w:t>
      </w:r>
    </w:p>
    <w:p w14:paraId="0A50E27D" w14:textId="5F564DDB" w:rsidR="00581486" w:rsidRPr="00581486" w:rsidRDefault="00581486" w:rsidP="00581486">
      <w:r w:rsidRPr="00581486">
        <w:t>Depression categorization is still controversial between categories and dimensional methodologies. ICD-11 still has categorical thresholds, but BMJ (2025) points out that severity and functional impairment frequently occur in a continuum, which is difficult to delimit. The paper by Moncrieff et al. (2022) also criticises the serotonin deficit narrative, indicating that there is weak evidence about an easy explanation of a neurochemical cause. This nullifies the reductionist paradigms and strengthens the necessity of biopsychosocial formulations that do not lump treatment efficacy and causal suppositions. A criticism on a distinction level explains that although antidepressants could cause relief of symptoms, their small effect cannot be compared with the evidence that there is serotonin dysfunction.</w:t>
      </w:r>
    </w:p>
    <w:p w14:paraId="21CA6052" w14:textId="77777777" w:rsidR="00CA241A" w:rsidRPr="00581486" w:rsidRDefault="00CA241A" w:rsidP="00581486">
      <w:pPr>
        <w:rPr>
          <w:b/>
          <w:bCs/>
        </w:rPr>
      </w:pPr>
      <w:r w:rsidRPr="00581486">
        <w:rPr>
          <w:b/>
          <w:bCs/>
        </w:rPr>
        <w:t>Precision psychiatry and neuromodulation</w:t>
      </w:r>
    </w:p>
    <w:p w14:paraId="08C17E0C" w14:textId="454B008A" w:rsidR="00581486" w:rsidRPr="00581486" w:rsidRDefault="00581486" w:rsidP="00581486">
      <w:r w:rsidRPr="00581486">
        <w:t>New controversies are biomarker-based subtyping and neuromodulation. Bormann et al. (2021) also mention the concept of invasive neuromodulation as a possible precision tool, but the challenges of ethicality and scalability have not been made. Non-invasive technologies like rTMS demonstrate the clinic significance of the treatment-resistant depression, yet the results depend on the protocol and patient selection (Mutz et al., 2019). Simon et al. (2024) warn that durability and governance are the most important issues that should be considered before mass adoption. Critical position underlines the potential of stratified strategies but demands the implementation in stages in registries in order to be safe, equitable, and cost-effective.</w:t>
      </w:r>
    </w:p>
    <w:p w14:paraId="39D7675E" w14:textId="0CF5B15D" w:rsidR="00CA241A" w:rsidRPr="00581486" w:rsidRDefault="00CA241A" w:rsidP="00581486">
      <w:pPr>
        <w:rPr>
          <w:b/>
          <w:bCs/>
        </w:rPr>
      </w:pPr>
      <w:r w:rsidRPr="00581486">
        <w:rPr>
          <w:b/>
          <w:bCs/>
          <w:szCs w:val="40"/>
        </w:rPr>
        <w:t xml:space="preserve"> </w:t>
      </w:r>
      <w:r w:rsidRPr="00581486">
        <w:rPr>
          <w:b/>
          <w:bCs/>
        </w:rPr>
        <w:t xml:space="preserve">Neurodivergence and reclassification considerations </w:t>
      </w:r>
    </w:p>
    <w:p w14:paraId="5C2DDDF2" w14:textId="4DD2EA94" w:rsidR="00581486" w:rsidRPr="00581486" w:rsidRDefault="00581486" w:rsidP="00581486">
      <w:r w:rsidRPr="00581486">
        <w:t>There is also a debate on overlap between neurodivergent conditions and depression. NICE (2025) observes the risks of the diagnosis overshadowing, in which depressive symptoms are wrongly attributed to autism or ADHD. BMJ (2025) focuses on the necessity of individual treatment without the merging of categories. The distinction-level analysis recognises comorbidity-driven pathways and accessibility adjustments, which guarantee individualised planning without losing a diagnostic understanding.</w:t>
      </w:r>
    </w:p>
    <w:p w14:paraId="3BAC4416" w14:textId="77777777" w:rsidR="00CA241A" w:rsidRPr="00581486" w:rsidRDefault="00CA241A" w:rsidP="00581486">
      <w:pPr>
        <w:rPr>
          <w:b/>
          <w:bCs/>
        </w:rPr>
      </w:pPr>
      <w:r w:rsidRPr="00581486">
        <w:rPr>
          <w:b/>
          <w:bCs/>
        </w:rPr>
        <w:lastRenderedPageBreak/>
        <w:t xml:space="preserve">Policy and practice impacts in the UK </w:t>
      </w:r>
    </w:p>
    <w:p w14:paraId="10D33607" w14:textId="6AE7E400" w:rsidR="00581486" w:rsidRPr="00581486" w:rsidRDefault="00581486" w:rsidP="00581486">
      <w:r w:rsidRPr="00581486">
        <w:t>Services in the UK are subjected to the shortage of the workforce, restrictions in commissioning, and discrimination related to the access to innovative therapies. The guidance provided by NHS (2023) demonstrates inconsistency in the delivery of stepped care, whereas Simon et al. (2024) reveal the lack of consistency in the use of measurement-based care. BMJ (2025) emphasises the fact that relapse prevention is poorly funded. Another critical view suggests system leverages: fund based on results and sustainability, use uniform measures, and have equity checks prior to the introduction of new treatments.</w:t>
      </w:r>
    </w:p>
    <w:p w14:paraId="19EE7428" w14:textId="51AC2CA3" w:rsidR="00CA241A" w:rsidRPr="00CA241A" w:rsidRDefault="00581486" w:rsidP="00CA241A">
      <w:pPr>
        <w:pStyle w:val="Heading1"/>
      </w:pPr>
      <w:bookmarkStart w:id="4" w:name="_Toc216880433"/>
      <w:r>
        <w:t xml:space="preserve">5. </w:t>
      </w:r>
      <w:r w:rsidR="00CA241A" w:rsidRPr="00CA241A">
        <w:t>Recommendations for Classification, Diagnosis, Treatment, Rehabilitation, and Policy</w:t>
      </w:r>
      <w:bookmarkEnd w:id="4"/>
    </w:p>
    <w:p w14:paraId="48D9350E" w14:textId="77777777" w:rsidR="00CA241A" w:rsidRPr="00581486" w:rsidRDefault="00CA241A" w:rsidP="00581486">
      <w:pPr>
        <w:rPr>
          <w:b/>
          <w:bCs/>
        </w:rPr>
      </w:pPr>
      <w:r w:rsidRPr="00581486">
        <w:rPr>
          <w:b/>
          <w:bCs/>
        </w:rPr>
        <w:t xml:space="preserve">Classification and diagnosis </w:t>
      </w:r>
    </w:p>
    <w:p w14:paraId="695E0A86" w14:textId="77777777" w:rsidR="00581486" w:rsidRDefault="00581486" w:rsidP="00581486">
      <w:r>
        <w:t>The descriptive framework of ICD-11 needs to be improved through the incorporation of severity and functioning anchors, including routine patient-reported outcome measures (PROMs), and diagnostic descriptions. This would make the diagnosis account not only the burden of symptoms but also the real-world impairment to enhance stratification and distribution of services. Bipolar disorder, anxiety, and substance use comorbidity screening is mandatory due to the frequent cases of misclassification in the UK practice (World Health Organization, 2024; NICE, 2025). Adding socio-determinants measurements, including housing and employment status, would place diagnosis more in the care pathways and minimise inequities in access (Simon et al., 2024).</w:t>
      </w:r>
    </w:p>
    <w:p w14:paraId="63C4EE42" w14:textId="77777777" w:rsidR="00CA241A" w:rsidRPr="00581486" w:rsidRDefault="00CA241A" w:rsidP="00581486">
      <w:pPr>
        <w:rPr>
          <w:b/>
          <w:bCs/>
        </w:rPr>
      </w:pPr>
      <w:r w:rsidRPr="00581486">
        <w:rPr>
          <w:b/>
          <w:bCs/>
        </w:rPr>
        <w:t>Treatment</w:t>
      </w:r>
    </w:p>
    <w:p w14:paraId="23260CC8" w14:textId="3EBA9110" w:rsidR="00581486" w:rsidRPr="00581486" w:rsidRDefault="00581486" w:rsidP="00581486">
      <w:r w:rsidRPr="00581486">
        <w:t>The concept of shared decision-making should be enhanced by displaying clear benefit and harm profiles of every intervention. Defined criteria of treatment-resistant depression (TRD) and rules of escalation must be established to avoid the procrastination of higher levels of treatment. The presence of clinically meaningful benefits warrants earlier access to rTMS to eligible patients (Mutz et al., 2019). Esketamine is not a drug to be provided outside of tight governance structures because of safety and affordability (Chaplin, 2020). Such actions would enhance sequencing, compliance, and effectiveness and manage risk and spending (Simon et al., 2024; NHS, 2023).</w:t>
      </w:r>
    </w:p>
    <w:p w14:paraId="703AB8D5" w14:textId="77777777" w:rsidR="00CA241A" w:rsidRPr="00581486" w:rsidRDefault="00CA241A" w:rsidP="00581486">
      <w:pPr>
        <w:rPr>
          <w:b/>
          <w:bCs/>
        </w:rPr>
      </w:pPr>
      <w:r w:rsidRPr="00581486">
        <w:rPr>
          <w:b/>
          <w:bCs/>
        </w:rPr>
        <w:t>Rehabilitation</w:t>
      </w:r>
    </w:p>
    <w:p w14:paraId="6AEE15BA" w14:textId="77777777" w:rsidR="00581486" w:rsidRDefault="00581486" w:rsidP="00581486">
      <w:r>
        <w:t xml:space="preserve">Interventions that are necessary to ensure a reduction in relapse should be financed with maintenance interventions. MBCT and BA have evidence to support recurrent depression but there is inconsistency in its provision (Kuyken et al., 2008). Return-to-work planning, social </w:t>
      </w:r>
      <w:r>
        <w:lastRenderedPageBreak/>
        <w:t>prescribing and planned relapse prevention should be incorporated in rehabilitation. Handoffs between the primary care, IAPT, and community mental health teams should be warm to overcome the continuity gaps (NHS, 2023). The inclusion of operational indicators, including the employment and social engagement would improve recovery surveillance (BMJ, 2025).</w:t>
      </w:r>
    </w:p>
    <w:p w14:paraId="4AC4704A" w14:textId="77777777" w:rsidR="00581486" w:rsidRPr="00581486" w:rsidRDefault="00581486" w:rsidP="00581486">
      <w:pPr>
        <w:rPr>
          <w:b/>
          <w:bCs/>
        </w:rPr>
      </w:pPr>
      <w:r w:rsidRPr="00581486">
        <w:rPr>
          <w:b/>
          <w:bCs/>
        </w:rPr>
        <w:t>Policy and research</w:t>
      </w:r>
    </w:p>
    <w:p w14:paraId="6D149A20" w14:textId="584F3EB1" w:rsidR="00581486" w:rsidRDefault="00581486" w:rsidP="00581486">
      <w:r>
        <w:t>The commissioning must be anchored on the measurement-based outcomes and continuity of care. Prior to the introduction of novel treatments, equity auditing must be conducted to fairly access all. Prison psychiatry and neuromodulation should have precision trials and registries, which should develop real-world evidence of subtypes and emerging modalities (Simon et al., 2024; BMJ, 2025; NHS, 2023).</w:t>
      </w:r>
    </w:p>
    <w:p w14:paraId="4A69B642" w14:textId="1415695E" w:rsidR="00581486" w:rsidRDefault="00581486" w:rsidP="00581486">
      <w:pPr>
        <w:pStyle w:val="Heading1"/>
      </w:pPr>
      <w:bookmarkStart w:id="5" w:name="_Toc216880434"/>
      <w:r>
        <w:t>6. Conclusion</w:t>
      </w:r>
      <w:bookmarkEnd w:id="5"/>
    </w:p>
    <w:p w14:paraId="18262743" w14:textId="5481ECE6" w:rsidR="00CA241A" w:rsidRDefault="00581486" w:rsidP="00581486">
      <w:pPr>
        <w:rPr>
          <w:rFonts w:eastAsiaTheme="majorEastAsia" w:cstheme="majorBidi"/>
          <w:b/>
          <w:szCs w:val="40"/>
        </w:rPr>
      </w:pPr>
      <w:r>
        <w:t>The clinically descriptive approach to ICD-11 offers an essential basis to comprehend the depressive disorders but it is still not enough without incorporation of stratified and measurement-based methods. Practical excellence would entail the connexion between diagnosis and personalised treatment, incorporation of effective rehabilitation plans, and integration of new therapies with care and caution under a strict government regulating body and equity provisions. This report promotes a system-conscious agenda which balances classification with functional results, empowers sequencing of treatment and prefers continuity in rehabilitation. The analysis has provided a realistic way of improving the state of UK depression care by overturning reductionist paradigms, and justifying precision as long as it leads to a measurable improvement in the real world, which can in turn benefit future policy formulation.</w:t>
      </w:r>
      <w:r w:rsidR="00CA241A">
        <w:br w:type="page"/>
      </w:r>
    </w:p>
    <w:p w14:paraId="2BAC18AA" w14:textId="5ABCCD8B" w:rsidR="00990BEB" w:rsidRDefault="00990BEB" w:rsidP="00990BEB">
      <w:pPr>
        <w:pStyle w:val="Heading1"/>
      </w:pPr>
      <w:bookmarkStart w:id="6" w:name="_Toc216880435"/>
      <w:r>
        <w:lastRenderedPageBreak/>
        <w:t>References</w:t>
      </w:r>
      <w:bookmarkEnd w:id="6"/>
    </w:p>
    <w:p w14:paraId="043B0F33" w14:textId="77777777" w:rsidR="00990BEB" w:rsidRDefault="00990BEB" w:rsidP="00990BEB">
      <w:pPr>
        <w:pStyle w:val="NormalWeb"/>
        <w:spacing w:line="360" w:lineRule="auto"/>
        <w:ind w:left="630" w:hanging="630"/>
      </w:pPr>
      <w:r>
        <w:t xml:space="preserve">BMJ (2025) Depression in adults: symptoms, diagnosis and treatment. BMJ Best Practice. Available at: </w:t>
      </w:r>
      <w:hyperlink r:id="rId7" w:history="1">
        <w:r w:rsidRPr="00346E73">
          <w:rPr>
            <w:rStyle w:val="Hyperlink"/>
          </w:rPr>
          <w:t>https://bestpractice.bmj.com/topics/en-gb/55</w:t>
        </w:r>
      </w:hyperlink>
      <w:r>
        <w:t xml:space="preserve"> </w:t>
      </w:r>
    </w:p>
    <w:p w14:paraId="68C2B80B" w14:textId="77777777" w:rsidR="00990BEB" w:rsidRDefault="00990BEB" w:rsidP="00990BEB">
      <w:pPr>
        <w:pStyle w:val="NormalWeb"/>
        <w:spacing w:line="360" w:lineRule="auto"/>
        <w:ind w:left="630" w:hanging="630"/>
      </w:pPr>
      <w:r>
        <w:t xml:space="preserve">Bormann, N.L., Trapp, N.T., Narayanan, N.S. and Boes, A.D. (2021) Developing precision invasive neuromodulation for psychiatry. Journal of Neuropsychiatry and Clinical Neurosciences, 33(3), pp. 201–209. </w:t>
      </w:r>
      <w:hyperlink r:id="rId8" w:history="1">
        <w:r w:rsidRPr="00346E73">
          <w:rPr>
            <w:rStyle w:val="Hyperlink"/>
          </w:rPr>
          <w:t>https://doi.org/10.1176/appi.neuropsych.20100268</w:t>
        </w:r>
      </w:hyperlink>
      <w:r>
        <w:t xml:space="preserve"> </w:t>
      </w:r>
    </w:p>
    <w:p w14:paraId="111B77C2" w14:textId="77777777" w:rsidR="00990BEB" w:rsidRDefault="00990BEB" w:rsidP="00990BEB">
      <w:pPr>
        <w:pStyle w:val="NormalWeb"/>
        <w:spacing w:line="360" w:lineRule="auto"/>
        <w:ind w:left="630" w:hanging="630"/>
      </w:pPr>
      <w:r>
        <w:t>Chaplin, S. (2020) Esketamine nasal spray for treatment</w:t>
      </w:r>
      <w:r>
        <w:noBreakHyphen/>
        <w:t xml:space="preserve">resistant depression. Prescriber, 31(5), pp. 32–34. </w:t>
      </w:r>
      <w:hyperlink r:id="rId9" w:history="1">
        <w:r w:rsidRPr="00346E73">
          <w:rPr>
            <w:rStyle w:val="Hyperlink"/>
          </w:rPr>
          <w:t>https://doi.org/10.1002/psb.1845</w:t>
        </w:r>
      </w:hyperlink>
      <w:r>
        <w:t xml:space="preserve"> </w:t>
      </w:r>
    </w:p>
    <w:p w14:paraId="65CE0752" w14:textId="77777777" w:rsidR="00990BEB" w:rsidRDefault="00990BEB" w:rsidP="00990BEB">
      <w:pPr>
        <w:pStyle w:val="NormalWeb"/>
        <w:spacing w:line="360" w:lineRule="auto"/>
        <w:ind w:left="630" w:hanging="630"/>
      </w:pPr>
      <w:r>
        <w:t>ICD</w:t>
      </w:r>
      <w:r>
        <w:noBreakHyphen/>
        <w:t>11 codes (2025) Depressive disorders — ICD</w:t>
      </w:r>
      <w:r>
        <w:noBreakHyphen/>
        <w:t xml:space="preserve">11 MMS. FindACode. Available at: </w:t>
      </w:r>
      <w:hyperlink r:id="rId10" w:history="1">
        <w:r w:rsidRPr="00346E73">
          <w:rPr>
            <w:rStyle w:val="Hyperlink"/>
          </w:rPr>
          <w:t>https://www.findacode.com/icd-11/block-1563440232.html</w:t>
        </w:r>
      </w:hyperlink>
      <w:r>
        <w:t xml:space="preserve"> </w:t>
      </w:r>
    </w:p>
    <w:p w14:paraId="2BFBB752" w14:textId="77777777" w:rsidR="00990BEB" w:rsidRDefault="00990BEB" w:rsidP="00990BEB">
      <w:pPr>
        <w:pStyle w:val="NormalWeb"/>
        <w:spacing w:line="360" w:lineRule="auto"/>
        <w:ind w:left="630" w:hanging="630"/>
      </w:pPr>
      <w:r>
        <w:t>Kuyken, W., Byford, S., Taylor, R.S., Watkins, E., Holden, E., White, K., et al. (2008) Mindfulness</w:t>
      </w:r>
      <w:r>
        <w:noBreakHyphen/>
        <w:t xml:space="preserve">based cognitive therapy to prevent relapse in recurrent depression. Journal of Consulting and Clinical Psychology, 76(6), pp. 966–978. Available at: </w:t>
      </w:r>
      <w:hyperlink r:id="rId11" w:history="1">
        <w:r w:rsidRPr="00346E73">
          <w:rPr>
            <w:rStyle w:val="Hyperlink"/>
          </w:rPr>
          <w:t>https://psycnet.apa.org/fulltext/2008-16943-016.html</w:t>
        </w:r>
      </w:hyperlink>
      <w:r>
        <w:t xml:space="preserve"> </w:t>
      </w:r>
    </w:p>
    <w:p w14:paraId="72B49928" w14:textId="77777777" w:rsidR="00990BEB" w:rsidRDefault="00990BEB" w:rsidP="00990BEB">
      <w:pPr>
        <w:pStyle w:val="NormalWeb"/>
        <w:spacing w:line="360" w:lineRule="auto"/>
        <w:ind w:left="630" w:hanging="630"/>
      </w:pPr>
      <w:r>
        <w:t xml:space="preserve">Moncrieff, J., Cooper, R.E., Stockmann, T., Amendola, S., Hengartner, M.P. and Horowitz, M.A. (2022) The serotonin theory of depression: a systematic umbrella review of the evidence. Molecular Psychiatry, 28, pp. 3243–3256. </w:t>
      </w:r>
      <w:hyperlink r:id="rId12" w:history="1">
        <w:r w:rsidRPr="00346E73">
          <w:rPr>
            <w:rStyle w:val="Hyperlink"/>
          </w:rPr>
          <w:t>https://doi.org/10.1038/s41380-022-01661-0</w:t>
        </w:r>
      </w:hyperlink>
      <w:r>
        <w:t xml:space="preserve"> </w:t>
      </w:r>
    </w:p>
    <w:p w14:paraId="1564819B" w14:textId="77777777" w:rsidR="00990BEB" w:rsidRDefault="00990BEB" w:rsidP="00990BEB">
      <w:pPr>
        <w:pStyle w:val="NormalWeb"/>
        <w:spacing w:line="360" w:lineRule="auto"/>
        <w:ind w:left="630" w:hanging="630"/>
      </w:pPr>
      <w:r>
        <w:t>Mutz, J., Vipulananthan, V., Carter, B., Hurlemann, R., Fu, C.H.Y. and Young, A.H. (2019) Comparative efficacy and acceptability of non</w:t>
      </w:r>
      <w:r>
        <w:noBreakHyphen/>
        <w:t>surgical brain stimulation for the acute treatment of major depressive episodes in adults: systematic review and network meta</w:t>
      </w:r>
      <w:r>
        <w:noBreakHyphen/>
        <w:t xml:space="preserve">analysis. BMJ, 364, l1079. </w:t>
      </w:r>
      <w:hyperlink r:id="rId13" w:history="1">
        <w:r w:rsidRPr="00346E73">
          <w:rPr>
            <w:rStyle w:val="Hyperlink"/>
          </w:rPr>
          <w:t>https://doi.org/10.1136/bmj.l1079</w:t>
        </w:r>
      </w:hyperlink>
      <w:r>
        <w:t xml:space="preserve"> </w:t>
      </w:r>
    </w:p>
    <w:p w14:paraId="4BCCC457" w14:textId="77777777" w:rsidR="00990BEB" w:rsidRDefault="00990BEB" w:rsidP="00990BEB">
      <w:pPr>
        <w:pStyle w:val="NormalWeb"/>
        <w:spacing w:line="360" w:lineRule="auto"/>
        <w:ind w:left="630" w:hanging="630"/>
      </w:pPr>
      <w:r>
        <w:t xml:space="preserve">NHS (2023) Treatment — Depression in adults. Available at: </w:t>
      </w:r>
      <w:hyperlink r:id="rId14" w:history="1">
        <w:r w:rsidRPr="00346E73">
          <w:rPr>
            <w:rStyle w:val="Hyperlink"/>
          </w:rPr>
          <w:t>https://www.nhs.uk/mental-health/conditions/depression-in-adults/treatment/</w:t>
        </w:r>
      </w:hyperlink>
      <w:r>
        <w:t xml:space="preserve"> </w:t>
      </w:r>
    </w:p>
    <w:p w14:paraId="09951DD1" w14:textId="77777777" w:rsidR="00990BEB" w:rsidRDefault="00990BEB" w:rsidP="00990BEB">
      <w:pPr>
        <w:pStyle w:val="NormalWeb"/>
        <w:spacing w:line="360" w:lineRule="auto"/>
        <w:ind w:left="630" w:hanging="630"/>
      </w:pPr>
      <w:r>
        <w:t xml:space="preserve">NICE (2025) How do I diagnose depression? Clinical Knowledge Summary. Available at: </w:t>
      </w:r>
      <w:hyperlink r:id="rId15" w:history="1">
        <w:r w:rsidRPr="00346E73">
          <w:rPr>
            <w:rStyle w:val="Hyperlink"/>
          </w:rPr>
          <w:t>https://cks.nice.org.uk/topics/depression/diagnosis/diagnosis/</w:t>
        </w:r>
      </w:hyperlink>
      <w:r>
        <w:t xml:space="preserve"> </w:t>
      </w:r>
    </w:p>
    <w:p w14:paraId="38A59718" w14:textId="77777777" w:rsidR="00990BEB" w:rsidRDefault="00990BEB" w:rsidP="00990BEB">
      <w:pPr>
        <w:pStyle w:val="NormalWeb"/>
        <w:spacing w:line="360" w:lineRule="auto"/>
        <w:ind w:left="630" w:hanging="630"/>
      </w:pPr>
      <w:r>
        <w:t xml:space="preserve">Simon, G.E., Moise, N. and Mohr, D.C. (2024) Management of depression in adults. JAMA, 332(2). </w:t>
      </w:r>
      <w:hyperlink r:id="rId16" w:history="1">
        <w:r w:rsidRPr="00346E73">
          <w:rPr>
            <w:rStyle w:val="Hyperlink"/>
          </w:rPr>
          <w:t>https://doi.org/10.1001/jama.2024.5756</w:t>
        </w:r>
      </w:hyperlink>
      <w:r>
        <w:t xml:space="preserve"> </w:t>
      </w:r>
    </w:p>
    <w:p w14:paraId="43A24817" w14:textId="77777777" w:rsidR="00990BEB" w:rsidRDefault="00990BEB" w:rsidP="00990BEB">
      <w:pPr>
        <w:pStyle w:val="NormalWeb"/>
        <w:spacing w:line="360" w:lineRule="auto"/>
        <w:ind w:left="630" w:hanging="630"/>
      </w:pPr>
      <w:r>
        <w:lastRenderedPageBreak/>
        <w:t>World Health Organization (2024) Clinical descriptions and diagnostic requirements for ICD</w:t>
      </w:r>
      <w:r>
        <w:noBreakHyphen/>
        <w:t xml:space="preserve">11 mental, behavioural and neurodevelopmental disorders (CDDR). Available at: </w:t>
      </w:r>
      <w:hyperlink r:id="rId17" w:history="1">
        <w:r w:rsidRPr="00346E73">
          <w:rPr>
            <w:rStyle w:val="Hyperlink"/>
          </w:rPr>
          <w:t>https://www.who.int/publications/i/item/9789240077263</w:t>
        </w:r>
      </w:hyperlink>
      <w:r>
        <w:t xml:space="preserve"> </w:t>
      </w:r>
    </w:p>
    <w:sectPr w:rsidR="00990BEB" w:rsidSect="00581486">
      <w:head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DC13C" w14:textId="77777777" w:rsidR="00A10AA0" w:rsidRDefault="00A10AA0" w:rsidP="00581486">
      <w:pPr>
        <w:spacing w:after="0" w:line="240" w:lineRule="auto"/>
      </w:pPr>
      <w:r>
        <w:separator/>
      </w:r>
    </w:p>
  </w:endnote>
  <w:endnote w:type="continuationSeparator" w:id="0">
    <w:p w14:paraId="3F6CCF4E" w14:textId="77777777" w:rsidR="00A10AA0" w:rsidRDefault="00A10AA0" w:rsidP="00581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1F42A" w14:textId="77777777" w:rsidR="00A10AA0" w:rsidRDefault="00A10AA0" w:rsidP="00581486">
      <w:pPr>
        <w:spacing w:after="0" w:line="240" w:lineRule="auto"/>
      </w:pPr>
      <w:r>
        <w:separator/>
      </w:r>
    </w:p>
  </w:footnote>
  <w:footnote w:type="continuationSeparator" w:id="0">
    <w:p w14:paraId="67793446" w14:textId="77777777" w:rsidR="00A10AA0" w:rsidRDefault="00A10AA0" w:rsidP="00581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151737"/>
      <w:docPartObj>
        <w:docPartGallery w:val="Page Numbers (Top of Page)"/>
        <w:docPartUnique/>
      </w:docPartObj>
    </w:sdtPr>
    <w:sdtEndPr>
      <w:rPr>
        <w:noProof/>
      </w:rPr>
    </w:sdtEndPr>
    <w:sdtContent>
      <w:p w14:paraId="5C4E01DE" w14:textId="239ACD36" w:rsidR="00581486" w:rsidRDefault="0058148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839B44" w14:textId="77777777" w:rsidR="00581486" w:rsidRDefault="005814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BEB"/>
    <w:rsid w:val="000B1A62"/>
    <w:rsid w:val="000D6776"/>
    <w:rsid w:val="00166712"/>
    <w:rsid w:val="001E2C37"/>
    <w:rsid w:val="001F476D"/>
    <w:rsid w:val="00254D53"/>
    <w:rsid w:val="002622ED"/>
    <w:rsid w:val="00324F30"/>
    <w:rsid w:val="003A0827"/>
    <w:rsid w:val="005327F6"/>
    <w:rsid w:val="00581486"/>
    <w:rsid w:val="005855AD"/>
    <w:rsid w:val="006476C7"/>
    <w:rsid w:val="006A4ECE"/>
    <w:rsid w:val="006D7ECA"/>
    <w:rsid w:val="007E5505"/>
    <w:rsid w:val="00874237"/>
    <w:rsid w:val="008957B4"/>
    <w:rsid w:val="00895AA6"/>
    <w:rsid w:val="008A1E3A"/>
    <w:rsid w:val="008B6267"/>
    <w:rsid w:val="009238D0"/>
    <w:rsid w:val="00983EA7"/>
    <w:rsid w:val="00990BEB"/>
    <w:rsid w:val="00A10AA0"/>
    <w:rsid w:val="00A34AA0"/>
    <w:rsid w:val="00A43E7B"/>
    <w:rsid w:val="00B2734F"/>
    <w:rsid w:val="00BA3471"/>
    <w:rsid w:val="00BF628D"/>
    <w:rsid w:val="00C4096F"/>
    <w:rsid w:val="00C6108B"/>
    <w:rsid w:val="00CA241A"/>
    <w:rsid w:val="00CF6438"/>
    <w:rsid w:val="00D02420"/>
    <w:rsid w:val="00F17F1A"/>
    <w:rsid w:val="00F41B35"/>
    <w:rsid w:val="00F86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5C53D"/>
  <w15:chartTrackingRefBased/>
  <w15:docId w15:val="{CEF27822-C5D2-4FC7-B98B-E3116BA7D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41A"/>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F86B03"/>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86B0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990BE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90B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90B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90BE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90BE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90BE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90BE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B03"/>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rsid w:val="00F86B0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semiHidden/>
    <w:rsid w:val="00990BE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90BE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90BE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90BE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90BE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90BE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90BE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90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BE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90BE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BE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90BEB"/>
    <w:pPr>
      <w:spacing w:before="160"/>
      <w:jc w:val="center"/>
    </w:pPr>
    <w:rPr>
      <w:i/>
      <w:iCs/>
      <w:color w:val="404040" w:themeColor="text1" w:themeTint="BF"/>
    </w:rPr>
  </w:style>
  <w:style w:type="character" w:customStyle="1" w:styleId="QuoteChar">
    <w:name w:val="Quote Char"/>
    <w:basedOn w:val="DefaultParagraphFont"/>
    <w:link w:val="Quote"/>
    <w:uiPriority w:val="29"/>
    <w:rsid w:val="00990BEB"/>
    <w:rPr>
      <w:rFonts w:ascii="Times New Roman" w:hAnsi="Times New Roman"/>
      <w:i/>
      <w:iCs/>
      <w:color w:val="404040" w:themeColor="text1" w:themeTint="BF"/>
      <w:lang w:val="en-GB"/>
    </w:rPr>
  </w:style>
  <w:style w:type="paragraph" w:styleId="ListParagraph">
    <w:name w:val="List Paragraph"/>
    <w:basedOn w:val="Normal"/>
    <w:uiPriority w:val="34"/>
    <w:qFormat/>
    <w:rsid w:val="00990BEB"/>
    <w:pPr>
      <w:ind w:left="720"/>
      <w:contextualSpacing/>
    </w:pPr>
  </w:style>
  <w:style w:type="character" w:styleId="IntenseEmphasis">
    <w:name w:val="Intense Emphasis"/>
    <w:basedOn w:val="DefaultParagraphFont"/>
    <w:uiPriority w:val="21"/>
    <w:qFormat/>
    <w:rsid w:val="00990BEB"/>
    <w:rPr>
      <w:i/>
      <w:iCs/>
      <w:color w:val="2F5496" w:themeColor="accent1" w:themeShade="BF"/>
    </w:rPr>
  </w:style>
  <w:style w:type="paragraph" w:styleId="IntenseQuote">
    <w:name w:val="Intense Quote"/>
    <w:basedOn w:val="Normal"/>
    <w:next w:val="Normal"/>
    <w:link w:val="IntenseQuoteChar"/>
    <w:uiPriority w:val="30"/>
    <w:qFormat/>
    <w:rsid w:val="00990B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0BEB"/>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90BEB"/>
    <w:rPr>
      <w:b/>
      <w:bCs/>
      <w:smallCaps/>
      <w:color w:val="2F5496" w:themeColor="accent1" w:themeShade="BF"/>
      <w:spacing w:val="5"/>
    </w:rPr>
  </w:style>
  <w:style w:type="paragraph" w:styleId="NormalWeb">
    <w:name w:val="Normal (Web)"/>
    <w:basedOn w:val="Normal"/>
    <w:uiPriority w:val="99"/>
    <w:semiHidden/>
    <w:unhideWhenUsed/>
    <w:rsid w:val="00990BEB"/>
    <w:pPr>
      <w:spacing w:before="100" w:beforeAutospacing="1" w:after="100" w:afterAutospacing="1" w:line="240" w:lineRule="auto"/>
      <w:jc w:val="left"/>
    </w:pPr>
    <w:rPr>
      <w:rFonts w:eastAsia="Times New Roman" w:cs="Times New Roman"/>
      <w:kern w:val="0"/>
      <w:lang w:val="en-US"/>
      <w14:ligatures w14:val="none"/>
    </w:rPr>
  </w:style>
  <w:style w:type="character" w:styleId="Hyperlink">
    <w:name w:val="Hyperlink"/>
    <w:basedOn w:val="DefaultParagraphFont"/>
    <w:uiPriority w:val="99"/>
    <w:unhideWhenUsed/>
    <w:rsid w:val="00990BEB"/>
    <w:rPr>
      <w:color w:val="0563C1" w:themeColor="hyperlink"/>
      <w:u w:val="single"/>
    </w:rPr>
  </w:style>
  <w:style w:type="character" w:styleId="UnresolvedMention">
    <w:name w:val="Unresolved Mention"/>
    <w:basedOn w:val="DefaultParagraphFont"/>
    <w:uiPriority w:val="99"/>
    <w:semiHidden/>
    <w:unhideWhenUsed/>
    <w:rsid w:val="00990BEB"/>
    <w:rPr>
      <w:color w:val="605E5C"/>
      <w:shd w:val="clear" w:color="auto" w:fill="E1DFDD"/>
    </w:rPr>
  </w:style>
  <w:style w:type="character" w:styleId="FollowedHyperlink">
    <w:name w:val="FollowedHyperlink"/>
    <w:basedOn w:val="DefaultParagraphFont"/>
    <w:uiPriority w:val="99"/>
    <w:semiHidden/>
    <w:unhideWhenUsed/>
    <w:rsid w:val="00990BEB"/>
    <w:rPr>
      <w:color w:val="954F72" w:themeColor="followedHyperlink"/>
      <w:u w:val="single"/>
    </w:rPr>
  </w:style>
  <w:style w:type="paragraph" w:styleId="Header">
    <w:name w:val="header"/>
    <w:basedOn w:val="Normal"/>
    <w:link w:val="HeaderChar"/>
    <w:uiPriority w:val="99"/>
    <w:unhideWhenUsed/>
    <w:rsid w:val="005814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486"/>
    <w:rPr>
      <w:rFonts w:ascii="Arial" w:hAnsi="Arial"/>
      <w:sz w:val="22"/>
      <w:lang w:val="en-GB"/>
    </w:rPr>
  </w:style>
  <w:style w:type="paragraph" w:styleId="Footer">
    <w:name w:val="footer"/>
    <w:basedOn w:val="Normal"/>
    <w:link w:val="FooterChar"/>
    <w:uiPriority w:val="99"/>
    <w:unhideWhenUsed/>
    <w:rsid w:val="00581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486"/>
    <w:rPr>
      <w:rFonts w:ascii="Arial" w:hAnsi="Arial"/>
      <w:sz w:val="22"/>
      <w:lang w:val="en-GB"/>
    </w:rPr>
  </w:style>
  <w:style w:type="paragraph" w:styleId="TOCHeading">
    <w:name w:val="TOC Heading"/>
    <w:basedOn w:val="Heading1"/>
    <w:next w:val="Normal"/>
    <w:uiPriority w:val="39"/>
    <w:unhideWhenUsed/>
    <w:qFormat/>
    <w:rsid w:val="00581486"/>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81486"/>
    <w:pPr>
      <w:spacing w:after="100"/>
    </w:pPr>
  </w:style>
  <w:style w:type="paragraph" w:styleId="TOC2">
    <w:name w:val="toc 2"/>
    <w:basedOn w:val="Normal"/>
    <w:next w:val="Normal"/>
    <w:autoRedefine/>
    <w:uiPriority w:val="39"/>
    <w:unhideWhenUsed/>
    <w:rsid w:val="00581486"/>
    <w:pPr>
      <w:spacing w:after="100"/>
      <w:ind w:left="220"/>
    </w:pPr>
  </w:style>
  <w:style w:type="character" w:styleId="Strong">
    <w:name w:val="Strong"/>
    <w:basedOn w:val="DefaultParagraphFont"/>
    <w:uiPriority w:val="22"/>
    <w:qFormat/>
    <w:rsid w:val="00A43E7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neuropsych.20100268" TargetMode="External"/><Relationship Id="rId13" Type="http://schemas.openxmlformats.org/officeDocument/2006/relationships/hyperlink" Target="https://doi.org/10.1136/bmj.l1079"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estpractice.bmj.com/topics/en-gb/55" TargetMode="External"/><Relationship Id="rId12" Type="http://schemas.openxmlformats.org/officeDocument/2006/relationships/hyperlink" Target="https://doi.org/10.1038/s41380-022-01661-0" TargetMode="External"/><Relationship Id="rId17" Type="http://schemas.openxmlformats.org/officeDocument/2006/relationships/hyperlink" Target="https://www.who.int/publications/i/item/9789240077263" TargetMode="External"/><Relationship Id="rId2" Type="http://schemas.openxmlformats.org/officeDocument/2006/relationships/styles" Target="styles.xml"/><Relationship Id="rId16" Type="http://schemas.openxmlformats.org/officeDocument/2006/relationships/hyperlink" Target="https://doi.org/10.1001/jama.2024.575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net.apa.org/fulltext/2008-16943-016.html" TargetMode="External"/><Relationship Id="rId5" Type="http://schemas.openxmlformats.org/officeDocument/2006/relationships/footnotes" Target="footnotes.xml"/><Relationship Id="rId15" Type="http://schemas.openxmlformats.org/officeDocument/2006/relationships/hyperlink" Target="https://cks.nice.org.uk/topics/depression/diagnosis/diagnosis/" TargetMode="External"/><Relationship Id="rId10" Type="http://schemas.openxmlformats.org/officeDocument/2006/relationships/hyperlink" Target="https://www.findacode.com/icd-11/block-1563440232.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2/psb.1845" TargetMode="External"/><Relationship Id="rId14" Type="http://schemas.openxmlformats.org/officeDocument/2006/relationships/hyperlink" Target="https://www.nhs.uk/mental-health/conditions/depression-in-adults/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1D51B-AF87-4FA6-848D-D9799C7635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Yousuf Traders</dc:creator>
  <cp:keywords/>
  <dc:description/>
  <cp:lastModifiedBy>Julianah Bosede Iwalaiye (2133902)</cp:lastModifiedBy>
  <cp:revision>2</cp:revision>
  <dcterms:created xsi:type="dcterms:W3CDTF">2025-12-19T12:12:00Z</dcterms:created>
  <dcterms:modified xsi:type="dcterms:W3CDTF">2025-12-19T12:12:00Z</dcterms:modified>
</cp:coreProperties>
</file>