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409968" w14:textId="77777777" w:rsidR="00205DEE" w:rsidRDefault="005F73AD">
      <w:pPr>
        <w:spacing w:before="480" w:after="120"/>
        <w:jc w:val="center"/>
      </w:pPr>
      <w:r>
        <w:rPr>
          <w:b/>
          <w:bCs/>
          <w:color w:val="1F3864"/>
          <w:sz w:val="40"/>
          <w:szCs w:val="40"/>
        </w:rPr>
        <w:t>FINANCIAL ANALYSIS REPORT</w:t>
      </w:r>
    </w:p>
    <w:p w14:paraId="064A07B2" w14:textId="77777777" w:rsidR="00205DEE" w:rsidRDefault="005F73AD">
      <w:pPr>
        <w:pBdr>
          <w:bottom w:val="single" w:sz="6" w:space="8" w:color="1F3864"/>
        </w:pBdr>
        <w:spacing w:after="60"/>
        <w:jc w:val="center"/>
      </w:pPr>
      <w:r>
        <w:rPr>
          <w:color w:val="2E5FA3"/>
          <w:sz w:val="26"/>
          <w:szCs w:val="26"/>
        </w:rPr>
        <w:t>J Sainsbury PLC — Financial Years 2023 and 2024</w:t>
      </w:r>
    </w:p>
    <w:p w14:paraId="6115F421" w14:textId="77777777" w:rsidR="00205DEE" w:rsidRDefault="00205DEE">
      <w:pPr>
        <w:spacing w:before="60" w:after="6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400"/>
        <w:gridCol w:w="6960"/>
      </w:tblGrid>
      <w:tr w:rsidR="00205DEE" w14:paraId="65C08BA2" w14:textId="77777777">
        <w:tblPrEx>
          <w:tblCellMar>
            <w:top w:w="0" w:type="dxa"/>
            <w:bottom w:w="0" w:type="dxa"/>
          </w:tblCellMar>
        </w:tblPrEx>
        <w:tc>
          <w:tcPr>
            <w:tcW w:w="2400" w:type="dxa"/>
            <w:tcBorders>
              <w:top w:val="single" w:sz="1" w:space="0" w:color="CCCCCC"/>
              <w:left w:val="single" w:sz="1" w:space="0" w:color="CCCCCC"/>
              <w:bottom w:val="single" w:sz="1" w:space="0" w:color="CCCCCC"/>
              <w:right w:val="single" w:sz="1" w:space="0" w:color="CCCCCC"/>
            </w:tcBorders>
            <w:shd w:val="clear" w:color="auto" w:fill="EEF3F9"/>
            <w:tcMar>
              <w:top w:w="80" w:type="dxa"/>
              <w:left w:w="120" w:type="dxa"/>
              <w:bottom w:w="80" w:type="dxa"/>
              <w:right w:w="120" w:type="dxa"/>
            </w:tcMar>
          </w:tcPr>
          <w:p w14:paraId="2243863C" w14:textId="77777777" w:rsidR="00205DEE" w:rsidRDefault="005F73AD">
            <w:r>
              <w:rPr>
                <w:b/>
                <w:bCs/>
                <w:color w:val="1F3864"/>
                <w:sz w:val="20"/>
                <w:szCs w:val="20"/>
              </w:rPr>
              <w:t>Programme</w:t>
            </w:r>
          </w:p>
        </w:tc>
        <w:tc>
          <w:tcPr>
            <w:tcW w:w="696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3816306" w14:textId="77777777" w:rsidR="00205DEE" w:rsidRDefault="005F73AD">
            <w:r>
              <w:rPr>
                <w:sz w:val="20"/>
                <w:szCs w:val="20"/>
              </w:rPr>
              <w:t>Developing Sustainable Enterprises (</w:t>
            </w:r>
            <w:proofErr w:type="spellStart"/>
            <w:r>
              <w:rPr>
                <w:sz w:val="20"/>
                <w:szCs w:val="20"/>
              </w:rPr>
              <w:t>CertHE</w:t>
            </w:r>
            <w:proofErr w:type="spellEnd"/>
            <w:r>
              <w:rPr>
                <w:sz w:val="20"/>
                <w:szCs w:val="20"/>
              </w:rPr>
              <w:t>)</w:t>
            </w:r>
          </w:p>
        </w:tc>
      </w:tr>
      <w:tr w:rsidR="00205DEE" w14:paraId="0172514D" w14:textId="77777777">
        <w:tblPrEx>
          <w:tblCellMar>
            <w:top w:w="0" w:type="dxa"/>
            <w:bottom w:w="0" w:type="dxa"/>
          </w:tblCellMar>
        </w:tblPrEx>
        <w:tc>
          <w:tcPr>
            <w:tcW w:w="2400" w:type="dxa"/>
            <w:tcBorders>
              <w:top w:val="single" w:sz="1" w:space="0" w:color="CCCCCC"/>
              <w:left w:val="single" w:sz="1" w:space="0" w:color="CCCCCC"/>
              <w:bottom w:val="single" w:sz="1" w:space="0" w:color="CCCCCC"/>
              <w:right w:val="single" w:sz="1" w:space="0" w:color="CCCCCC"/>
            </w:tcBorders>
            <w:shd w:val="clear" w:color="auto" w:fill="EEF3F9"/>
            <w:tcMar>
              <w:top w:w="80" w:type="dxa"/>
              <w:left w:w="120" w:type="dxa"/>
              <w:bottom w:w="80" w:type="dxa"/>
              <w:right w:w="120" w:type="dxa"/>
            </w:tcMar>
          </w:tcPr>
          <w:p w14:paraId="26B9B75F" w14:textId="77777777" w:rsidR="00205DEE" w:rsidRDefault="005F73AD">
            <w:r>
              <w:rPr>
                <w:b/>
                <w:bCs/>
                <w:color w:val="1F3864"/>
                <w:sz w:val="20"/>
                <w:szCs w:val="20"/>
              </w:rPr>
              <w:t>Module</w:t>
            </w:r>
          </w:p>
        </w:tc>
        <w:tc>
          <w:tcPr>
            <w:tcW w:w="696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DBC721B" w14:textId="77777777" w:rsidR="00205DEE" w:rsidRDefault="005F73AD">
            <w:r>
              <w:rPr>
                <w:sz w:val="20"/>
                <w:szCs w:val="20"/>
              </w:rPr>
              <w:t>Financial Management for Business Sustainability</w:t>
            </w:r>
          </w:p>
        </w:tc>
      </w:tr>
      <w:tr w:rsidR="00205DEE" w14:paraId="620369CE" w14:textId="77777777">
        <w:tblPrEx>
          <w:tblCellMar>
            <w:top w:w="0" w:type="dxa"/>
            <w:bottom w:w="0" w:type="dxa"/>
          </w:tblCellMar>
        </w:tblPrEx>
        <w:tc>
          <w:tcPr>
            <w:tcW w:w="2400" w:type="dxa"/>
            <w:tcBorders>
              <w:top w:val="single" w:sz="1" w:space="0" w:color="CCCCCC"/>
              <w:left w:val="single" w:sz="1" w:space="0" w:color="CCCCCC"/>
              <w:bottom w:val="single" w:sz="1" w:space="0" w:color="CCCCCC"/>
              <w:right w:val="single" w:sz="1" w:space="0" w:color="CCCCCC"/>
            </w:tcBorders>
            <w:shd w:val="clear" w:color="auto" w:fill="EEF3F9"/>
            <w:tcMar>
              <w:top w:w="80" w:type="dxa"/>
              <w:left w:w="120" w:type="dxa"/>
              <w:bottom w:w="80" w:type="dxa"/>
              <w:right w:w="120" w:type="dxa"/>
            </w:tcMar>
          </w:tcPr>
          <w:p w14:paraId="19A5A222" w14:textId="77777777" w:rsidR="00205DEE" w:rsidRDefault="005F73AD">
            <w:r>
              <w:rPr>
                <w:b/>
                <w:bCs/>
                <w:color w:val="1F3864"/>
                <w:sz w:val="20"/>
                <w:szCs w:val="20"/>
              </w:rPr>
              <w:t>Assignment</w:t>
            </w:r>
          </w:p>
        </w:tc>
        <w:tc>
          <w:tcPr>
            <w:tcW w:w="696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249BDCF" w14:textId="77777777" w:rsidR="00205DEE" w:rsidRDefault="005F73AD">
            <w:r>
              <w:rPr>
                <w:sz w:val="20"/>
                <w:szCs w:val="20"/>
              </w:rPr>
              <w:t>Financial Analysis</w:t>
            </w:r>
          </w:p>
        </w:tc>
      </w:tr>
    </w:tbl>
    <w:p w14:paraId="37FEDD7E" w14:textId="77777777" w:rsidR="00205DEE" w:rsidRDefault="00205DEE">
      <w:pPr>
        <w:spacing w:before="60" w:after="60"/>
      </w:pPr>
    </w:p>
    <w:p w14:paraId="4783EECF" w14:textId="77777777" w:rsidR="00205DEE" w:rsidRDefault="00205DEE">
      <w:pPr>
        <w:spacing w:before="60" w:after="60"/>
      </w:pPr>
    </w:p>
    <w:p w14:paraId="2B6D5258" w14:textId="77777777" w:rsidR="00205DEE" w:rsidRDefault="005F73AD">
      <w:pPr>
        <w:pStyle w:val="Heading1"/>
        <w:pBdr>
          <w:bottom w:val="single" w:sz="4" w:space="4" w:color="1F3864"/>
        </w:pBdr>
      </w:pPr>
      <w:r>
        <w:t>1. Introduction</w:t>
      </w:r>
    </w:p>
    <w:p w14:paraId="1BFCB6F7" w14:textId="77777777" w:rsidR="00205DEE" w:rsidRDefault="005F73AD">
      <w:pPr>
        <w:spacing w:before="80" w:after="80"/>
        <w:jc w:val="both"/>
      </w:pPr>
      <w:r>
        <w:t>This report presents a structured financial analysis of J Sainsbury PLC, one of the United Kingdom's foremost grocery and retail conglomerates. Drawing upon the company's audited Annual Reports for the financial years ending March 2023 and March 2024, this study calculates, interprets, and compares a comprehensive set of financial ratios across four analytical categories: profitability, liquidity, efficiency, and gearing.</w:t>
      </w:r>
    </w:p>
    <w:p w14:paraId="4903CFA9" w14:textId="77777777" w:rsidR="00205DEE" w:rsidRDefault="005F73AD">
      <w:pPr>
        <w:spacing w:before="80" w:after="80"/>
        <w:jc w:val="both"/>
      </w:pPr>
      <w:r>
        <w:t>The principal objectives of this report are threefold. First, to assess the direction and magnitude of change in Sainsbury's financial performance over the two-year period. Second, to contextualise these findings within the broader macroeconomic and competitive environment in which the business operates. Third, to formulate evidence-based recommendations aimed at strengthening both the company's financial resilience and its long-term sustainability. The report concludes with a critical reflection on the uti</w:t>
      </w:r>
      <w:r>
        <w:t>lity and limitations of ratio analysis as a diagnostic tool.</w:t>
      </w:r>
    </w:p>
    <w:p w14:paraId="32426D7F" w14:textId="77777777" w:rsidR="00205DEE" w:rsidRDefault="00205DEE">
      <w:pPr>
        <w:spacing w:before="60" w:after="60"/>
      </w:pPr>
    </w:p>
    <w:p w14:paraId="396F7894" w14:textId="77777777" w:rsidR="00205DEE" w:rsidRDefault="005F73AD">
      <w:pPr>
        <w:pStyle w:val="Heading1"/>
        <w:pBdr>
          <w:bottom w:val="single" w:sz="4" w:space="4" w:color="1F3864"/>
        </w:pBdr>
      </w:pPr>
      <w:r>
        <w:t>2. Financial Ratio Analysis</w:t>
      </w:r>
    </w:p>
    <w:p w14:paraId="04719EA2" w14:textId="77777777" w:rsidR="00205DEE" w:rsidRDefault="005F73AD">
      <w:pPr>
        <w:spacing w:before="80" w:after="80"/>
        <w:jc w:val="both"/>
      </w:pPr>
      <w:r>
        <w:t>The ratios presented below have been calculated directly from figures disclosed in Sainsbury's published financial statements. All workings are based on the consolidated income statement, balance sheet, and accompanying notes for each respective year. The results are summarised in Table 1.</w:t>
      </w:r>
    </w:p>
    <w:p w14:paraId="15DF70AA" w14:textId="77777777" w:rsidR="00205DEE" w:rsidRDefault="00205DEE">
      <w:pPr>
        <w:spacing w:before="60" w:after="60"/>
      </w:pPr>
    </w:p>
    <w:p w14:paraId="37F1EBFF" w14:textId="77777777" w:rsidR="00205DEE" w:rsidRDefault="005F73AD">
      <w:pPr>
        <w:spacing w:before="120" w:after="120"/>
        <w:jc w:val="center"/>
      </w:pPr>
      <w:r>
        <w:rPr>
          <w:b/>
          <w:bCs/>
          <w:i/>
          <w:iCs/>
          <w:color w:val="1F3864"/>
          <w:sz w:val="20"/>
          <w:szCs w:val="20"/>
        </w:rPr>
        <w:t>Table 1: Financial Ratio Summary — J Sainsbury PLC (2023–2024)</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00"/>
        <w:gridCol w:w="2360"/>
        <w:gridCol w:w="1200"/>
        <w:gridCol w:w="1200"/>
        <w:gridCol w:w="1200"/>
        <w:gridCol w:w="1200"/>
      </w:tblGrid>
      <w:tr w:rsidR="00205DEE" w14:paraId="14693963" w14:textId="77777777">
        <w:tblPrEx>
          <w:tblCellMar>
            <w:top w:w="0" w:type="dxa"/>
            <w:bottom w:w="0" w:type="dxa"/>
          </w:tblCellMar>
        </w:tblPrEx>
        <w:trPr>
          <w:tblHeader/>
        </w:trPr>
        <w:tc>
          <w:tcPr>
            <w:tcW w:w="2200" w:type="dxa"/>
            <w:tcBorders>
              <w:top w:val="single" w:sz="1" w:space="0" w:color="1F3864"/>
              <w:left w:val="single" w:sz="1" w:space="0" w:color="1F3864"/>
              <w:bottom w:val="single" w:sz="1" w:space="0" w:color="1F3864"/>
              <w:right w:val="single" w:sz="1" w:space="0" w:color="1F3864"/>
            </w:tcBorders>
            <w:shd w:val="clear" w:color="auto" w:fill="1F3864"/>
            <w:tcMar>
              <w:top w:w="80" w:type="dxa"/>
              <w:left w:w="120" w:type="dxa"/>
              <w:bottom w:w="80" w:type="dxa"/>
              <w:right w:w="120" w:type="dxa"/>
            </w:tcMar>
            <w:vAlign w:val="center"/>
          </w:tcPr>
          <w:p w14:paraId="56F75EFE" w14:textId="77777777" w:rsidR="00205DEE" w:rsidRDefault="005F73AD">
            <w:pPr>
              <w:jc w:val="center"/>
            </w:pPr>
            <w:r>
              <w:rPr>
                <w:b/>
                <w:bCs/>
                <w:color w:val="FFFFFF"/>
                <w:sz w:val="20"/>
                <w:szCs w:val="20"/>
              </w:rPr>
              <w:t>Ratio</w:t>
            </w:r>
          </w:p>
        </w:tc>
        <w:tc>
          <w:tcPr>
            <w:tcW w:w="2360" w:type="dxa"/>
            <w:tcBorders>
              <w:top w:val="single" w:sz="1" w:space="0" w:color="1F3864"/>
              <w:left w:val="single" w:sz="1" w:space="0" w:color="1F3864"/>
              <w:bottom w:val="single" w:sz="1" w:space="0" w:color="1F3864"/>
              <w:right w:val="single" w:sz="1" w:space="0" w:color="1F3864"/>
            </w:tcBorders>
            <w:shd w:val="clear" w:color="auto" w:fill="1F3864"/>
            <w:tcMar>
              <w:top w:w="80" w:type="dxa"/>
              <w:left w:w="120" w:type="dxa"/>
              <w:bottom w:w="80" w:type="dxa"/>
              <w:right w:w="120" w:type="dxa"/>
            </w:tcMar>
            <w:vAlign w:val="center"/>
          </w:tcPr>
          <w:p w14:paraId="6B040971" w14:textId="77777777" w:rsidR="00205DEE" w:rsidRDefault="005F73AD">
            <w:pPr>
              <w:jc w:val="center"/>
            </w:pPr>
            <w:r>
              <w:rPr>
                <w:b/>
                <w:bCs/>
                <w:color w:val="FFFFFF"/>
                <w:sz w:val="20"/>
                <w:szCs w:val="20"/>
              </w:rPr>
              <w:t>Formula</w:t>
            </w:r>
          </w:p>
        </w:tc>
        <w:tc>
          <w:tcPr>
            <w:tcW w:w="1200" w:type="dxa"/>
            <w:tcBorders>
              <w:top w:val="single" w:sz="1" w:space="0" w:color="1F3864"/>
              <w:left w:val="single" w:sz="1" w:space="0" w:color="1F3864"/>
              <w:bottom w:val="single" w:sz="1" w:space="0" w:color="1F3864"/>
              <w:right w:val="single" w:sz="1" w:space="0" w:color="1F3864"/>
            </w:tcBorders>
            <w:shd w:val="clear" w:color="auto" w:fill="1F3864"/>
            <w:tcMar>
              <w:top w:w="80" w:type="dxa"/>
              <w:left w:w="120" w:type="dxa"/>
              <w:bottom w:w="80" w:type="dxa"/>
              <w:right w:w="120" w:type="dxa"/>
            </w:tcMar>
            <w:vAlign w:val="center"/>
          </w:tcPr>
          <w:p w14:paraId="14EB25B8" w14:textId="77777777" w:rsidR="00205DEE" w:rsidRDefault="005F73AD">
            <w:pPr>
              <w:jc w:val="center"/>
            </w:pPr>
            <w:r>
              <w:rPr>
                <w:b/>
                <w:bCs/>
                <w:color w:val="FFFFFF"/>
                <w:sz w:val="20"/>
                <w:szCs w:val="20"/>
              </w:rPr>
              <w:t>2023</w:t>
            </w:r>
          </w:p>
        </w:tc>
        <w:tc>
          <w:tcPr>
            <w:tcW w:w="1200" w:type="dxa"/>
            <w:tcBorders>
              <w:top w:val="single" w:sz="1" w:space="0" w:color="1F3864"/>
              <w:left w:val="single" w:sz="1" w:space="0" w:color="1F3864"/>
              <w:bottom w:val="single" w:sz="1" w:space="0" w:color="1F3864"/>
              <w:right w:val="single" w:sz="1" w:space="0" w:color="1F3864"/>
            </w:tcBorders>
            <w:shd w:val="clear" w:color="auto" w:fill="1F3864"/>
            <w:tcMar>
              <w:top w:w="80" w:type="dxa"/>
              <w:left w:w="120" w:type="dxa"/>
              <w:bottom w:w="80" w:type="dxa"/>
              <w:right w:w="120" w:type="dxa"/>
            </w:tcMar>
            <w:vAlign w:val="center"/>
          </w:tcPr>
          <w:p w14:paraId="1C12CC74" w14:textId="77777777" w:rsidR="00205DEE" w:rsidRDefault="005F73AD">
            <w:pPr>
              <w:jc w:val="center"/>
            </w:pPr>
            <w:r>
              <w:rPr>
                <w:b/>
                <w:bCs/>
                <w:color w:val="FFFFFF"/>
                <w:sz w:val="20"/>
                <w:szCs w:val="20"/>
              </w:rPr>
              <w:t>2024</w:t>
            </w:r>
          </w:p>
        </w:tc>
        <w:tc>
          <w:tcPr>
            <w:tcW w:w="1200" w:type="dxa"/>
            <w:tcBorders>
              <w:top w:val="single" w:sz="1" w:space="0" w:color="1F3864"/>
              <w:left w:val="single" w:sz="1" w:space="0" w:color="1F3864"/>
              <w:bottom w:val="single" w:sz="1" w:space="0" w:color="1F3864"/>
              <w:right w:val="single" w:sz="1" w:space="0" w:color="1F3864"/>
            </w:tcBorders>
            <w:shd w:val="clear" w:color="auto" w:fill="1F3864"/>
            <w:tcMar>
              <w:top w:w="80" w:type="dxa"/>
              <w:left w:w="120" w:type="dxa"/>
              <w:bottom w:w="80" w:type="dxa"/>
              <w:right w:w="120" w:type="dxa"/>
            </w:tcMar>
            <w:vAlign w:val="center"/>
          </w:tcPr>
          <w:p w14:paraId="183A31FE" w14:textId="77777777" w:rsidR="00205DEE" w:rsidRDefault="005F73AD">
            <w:pPr>
              <w:jc w:val="center"/>
            </w:pPr>
            <w:r>
              <w:rPr>
                <w:b/>
                <w:bCs/>
                <w:color w:val="FFFFFF"/>
                <w:sz w:val="20"/>
                <w:szCs w:val="20"/>
              </w:rPr>
              <w:t>Change</w:t>
            </w:r>
          </w:p>
        </w:tc>
        <w:tc>
          <w:tcPr>
            <w:tcW w:w="1200" w:type="dxa"/>
            <w:tcBorders>
              <w:top w:val="single" w:sz="1" w:space="0" w:color="1F3864"/>
              <w:left w:val="single" w:sz="1" w:space="0" w:color="1F3864"/>
              <w:bottom w:val="single" w:sz="1" w:space="0" w:color="1F3864"/>
              <w:right w:val="single" w:sz="1" w:space="0" w:color="1F3864"/>
            </w:tcBorders>
            <w:shd w:val="clear" w:color="auto" w:fill="1F3864"/>
            <w:tcMar>
              <w:top w:w="80" w:type="dxa"/>
              <w:left w:w="120" w:type="dxa"/>
              <w:bottom w:w="80" w:type="dxa"/>
              <w:right w:w="120" w:type="dxa"/>
            </w:tcMar>
            <w:vAlign w:val="center"/>
          </w:tcPr>
          <w:p w14:paraId="0B9CAB6D" w14:textId="77777777" w:rsidR="00205DEE" w:rsidRDefault="005F73AD">
            <w:pPr>
              <w:jc w:val="center"/>
            </w:pPr>
            <w:r>
              <w:rPr>
                <w:b/>
                <w:bCs/>
                <w:color w:val="FFFFFF"/>
                <w:sz w:val="20"/>
                <w:szCs w:val="20"/>
              </w:rPr>
              <w:t>Direction</w:t>
            </w:r>
          </w:p>
        </w:tc>
      </w:tr>
      <w:tr w:rsidR="00205DEE" w14:paraId="45B19789" w14:textId="77777777">
        <w:tblPrEx>
          <w:tblCellMar>
            <w:top w:w="0" w:type="dxa"/>
            <w:bottom w:w="0" w:type="dxa"/>
          </w:tblCellMar>
        </w:tblPrEx>
        <w:tc>
          <w:tcPr>
            <w:tcW w:w="9360" w:type="dxa"/>
            <w:gridSpan w:val="6"/>
            <w:tcBorders>
              <w:top w:val="single" w:sz="1" w:space="0" w:color="CCCCCC"/>
              <w:left w:val="single" w:sz="1" w:space="0" w:color="CCCCCC"/>
              <w:bottom w:val="single" w:sz="1" w:space="0" w:color="CCCCCC"/>
              <w:right w:val="single" w:sz="1" w:space="0" w:color="CCCCCC"/>
            </w:tcBorders>
            <w:shd w:val="clear" w:color="auto" w:fill="D6E4F0"/>
            <w:tcMar>
              <w:top w:w="60" w:type="dxa"/>
              <w:left w:w="120" w:type="dxa"/>
              <w:bottom w:w="60" w:type="dxa"/>
              <w:right w:w="120" w:type="dxa"/>
            </w:tcMar>
          </w:tcPr>
          <w:p w14:paraId="23CB34B4" w14:textId="77777777" w:rsidR="00205DEE" w:rsidRDefault="005F73AD">
            <w:r>
              <w:rPr>
                <w:b/>
                <w:bCs/>
                <w:color w:val="1F3864"/>
                <w:sz w:val="20"/>
                <w:szCs w:val="20"/>
              </w:rPr>
              <w:t>PROFITABILITY RATIOS</w:t>
            </w:r>
          </w:p>
        </w:tc>
      </w:tr>
      <w:tr w:rsidR="00205DEE" w14:paraId="72A8AFC5" w14:textId="77777777">
        <w:tblPrEx>
          <w:tblCellMar>
            <w:top w:w="0" w:type="dxa"/>
            <w:bottom w:w="0" w:type="dxa"/>
          </w:tblCellMar>
        </w:tblPrEx>
        <w:tc>
          <w:tcPr>
            <w:tcW w:w="2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90F3ACF" w14:textId="77777777" w:rsidR="00205DEE" w:rsidRDefault="005F73AD">
            <w:r>
              <w:rPr>
                <w:b/>
                <w:bCs/>
                <w:color w:val="000000"/>
                <w:sz w:val="20"/>
                <w:szCs w:val="20"/>
              </w:rPr>
              <w:t>Gross Profit Margin</w:t>
            </w:r>
          </w:p>
        </w:tc>
        <w:tc>
          <w:tcPr>
            <w:tcW w:w="2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8500172" w14:textId="77777777" w:rsidR="00205DEE" w:rsidRDefault="005F73AD">
            <w:r>
              <w:rPr>
                <w:color w:val="000000"/>
                <w:sz w:val="20"/>
                <w:szCs w:val="20"/>
              </w:rPr>
              <w:t>(Gross Profit / Revenue) × 100</w:t>
            </w:r>
          </w:p>
        </w:tc>
        <w:tc>
          <w:tcPr>
            <w:tcW w:w="1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05461FB" w14:textId="77777777" w:rsidR="00205DEE" w:rsidRDefault="005F73AD">
            <w:pPr>
              <w:jc w:val="center"/>
            </w:pPr>
            <w:r>
              <w:rPr>
                <w:color w:val="000000"/>
                <w:sz w:val="20"/>
                <w:szCs w:val="20"/>
              </w:rPr>
              <w:t>6.5%</w:t>
            </w:r>
          </w:p>
        </w:tc>
        <w:tc>
          <w:tcPr>
            <w:tcW w:w="1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03FC5C8" w14:textId="77777777" w:rsidR="00205DEE" w:rsidRDefault="005F73AD">
            <w:pPr>
              <w:jc w:val="center"/>
            </w:pPr>
            <w:r>
              <w:rPr>
                <w:color w:val="000000"/>
                <w:sz w:val="20"/>
                <w:szCs w:val="20"/>
              </w:rPr>
              <w:t>6.8%</w:t>
            </w:r>
          </w:p>
        </w:tc>
        <w:tc>
          <w:tcPr>
            <w:tcW w:w="1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9935D33" w14:textId="77777777" w:rsidR="00205DEE" w:rsidRDefault="005F73AD">
            <w:pPr>
              <w:jc w:val="center"/>
            </w:pPr>
            <w:r>
              <w:rPr>
                <w:color w:val="000000"/>
                <w:sz w:val="20"/>
                <w:szCs w:val="20"/>
              </w:rPr>
              <w:t>+0.3%</w:t>
            </w:r>
          </w:p>
        </w:tc>
        <w:tc>
          <w:tcPr>
            <w:tcW w:w="1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56B5BAC" w14:textId="77777777" w:rsidR="00205DEE" w:rsidRDefault="005F73AD">
            <w:pPr>
              <w:jc w:val="center"/>
            </w:pPr>
            <w:r>
              <w:rPr>
                <w:color w:val="2E8B57"/>
                <w:sz w:val="20"/>
                <w:szCs w:val="20"/>
              </w:rPr>
              <w:t>▲</w:t>
            </w:r>
          </w:p>
        </w:tc>
      </w:tr>
      <w:tr w:rsidR="00205DEE" w14:paraId="06BF39C2" w14:textId="77777777">
        <w:tblPrEx>
          <w:tblCellMar>
            <w:top w:w="0" w:type="dxa"/>
            <w:bottom w:w="0" w:type="dxa"/>
          </w:tblCellMar>
        </w:tblPrEx>
        <w:tc>
          <w:tcPr>
            <w:tcW w:w="2200" w:type="dxa"/>
            <w:tcBorders>
              <w:top w:val="single" w:sz="1" w:space="0" w:color="CCCCCC"/>
              <w:left w:val="single" w:sz="1" w:space="0" w:color="CCCCCC"/>
              <w:bottom w:val="single" w:sz="1" w:space="0" w:color="CCCCCC"/>
              <w:right w:val="single" w:sz="1" w:space="0" w:color="CCCCCC"/>
            </w:tcBorders>
            <w:shd w:val="clear" w:color="auto" w:fill="F5F8FC"/>
            <w:tcMar>
              <w:top w:w="80" w:type="dxa"/>
              <w:left w:w="120" w:type="dxa"/>
              <w:bottom w:w="80" w:type="dxa"/>
              <w:right w:w="120" w:type="dxa"/>
            </w:tcMar>
          </w:tcPr>
          <w:p w14:paraId="4C6C140C" w14:textId="77777777" w:rsidR="00205DEE" w:rsidRDefault="005F73AD">
            <w:r>
              <w:rPr>
                <w:b/>
                <w:bCs/>
                <w:color w:val="000000"/>
                <w:sz w:val="20"/>
                <w:szCs w:val="20"/>
              </w:rPr>
              <w:t>Net Profit Margin</w:t>
            </w:r>
          </w:p>
        </w:tc>
        <w:tc>
          <w:tcPr>
            <w:tcW w:w="2360" w:type="dxa"/>
            <w:tcBorders>
              <w:top w:val="single" w:sz="1" w:space="0" w:color="CCCCCC"/>
              <w:left w:val="single" w:sz="1" w:space="0" w:color="CCCCCC"/>
              <w:bottom w:val="single" w:sz="1" w:space="0" w:color="CCCCCC"/>
              <w:right w:val="single" w:sz="1" w:space="0" w:color="CCCCCC"/>
            </w:tcBorders>
            <w:shd w:val="clear" w:color="auto" w:fill="F5F8FC"/>
            <w:tcMar>
              <w:top w:w="80" w:type="dxa"/>
              <w:left w:w="120" w:type="dxa"/>
              <w:bottom w:w="80" w:type="dxa"/>
              <w:right w:w="120" w:type="dxa"/>
            </w:tcMar>
          </w:tcPr>
          <w:p w14:paraId="6949F762" w14:textId="77777777" w:rsidR="00205DEE" w:rsidRDefault="005F73AD">
            <w:r>
              <w:rPr>
                <w:color w:val="000000"/>
                <w:sz w:val="20"/>
                <w:szCs w:val="20"/>
              </w:rPr>
              <w:t>(Profit for Year / Revenue) × 100</w:t>
            </w:r>
          </w:p>
        </w:tc>
        <w:tc>
          <w:tcPr>
            <w:tcW w:w="1200" w:type="dxa"/>
            <w:tcBorders>
              <w:top w:val="single" w:sz="1" w:space="0" w:color="CCCCCC"/>
              <w:left w:val="single" w:sz="1" w:space="0" w:color="CCCCCC"/>
              <w:bottom w:val="single" w:sz="1" w:space="0" w:color="CCCCCC"/>
              <w:right w:val="single" w:sz="1" w:space="0" w:color="CCCCCC"/>
            </w:tcBorders>
            <w:shd w:val="clear" w:color="auto" w:fill="F5F8FC"/>
            <w:tcMar>
              <w:top w:w="80" w:type="dxa"/>
              <w:left w:w="120" w:type="dxa"/>
              <w:bottom w:w="80" w:type="dxa"/>
              <w:right w:w="120" w:type="dxa"/>
            </w:tcMar>
          </w:tcPr>
          <w:p w14:paraId="55A46170" w14:textId="77777777" w:rsidR="00205DEE" w:rsidRDefault="005F73AD">
            <w:pPr>
              <w:jc w:val="center"/>
            </w:pPr>
            <w:r>
              <w:rPr>
                <w:color w:val="000000"/>
                <w:sz w:val="20"/>
                <w:szCs w:val="20"/>
              </w:rPr>
              <w:t>1.2%</w:t>
            </w:r>
          </w:p>
        </w:tc>
        <w:tc>
          <w:tcPr>
            <w:tcW w:w="1200" w:type="dxa"/>
            <w:tcBorders>
              <w:top w:val="single" w:sz="1" w:space="0" w:color="CCCCCC"/>
              <w:left w:val="single" w:sz="1" w:space="0" w:color="CCCCCC"/>
              <w:bottom w:val="single" w:sz="1" w:space="0" w:color="CCCCCC"/>
              <w:right w:val="single" w:sz="1" w:space="0" w:color="CCCCCC"/>
            </w:tcBorders>
            <w:shd w:val="clear" w:color="auto" w:fill="F5F8FC"/>
            <w:tcMar>
              <w:top w:w="80" w:type="dxa"/>
              <w:left w:w="120" w:type="dxa"/>
              <w:bottom w:w="80" w:type="dxa"/>
              <w:right w:w="120" w:type="dxa"/>
            </w:tcMar>
          </w:tcPr>
          <w:p w14:paraId="1E3AE2AD" w14:textId="77777777" w:rsidR="00205DEE" w:rsidRDefault="005F73AD">
            <w:pPr>
              <w:jc w:val="center"/>
            </w:pPr>
            <w:r>
              <w:rPr>
                <w:color w:val="000000"/>
                <w:sz w:val="20"/>
                <w:szCs w:val="20"/>
              </w:rPr>
              <w:t>1.5%</w:t>
            </w:r>
          </w:p>
        </w:tc>
        <w:tc>
          <w:tcPr>
            <w:tcW w:w="1200" w:type="dxa"/>
            <w:tcBorders>
              <w:top w:val="single" w:sz="1" w:space="0" w:color="CCCCCC"/>
              <w:left w:val="single" w:sz="1" w:space="0" w:color="CCCCCC"/>
              <w:bottom w:val="single" w:sz="1" w:space="0" w:color="CCCCCC"/>
              <w:right w:val="single" w:sz="1" w:space="0" w:color="CCCCCC"/>
            </w:tcBorders>
            <w:shd w:val="clear" w:color="auto" w:fill="F5F8FC"/>
            <w:tcMar>
              <w:top w:w="80" w:type="dxa"/>
              <w:left w:w="120" w:type="dxa"/>
              <w:bottom w:w="80" w:type="dxa"/>
              <w:right w:w="120" w:type="dxa"/>
            </w:tcMar>
          </w:tcPr>
          <w:p w14:paraId="5416CA48" w14:textId="77777777" w:rsidR="00205DEE" w:rsidRDefault="005F73AD">
            <w:pPr>
              <w:jc w:val="center"/>
            </w:pPr>
            <w:r>
              <w:rPr>
                <w:color w:val="000000"/>
                <w:sz w:val="20"/>
                <w:szCs w:val="20"/>
              </w:rPr>
              <w:t>+0.3%</w:t>
            </w:r>
          </w:p>
        </w:tc>
        <w:tc>
          <w:tcPr>
            <w:tcW w:w="1200" w:type="dxa"/>
            <w:tcBorders>
              <w:top w:val="single" w:sz="1" w:space="0" w:color="CCCCCC"/>
              <w:left w:val="single" w:sz="1" w:space="0" w:color="CCCCCC"/>
              <w:bottom w:val="single" w:sz="1" w:space="0" w:color="CCCCCC"/>
              <w:right w:val="single" w:sz="1" w:space="0" w:color="CCCCCC"/>
            </w:tcBorders>
            <w:shd w:val="clear" w:color="auto" w:fill="F5F8FC"/>
            <w:tcMar>
              <w:top w:w="80" w:type="dxa"/>
              <w:left w:w="120" w:type="dxa"/>
              <w:bottom w:w="80" w:type="dxa"/>
              <w:right w:w="120" w:type="dxa"/>
            </w:tcMar>
          </w:tcPr>
          <w:p w14:paraId="095B1848" w14:textId="77777777" w:rsidR="00205DEE" w:rsidRDefault="005F73AD">
            <w:pPr>
              <w:jc w:val="center"/>
            </w:pPr>
            <w:r>
              <w:rPr>
                <w:color w:val="2E8B57"/>
                <w:sz w:val="20"/>
                <w:szCs w:val="20"/>
              </w:rPr>
              <w:t>▲</w:t>
            </w:r>
          </w:p>
        </w:tc>
      </w:tr>
      <w:tr w:rsidR="00205DEE" w14:paraId="4C8AB877" w14:textId="77777777">
        <w:tblPrEx>
          <w:tblCellMar>
            <w:top w:w="0" w:type="dxa"/>
            <w:bottom w:w="0" w:type="dxa"/>
          </w:tblCellMar>
        </w:tblPrEx>
        <w:tc>
          <w:tcPr>
            <w:tcW w:w="2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1177268" w14:textId="77777777" w:rsidR="00205DEE" w:rsidRDefault="005F73AD">
            <w:r>
              <w:rPr>
                <w:b/>
                <w:bCs/>
                <w:color w:val="000000"/>
                <w:sz w:val="20"/>
                <w:szCs w:val="20"/>
              </w:rPr>
              <w:t>ROCE</w:t>
            </w:r>
          </w:p>
        </w:tc>
        <w:tc>
          <w:tcPr>
            <w:tcW w:w="2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B8D030F" w14:textId="77777777" w:rsidR="00205DEE" w:rsidRDefault="005F73AD">
            <w:r>
              <w:rPr>
                <w:color w:val="000000"/>
                <w:sz w:val="20"/>
                <w:szCs w:val="20"/>
              </w:rPr>
              <w:t>(Operating Profit / Capital Employed) × 100</w:t>
            </w:r>
          </w:p>
        </w:tc>
        <w:tc>
          <w:tcPr>
            <w:tcW w:w="1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BBB12EA" w14:textId="77777777" w:rsidR="00205DEE" w:rsidRDefault="005F73AD">
            <w:pPr>
              <w:jc w:val="center"/>
            </w:pPr>
            <w:r>
              <w:rPr>
                <w:color w:val="000000"/>
                <w:sz w:val="20"/>
                <w:szCs w:val="20"/>
              </w:rPr>
              <w:t>4.1%</w:t>
            </w:r>
          </w:p>
        </w:tc>
        <w:tc>
          <w:tcPr>
            <w:tcW w:w="1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2D18B40" w14:textId="77777777" w:rsidR="00205DEE" w:rsidRDefault="005F73AD">
            <w:pPr>
              <w:jc w:val="center"/>
            </w:pPr>
            <w:r>
              <w:rPr>
                <w:color w:val="000000"/>
                <w:sz w:val="20"/>
                <w:szCs w:val="20"/>
              </w:rPr>
              <w:t>4.6%</w:t>
            </w:r>
          </w:p>
        </w:tc>
        <w:tc>
          <w:tcPr>
            <w:tcW w:w="1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BD7F3D6" w14:textId="77777777" w:rsidR="00205DEE" w:rsidRDefault="005F73AD">
            <w:pPr>
              <w:jc w:val="center"/>
            </w:pPr>
            <w:r>
              <w:rPr>
                <w:color w:val="000000"/>
                <w:sz w:val="20"/>
                <w:szCs w:val="20"/>
              </w:rPr>
              <w:t>+0.5%</w:t>
            </w:r>
          </w:p>
        </w:tc>
        <w:tc>
          <w:tcPr>
            <w:tcW w:w="1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6B22D90" w14:textId="77777777" w:rsidR="00205DEE" w:rsidRDefault="005F73AD">
            <w:pPr>
              <w:jc w:val="center"/>
            </w:pPr>
            <w:r>
              <w:rPr>
                <w:color w:val="2E8B57"/>
                <w:sz w:val="20"/>
                <w:szCs w:val="20"/>
              </w:rPr>
              <w:t>▲</w:t>
            </w:r>
          </w:p>
        </w:tc>
      </w:tr>
      <w:tr w:rsidR="00205DEE" w14:paraId="4F02A2ED" w14:textId="77777777">
        <w:tblPrEx>
          <w:tblCellMar>
            <w:top w:w="0" w:type="dxa"/>
            <w:bottom w:w="0" w:type="dxa"/>
          </w:tblCellMar>
        </w:tblPrEx>
        <w:tc>
          <w:tcPr>
            <w:tcW w:w="9360" w:type="dxa"/>
            <w:gridSpan w:val="6"/>
            <w:tcBorders>
              <w:top w:val="single" w:sz="1" w:space="0" w:color="CCCCCC"/>
              <w:left w:val="single" w:sz="1" w:space="0" w:color="CCCCCC"/>
              <w:bottom w:val="single" w:sz="1" w:space="0" w:color="CCCCCC"/>
              <w:right w:val="single" w:sz="1" w:space="0" w:color="CCCCCC"/>
            </w:tcBorders>
            <w:shd w:val="clear" w:color="auto" w:fill="D6E4F0"/>
            <w:tcMar>
              <w:top w:w="60" w:type="dxa"/>
              <w:left w:w="120" w:type="dxa"/>
              <w:bottom w:w="60" w:type="dxa"/>
              <w:right w:w="120" w:type="dxa"/>
            </w:tcMar>
          </w:tcPr>
          <w:p w14:paraId="00D38E31" w14:textId="77777777" w:rsidR="00205DEE" w:rsidRDefault="005F73AD">
            <w:r>
              <w:rPr>
                <w:b/>
                <w:bCs/>
                <w:color w:val="1F3864"/>
                <w:sz w:val="20"/>
                <w:szCs w:val="20"/>
              </w:rPr>
              <w:t>LIQUIDITY RATIOS</w:t>
            </w:r>
          </w:p>
        </w:tc>
      </w:tr>
      <w:tr w:rsidR="00205DEE" w14:paraId="363EDD63" w14:textId="77777777">
        <w:tblPrEx>
          <w:tblCellMar>
            <w:top w:w="0" w:type="dxa"/>
            <w:bottom w:w="0" w:type="dxa"/>
          </w:tblCellMar>
        </w:tblPrEx>
        <w:tc>
          <w:tcPr>
            <w:tcW w:w="2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3312F9F" w14:textId="77777777" w:rsidR="00205DEE" w:rsidRDefault="005F73AD">
            <w:r>
              <w:rPr>
                <w:b/>
                <w:bCs/>
                <w:color w:val="000000"/>
                <w:sz w:val="20"/>
                <w:szCs w:val="20"/>
              </w:rPr>
              <w:lastRenderedPageBreak/>
              <w:t>Current Ratio</w:t>
            </w:r>
          </w:p>
        </w:tc>
        <w:tc>
          <w:tcPr>
            <w:tcW w:w="2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0FCBDAF" w14:textId="77777777" w:rsidR="00205DEE" w:rsidRDefault="005F73AD">
            <w:r>
              <w:rPr>
                <w:color w:val="000000"/>
                <w:sz w:val="20"/>
                <w:szCs w:val="20"/>
              </w:rPr>
              <w:t>Current Assets / Current Liabilities</w:t>
            </w:r>
          </w:p>
        </w:tc>
        <w:tc>
          <w:tcPr>
            <w:tcW w:w="1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B058AA8" w14:textId="77777777" w:rsidR="00205DEE" w:rsidRDefault="005F73AD">
            <w:pPr>
              <w:jc w:val="center"/>
            </w:pPr>
            <w:r>
              <w:rPr>
                <w:color w:val="000000"/>
                <w:sz w:val="20"/>
                <w:szCs w:val="20"/>
              </w:rPr>
              <w:t>0.70</w:t>
            </w:r>
          </w:p>
        </w:tc>
        <w:tc>
          <w:tcPr>
            <w:tcW w:w="1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EA5560E" w14:textId="77777777" w:rsidR="00205DEE" w:rsidRDefault="005F73AD">
            <w:pPr>
              <w:jc w:val="center"/>
            </w:pPr>
            <w:r>
              <w:rPr>
                <w:color w:val="000000"/>
                <w:sz w:val="20"/>
                <w:szCs w:val="20"/>
              </w:rPr>
              <w:t>0.72</w:t>
            </w:r>
          </w:p>
        </w:tc>
        <w:tc>
          <w:tcPr>
            <w:tcW w:w="1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7E3223D" w14:textId="77777777" w:rsidR="00205DEE" w:rsidRDefault="005F73AD">
            <w:pPr>
              <w:jc w:val="center"/>
            </w:pPr>
            <w:r>
              <w:rPr>
                <w:color w:val="000000"/>
                <w:sz w:val="20"/>
                <w:szCs w:val="20"/>
              </w:rPr>
              <w:t>+0.02</w:t>
            </w:r>
          </w:p>
        </w:tc>
        <w:tc>
          <w:tcPr>
            <w:tcW w:w="1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FA55F1D" w14:textId="77777777" w:rsidR="00205DEE" w:rsidRDefault="005F73AD">
            <w:pPr>
              <w:jc w:val="center"/>
            </w:pPr>
            <w:r>
              <w:rPr>
                <w:color w:val="2E8B57"/>
                <w:sz w:val="20"/>
                <w:szCs w:val="20"/>
              </w:rPr>
              <w:t>▲</w:t>
            </w:r>
          </w:p>
        </w:tc>
      </w:tr>
      <w:tr w:rsidR="00205DEE" w14:paraId="48217393" w14:textId="77777777">
        <w:tblPrEx>
          <w:tblCellMar>
            <w:top w:w="0" w:type="dxa"/>
            <w:bottom w:w="0" w:type="dxa"/>
          </w:tblCellMar>
        </w:tblPrEx>
        <w:tc>
          <w:tcPr>
            <w:tcW w:w="2200" w:type="dxa"/>
            <w:tcBorders>
              <w:top w:val="single" w:sz="1" w:space="0" w:color="CCCCCC"/>
              <w:left w:val="single" w:sz="1" w:space="0" w:color="CCCCCC"/>
              <w:bottom w:val="single" w:sz="1" w:space="0" w:color="CCCCCC"/>
              <w:right w:val="single" w:sz="1" w:space="0" w:color="CCCCCC"/>
            </w:tcBorders>
            <w:shd w:val="clear" w:color="auto" w:fill="F5F8FC"/>
            <w:tcMar>
              <w:top w:w="80" w:type="dxa"/>
              <w:left w:w="120" w:type="dxa"/>
              <w:bottom w:w="80" w:type="dxa"/>
              <w:right w:w="120" w:type="dxa"/>
            </w:tcMar>
          </w:tcPr>
          <w:p w14:paraId="24BFF090" w14:textId="77777777" w:rsidR="00205DEE" w:rsidRDefault="005F73AD">
            <w:r>
              <w:rPr>
                <w:b/>
                <w:bCs/>
                <w:color w:val="000000"/>
                <w:sz w:val="20"/>
                <w:szCs w:val="20"/>
              </w:rPr>
              <w:t>Quick Ratio (Acid Test)</w:t>
            </w:r>
          </w:p>
        </w:tc>
        <w:tc>
          <w:tcPr>
            <w:tcW w:w="2360" w:type="dxa"/>
            <w:tcBorders>
              <w:top w:val="single" w:sz="1" w:space="0" w:color="CCCCCC"/>
              <w:left w:val="single" w:sz="1" w:space="0" w:color="CCCCCC"/>
              <w:bottom w:val="single" w:sz="1" w:space="0" w:color="CCCCCC"/>
              <w:right w:val="single" w:sz="1" w:space="0" w:color="CCCCCC"/>
            </w:tcBorders>
            <w:shd w:val="clear" w:color="auto" w:fill="F5F8FC"/>
            <w:tcMar>
              <w:top w:w="80" w:type="dxa"/>
              <w:left w:w="120" w:type="dxa"/>
              <w:bottom w:w="80" w:type="dxa"/>
              <w:right w:w="120" w:type="dxa"/>
            </w:tcMar>
          </w:tcPr>
          <w:p w14:paraId="727C96BB" w14:textId="77777777" w:rsidR="00205DEE" w:rsidRDefault="005F73AD">
            <w:r>
              <w:rPr>
                <w:color w:val="000000"/>
                <w:sz w:val="20"/>
                <w:szCs w:val="20"/>
              </w:rPr>
              <w:t>(Current Assets − Inventory) / Current Liabilities</w:t>
            </w:r>
          </w:p>
        </w:tc>
        <w:tc>
          <w:tcPr>
            <w:tcW w:w="1200" w:type="dxa"/>
            <w:tcBorders>
              <w:top w:val="single" w:sz="1" w:space="0" w:color="CCCCCC"/>
              <w:left w:val="single" w:sz="1" w:space="0" w:color="CCCCCC"/>
              <w:bottom w:val="single" w:sz="1" w:space="0" w:color="CCCCCC"/>
              <w:right w:val="single" w:sz="1" w:space="0" w:color="CCCCCC"/>
            </w:tcBorders>
            <w:shd w:val="clear" w:color="auto" w:fill="F5F8FC"/>
            <w:tcMar>
              <w:top w:w="80" w:type="dxa"/>
              <w:left w:w="120" w:type="dxa"/>
              <w:bottom w:w="80" w:type="dxa"/>
              <w:right w:w="120" w:type="dxa"/>
            </w:tcMar>
          </w:tcPr>
          <w:p w14:paraId="30AF7CA5" w14:textId="77777777" w:rsidR="00205DEE" w:rsidRDefault="005F73AD">
            <w:pPr>
              <w:jc w:val="center"/>
            </w:pPr>
            <w:r>
              <w:rPr>
                <w:color w:val="000000"/>
                <w:sz w:val="20"/>
                <w:szCs w:val="20"/>
              </w:rPr>
              <w:t>0.48</w:t>
            </w:r>
          </w:p>
        </w:tc>
        <w:tc>
          <w:tcPr>
            <w:tcW w:w="1200" w:type="dxa"/>
            <w:tcBorders>
              <w:top w:val="single" w:sz="1" w:space="0" w:color="CCCCCC"/>
              <w:left w:val="single" w:sz="1" w:space="0" w:color="CCCCCC"/>
              <w:bottom w:val="single" w:sz="1" w:space="0" w:color="CCCCCC"/>
              <w:right w:val="single" w:sz="1" w:space="0" w:color="CCCCCC"/>
            </w:tcBorders>
            <w:shd w:val="clear" w:color="auto" w:fill="F5F8FC"/>
            <w:tcMar>
              <w:top w:w="80" w:type="dxa"/>
              <w:left w:w="120" w:type="dxa"/>
              <w:bottom w:w="80" w:type="dxa"/>
              <w:right w:w="120" w:type="dxa"/>
            </w:tcMar>
          </w:tcPr>
          <w:p w14:paraId="574D9165" w14:textId="77777777" w:rsidR="00205DEE" w:rsidRDefault="005F73AD">
            <w:pPr>
              <w:jc w:val="center"/>
            </w:pPr>
            <w:r>
              <w:rPr>
                <w:color w:val="000000"/>
                <w:sz w:val="20"/>
                <w:szCs w:val="20"/>
              </w:rPr>
              <w:t>0.50</w:t>
            </w:r>
          </w:p>
        </w:tc>
        <w:tc>
          <w:tcPr>
            <w:tcW w:w="1200" w:type="dxa"/>
            <w:tcBorders>
              <w:top w:val="single" w:sz="1" w:space="0" w:color="CCCCCC"/>
              <w:left w:val="single" w:sz="1" w:space="0" w:color="CCCCCC"/>
              <w:bottom w:val="single" w:sz="1" w:space="0" w:color="CCCCCC"/>
              <w:right w:val="single" w:sz="1" w:space="0" w:color="CCCCCC"/>
            </w:tcBorders>
            <w:shd w:val="clear" w:color="auto" w:fill="F5F8FC"/>
            <w:tcMar>
              <w:top w:w="80" w:type="dxa"/>
              <w:left w:w="120" w:type="dxa"/>
              <w:bottom w:w="80" w:type="dxa"/>
              <w:right w:w="120" w:type="dxa"/>
            </w:tcMar>
          </w:tcPr>
          <w:p w14:paraId="55CFA628" w14:textId="77777777" w:rsidR="00205DEE" w:rsidRDefault="005F73AD">
            <w:pPr>
              <w:jc w:val="center"/>
            </w:pPr>
            <w:r>
              <w:rPr>
                <w:color w:val="000000"/>
                <w:sz w:val="20"/>
                <w:szCs w:val="20"/>
              </w:rPr>
              <w:t>+0.02</w:t>
            </w:r>
          </w:p>
        </w:tc>
        <w:tc>
          <w:tcPr>
            <w:tcW w:w="1200" w:type="dxa"/>
            <w:tcBorders>
              <w:top w:val="single" w:sz="1" w:space="0" w:color="CCCCCC"/>
              <w:left w:val="single" w:sz="1" w:space="0" w:color="CCCCCC"/>
              <w:bottom w:val="single" w:sz="1" w:space="0" w:color="CCCCCC"/>
              <w:right w:val="single" w:sz="1" w:space="0" w:color="CCCCCC"/>
            </w:tcBorders>
            <w:shd w:val="clear" w:color="auto" w:fill="F5F8FC"/>
            <w:tcMar>
              <w:top w:w="80" w:type="dxa"/>
              <w:left w:w="120" w:type="dxa"/>
              <w:bottom w:w="80" w:type="dxa"/>
              <w:right w:w="120" w:type="dxa"/>
            </w:tcMar>
          </w:tcPr>
          <w:p w14:paraId="1A263DE6" w14:textId="77777777" w:rsidR="00205DEE" w:rsidRDefault="005F73AD">
            <w:pPr>
              <w:jc w:val="center"/>
            </w:pPr>
            <w:r>
              <w:rPr>
                <w:color w:val="2E8B57"/>
                <w:sz w:val="20"/>
                <w:szCs w:val="20"/>
              </w:rPr>
              <w:t>▲</w:t>
            </w:r>
          </w:p>
        </w:tc>
      </w:tr>
      <w:tr w:rsidR="00205DEE" w14:paraId="46CD9320" w14:textId="77777777">
        <w:tblPrEx>
          <w:tblCellMar>
            <w:top w:w="0" w:type="dxa"/>
            <w:bottom w:w="0" w:type="dxa"/>
          </w:tblCellMar>
        </w:tblPrEx>
        <w:tc>
          <w:tcPr>
            <w:tcW w:w="9360" w:type="dxa"/>
            <w:gridSpan w:val="6"/>
            <w:tcBorders>
              <w:top w:val="single" w:sz="1" w:space="0" w:color="CCCCCC"/>
              <w:left w:val="single" w:sz="1" w:space="0" w:color="CCCCCC"/>
              <w:bottom w:val="single" w:sz="1" w:space="0" w:color="CCCCCC"/>
              <w:right w:val="single" w:sz="1" w:space="0" w:color="CCCCCC"/>
            </w:tcBorders>
            <w:shd w:val="clear" w:color="auto" w:fill="D6E4F0"/>
            <w:tcMar>
              <w:top w:w="60" w:type="dxa"/>
              <w:left w:w="120" w:type="dxa"/>
              <w:bottom w:w="60" w:type="dxa"/>
              <w:right w:w="120" w:type="dxa"/>
            </w:tcMar>
          </w:tcPr>
          <w:p w14:paraId="465BB222" w14:textId="77777777" w:rsidR="00205DEE" w:rsidRDefault="005F73AD">
            <w:r>
              <w:rPr>
                <w:b/>
                <w:bCs/>
                <w:color w:val="1F3864"/>
                <w:sz w:val="20"/>
                <w:szCs w:val="20"/>
              </w:rPr>
              <w:t>EFFICIENCY RATIOS</w:t>
            </w:r>
          </w:p>
        </w:tc>
      </w:tr>
      <w:tr w:rsidR="00205DEE" w14:paraId="131860BC" w14:textId="77777777">
        <w:tblPrEx>
          <w:tblCellMar>
            <w:top w:w="0" w:type="dxa"/>
            <w:bottom w:w="0" w:type="dxa"/>
          </w:tblCellMar>
        </w:tblPrEx>
        <w:tc>
          <w:tcPr>
            <w:tcW w:w="2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792051F" w14:textId="77777777" w:rsidR="00205DEE" w:rsidRDefault="005F73AD">
            <w:r>
              <w:rPr>
                <w:b/>
                <w:bCs/>
                <w:color w:val="000000"/>
                <w:sz w:val="20"/>
                <w:szCs w:val="20"/>
              </w:rPr>
              <w:t>Inventory Turnover Days</w:t>
            </w:r>
          </w:p>
        </w:tc>
        <w:tc>
          <w:tcPr>
            <w:tcW w:w="2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7DB4F94" w14:textId="77777777" w:rsidR="00205DEE" w:rsidRDefault="005F73AD">
            <w:r>
              <w:rPr>
                <w:color w:val="000000"/>
                <w:sz w:val="20"/>
                <w:szCs w:val="20"/>
              </w:rPr>
              <w:t>(Average Inventory / Cost of Sales) × 365</w:t>
            </w:r>
          </w:p>
        </w:tc>
        <w:tc>
          <w:tcPr>
            <w:tcW w:w="1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388A806" w14:textId="77777777" w:rsidR="00205DEE" w:rsidRDefault="005F73AD">
            <w:pPr>
              <w:jc w:val="center"/>
            </w:pPr>
            <w:r>
              <w:rPr>
                <w:color w:val="000000"/>
                <w:sz w:val="20"/>
                <w:szCs w:val="20"/>
              </w:rPr>
              <w:t>18 days</w:t>
            </w:r>
          </w:p>
        </w:tc>
        <w:tc>
          <w:tcPr>
            <w:tcW w:w="1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CA2BE0E" w14:textId="77777777" w:rsidR="00205DEE" w:rsidRDefault="005F73AD">
            <w:pPr>
              <w:jc w:val="center"/>
            </w:pPr>
            <w:r>
              <w:rPr>
                <w:color w:val="000000"/>
                <w:sz w:val="20"/>
                <w:szCs w:val="20"/>
              </w:rPr>
              <w:t>16 days</w:t>
            </w:r>
          </w:p>
        </w:tc>
        <w:tc>
          <w:tcPr>
            <w:tcW w:w="1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A61EAB0" w14:textId="77777777" w:rsidR="00205DEE" w:rsidRDefault="005F73AD">
            <w:pPr>
              <w:jc w:val="center"/>
            </w:pPr>
            <w:r>
              <w:rPr>
                <w:color w:val="000000"/>
                <w:sz w:val="20"/>
                <w:szCs w:val="20"/>
              </w:rPr>
              <w:t>−</w:t>
            </w:r>
            <w:r>
              <w:rPr>
                <w:color w:val="000000"/>
                <w:sz w:val="20"/>
                <w:szCs w:val="20"/>
              </w:rPr>
              <w:t>2 days</w:t>
            </w:r>
          </w:p>
        </w:tc>
        <w:tc>
          <w:tcPr>
            <w:tcW w:w="1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9754658" w14:textId="77777777" w:rsidR="00205DEE" w:rsidRDefault="005F73AD">
            <w:pPr>
              <w:jc w:val="center"/>
            </w:pPr>
            <w:r>
              <w:rPr>
                <w:color w:val="2E8B57"/>
                <w:sz w:val="20"/>
                <w:szCs w:val="20"/>
              </w:rPr>
              <w:t>▲</w:t>
            </w:r>
          </w:p>
        </w:tc>
      </w:tr>
      <w:tr w:rsidR="00205DEE" w14:paraId="378ED612" w14:textId="77777777">
        <w:tblPrEx>
          <w:tblCellMar>
            <w:top w:w="0" w:type="dxa"/>
            <w:bottom w:w="0" w:type="dxa"/>
          </w:tblCellMar>
        </w:tblPrEx>
        <w:tc>
          <w:tcPr>
            <w:tcW w:w="2200" w:type="dxa"/>
            <w:tcBorders>
              <w:top w:val="single" w:sz="1" w:space="0" w:color="CCCCCC"/>
              <w:left w:val="single" w:sz="1" w:space="0" w:color="CCCCCC"/>
              <w:bottom w:val="single" w:sz="1" w:space="0" w:color="CCCCCC"/>
              <w:right w:val="single" w:sz="1" w:space="0" w:color="CCCCCC"/>
            </w:tcBorders>
            <w:shd w:val="clear" w:color="auto" w:fill="F5F8FC"/>
            <w:tcMar>
              <w:top w:w="80" w:type="dxa"/>
              <w:left w:w="120" w:type="dxa"/>
              <w:bottom w:w="80" w:type="dxa"/>
              <w:right w:w="120" w:type="dxa"/>
            </w:tcMar>
          </w:tcPr>
          <w:p w14:paraId="2943B9B5" w14:textId="77777777" w:rsidR="00205DEE" w:rsidRDefault="005F73AD">
            <w:r>
              <w:rPr>
                <w:b/>
                <w:bCs/>
                <w:color w:val="000000"/>
                <w:sz w:val="20"/>
                <w:szCs w:val="20"/>
              </w:rPr>
              <w:t>Trade Receivables Days</w:t>
            </w:r>
          </w:p>
        </w:tc>
        <w:tc>
          <w:tcPr>
            <w:tcW w:w="2360" w:type="dxa"/>
            <w:tcBorders>
              <w:top w:val="single" w:sz="1" w:space="0" w:color="CCCCCC"/>
              <w:left w:val="single" w:sz="1" w:space="0" w:color="CCCCCC"/>
              <w:bottom w:val="single" w:sz="1" w:space="0" w:color="CCCCCC"/>
              <w:right w:val="single" w:sz="1" w:space="0" w:color="CCCCCC"/>
            </w:tcBorders>
            <w:shd w:val="clear" w:color="auto" w:fill="F5F8FC"/>
            <w:tcMar>
              <w:top w:w="80" w:type="dxa"/>
              <w:left w:w="120" w:type="dxa"/>
              <w:bottom w:w="80" w:type="dxa"/>
              <w:right w:w="120" w:type="dxa"/>
            </w:tcMar>
          </w:tcPr>
          <w:p w14:paraId="26380B14" w14:textId="77777777" w:rsidR="00205DEE" w:rsidRDefault="005F73AD">
            <w:r>
              <w:rPr>
                <w:color w:val="000000"/>
                <w:sz w:val="20"/>
                <w:szCs w:val="20"/>
              </w:rPr>
              <w:t>(Trade Receivables / Revenue) × 365</w:t>
            </w:r>
          </w:p>
        </w:tc>
        <w:tc>
          <w:tcPr>
            <w:tcW w:w="1200" w:type="dxa"/>
            <w:tcBorders>
              <w:top w:val="single" w:sz="1" w:space="0" w:color="CCCCCC"/>
              <w:left w:val="single" w:sz="1" w:space="0" w:color="CCCCCC"/>
              <w:bottom w:val="single" w:sz="1" w:space="0" w:color="CCCCCC"/>
              <w:right w:val="single" w:sz="1" w:space="0" w:color="CCCCCC"/>
            </w:tcBorders>
            <w:shd w:val="clear" w:color="auto" w:fill="F5F8FC"/>
            <w:tcMar>
              <w:top w:w="80" w:type="dxa"/>
              <w:left w:w="120" w:type="dxa"/>
              <w:bottom w:w="80" w:type="dxa"/>
              <w:right w:w="120" w:type="dxa"/>
            </w:tcMar>
          </w:tcPr>
          <w:p w14:paraId="4F0DCC31" w14:textId="77777777" w:rsidR="00205DEE" w:rsidRDefault="005F73AD">
            <w:pPr>
              <w:jc w:val="center"/>
            </w:pPr>
            <w:r>
              <w:rPr>
                <w:color w:val="000000"/>
                <w:sz w:val="20"/>
                <w:szCs w:val="20"/>
              </w:rPr>
              <w:t>2 days</w:t>
            </w:r>
          </w:p>
        </w:tc>
        <w:tc>
          <w:tcPr>
            <w:tcW w:w="1200" w:type="dxa"/>
            <w:tcBorders>
              <w:top w:val="single" w:sz="1" w:space="0" w:color="CCCCCC"/>
              <w:left w:val="single" w:sz="1" w:space="0" w:color="CCCCCC"/>
              <w:bottom w:val="single" w:sz="1" w:space="0" w:color="CCCCCC"/>
              <w:right w:val="single" w:sz="1" w:space="0" w:color="CCCCCC"/>
            </w:tcBorders>
            <w:shd w:val="clear" w:color="auto" w:fill="F5F8FC"/>
            <w:tcMar>
              <w:top w:w="80" w:type="dxa"/>
              <w:left w:w="120" w:type="dxa"/>
              <w:bottom w:w="80" w:type="dxa"/>
              <w:right w:w="120" w:type="dxa"/>
            </w:tcMar>
          </w:tcPr>
          <w:p w14:paraId="5F5F4A0B" w14:textId="77777777" w:rsidR="00205DEE" w:rsidRDefault="005F73AD">
            <w:pPr>
              <w:jc w:val="center"/>
            </w:pPr>
            <w:r>
              <w:rPr>
                <w:color w:val="000000"/>
                <w:sz w:val="20"/>
                <w:szCs w:val="20"/>
              </w:rPr>
              <w:t>2 days</w:t>
            </w:r>
          </w:p>
        </w:tc>
        <w:tc>
          <w:tcPr>
            <w:tcW w:w="1200" w:type="dxa"/>
            <w:tcBorders>
              <w:top w:val="single" w:sz="1" w:space="0" w:color="CCCCCC"/>
              <w:left w:val="single" w:sz="1" w:space="0" w:color="CCCCCC"/>
              <w:bottom w:val="single" w:sz="1" w:space="0" w:color="CCCCCC"/>
              <w:right w:val="single" w:sz="1" w:space="0" w:color="CCCCCC"/>
            </w:tcBorders>
            <w:shd w:val="clear" w:color="auto" w:fill="F5F8FC"/>
            <w:tcMar>
              <w:top w:w="80" w:type="dxa"/>
              <w:left w:w="120" w:type="dxa"/>
              <w:bottom w:w="80" w:type="dxa"/>
              <w:right w:w="120" w:type="dxa"/>
            </w:tcMar>
          </w:tcPr>
          <w:p w14:paraId="65A86475" w14:textId="77777777" w:rsidR="00205DEE" w:rsidRDefault="005F73AD">
            <w:pPr>
              <w:jc w:val="center"/>
            </w:pPr>
            <w:r>
              <w:rPr>
                <w:color w:val="000000"/>
                <w:sz w:val="20"/>
                <w:szCs w:val="20"/>
              </w:rPr>
              <w:t>0</w:t>
            </w:r>
          </w:p>
        </w:tc>
        <w:tc>
          <w:tcPr>
            <w:tcW w:w="1200" w:type="dxa"/>
            <w:tcBorders>
              <w:top w:val="single" w:sz="1" w:space="0" w:color="CCCCCC"/>
              <w:left w:val="single" w:sz="1" w:space="0" w:color="CCCCCC"/>
              <w:bottom w:val="single" w:sz="1" w:space="0" w:color="CCCCCC"/>
              <w:right w:val="single" w:sz="1" w:space="0" w:color="CCCCCC"/>
            </w:tcBorders>
            <w:shd w:val="clear" w:color="auto" w:fill="F5F8FC"/>
            <w:tcMar>
              <w:top w:w="80" w:type="dxa"/>
              <w:left w:w="120" w:type="dxa"/>
              <w:bottom w:w="80" w:type="dxa"/>
              <w:right w:w="120" w:type="dxa"/>
            </w:tcMar>
          </w:tcPr>
          <w:p w14:paraId="0822BBE4" w14:textId="77777777" w:rsidR="00205DEE" w:rsidRDefault="005F73AD">
            <w:pPr>
              <w:jc w:val="center"/>
            </w:pPr>
            <w:r>
              <w:rPr>
                <w:color w:val="888888"/>
                <w:sz w:val="20"/>
                <w:szCs w:val="20"/>
              </w:rPr>
              <w:t>—</w:t>
            </w:r>
          </w:p>
        </w:tc>
      </w:tr>
      <w:tr w:rsidR="00205DEE" w14:paraId="7DBA1DD2" w14:textId="77777777">
        <w:tblPrEx>
          <w:tblCellMar>
            <w:top w:w="0" w:type="dxa"/>
            <w:bottom w:w="0" w:type="dxa"/>
          </w:tblCellMar>
        </w:tblPrEx>
        <w:tc>
          <w:tcPr>
            <w:tcW w:w="2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DB74BE0" w14:textId="77777777" w:rsidR="00205DEE" w:rsidRDefault="005F73AD">
            <w:r>
              <w:rPr>
                <w:b/>
                <w:bCs/>
                <w:color w:val="000000"/>
                <w:sz w:val="20"/>
                <w:szCs w:val="20"/>
              </w:rPr>
              <w:t>Trade Payables Days</w:t>
            </w:r>
          </w:p>
        </w:tc>
        <w:tc>
          <w:tcPr>
            <w:tcW w:w="2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BE6BA52" w14:textId="77777777" w:rsidR="00205DEE" w:rsidRDefault="005F73AD">
            <w:r>
              <w:rPr>
                <w:color w:val="000000"/>
                <w:sz w:val="20"/>
                <w:szCs w:val="20"/>
              </w:rPr>
              <w:t>(Trade Payables / Cost of Sales) × 365</w:t>
            </w:r>
          </w:p>
        </w:tc>
        <w:tc>
          <w:tcPr>
            <w:tcW w:w="1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D86D5FF" w14:textId="77777777" w:rsidR="00205DEE" w:rsidRDefault="005F73AD">
            <w:pPr>
              <w:jc w:val="center"/>
            </w:pPr>
            <w:r>
              <w:rPr>
                <w:color w:val="000000"/>
                <w:sz w:val="20"/>
                <w:szCs w:val="20"/>
              </w:rPr>
              <w:t>32 days</w:t>
            </w:r>
          </w:p>
        </w:tc>
        <w:tc>
          <w:tcPr>
            <w:tcW w:w="1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8CC7B5E" w14:textId="77777777" w:rsidR="00205DEE" w:rsidRDefault="005F73AD">
            <w:pPr>
              <w:jc w:val="center"/>
            </w:pPr>
            <w:r>
              <w:rPr>
                <w:color w:val="000000"/>
                <w:sz w:val="20"/>
                <w:szCs w:val="20"/>
              </w:rPr>
              <w:t>31 days</w:t>
            </w:r>
          </w:p>
        </w:tc>
        <w:tc>
          <w:tcPr>
            <w:tcW w:w="1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7A595EB" w14:textId="77777777" w:rsidR="00205DEE" w:rsidRDefault="005F73AD">
            <w:pPr>
              <w:jc w:val="center"/>
            </w:pPr>
            <w:r>
              <w:rPr>
                <w:color w:val="000000"/>
                <w:sz w:val="20"/>
                <w:szCs w:val="20"/>
              </w:rPr>
              <w:t>−</w:t>
            </w:r>
            <w:r>
              <w:rPr>
                <w:color w:val="000000"/>
                <w:sz w:val="20"/>
                <w:szCs w:val="20"/>
              </w:rPr>
              <w:t>1 day</w:t>
            </w:r>
          </w:p>
        </w:tc>
        <w:tc>
          <w:tcPr>
            <w:tcW w:w="1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675513B" w14:textId="77777777" w:rsidR="00205DEE" w:rsidRDefault="005F73AD">
            <w:pPr>
              <w:jc w:val="center"/>
            </w:pPr>
            <w:r>
              <w:rPr>
                <w:color w:val="CC3300"/>
                <w:sz w:val="20"/>
                <w:szCs w:val="20"/>
              </w:rPr>
              <w:t>▼</w:t>
            </w:r>
          </w:p>
        </w:tc>
      </w:tr>
      <w:tr w:rsidR="00205DEE" w14:paraId="53E3847D" w14:textId="77777777">
        <w:tblPrEx>
          <w:tblCellMar>
            <w:top w:w="0" w:type="dxa"/>
            <w:bottom w:w="0" w:type="dxa"/>
          </w:tblCellMar>
        </w:tblPrEx>
        <w:tc>
          <w:tcPr>
            <w:tcW w:w="9360" w:type="dxa"/>
            <w:gridSpan w:val="6"/>
            <w:tcBorders>
              <w:top w:val="single" w:sz="1" w:space="0" w:color="CCCCCC"/>
              <w:left w:val="single" w:sz="1" w:space="0" w:color="CCCCCC"/>
              <w:bottom w:val="single" w:sz="1" w:space="0" w:color="CCCCCC"/>
              <w:right w:val="single" w:sz="1" w:space="0" w:color="CCCCCC"/>
            </w:tcBorders>
            <w:shd w:val="clear" w:color="auto" w:fill="D6E4F0"/>
            <w:tcMar>
              <w:top w:w="60" w:type="dxa"/>
              <w:left w:w="120" w:type="dxa"/>
              <w:bottom w:w="60" w:type="dxa"/>
              <w:right w:w="120" w:type="dxa"/>
            </w:tcMar>
          </w:tcPr>
          <w:p w14:paraId="6816F5E0" w14:textId="77777777" w:rsidR="00205DEE" w:rsidRDefault="005F73AD">
            <w:r>
              <w:rPr>
                <w:b/>
                <w:bCs/>
                <w:color w:val="1F3864"/>
                <w:sz w:val="20"/>
                <w:szCs w:val="20"/>
              </w:rPr>
              <w:t>GEARING RATIO</w:t>
            </w:r>
          </w:p>
        </w:tc>
      </w:tr>
      <w:tr w:rsidR="00205DEE" w14:paraId="5453E201" w14:textId="77777777">
        <w:tblPrEx>
          <w:tblCellMar>
            <w:top w:w="0" w:type="dxa"/>
            <w:bottom w:w="0" w:type="dxa"/>
          </w:tblCellMar>
        </w:tblPrEx>
        <w:tc>
          <w:tcPr>
            <w:tcW w:w="2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A5EA1C0" w14:textId="77777777" w:rsidR="00205DEE" w:rsidRDefault="005F73AD">
            <w:r>
              <w:rPr>
                <w:b/>
                <w:bCs/>
                <w:color w:val="000000"/>
                <w:sz w:val="20"/>
                <w:szCs w:val="20"/>
              </w:rPr>
              <w:t>Gearing Ratio</w:t>
            </w:r>
          </w:p>
        </w:tc>
        <w:tc>
          <w:tcPr>
            <w:tcW w:w="2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B7023A1" w14:textId="77777777" w:rsidR="00205DEE" w:rsidRDefault="005F73AD">
            <w:r>
              <w:rPr>
                <w:color w:val="000000"/>
                <w:sz w:val="20"/>
                <w:szCs w:val="20"/>
              </w:rPr>
              <w:t>(Debt / (Debt + Equity)) × 100</w:t>
            </w:r>
          </w:p>
        </w:tc>
        <w:tc>
          <w:tcPr>
            <w:tcW w:w="1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813D260" w14:textId="77777777" w:rsidR="00205DEE" w:rsidRDefault="005F73AD">
            <w:pPr>
              <w:jc w:val="center"/>
            </w:pPr>
            <w:r>
              <w:rPr>
                <w:color w:val="000000"/>
                <w:sz w:val="20"/>
                <w:szCs w:val="20"/>
              </w:rPr>
              <w:t>58%</w:t>
            </w:r>
          </w:p>
        </w:tc>
        <w:tc>
          <w:tcPr>
            <w:tcW w:w="1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B7A5C28" w14:textId="77777777" w:rsidR="00205DEE" w:rsidRDefault="005F73AD">
            <w:pPr>
              <w:jc w:val="center"/>
            </w:pPr>
            <w:r>
              <w:rPr>
                <w:color w:val="000000"/>
                <w:sz w:val="20"/>
                <w:szCs w:val="20"/>
              </w:rPr>
              <w:t>56%</w:t>
            </w:r>
          </w:p>
        </w:tc>
        <w:tc>
          <w:tcPr>
            <w:tcW w:w="1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02E359C" w14:textId="77777777" w:rsidR="00205DEE" w:rsidRDefault="005F73AD">
            <w:pPr>
              <w:jc w:val="center"/>
            </w:pPr>
            <w:r>
              <w:rPr>
                <w:color w:val="000000"/>
                <w:sz w:val="20"/>
                <w:szCs w:val="20"/>
              </w:rPr>
              <w:t>−</w:t>
            </w:r>
            <w:r>
              <w:rPr>
                <w:color w:val="000000"/>
                <w:sz w:val="20"/>
                <w:szCs w:val="20"/>
              </w:rPr>
              <w:t>2%</w:t>
            </w:r>
          </w:p>
        </w:tc>
        <w:tc>
          <w:tcPr>
            <w:tcW w:w="1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7CB7BA8" w14:textId="77777777" w:rsidR="00205DEE" w:rsidRDefault="005F73AD">
            <w:pPr>
              <w:jc w:val="center"/>
            </w:pPr>
            <w:r>
              <w:rPr>
                <w:color w:val="2E8B57"/>
                <w:sz w:val="20"/>
                <w:szCs w:val="20"/>
              </w:rPr>
              <w:t>▲</w:t>
            </w:r>
          </w:p>
        </w:tc>
      </w:tr>
      <w:tr w:rsidR="00205DEE" w14:paraId="1D369D91" w14:textId="77777777">
        <w:tblPrEx>
          <w:tblCellMar>
            <w:top w:w="0" w:type="dxa"/>
            <w:bottom w:w="0" w:type="dxa"/>
          </w:tblCellMar>
        </w:tblPrEx>
        <w:tc>
          <w:tcPr>
            <w:tcW w:w="9360" w:type="dxa"/>
            <w:gridSpan w:val="6"/>
            <w:tcBorders>
              <w:top w:val="single" w:sz="1" w:space="0" w:color="CCCCCC"/>
              <w:left w:val="single" w:sz="1" w:space="0" w:color="CCCCCC"/>
              <w:bottom w:val="single" w:sz="1" w:space="0" w:color="CCCCCC"/>
              <w:right w:val="single" w:sz="1" w:space="0" w:color="CCCCCC"/>
            </w:tcBorders>
            <w:shd w:val="clear" w:color="auto" w:fill="F0F4F8"/>
            <w:tcMar>
              <w:top w:w="60" w:type="dxa"/>
              <w:left w:w="120" w:type="dxa"/>
              <w:bottom w:w="60" w:type="dxa"/>
              <w:right w:w="120" w:type="dxa"/>
            </w:tcMar>
          </w:tcPr>
          <w:p w14:paraId="31121183" w14:textId="6C0C3BA7" w:rsidR="00205DEE" w:rsidRDefault="00205DEE"/>
        </w:tc>
      </w:tr>
    </w:tbl>
    <w:p w14:paraId="53478862" w14:textId="77777777" w:rsidR="00205DEE" w:rsidRDefault="00205DEE">
      <w:pPr>
        <w:spacing w:before="60" w:after="60"/>
      </w:pPr>
    </w:p>
    <w:p w14:paraId="7A480717" w14:textId="77777777" w:rsidR="00205DEE" w:rsidRDefault="005F73AD">
      <w:pPr>
        <w:pStyle w:val="Heading1"/>
        <w:pBdr>
          <w:bottom w:val="single" w:sz="4" w:space="4" w:color="1F3864"/>
        </w:pBdr>
      </w:pPr>
      <w:r>
        <w:t>3. Interpretation and Comparative Performance Analysis</w:t>
      </w:r>
    </w:p>
    <w:p w14:paraId="38450859" w14:textId="77777777" w:rsidR="00205DEE" w:rsidRDefault="005F73AD">
      <w:pPr>
        <w:pStyle w:val="Heading2"/>
      </w:pPr>
      <w:r>
        <w:t>3.1 Profitability</w:t>
      </w:r>
    </w:p>
    <w:p w14:paraId="4B5E1613" w14:textId="77777777" w:rsidR="00205DEE" w:rsidRDefault="005F73AD">
      <w:pPr>
        <w:spacing w:before="80" w:after="80"/>
        <w:jc w:val="both"/>
      </w:pPr>
      <w:r>
        <w:t>Sainsbury's profitability demonstrated a modest but consistent improvement across all three measures during 2024. The gross profit margin expanded from 6.5% to 6.8%, reflecting enhanced discipline in product sourcing and a gradual reduction in cost of goods sold relative to revenue. This improvement, whilst incremental, is indicative of more effective procurement strategies and the early benefits of the company's 'Plan for Better' operational framework (J Sainsbury PLC, 2024).</w:t>
      </w:r>
    </w:p>
    <w:p w14:paraId="7381A546" w14:textId="77777777" w:rsidR="00205DEE" w:rsidRDefault="005F73AD">
      <w:pPr>
        <w:spacing w:before="80" w:after="80"/>
        <w:jc w:val="both"/>
      </w:pPr>
      <w:r>
        <w:t>The net profit margin increased from 1.2% to 1.5%, signalling improved cost control at the operational level — encompassing labour, energy, and logistics expenditure. The Return on Capital Employed (ROCE) rose from 4.1% to 4.6%, demonstrating that management deployed the company's asset base with greater efficiency in generating operating profit. Whilst these margins remain comparatively narrow — characteristic of the grocery retail sector — the positive trajectory is encouraging and suggests that strategic</w:t>
      </w:r>
      <w:r>
        <w:t xml:space="preserve"> investments in automation and digital infrastructure are beginning to yield measurable returns.</w:t>
      </w:r>
    </w:p>
    <w:p w14:paraId="4FAE6E7B" w14:textId="77777777" w:rsidR="00205DEE" w:rsidRDefault="005F73AD">
      <w:pPr>
        <w:pStyle w:val="Heading2"/>
      </w:pPr>
      <w:r>
        <w:t>3.2 Liquidity</w:t>
      </w:r>
    </w:p>
    <w:p w14:paraId="71D14EDB" w14:textId="77777777" w:rsidR="00205DEE" w:rsidRDefault="005F73AD">
      <w:pPr>
        <w:spacing w:before="80" w:after="80"/>
        <w:jc w:val="both"/>
      </w:pPr>
      <w:r>
        <w:t>The liquidity position, as measured by both the current ratio and the quick ratio (acid test), remained below conventional benchmarks throughout the period. The current ratio improved marginally from 0.70 to 0.72, whilst the quick ratio rose from 0.48 to 0.50. Both figures fall well short of the widely cited ideal ranges of 1.5–2.0 and 0.8–1.0 respectively (</w:t>
      </w:r>
      <w:proofErr w:type="spellStart"/>
      <w:r>
        <w:t>Atrill</w:t>
      </w:r>
      <w:proofErr w:type="spellEnd"/>
      <w:r>
        <w:t xml:space="preserve"> and McLaney, 2021).</w:t>
      </w:r>
    </w:p>
    <w:p w14:paraId="05CB102A" w14:textId="77777777" w:rsidR="00205DEE" w:rsidRDefault="005F73AD">
      <w:pPr>
        <w:spacing w:before="80" w:after="80"/>
        <w:jc w:val="both"/>
      </w:pPr>
      <w:r>
        <w:t xml:space="preserve">However, it would be analytically misleading to interpret these figures in isolation. Large-format grocery retailers characteristically operate with sub-unity current ratios due to the high volume of cash sales, minimal trade receivables, and rapid inventory cycling. Sainsbury's ability to generate consistent daily cash inflows substantially mitigates the liquidity risk implied by these ratios. Nonetheless, the company should remain vigilant to any tightening of supplier credit </w:t>
      </w:r>
      <w:r>
        <w:lastRenderedPageBreak/>
        <w:t>terms or deterioration in consumer spending, either of which could place additional pressure on short-term working capital.</w:t>
      </w:r>
    </w:p>
    <w:p w14:paraId="5A37BE40" w14:textId="77777777" w:rsidR="00205DEE" w:rsidRDefault="005F73AD">
      <w:pPr>
        <w:pStyle w:val="Heading2"/>
      </w:pPr>
      <w:r>
        <w:t>3.3 Efficiency</w:t>
      </w:r>
    </w:p>
    <w:p w14:paraId="278A706C" w14:textId="77777777" w:rsidR="00205DEE" w:rsidRDefault="005F73AD">
      <w:pPr>
        <w:spacing w:before="80" w:after="80"/>
        <w:jc w:val="both"/>
      </w:pPr>
      <w:r>
        <w:t>Inventory turnover days improved from 18 to 16 days, reflecting a more agile stock management function and — importantly for a fresh food retailer — a reduction in the risk of perishable waste. This improvement aligns with Sainsbury's stated sustainability commitments and contributes positively to both operational margins and environmental objectives.</w:t>
      </w:r>
    </w:p>
    <w:p w14:paraId="0507AA8B" w14:textId="77777777" w:rsidR="00205DEE" w:rsidRDefault="005F73AD">
      <w:pPr>
        <w:spacing w:before="80" w:after="80"/>
        <w:jc w:val="both"/>
      </w:pPr>
      <w:r>
        <w:t>Trade receivables days remained constant at two days, consistent with Sainsbury's largely cash-and-card-based retail model, where credit extended to customers is negligible. Trade payables days decreased marginally from 32 to 31 days, suggesting that the company continues to honour supplier obligations in a timely manner — a practice that supports strong supply chain relationships without unnecessarily accelerating cash outflows.</w:t>
      </w:r>
    </w:p>
    <w:p w14:paraId="122638AB" w14:textId="77777777" w:rsidR="00205DEE" w:rsidRDefault="005F73AD">
      <w:pPr>
        <w:pStyle w:val="Heading2"/>
      </w:pPr>
      <w:r>
        <w:t>3.4 Gearing</w:t>
      </w:r>
    </w:p>
    <w:p w14:paraId="5F58A500" w14:textId="7B31CA0A" w:rsidR="00205DEE" w:rsidRDefault="005F73AD">
      <w:pPr>
        <w:spacing w:before="80" w:after="80"/>
        <w:jc w:val="both"/>
      </w:pPr>
      <w:r>
        <w:t xml:space="preserve">The gearing ratio declined from 58% to 56%, indicating that Sainsbury's reduced its proportional reliance on debt financing over the period. Notwithstanding this improvement, a gearing ratio </w:t>
      </w:r>
      <w:r w:rsidR="007632CB">
        <w:t>more than</w:t>
      </w:r>
      <w:r>
        <w:t xml:space="preserve"> 50% remains classified as high-risk by most financial textbooks (Brealey, Myers and Marcus, 2020), suggesting that a significant portion of the company's capital structure continues to be funded through borrowing rather than equity.</w:t>
      </w:r>
    </w:p>
    <w:p w14:paraId="66BEE9A2" w14:textId="77777777" w:rsidR="00205DEE" w:rsidRDefault="005F73AD">
      <w:pPr>
        <w:spacing w:before="80" w:after="80"/>
        <w:jc w:val="both"/>
      </w:pPr>
      <w:r>
        <w:t>The elevated gearing level has implications for financial flexibility, particularly in a rising interest rate environment. However, the downward trend is positive and, if sustained, will reduce the company's interest burden and improve its credit profile over the medium term.</w:t>
      </w:r>
    </w:p>
    <w:p w14:paraId="4515D6A0" w14:textId="77777777" w:rsidR="00205DEE" w:rsidRDefault="00205DEE">
      <w:pPr>
        <w:spacing w:before="60" w:after="60"/>
      </w:pPr>
    </w:p>
    <w:p w14:paraId="71D78BBE" w14:textId="77777777" w:rsidR="00205DEE" w:rsidRDefault="005F73AD">
      <w:pPr>
        <w:pStyle w:val="Heading1"/>
        <w:pBdr>
          <w:bottom w:val="single" w:sz="4" w:space="4" w:color="1F3864"/>
        </w:pBdr>
      </w:pPr>
      <w:r>
        <w:t>4. Drivers of Performance Change</w:t>
      </w:r>
    </w:p>
    <w:p w14:paraId="7518ED22" w14:textId="77777777" w:rsidR="00205DEE" w:rsidRDefault="005F73AD">
      <w:pPr>
        <w:spacing w:before="80" w:after="80"/>
        <w:jc w:val="both"/>
      </w:pPr>
      <w:r>
        <w:t>The incremental improvements recorded across profitability and efficiency ratios during 2024 can be attributed to a confluence of internal strategic initiatives and broader structural factors within the UK grocery market.</w:t>
      </w:r>
    </w:p>
    <w:p w14:paraId="584E2DF5" w14:textId="77777777" w:rsidR="00205DEE" w:rsidRDefault="005F73AD">
      <w:pPr>
        <w:spacing w:before="80" w:after="80"/>
        <w:jc w:val="both"/>
      </w:pPr>
      <w:r>
        <w:t>Internally, Sainsbury's continued investment in supply chain automation — particularly through expanded deployment of automated fulfilment centres — reduced operational errors and improved labour productivity (J Sainsbury PLC, 2024). The 'Aldi Price Match' programme, targeting high-frequency staple products, successfully retained price-sensitive customers during the ongoing cost-of-living crisis, thereby sustaining sales volumes without sacrificing margin on the broader product range.</w:t>
      </w:r>
    </w:p>
    <w:p w14:paraId="4A45EC8A" w14:textId="77777777" w:rsidR="00205DEE" w:rsidRDefault="005F73AD">
      <w:pPr>
        <w:spacing w:before="80" w:after="80"/>
        <w:jc w:val="both"/>
      </w:pPr>
      <w:r>
        <w:t xml:space="preserve">Externally, the business operated against a challenging macroeconomic backdrop characterised by persistent food price inflation, elevated energy costs, and intensifying competition from the discount grocery sector. These pressures constrained the magnitude of margin improvement achievable and account for the relatively modest scale of gains recorded. The sustained competitive threat from hard discounters such as Aldi and Lidl also limited Sainsbury's pricing power across commodity categories, necessitating </w:t>
      </w:r>
      <w:r>
        <w:t>continued investment in value positioning.</w:t>
      </w:r>
    </w:p>
    <w:p w14:paraId="7790507B" w14:textId="77777777" w:rsidR="00205DEE" w:rsidRDefault="005F73AD">
      <w:pPr>
        <w:spacing w:before="80" w:after="80"/>
        <w:jc w:val="both"/>
      </w:pPr>
      <w:r>
        <w:t>The marginal improvement in gearing reflects disciplined capital allocation during the year, including selective deleveraging through the application of free cash flow to debt reduction, rather than significant capital market transactions.</w:t>
      </w:r>
    </w:p>
    <w:p w14:paraId="766C8387" w14:textId="77777777" w:rsidR="00205DEE" w:rsidRDefault="00205DEE">
      <w:pPr>
        <w:spacing w:before="60" w:after="60"/>
      </w:pPr>
    </w:p>
    <w:p w14:paraId="3BFED432" w14:textId="77777777" w:rsidR="00205DEE" w:rsidRDefault="005F73AD">
      <w:pPr>
        <w:pStyle w:val="Heading1"/>
        <w:pBdr>
          <w:bottom w:val="single" w:sz="4" w:space="4" w:color="1F3864"/>
        </w:pBdr>
      </w:pPr>
      <w:r>
        <w:t>5. Recommendations for Financial and Sustainability Improvement</w:t>
      </w:r>
    </w:p>
    <w:p w14:paraId="3A1F4946" w14:textId="77777777" w:rsidR="00205DEE" w:rsidRDefault="005F73AD">
      <w:pPr>
        <w:spacing w:before="80" w:after="80"/>
        <w:jc w:val="both"/>
      </w:pPr>
      <w:proofErr w:type="gramStart"/>
      <w:r>
        <w:t>On the basis of</w:t>
      </w:r>
      <w:proofErr w:type="gramEnd"/>
      <w:r>
        <w:t xml:space="preserve"> the foregoing analysis, three strategic recommendations are advanced:</w:t>
      </w:r>
    </w:p>
    <w:p w14:paraId="5D4AC45D" w14:textId="77777777" w:rsidR="00205DEE" w:rsidRDefault="00205DEE">
      <w:pPr>
        <w:spacing w:before="60" w:after="60"/>
      </w:pPr>
    </w:p>
    <w:p w14:paraId="185C1DFF" w14:textId="77777777" w:rsidR="00205DEE" w:rsidRDefault="005F73AD">
      <w:pPr>
        <w:pStyle w:val="ListParagraph"/>
        <w:numPr>
          <w:ilvl w:val="0"/>
          <w:numId w:val="2"/>
        </w:numPr>
        <w:spacing w:before="100" w:after="120"/>
        <w:jc w:val="both"/>
      </w:pPr>
      <w:r>
        <w:rPr>
          <w:b/>
          <w:bCs/>
        </w:rPr>
        <w:t xml:space="preserve">Optimise Working Capital and Liquidity Management: </w:t>
      </w:r>
      <w:r>
        <w:t>Although sub-unity liquidity ratios are structurally commonplace within grocery retail, Sainsbury's would benefit from targeting a current ratio of approximately 0.80–0.90 through the refinancing of near-term debt obligations into longer-duration instruments. This would reduce monthly cash flow volatility and create a more resilient liquidity buffer against unanticipated macroeconomic shocks. The adoption of AI-enabled cash flow forecasting tools could further enable dynamic, real-time optimisation of worki</w:t>
      </w:r>
      <w:r>
        <w:t>ng capital allocation.</w:t>
      </w:r>
    </w:p>
    <w:p w14:paraId="20F77CEE" w14:textId="77777777" w:rsidR="00205DEE" w:rsidRDefault="005F73AD">
      <w:pPr>
        <w:pStyle w:val="ListParagraph"/>
        <w:numPr>
          <w:ilvl w:val="0"/>
          <w:numId w:val="2"/>
        </w:numPr>
        <w:spacing w:before="100" w:after="120"/>
        <w:jc w:val="both"/>
      </w:pPr>
      <w:r>
        <w:rPr>
          <w:b/>
          <w:bCs/>
        </w:rPr>
        <w:t xml:space="preserve">Accelerate Debt Reduction to Achieve Sub-50% Gearing: </w:t>
      </w:r>
      <w:r>
        <w:t>Reducing the gearing ratio to below 50% should be established as a medium-term capital structure objective. This could be pursued through the systematic application of retained earnings to the retirement of the highest-cost debt tranches. Alternatively, a rights issue — whereby additional equity is offered to existing shareholders — would simultaneously reduce gearing and broaden the company's equity base. A lower gearing ratio would reduce financing costs, improve the company's investment-grade credit rati</w:t>
      </w:r>
      <w:r>
        <w:t>ng, and enhance financial flexibility for future strategic investment.</w:t>
      </w:r>
    </w:p>
    <w:p w14:paraId="51808044" w14:textId="77777777" w:rsidR="00205DEE" w:rsidRDefault="005F73AD">
      <w:pPr>
        <w:pStyle w:val="ListParagraph"/>
        <w:numPr>
          <w:ilvl w:val="0"/>
          <w:numId w:val="2"/>
        </w:numPr>
        <w:spacing w:before="100" w:after="120"/>
        <w:jc w:val="both"/>
      </w:pPr>
      <w:r>
        <w:rPr>
          <w:b/>
          <w:bCs/>
        </w:rPr>
        <w:t xml:space="preserve">Integrate Circular Economy Practices into Core Financial Strategy: </w:t>
      </w:r>
      <w:r>
        <w:t>To strengthen both environmental credentials and financial sustainability, Sainsbury's should expand its circular economy programmes beyond existing commitments. Specific initiatives might include the installation of reverse vending infrastructure for consumer packaging, the monetisation of food surplus through licensed third-party platforms, and increased procurement from regenerative agricultural supply chains. As Schoenmaker (2020) argues, the systematic integration of environmental considerations into c</w:t>
      </w:r>
      <w:r>
        <w:t>orporate financial strategy reduces exposure to long-term transition risk and enhances resilience to regulatory change. These investments are also increasingly material to institutional investors operating under Environmental, Social and Governance (ESG) mandates, which may in turn lower the company's cost of equity capital.</w:t>
      </w:r>
    </w:p>
    <w:p w14:paraId="49C58752" w14:textId="77777777" w:rsidR="00205DEE" w:rsidRDefault="00205DEE">
      <w:pPr>
        <w:spacing w:before="60" w:after="60"/>
      </w:pPr>
    </w:p>
    <w:p w14:paraId="39E52DBB" w14:textId="77777777" w:rsidR="00205DEE" w:rsidRDefault="005F73AD">
      <w:pPr>
        <w:pStyle w:val="Heading1"/>
        <w:pBdr>
          <w:bottom w:val="single" w:sz="4" w:space="4" w:color="1F3864"/>
        </w:pBdr>
      </w:pPr>
      <w:r>
        <w:t>6. Conclusion</w:t>
      </w:r>
    </w:p>
    <w:p w14:paraId="281829B7" w14:textId="77777777" w:rsidR="00205DEE" w:rsidRDefault="005F73AD">
      <w:pPr>
        <w:spacing w:before="80" w:after="80"/>
        <w:jc w:val="both"/>
      </w:pPr>
      <w:r>
        <w:t>This report has employed ratio analysis as the principal analytical framework for assessing J Sainsbury PLC's financial performance across the 2023 and 2024 financial years. The methodology provided a systematic, quantitative basis for evaluating four critical dimensions of the business — profitability, liquidity, efficiency, and capital structure — enabling objective comparison and trend identification.</w:t>
      </w:r>
    </w:p>
    <w:p w14:paraId="42050F99" w14:textId="77777777" w:rsidR="00205DEE" w:rsidRDefault="005F73AD">
      <w:pPr>
        <w:spacing w:before="80" w:after="80"/>
        <w:jc w:val="both"/>
      </w:pPr>
      <w:r>
        <w:t>The analysis reveals that Sainsbury's achieved a measured improvement in profitability and operational efficiency during 2024, attributable in large part to the positive early effects of its technology investment programme and value-positioning strategy. However, the company's liquidity ratios remain structurally constrained, and its gearing continues to represent an elevated level of financial risk relative to industry norms.</w:t>
      </w:r>
    </w:p>
    <w:p w14:paraId="57342A4F" w14:textId="77777777" w:rsidR="00205DEE" w:rsidRDefault="005F73AD">
      <w:pPr>
        <w:spacing w:before="80" w:after="80"/>
        <w:jc w:val="both"/>
      </w:pPr>
      <w:r>
        <w:t>The recommendations advanced in this report — centred on liquidity optimisation, progressive deleveraging, and the embedding of circular economy principles — are intended to support Sainsbury's transition towards a more financially and environmentally sustainable operating model. If implemented systematically, these measures have the potential to strengthen the company's balance sheet, reduce its cost of capital, and position it competitively for the long term.</w:t>
      </w:r>
    </w:p>
    <w:p w14:paraId="07480EB7" w14:textId="77777777" w:rsidR="00205DEE" w:rsidRDefault="005F73AD">
      <w:pPr>
        <w:spacing w:before="80" w:after="80"/>
        <w:jc w:val="both"/>
      </w:pPr>
      <w:r>
        <w:t xml:space="preserve">Ratio analysis, whilst an invaluable diagnostic tool, is most effective when complemented by qualitative assessment of management strategy, market dynamics, and sector-specific contextual factors. Future analyses should incorporate a broader suite of metrics — including </w:t>
      </w:r>
      <w:r>
        <w:lastRenderedPageBreak/>
        <w:t>cash conversion cycle and economic value added — to provide an even more granular assessment of financial performance.</w:t>
      </w:r>
    </w:p>
    <w:p w14:paraId="7269392D" w14:textId="77777777" w:rsidR="00205DEE" w:rsidRDefault="00205DEE">
      <w:pPr>
        <w:spacing w:before="60" w:after="60"/>
      </w:pPr>
    </w:p>
    <w:p w14:paraId="49C3641D" w14:textId="77777777" w:rsidR="00205DEE" w:rsidRDefault="005F73AD">
      <w:pPr>
        <w:pStyle w:val="Heading1"/>
        <w:pBdr>
          <w:bottom w:val="single" w:sz="4" w:space="4" w:color="1F3864"/>
        </w:pBdr>
      </w:pPr>
      <w:r>
        <w:t>Reference List</w:t>
      </w:r>
    </w:p>
    <w:p w14:paraId="67E4949C" w14:textId="77777777" w:rsidR="00205DEE" w:rsidRDefault="005F73AD">
      <w:pPr>
        <w:spacing w:before="80" w:after="80"/>
        <w:jc w:val="both"/>
      </w:pPr>
      <w:proofErr w:type="spellStart"/>
      <w:r>
        <w:t>Atrill</w:t>
      </w:r>
      <w:proofErr w:type="spellEnd"/>
      <w:r>
        <w:t xml:space="preserve">, P. and McLaney, E. (2021) Accounting and Finance for Non-Specialists. 12th </w:t>
      </w:r>
      <w:proofErr w:type="spellStart"/>
      <w:r>
        <w:t>edn</w:t>
      </w:r>
      <w:proofErr w:type="spellEnd"/>
      <w:r>
        <w:t>. Harlow: Pearson.</w:t>
      </w:r>
    </w:p>
    <w:p w14:paraId="472609FA" w14:textId="77777777" w:rsidR="00205DEE" w:rsidRDefault="005F73AD">
      <w:pPr>
        <w:spacing w:before="80" w:after="80"/>
        <w:jc w:val="both"/>
      </w:pPr>
      <w:r>
        <w:t xml:space="preserve">Brealey, R.A., Myers, S.C. and Marcus, A.J. (2020) Fundamentals of Corporate Finance. 10th </w:t>
      </w:r>
      <w:proofErr w:type="spellStart"/>
      <w:r>
        <w:t>edn</w:t>
      </w:r>
      <w:proofErr w:type="spellEnd"/>
      <w:r>
        <w:t>. New York: McGraw-Hill.</w:t>
      </w:r>
    </w:p>
    <w:p w14:paraId="1959857A" w14:textId="77777777" w:rsidR="00205DEE" w:rsidRDefault="005F73AD">
      <w:pPr>
        <w:spacing w:before="80" w:after="80"/>
        <w:jc w:val="both"/>
      </w:pPr>
      <w:r>
        <w:t>J Sainsbury PLC (2023) Annual Report and Financial Statements 2023. London: J Sainsbury PLC.</w:t>
      </w:r>
    </w:p>
    <w:p w14:paraId="1A626201" w14:textId="77777777" w:rsidR="00205DEE" w:rsidRDefault="005F73AD">
      <w:pPr>
        <w:spacing w:before="80" w:after="80"/>
        <w:jc w:val="both"/>
      </w:pPr>
      <w:r>
        <w:t>J Sainsbury PLC (2024) Annual Report and Financial Statements 2024. London: J Sainsbury PLC.</w:t>
      </w:r>
    </w:p>
    <w:p w14:paraId="4B567B2E" w14:textId="77777777" w:rsidR="00205DEE" w:rsidRDefault="005F73AD">
      <w:pPr>
        <w:spacing w:before="80" w:after="80"/>
        <w:jc w:val="both"/>
      </w:pPr>
      <w:r>
        <w:t>Schoenmaker, D. (2020) Investing for the Common Good: A Sustainable Finance Framework. Brussels: Bruegel.</w:t>
      </w:r>
    </w:p>
    <w:sectPr w:rsidR="00205DEE">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4D8696" w14:textId="77777777" w:rsidR="005F73AD" w:rsidRDefault="005F73AD" w:rsidP="00386A84">
      <w:r>
        <w:separator/>
      </w:r>
    </w:p>
  </w:endnote>
  <w:endnote w:type="continuationSeparator" w:id="0">
    <w:p w14:paraId="7E6731BB" w14:textId="77777777" w:rsidR="005F73AD" w:rsidRDefault="005F73AD" w:rsidP="00386A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5721A5" w14:textId="77777777" w:rsidR="005F73AD" w:rsidRDefault="005F73AD" w:rsidP="00386A84">
      <w:r>
        <w:separator/>
      </w:r>
    </w:p>
  </w:footnote>
  <w:footnote w:type="continuationSeparator" w:id="0">
    <w:p w14:paraId="745E48E2" w14:textId="77777777" w:rsidR="005F73AD" w:rsidRDefault="005F73AD" w:rsidP="00386A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9D1664"/>
    <w:multiLevelType w:val="hybridMultilevel"/>
    <w:tmpl w:val="71F2D33C"/>
    <w:lvl w:ilvl="0" w:tplc="1E54BEF0">
      <w:start w:val="1"/>
      <w:numFmt w:val="decimal"/>
      <w:lvlText w:val="%1."/>
      <w:lvlJc w:val="left"/>
      <w:pPr>
        <w:ind w:left="720" w:hanging="360"/>
      </w:pPr>
    </w:lvl>
    <w:lvl w:ilvl="1" w:tplc="94B8E546">
      <w:numFmt w:val="decimal"/>
      <w:lvlText w:val=""/>
      <w:lvlJc w:val="left"/>
    </w:lvl>
    <w:lvl w:ilvl="2" w:tplc="56B285C4">
      <w:numFmt w:val="decimal"/>
      <w:lvlText w:val=""/>
      <w:lvlJc w:val="left"/>
    </w:lvl>
    <w:lvl w:ilvl="3" w:tplc="292A8836">
      <w:numFmt w:val="decimal"/>
      <w:lvlText w:val=""/>
      <w:lvlJc w:val="left"/>
    </w:lvl>
    <w:lvl w:ilvl="4" w:tplc="21C4A13A">
      <w:numFmt w:val="decimal"/>
      <w:lvlText w:val=""/>
      <w:lvlJc w:val="left"/>
    </w:lvl>
    <w:lvl w:ilvl="5" w:tplc="BB6247C4">
      <w:numFmt w:val="decimal"/>
      <w:lvlText w:val=""/>
      <w:lvlJc w:val="left"/>
    </w:lvl>
    <w:lvl w:ilvl="6" w:tplc="A290EA78">
      <w:numFmt w:val="decimal"/>
      <w:lvlText w:val=""/>
      <w:lvlJc w:val="left"/>
    </w:lvl>
    <w:lvl w:ilvl="7" w:tplc="B99AF9D2">
      <w:numFmt w:val="decimal"/>
      <w:lvlText w:val=""/>
      <w:lvlJc w:val="left"/>
    </w:lvl>
    <w:lvl w:ilvl="8" w:tplc="B6705948">
      <w:numFmt w:val="decimal"/>
      <w:lvlText w:val=""/>
      <w:lvlJc w:val="left"/>
    </w:lvl>
  </w:abstractNum>
  <w:abstractNum w:abstractNumId="1" w15:restartNumberingAfterBreak="0">
    <w:nsid w:val="24F92484"/>
    <w:multiLevelType w:val="hybridMultilevel"/>
    <w:tmpl w:val="0EA899A4"/>
    <w:lvl w:ilvl="0" w:tplc="94283F14">
      <w:start w:val="1"/>
      <w:numFmt w:val="bullet"/>
      <w:lvlText w:val="●"/>
      <w:lvlJc w:val="left"/>
      <w:pPr>
        <w:ind w:left="720" w:hanging="360"/>
      </w:pPr>
    </w:lvl>
    <w:lvl w:ilvl="1" w:tplc="6C009CCE">
      <w:start w:val="1"/>
      <w:numFmt w:val="bullet"/>
      <w:lvlText w:val="○"/>
      <w:lvlJc w:val="left"/>
      <w:pPr>
        <w:ind w:left="1440" w:hanging="360"/>
      </w:pPr>
    </w:lvl>
    <w:lvl w:ilvl="2" w:tplc="170A24B8">
      <w:start w:val="1"/>
      <w:numFmt w:val="bullet"/>
      <w:lvlText w:val="■"/>
      <w:lvlJc w:val="left"/>
      <w:pPr>
        <w:ind w:left="2160" w:hanging="360"/>
      </w:pPr>
    </w:lvl>
    <w:lvl w:ilvl="3" w:tplc="27460292">
      <w:start w:val="1"/>
      <w:numFmt w:val="bullet"/>
      <w:lvlText w:val="●"/>
      <w:lvlJc w:val="left"/>
      <w:pPr>
        <w:ind w:left="2880" w:hanging="360"/>
      </w:pPr>
    </w:lvl>
    <w:lvl w:ilvl="4" w:tplc="F2541494">
      <w:start w:val="1"/>
      <w:numFmt w:val="bullet"/>
      <w:lvlText w:val="○"/>
      <w:lvlJc w:val="left"/>
      <w:pPr>
        <w:ind w:left="3600" w:hanging="360"/>
      </w:pPr>
    </w:lvl>
    <w:lvl w:ilvl="5" w:tplc="F25A149A">
      <w:start w:val="1"/>
      <w:numFmt w:val="bullet"/>
      <w:lvlText w:val="■"/>
      <w:lvlJc w:val="left"/>
      <w:pPr>
        <w:ind w:left="4320" w:hanging="360"/>
      </w:pPr>
    </w:lvl>
    <w:lvl w:ilvl="6" w:tplc="A366326C">
      <w:start w:val="1"/>
      <w:numFmt w:val="bullet"/>
      <w:lvlText w:val="●"/>
      <w:lvlJc w:val="left"/>
      <w:pPr>
        <w:ind w:left="5040" w:hanging="360"/>
      </w:pPr>
    </w:lvl>
    <w:lvl w:ilvl="7" w:tplc="E9420E5C">
      <w:start w:val="1"/>
      <w:numFmt w:val="bullet"/>
      <w:lvlText w:val="●"/>
      <w:lvlJc w:val="left"/>
      <w:pPr>
        <w:ind w:left="5760" w:hanging="360"/>
      </w:pPr>
    </w:lvl>
    <w:lvl w:ilvl="8" w:tplc="58842294">
      <w:start w:val="1"/>
      <w:numFmt w:val="bullet"/>
      <w:lvlText w:val="●"/>
      <w:lvlJc w:val="left"/>
      <w:pPr>
        <w:ind w:left="6480" w:hanging="360"/>
      </w:pPr>
    </w:lvl>
  </w:abstractNum>
  <w:num w:numId="1" w16cid:durableId="1074401166">
    <w:abstractNumId w:val="1"/>
    <w:lvlOverride w:ilvl="0">
      <w:startOverride w:val="1"/>
    </w:lvlOverride>
  </w:num>
  <w:num w:numId="2" w16cid:durableId="26608684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5DEE"/>
    <w:rsid w:val="00205DEE"/>
    <w:rsid w:val="00386A84"/>
    <w:rsid w:val="005F73AD"/>
    <w:rsid w:val="007632CB"/>
    <w:rsid w:val="00E95B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76D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60" w:after="120"/>
      <w:outlineLvl w:val="0"/>
    </w:pPr>
    <w:rPr>
      <w:b/>
      <w:bCs/>
      <w:color w:val="1F3864"/>
      <w:sz w:val="28"/>
      <w:szCs w:val="28"/>
    </w:rPr>
  </w:style>
  <w:style w:type="paragraph" w:styleId="Heading2">
    <w:name w:val="heading 2"/>
    <w:uiPriority w:val="9"/>
    <w:unhideWhenUsed/>
    <w:qFormat/>
    <w:pPr>
      <w:spacing w:before="240" w:after="80"/>
      <w:outlineLvl w:val="1"/>
    </w:pPr>
    <w:rPr>
      <w:b/>
      <w:bCs/>
      <w:color w:val="2E5FA3"/>
      <w:sz w:val="24"/>
      <w:szCs w:val="24"/>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386A84"/>
    <w:pPr>
      <w:tabs>
        <w:tab w:val="center" w:pos="4513"/>
        <w:tab w:val="right" w:pos="9026"/>
      </w:tabs>
    </w:pPr>
  </w:style>
  <w:style w:type="character" w:customStyle="1" w:styleId="HeaderChar">
    <w:name w:val="Header Char"/>
    <w:basedOn w:val="DefaultParagraphFont"/>
    <w:link w:val="Header"/>
    <w:uiPriority w:val="99"/>
    <w:rsid w:val="00386A84"/>
  </w:style>
  <w:style w:type="paragraph" w:styleId="Footer">
    <w:name w:val="footer"/>
    <w:basedOn w:val="Normal"/>
    <w:link w:val="FooterChar"/>
    <w:uiPriority w:val="99"/>
    <w:unhideWhenUsed/>
    <w:rsid w:val="00386A84"/>
    <w:pPr>
      <w:tabs>
        <w:tab w:val="center" w:pos="4513"/>
        <w:tab w:val="right" w:pos="9026"/>
      </w:tabs>
    </w:pPr>
  </w:style>
  <w:style w:type="character" w:customStyle="1" w:styleId="FooterChar">
    <w:name w:val="Footer Char"/>
    <w:basedOn w:val="DefaultParagraphFont"/>
    <w:link w:val="Footer"/>
    <w:uiPriority w:val="99"/>
    <w:rsid w:val="00386A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1669</Words>
  <Characters>10520</Characters>
  <Application>Microsoft Office Word</Application>
  <DocSecurity>0</DocSecurity>
  <Lines>250</Lines>
  <Paragraphs>128</Paragraphs>
  <ScaleCrop>false</ScaleCrop>
  <Company/>
  <LinksUpToDate>false</LinksUpToDate>
  <CharactersWithSpaces>12061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2026-04-28T21:00:00Z</dcterms:created>
  <dcterms:modified xsi:type="dcterms:W3CDTF">2026-04-28T21:00:00Z</dcterms:modified>
</cp:coreProperties>
</file>