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DBA3" w14:textId="066E5E22" w:rsidR="000D74F0" w:rsidRPr="00687EEC" w:rsidRDefault="00D316B2" w:rsidP="000D74F0">
      <w:pPr>
        <w:jc w:val="center"/>
        <w:rPr>
          <w:rFonts w:ascii="Times New Roman" w:eastAsia="等线" w:hAnsi="Times New Roman" w:cs="Times New Roman"/>
          <w:sz w:val="40"/>
          <w:szCs w:val="40"/>
          <w:lang w:eastAsia="zh-CN"/>
        </w:rPr>
      </w:pPr>
      <w:bookmarkStart w:id="0" w:name="_Toc121842046"/>
      <w:r w:rsidRPr="00D316B2">
        <w:rPr>
          <w:rFonts w:ascii="Times New Roman" w:eastAsia="等线" w:hAnsi="Times New Roman" w:cs="Times New Roman"/>
          <w:sz w:val="40"/>
          <w:szCs w:val="40"/>
          <w:lang w:val="en-GB" w:eastAsia="zh-CN"/>
        </w:rPr>
        <w:t>Strategic Change Management in the Semiconductor Industry: A Case Study of Taiwan Semiconductor Manufacturing Company (TSMC</w:t>
      </w:r>
      <w:r>
        <w:rPr>
          <w:rFonts w:ascii="Times New Roman" w:eastAsia="等线" w:hAnsi="Times New Roman" w:cs="Times New Roman"/>
          <w:sz w:val="40"/>
          <w:szCs w:val="40"/>
          <w:lang w:val="en-GB" w:eastAsia="zh-CN"/>
        </w:rPr>
        <w:t>)</w:t>
      </w:r>
    </w:p>
    <w:p w14:paraId="0B29021E" w14:textId="77777777" w:rsidR="000D74F0" w:rsidRPr="00354152" w:rsidRDefault="000D74F0" w:rsidP="000D74F0">
      <w:pPr>
        <w:rPr>
          <w:rFonts w:ascii="Times New Roman" w:eastAsia="等线" w:hAnsi="Times New Roman" w:cs="Times New Roman"/>
          <w:szCs w:val="24"/>
          <w:lang w:val="en-GB" w:eastAsia="zh-CN"/>
        </w:rPr>
      </w:pPr>
    </w:p>
    <w:p w14:paraId="3F42DCCA" w14:textId="77777777" w:rsidR="000D74F0" w:rsidRPr="00354152" w:rsidRDefault="000D74F0" w:rsidP="000D74F0">
      <w:pPr>
        <w:rPr>
          <w:rFonts w:ascii="Times New Roman" w:eastAsia="等线" w:hAnsi="Times New Roman" w:cs="Times New Roman"/>
          <w:szCs w:val="24"/>
          <w:lang w:val="en-GB" w:eastAsia="zh-CN"/>
        </w:rPr>
      </w:pPr>
      <w:r w:rsidRPr="00354152">
        <w:rPr>
          <w:rFonts w:ascii="Times New Roman" w:eastAsia="等线" w:hAnsi="Times New Roman" w:cs="Times New Roman"/>
          <w:noProof/>
          <w:szCs w:val="24"/>
          <w:lang w:val="en-GB" w:eastAsia="zh-CN"/>
        </w:rPr>
        <w:drawing>
          <wp:anchor distT="0" distB="0" distL="114300" distR="114300" simplePos="0" relativeHeight="251659264" behindDoc="0" locked="0" layoutInCell="1" allowOverlap="1" wp14:anchorId="689BD16A" wp14:editId="3CBDC90B">
            <wp:simplePos x="0" y="0"/>
            <wp:positionH relativeFrom="column">
              <wp:posOffset>654685</wp:posOffset>
            </wp:positionH>
            <wp:positionV relativeFrom="paragraph">
              <wp:posOffset>38100</wp:posOffset>
            </wp:positionV>
            <wp:extent cx="3928110" cy="3535680"/>
            <wp:effectExtent l="0" t="0" r="0" b="7620"/>
            <wp:wrapThrough wrapText="bothSides">
              <wp:wrapPolygon edited="0">
                <wp:start x="0" y="0"/>
                <wp:lineTo x="0" y="21530"/>
                <wp:lineTo x="21474" y="21530"/>
                <wp:lineTo x="21474" y="0"/>
                <wp:lineTo x="0" y="0"/>
              </wp:wrapPolygon>
            </wp:wrapThrough>
            <wp:docPr id="2" name="圖片 2" descr="一張含有 向量圖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向量圖形 的圖片&#10;&#10;自動產生的描述"/>
                    <pic:cNvPicPr/>
                  </pic:nvPicPr>
                  <pic:blipFill>
                    <a:blip r:embed="rId8">
                      <a:extLst>
                        <a:ext uri="{28A0092B-C50C-407E-A947-70E740481C1C}">
                          <a14:useLocalDpi xmlns:a14="http://schemas.microsoft.com/office/drawing/2010/main" val="0"/>
                        </a:ext>
                      </a:extLst>
                    </a:blip>
                    <a:stretch>
                      <a:fillRect/>
                    </a:stretch>
                  </pic:blipFill>
                  <pic:spPr>
                    <a:xfrm>
                      <a:off x="0" y="0"/>
                      <a:ext cx="3928110" cy="3535680"/>
                    </a:xfrm>
                    <a:prstGeom prst="rect">
                      <a:avLst/>
                    </a:prstGeom>
                  </pic:spPr>
                </pic:pic>
              </a:graphicData>
            </a:graphic>
            <wp14:sizeRelH relativeFrom="margin">
              <wp14:pctWidth>0</wp14:pctWidth>
            </wp14:sizeRelH>
            <wp14:sizeRelV relativeFrom="margin">
              <wp14:pctHeight>0</wp14:pctHeight>
            </wp14:sizeRelV>
          </wp:anchor>
        </w:drawing>
      </w:r>
    </w:p>
    <w:p w14:paraId="031D0B73" w14:textId="77777777" w:rsidR="000D74F0" w:rsidRPr="00354152" w:rsidRDefault="000D74F0" w:rsidP="000D74F0">
      <w:pPr>
        <w:rPr>
          <w:rFonts w:ascii="Times New Roman" w:eastAsia="等线" w:hAnsi="Times New Roman" w:cs="Times New Roman"/>
          <w:szCs w:val="24"/>
          <w:lang w:val="en-GB" w:eastAsia="zh-CN"/>
        </w:rPr>
      </w:pPr>
    </w:p>
    <w:p w14:paraId="0C4CFAFF" w14:textId="77777777" w:rsidR="000D74F0" w:rsidRPr="00354152" w:rsidRDefault="000D74F0" w:rsidP="000D74F0">
      <w:pPr>
        <w:rPr>
          <w:rFonts w:ascii="Times New Roman" w:eastAsia="等线" w:hAnsi="Times New Roman" w:cs="Times New Roman"/>
          <w:szCs w:val="24"/>
          <w:lang w:val="en-GB" w:eastAsia="zh-CN"/>
        </w:rPr>
      </w:pPr>
    </w:p>
    <w:p w14:paraId="0045AF4E" w14:textId="77777777" w:rsidR="000D74F0" w:rsidRPr="00354152" w:rsidRDefault="000D74F0" w:rsidP="000D74F0">
      <w:pPr>
        <w:rPr>
          <w:rFonts w:ascii="Times New Roman" w:eastAsia="等线" w:hAnsi="Times New Roman" w:cs="Times New Roman"/>
          <w:szCs w:val="24"/>
          <w:lang w:val="en-GB" w:eastAsia="zh-CN"/>
        </w:rPr>
      </w:pPr>
    </w:p>
    <w:p w14:paraId="0C630352" w14:textId="77777777" w:rsidR="000D74F0" w:rsidRPr="00354152" w:rsidRDefault="000D74F0" w:rsidP="000D74F0">
      <w:pPr>
        <w:rPr>
          <w:rFonts w:ascii="Times New Roman" w:eastAsia="等线" w:hAnsi="Times New Roman" w:cs="Times New Roman"/>
          <w:szCs w:val="24"/>
          <w:lang w:val="en-GB" w:eastAsia="zh-CN"/>
        </w:rPr>
      </w:pPr>
    </w:p>
    <w:p w14:paraId="4D8309A7" w14:textId="77777777" w:rsidR="000D74F0" w:rsidRPr="00354152" w:rsidRDefault="000D74F0" w:rsidP="000D74F0">
      <w:pPr>
        <w:rPr>
          <w:rFonts w:ascii="Times New Roman" w:eastAsia="等线" w:hAnsi="Times New Roman" w:cs="Times New Roman"/>
          <w:szCs w:val="24"/>
          <w:lang w:val="en-GB" w:eastAsia="zh-CN"/>
        </w:rPr>
      </w:pPr>
    </w:p>
    <w:p w14:paraId="37163B12" w14:textId="77777777" w:rsidR="000D74F0" w:rsidRPr="00354152" w:rsidRDefault="000D74F0" w:rsidP="000D74F0">
      <w:pPr>
        <w:rPr>
          <w:rFonts w:ascii="Times New Roman" w:eastAsia="等线" w:hAnsi="Times New Roman" w:cs="Times New Roman"/>
          <w:szCs w:val="24"/>
          <w:lang w:val="en-GB" w:eastAsia="zh-CN"/>
        </w:rPr>
      </w:pPr>
    </w:p>
    <w:p w14:paraId="6AE4E0B4" w14:textId="77777777" w:rsidR="000D74F0" w:rsidRPr="00354152" w:rsidRDefault="000D74F0" w:rsidP="000D74F0">
      <w:pPr>
        <w:rPr>
          <w:rFonts w:ascii="Times New Roman" w:eastAsia="等线" w:hAnsi="Times New Roman" w:cs="Times New Roman"/>
          <w:szCs w:val="24"/>
          <w:lang w:val="en-GB" w:eastAsia="zh-CN"/>
        </w:rPr>
      </w:pPr>
    </w:p>
    <w:p w14:paraId="698D37F3" w14:textId="77777777" w:rsidR="000D74F0" w:rsidRPr="00354152" w:rsidRDefault="000D74F0" w:rsidP="000D74F0">
      <w:pPr>
        <w:rPr>
          <w:rFonts w:ascii="Times New Roman" w:eastAsia="等线" w:hAnsi="Times New Roman" w:cs="Times New Roman"/>
          <w:szCs w:val="24"/>
          <w:lang w:val="en-GB" w:eastAsia="zh-CN"/>
        </w:rPr>
      </w:pPr>
    </w:p>
    <w:p w14:paraId="69A8481B" w14:textId="77777777" w:rsidR="000D74F0" w:rsidRPr="00354152" w:rsidRDefault="000D74F0" w:rsidP="000D74F0">
      <w:pPr>
        <w:rPr>
          <w:rFonts w:ascii="Times New Roman" w:eastAsia="等线" w:hAnsi="Times New Roman" w:cs="Times New Roman"/>
          <w:szCs w:val="24"/>
          <w:lang w:val="en-GB" w:eastAsia="zh-CN"/>
        </w:rPr>
      </w:pPr>
    </w:p>
    <w:p w14:paraId="77E3240C" w14:textId="77777777" w:rsidR="000D74F0" w:rsidRPr="00354152" w:rsidRDefault="000D74F0" w:rsidP="000D74F0">
      <w:pPr>
        <w:rPr>
          <w:rFonts w:ascii="Times New Roman" w:eastAsia="等线" w:hAnsi="Times New Roman" w:cs="Times New Roman"/>
          <w:szCs w:val="24"/>
          <w:lang w:val="en-GB" w:eastAsia="zh-CN"/>
        </w:rPr>
      </w:pPr>
    </w:p>
    <w:p w14:paraId="5FEAE44E" w14:textId="77777777" w:rsidR="000D74F0" w:rsidRPr="00354152" w:rsidRDefault="000D74F0" w:rsidP="000D74F0">
      <w:pPr>
        <w:rPr>
          <w:rFonts w:ascii="Times New Roman" w:eastAsia="等线" w:hAnsi="Times New Roman" w:cs="Times New Roman"/>
          <w:szCs w:val="24"/>
          <w:lang w:val="en-GB" w:eastAsia="zh-CN"/>
        </w:rPr>
      </w:pPr>
    </w:p>
    <w:p w14:paraId="51457F98" w14:textId="77777777" w:rsidR="000D74F0" w:rsidRPr="00354152" w:rsidRDefault="000D74F0" w:rsidP="000D74F0">
      <w:pPr>
        <w:rPr>
          <w:rFonts w:ascii="Times New Roman" w:eastAsia="等线" w:hAnsi="Times New Roman" w:cs="Times New Roman"/>
          <w:szCs w:val="24"/>
          <w:lang w:val="en-GB" w:eastAsia="zh-CN"/>
        </w:rPr>
      </w:pPr>
    </w:p>
    <w:p w14:paraId="723CBC56" w14:textId="77777777" w:rsidR="000D74F0" w:rsidRPr="00354152" w:rsidRDefault="000D74F0" w:rsidP="000D74F0">
      <w:pPr>
        <w:rPr>
          <w:rFonts w:ascii="Times New Roman" w:eastAsia="等线" w:hAnsi="Times New Roman" w:cs="Times New Roman"/>
          <w:szCs w:val="24"/>
          <w:lang w:val="en-GB" w:eastAsia="zh-CN"/>
        </w:rPr>
      </w:pPr>
    </w:p>
    <w:p w14:paraId="1F123272" w14:textId="77777777" w:rsidR="000D74F0" w:rsidRPr="00354152" w:rsidRDefault="000D74F0" w:rsidP="000D74F0">
      <w:pPr>
        <w:rPr>
          <w:rFonts w:ascii="Times New Roman" w:eastAsia="等线" w:hAnsi="Times New Roman" w:cs="Times New Roman"/>
          <w:szCs w:val="24"/>
          <w:lang w:val="en-GB" w:eastAsia="zh-CN"/>
        </w:rPr>
      </w:pPr>
    </w:p>
    <w:p w14:paraId="1825F4FE" w14:textId="77777777" w:rsidR="000D74F0" w:rsidRPr="00354152" w:rsidRDefault="000D74F0" w:rsidP="000D74F0">
      <w:pPr>
        <w:rPr>
          <w:rFonts w:ascii="Times New Roman" w:eastAsia="等线" w:hAnsi="Times New Roman" w:cs="Times New Roman"/>
          <w:szCs w:val="24"/>
          <w:lang w:val="en-GB" w:eastAsia="zh-CN"/>
        </w:rPr>
      </w:pPr>
    </w:p>
    <w:p w14:paraId="033462E2" w14:textId="77777777" w:rsidR="000D74F0" w:rsidRPr="00354152" w:rsidRDefault="000D74F0" w:rsidP="000D74F0">
      <w:pPr>
        <w:rPr>
          <w:rFonts w:ascii="Times New Roman" w:eastAsia="等线" w:hAnsi="Times New Roman" w:cs="Times New Roman"/>
          <w:szCs w:val="24"/>
          <w:lang w:val="en-GB" w:eastAsia="zh-CN"/>
        </w:rPr>
      </w:pPr>
    </w:p>
    <w:p w14:paraId="0BC22AD5" w14:textId="6380E794" w:rsidR="000D74F0" w:rsidRPr="00354152" w:rsidRDefault="000D74F0" w:rsidP="000D74F0">
      <w:pPr>
        <w:jc w:val="center"/>
        <w:rPr>
          <w:rFonts w:ascii="Times New Roman" w:eastAsia="等线" w:hAnsi="Times New Roman" w:cs="Times New Roman"/>
          <w:sz w:val="40"/>
          <w:szCs w:val="40"/>
          <w:lang w:val="en-GB" w:eastAsia="zh-CN"/>
        </w:rPr>
      </w:pPr>
      <w:r>
        <w:rPr>
          <w:rFonts w:ascii="Times New Roman" w:eastAsia="等线" w:hAnsi="Times New Roman" w:cs="Times New Roman" w:hint="eastAsia"/>
          <w:sz w:val="40"/>
          <w:szCs w:val="40"/>
          <w:lang w:val="en-GB" w:eastAsia="zh-CN"/>
        </w:rPr>
        <w:t>May</w:t>
      </w:r>
      <w:r w:rsidRPr="00354152">
        <w:rPr>
          <w:rFonts w:ascii="Times New Roman" w:eastAsia="等线" w:hAnsi="Times New Roman" w:cs="Times New Roman"/>
          <w:sz w:val="40"/>
          <w:szCs w:val="40"/>
          <w:lang w:val="en-GB" w:eastAsia="zh-CN"/>
        </w:rPr>
        <w:t xml:space="preserve"> 2023</w:t>
      </w:r>
    </w:p>
    <w:p w14:paraId="32F1DFBC" w14:textId="77777777" w:rsidR="000D74F0" w:rsidRPr="00354152" w:rsidRDefault="000D74F0" w:rsidP="000D74F0">
      <w:pPr>
        <w:rPr>
          <w:rFonts w:ascii="Times New Roman" w:eastAsia="等线" w:hAnsi="Times New Roman" w:cs="Times New Roman"/>
          <w:szCs w:val="24"/>
          <w:lang w:val="en-GB" w:eastAsia="zh-CN"/>
        </w:rPr>
      </w:pPr>
    </w:p>
    <w:p w14:paraId="0420FC2B" w14:textId="631AD17A" w:rsidR="000D74F0" w:rsidRPr="00354152" w:rsidRDefault="000D74F0" w:rsidP="000D74F0">
      <w:pPr>
        <w:rPr>
          <w:rFonts w:ascii="Times New Roman" w:eastAsia="等线" w:hAnsi="Times New Roman" w:cs="Times New Roman"/>
          <w:szCs w:val="24"/>
          <w:lang w:val="en-GB" w:eastAsia="zh-CN"/>
        </w:rPr>
      </w:pPr>
      <w:r w:rsidRPr="00354152">
        <w:rPr>
          <w:rFonts w:ascii="Times New Roman" w:eastAsia="等线" w:hAnsi="Times New Roman" w:cs="Times New Roman"/>
          <w:szCs w:val="24"/>
          <w:lang w:val="en-GB" w:eastAsia="zh-CN"/>
        </w:rPr>
        <w:t xml:space="preserve">MODULE NAME: </w:t>
      </w:r>
      <w:r w:rsidR="00D316B2" w:rsidRPr="00D316B2">
        <w:rPr>
          <w:rFonts w:ascii="Times New Roman" w:eastAsia="等线" w:hAnsi="Times New Roman" w:cs="Times New Roman"/>
          <w:szCs w:val="24"/>
          <w:lang w:val="en-GB" w:eastAsia="zh-CN"/>
        </w:rPr>
        <w:t>Change and Stability Management (BMMB7000)</w:t>
      </w:r>
    </w:p>
    <w:p w14:paraId="0076AFCA" w14:textId="77777777" w:rsidR="000D74F0" w:rsidRPr="00354152" w:rsidRDefault="000D74F0" w:rsidP="000D74F0">
      <w:pPr>
        <w:rPr>
          <w:rFonts w:ascii="Times New Roman" w:eastAsia="等线" w:hAnsi="Times New Roman" w:cs="Times New Roman"/>
          <w:szCs w:val="24"/>
          <w:lang w:val="en-GB" w:eastAsia="zh-CN"/>
        </w:rPr>
      </w:pPr>
      <w:r w:rsidRPr="00354152">
        <w:rPr>
          <w:rFonts w:ascii="Times New Roman" w:eastAsia="等线" w:hAnsi="Times New Roman" w:cs="Times New Roman"/>
          <w:szCs w:val="24"/>
          <w:lang w:val="en-GB" w:eastAsia="zh-CN"/>
        </w:rPr>
        <w:t>NAME: Chan Kong To</w:t>
      </w:r>
    </w:p>
    <w:p w14:paraId="64429004" w14:textId="77777777" w:rsidR="000D74F0" w:rsidRPr="00354152" w:rsidRDefault="000D74F0" w:rsidP="000D74F0">
      <w:pPr>
        <w:rPr>
          <w:rFonts w:ascii="Times New Roman" w:eastAsia="等线" w:hAnsi="Times New Roman" w:cs="Times New Roman"/>
          <w:szCs w:val="24"/>
          <w:lang w:val="en-GB" w:eastAsia="zh-CN"/>
        </w:rPr>
      </w:pPr>
      <w:r w:rsidRPr="00354152">
        <w:rPr>
          <w:rFonts w:ascii="Times New Roman" w:eastAsia="等线" w:hAnsi="Times New Roman" w:cs="Times New Roman"/>
          <w:szCs w:val="24"/>
          <w:lang w:val="en-GB" w:eastAsia="zh-CN"/>
        </w:rPr>
        <w:t>STUDENT NUMBER: 2215161</w:t>
      </w:r>
    </w:p>
    <w:p w14:paraId="7436E2C5" w14:textId="77777777" w:rsidR="000D74F0" w:rsidRDefault="000D74F0">
      <w:pPr>
        <w:widowControl/>
        <w:rPr>
          <w:rFonts w:ascii="Times New Roman" w:eastAsiaTheme="majorEastAsia" w:hAnsi="Times New Roman" w:cs="Times New Roman"/>
          <w:kern w:val="52"/>
          <w:sz w:val="28"/>
          <w:szCs w:val="28"/>
          <w:lang w:eastAsia="zh-CN"/>
        </w:rPr>
      </w:pPr>
      <w:r>
        <w:rPr>
          <w:rFonts w:ascii="Times New Roman" w:hAnsi="Times New Roman" w:cs="Times New Roman"/>
          <w:b/>
          <w:bCs/>
          <w:sz w:val="28"/>
          <w:szCs w:val="28"/>
          <w:lang w:eastAsia="zh-CN"/>
        </w:rPr>
        <w:br w:type="page"/>
      </w:r>
    </w:p>
    <w:p w14:paraId="0550FFB1" w14:textId="1FB81629" w:rsidR="00D4330C" w:rsidRPr="00D4330C" w:rsidRDefault="00D4330C" w:rsidP="00D4330C">
      <w:pPr>
        <w:pStyle w:val="1"/>
        <w:rPr>
          <w:rFonts w:ascii="Times New Roman" w:hAnsi="Times New Roman" w:cs="Times New Roman"/>
          <w:b w:val="0"/>
          <w:bCs w:val="0"/>
          <w:sz w:val="28"/>
          <w:szCs w:val="28"/>
          <w:lang w:eastAsia="zh-CN"/>
        </w:rPr>
      </w:pPr>
      <w:bookmarkStart w:id="1" w:name="_Toc134116263"/>
      <w:r w:rsidRPr="00D4330C">
        <w:rPr>
          <w:rFonts w:ascii="Times New Roman" w:hAnsi="Times New Roman" w:cs="Times New Roman"/>
          <w:b w:val="0"/>
          <w:bCs w:val="0"/>
          <w:sz w:val="28"/>
          <w:szCs w:val="28"/>
          <w:lang w:eastAsia="zh-CN"/>
        </w:rPr>
        <w:lastRenderedPageBreak/>
        <w:t>Executive Summary:</w:t>
      </w:r>
      <w:bookmarkEnd w:id="1"/>
    </w:p>
    <w:p w14:paraId="0F6DCFE4" w14:textId="77777777" w:rsidR="00D4330C" w:rsidRPr="00D4330C" w:rsidRDefault="00D4330C" w:rsidP="00D4330C">
      <w:r w:rsidRPr="00D4330C">
        <w:t>This paper presents a detailed analysis of Taiwan Semiconductor Manufacturing Company Limited (TSMC), a global leader in the semiconductor industry. The report elucidates the significant changes TSMC has undergone and potential future changes, emphasizing the necessity of robust change management strategies for the company's sustainable growth.</w:t>
      </w:r>
    </w:p>
    <w:p w14:paraId="02CD2637" w14:textId="77777777" w:rsidR="00D4330C" w:rsidRPr="00D4330C" w:rsidRDefault="00D4330C" w:rsidP="00D4330C"/>
    <w:p w14:paraId="133FAAEE" w14:textId="77777777" w:rsidR="00D4330C" w:rsidRPr="00D4330C" w:rsidRDefault="00D4330C" w:rsidP="00D4330C">
      <w:r w:rsidRPr="00D4330C">
        <w:t>The paper utilizes Kurt Lewin's Force Field Analysis model to identify and evaluate the key driving and restraining forces impacting TSMC's change initiatives. Key driving forces, such as technological advancements, evolving customer demands, market diversification, and strategic alliances, are propelling TSMC's growth. However, there are restraining forces such as geopolitical risks, internal resistance to change, resource constraints, and regulatory considerations that may potentially impede TSMC's growth trajectory.</w:t>
      </w:r>
    </w:p>
    <w:p w14:paraId="0C8D209E" w14:textId="77777777" w:rsidR="00D4330C" w:rsidRPr="00D4330C" w:rsidRDefault="00D4330C" w:rsidP="00D4330C"/>
    <w:p w14:paraId="1D2901B3" w14:textId="77777777" w:rsidR="00D4330C" w:rsidRPr="00D4330C" w:rsidRDefault="00D4330C" w:rsidP="00D4330C">
      <w:r w:rsidRPr="00D4330C">
        <w:t>Despite these challenges, TSMC has successfully managed resistance to change through effective communication, training and development programs, employee incentives, and strong leadership. This change management strategy aligns well with John Kotter's 8 Step Change Model, encompassing a clear vision and strategy, empowerment of change champions, effective communication, a focus on learning and development, and a commitment to continuous improvement.</w:t>
      </w:r>
    </w:p>
    <w:p w14:paraId="493301A0" w14:textId="77777777" w:rsidR="00D4330C" w:rsidRPr="00D4330C" w:rsidRDefault="00D4330C" w:rsidP="00D4330C"/>
    <w:p w14:paraId="32EA6655" w14:textId="16E31CB9" w:rsidR="00D4330C" w:rsidRPr="00D316B2" w:rsidRDefault="00D4330C" w:rsidP="00D316B2">
      <w:pPr>
        <w:rPr>
          <w:rFonts w:hint="eastAsia"/>
        </w:rPr>
      </w:pPr>
      <w:r w:rsidRPr="00D4330C">
        <w:t>The paper concludes that TSMC's comprehensive approach to change management has made its change management process highly effective. As a result, TSMC is well-positioned to navigate the dynamic and complex landscape of the semiconductor industry, ensuring its continued innovation and success.</w:t>
      </w:r>
    </w:p>
    <w:p w14:paraId="04AC9747" w14:textId="77777777" w:rsidR="00D316B2" w:rsidRDefault="00D316B2">
      <w:pPr>
        <w:widowControl/>
        <w:rPr>
          <w:rFonts w:ascii="Times New Roman" w:eastAsiaTheme="majorEastAsia" w:hAnsi="Times New Roman" w:cs="Times New Roman"/>
          <w:kern w:val="52"/>
          <w:sz w:val="28"/>
          <w:szCs w:val="28"/>
          <w:lang w:eastAsia="zh-CN"/>
        </w:rPr>
      </w:pPr>
      <w:r>
        <w:rPr>
          <w:rFonts w:ascii="Times New Roman" w:hAnsi="Times New Roman" w:cs="Times New Roman"/>
          <w:b/>
          <w:bCs/>
          <w:sz w:val="28"/>
          <w:szCs w:val="28"/>
          <w:lang w:eastAsia="zh-CN"/>
        </w:rPr>
        <w:br w:type="page"/>
      </w:r>
    </w:p>
    <w:p w14:paraId="11A9E457" w14:textId="77777777" w:rsidR="00D316B2" w:rsidRDefault="00D316B2">
      <w:pPr>
        <w:widowControl/>
        <w:rPr>
          <w:rFonts w:ascii="Times New Roman" w:eastAsia="等线" w:hAnsi="Times New Roman" w:cs="Times New Roman"/>
          <w:b/>
          <w:bCs/>
          <w:sz w:val="28"/>
          <w:szCs w:val="28"/>
          <w:lang w:eastAsia="zh-CN"/>
        </w:rPr>
      </w:pPr>
      <w:r>
        <w:rPr>
          <w:rFonts w:ascii="Times New Roman" w:eastAsia="等线" w:hAnsi="Times New Roman" w:cs="Times New Roman" w:hint="eastAsia"/>
          <w:b/>
          <w:bCs/>
          <w:sz w:val="28"/>
          <w:szCs w:val="28"/>
          <w:lang w:eastAsia="zh-CN"/>
        </w:rPr>
        <w:lastRenderedPageBreak/>
        <w:t>C</w:t>
      </w:r>
      <w:r>
        <w:rPr>
          <w:rFonts w:ascii="Times New Roman" w:eastAsia="等线" w:hAnsi="Times New Roman" w:cs="Times New Roman"/>
          <w:b/>
          <w:bCs/>
          <w:sz w:val="28"/>
          <w:szCs w:val="28"/>
          <w:lang w:eastAsia="zh-CN"/>
        </w:rPr>
        <w:t xml:space="preserve">ontent </w:t>
      </w:r>
    </w:p>
    <w:p w14:paraId="2FB0A776" w14:textId="77777777" w:rsidR="00D316B2" w:rsidRDefault="00D316B2">
      <w:pPr>
        <w:widowControl/>
        <w:rPr>
          <w:rFonts w:ascii="Times New Roman" w:eastAsia="等线" w:hAnsi="Times New Roman" w:cs="Times New Roman"/>
          <w:b/>
          <w:bCs/>
          <w:sz w:val="28"/>
          <w:szCs w:val="28"/>
          <w:lang w:eastAsia="zh-CN"/>
        </w:rPr>
      </w:pPr>
    </w:p>
    <w:sdt>
      <w:sdtPr>
        <w:rPr>
          <w:lang w:val="zh-TW"/>
        </w:rPr>
        <w:id w:val="-223530600"/>
        <w:docPartObj>
          <w:docPartGallery w:val="Table of Contents"/>
          <w:docPartUnique/>
        </w:docPartObj>
      </w:sdtPr>
      <w:sdtEndPr>
        <w:rPr>
          <w:rFonts w:asciiTheme="minorHAnsi" w:eastAsiaTheme="minorEastAsia" w:hAnsiTheme="minorHAnsi" w:cstheme="minorBidi"/>
          <w:b/>
          <w:bCs/>
          <w:color w:val="auto"/>
          <w:kern w:val="2"/>
          <w:sz w:val="24"/>
          <w:szCs w:val="22"/>
        </w:rPr>
      </w:sdtEndPr>
      <w:sdtContent>
        <w:p w14:paraId="22C77370" w14:textId="40CE42C6" w:rsidR="00595E36" w:rsidRDefault="00595E36">
          <w:pPr>
            <w:pStyle w:val="af"/>
            <w:rPr>
              <w:rFonts w:hint="eastAsia"/>
            </w:rPr>
          </w:pPr>
        </w:p>
        <w:p w14:paraId="09A4073E" w14:textId="058E3C0E" w:rsidR="00A4784D" w:rsidRDefault="00595E36">
          <w:pPr>
            <w:pStyle w:val="11"/>
            <w:tabs>
              <w:tab w:val="right" w:leader="dot" w:pos="8296"/>
            </w:tabs>
            <w:rPr>
              <w:noProof/>
              <w14:ligatures w14:val="standardContextual"/>
            </w:rPr>
          </w:pPr>
          <w:r>
            <w:fldChar w:fldCharType="begin"/>
          </w:r>
          <w:r>
            <w:instrText xml:space="preserve"> TOC \o "1-3" \h \z \u </w:instrText>
          </w:r>
          <w:r>
            <w:fldChar w:fldCharType="separate"/>
          </w:r>
          <w:hyperlink w:anchor="_Toc134116263" w:history="1">
            <w:r w:rsidR="00A4784D" w:rsidRPr="00A759A3">
              <w:rPr>
                <w:rStyle w:val="ad"/>
                <w:rFonts w:ascii="Times New Roman" w:hAnsi="Times New Roman" w:cs="Times New Roman"/>
                <w:noProof/>
                <w:lang w:eastAsia="zh-CN"/>
              </w:rPr>
              <w:t>Executive Summary:</w:t>
            </w:r>
            <w:r w:rsidR="00A4784D">
              <w:rPr>
                <w:noProof/>
                <w:webHidden/>
              </w:rPr>
              <w:tab/>
            </w:r>
            <w:r w:rsidR="00A4784D">
              <w:rPr>
                <w:noProof/>
                <w:webHidden/>
              </w:rPr>
              <w:fldChar w:fldCharType="begin"/>
            </w:r>
            <w:r w:rsidR="00A4784D">
              <w:rPr>
                <w:noProof/>
                <w:webHidden/>
              </w:rPr>
              <w:instrText xml:space="preserve"> PAGEREF _Toc134116263 \h </w:instrText>
            </w:r>
            <w:r w:rsidR="00A4784D">
              <w:rPr>
                <w:noProof/>
                <w:webHidden/>
              </w:rPr>
            </w:r>
            <w:r w:rsidR="00A4784D">
              <w:rPr>
                <w:noProof/>
                <w:webHidden/>
              </w:rPr>
              <w:fldChar w:fldCharType="separate"/>
            </w:r>
            <w:r w:rsidR="00A4784D">
              <w:rPr>
                <w:noProof/>
                <w:webHidden/>
              </w:rPr>
              <w:t>2</w:t>
            </w:r>
            <w:r w:rsidR="00A4784D">
              <w:rPr>
                <w:noProof/>
                <w:webHidden/>
              </w:rPr>
              <w:fldChar w:fldCharType="end"/>
            </w:r>
          </w:hyperlink>
        </w:p>
        <w:p w14:paraId="74B67CA2" w14:textId="0E154A0B" w:rsidR="00A4784D" w:rsidRDefault="00A4784D">
          <w:pPr>
            <w:pStyle w:val="11"/>
            <w:tabs>
              <w:tab w:val="right" w:leader="dot" w:pos="8296"/>
            </w:tabs>
            <w:rPr>
              <w:noProof/>
              <w14:ligatures w14:val="standardContextual"/>
            </w:rPr>
          </w:pPr>
          <w:hyperlink w:anchor="_Toc134116264" w:history="1">
            <w:r w:rsidRPr="00A759A3">
              <w:rPr>
                <w:rStyle w:val="ad"/>
                <w:rFonts w:ascii="Times New Roman" w:hAnsi="Times New Roman" w:cs="Times New Roman"/>
                <w:noProof/>
                <w:lang w:eastAsia="zh-CN"/>
              </w:rPr>
              <w:t>Introduction</w:t>
            </w:r>
            <w:r>
              <w:rPr>
                <w:noProof/>
                <w:webHidden/>
              </w:rPr>
              <w:tab/>
            </w:r>
            <w:r>
              <w:rPr>
                <w:noProof/>
                <w:webHidden/>
              </w:rPr>
              <w:fldChar w:fldCharType="begin"/>
            </w:r>
            <w:r>
              <w:rPr>
                <w:noProof/>
                <w:webHidden/>
              </w:rPr>
              <w:instrText xml:space="preserve"> PAGEREF _Toc134116264 \h </w:instrText>
            </w:r>
            <w:r>
              <w:rPr>
                <w:noProof/>
                <w:webHidden/>
              </w:rPr>
            </w:r>
            <w:r>
              <w:rPr>
                <w:noProof/>
                <w:webHidden/>
              </w:rPr>
              <w:fldChar w:fldCharType="separate"/>
            </w:r>
            <w:r>
              <w:rPr>
                <w:noProof/>
                <w:webHidden/>
              </w:rPr>
              <w:t>4</w:t>
            </w:r>
            <w:r>
              <w:rPr>
                <w:noProof/>
                <w:webHidden/>
              </w:rPr>
              <w:fldChar w:fldCharType="end"/>
            </w:r>
          </w:hyperlink>
        </w:p>
        <w:p w14:paraId="17D84C03" w14:textId="2E453B63" w:rsidR="00A4784D" w:rsidRDefault="00A4784D">
          <w:pPr>
            <w:pStyle w:val="11"/>
            <w:tabs>
              <w:tab w:val="right" w:leader="dot" w:pos="8296"/>
            </w:tabs>
            <w:rPr>
              <w:noProof/>
              <w14:ligatures w14:val="standardContextual"/>
            </w:rPr>
          </w:pPr>
          <w:hyperlink w:anchor="_Toc134116265" w:history="1">
            <w:r w:rsidRPr="00A759A3">
              <w:rPr>
                <w:rStyle w:val="ad"/>
                <w:rFonts w:ascii="Times New Roman" w:hAnsi="Times New Roman" w:cs="Times New Roman"/>
                <w:noProof/>
                <w:lang w:eastAsia="zh-CN"/>
              </w:rPr>
              <w:t>The Changes of TSMC Undergone</w:t>
            </w:r>
            <w:r>
              <w:rPr>
                <w:noProof/>
                <w:webHidden/>
              </w:rPr>
              <w:tab/>
            </w:r>
            <w:r>
              <w:rPr>
                <w:noProof/>
                <w:webHidden/>
              </w:rPr>
              <w:fldChar w:fldCharType="begin"/>
            </w:r>
            <w:r>
              <w:rPr>
                <w:noProof/>
                <w:webHidden/>
              </w:rPr>
              <w:instrText xml:space="preserve"> PAGEREF _Toc134116265 \h </w:instrText>
            </w:r>
            <w:r>
              <w:rPr>
                <w:noProof/>
                <w:webHidden/>
              </w:rPr>
            </w:r>
            <w:r>
              <w:rPr>
                <w:noProof/>
                <w:webHidden/>
              </w:rPr>
              <w:fldChar w:fldCharType="separate"/>
            </w:r>
            <w:r>
              <w:rPr>
                <w:noProof/>
                <w:webHidden/>
              </w:rPr>
              <w:t>4</w:t>
            </w:r>
            <w:r>
              <w:rPr>
                <w:noProof/>
                <w:webHidden/>
              </w:rPr>
              <w:fldChar w:fldCharType="end"/>
            </w:r>
          </w:hyperlink>
        </w:p>
        <w:p w14:paraId="5FE8DDFD" w14:textId="74466B10" w:rsidR="00A4784D" w:rsidRDefault="00A4784D">
          <w:pPr>
            <w:pStyle w:val="11"/>
            <w:tabs>
              <w:tab w:val="right" w:leader="dot" w:pos="8296"/>
            </w:tabs>
            <w:rPr>
              <w:noProof/>
              <w14:ligatures w14:val="standardContextual"/>
            </w:rPr>
          </w:pPr>
          <w:hyperlink w:anchor="_Toc134116266" w:history="1">
            <w:r w:rsidRPr="00A759A3">
              <w:rPr>
                <w:rStyle w:val="ad"/>
                <w:rFonts w:ascii="Times New Roman" w:hAnsi="Times New Roman" w:cs="Times New Roman"/>
                <w:noProof/>
                <w:lang w:eastAsia="zh-CN"/>
              </w:rPr>
              <w:t>The Lewin's Forcefield Analysis model on TSMC</w:t>
            </w:r>
            <w:r>
              <w:rPr>
                <w:noProof/>
                <w:webHidden/>
              </w:rPr>
              <w:tab/>
            </w:r>
            <w:r>
              <w:rPr>
                <w:noProof/>
                <w:webHidden/>
              </w:rPr>
              <w:fldChar w:fldCharType="begin"/>
            </w:r>
            <w:r>
              <w:rPr>
                <w:noProof/>
                <w:webHidden/>
              </w:rPr>
              <w:instrText xml:space="preserve"> PAGEREF _Toc134116266 \h </w:instrText>
            </w:r>
            <w:r>
              <w:rPr>
                <w:noProof/>
                <w:webHidden/>
              </w:rPr>
            </w:r>
            <w:r>
              <w:rPr>
                <w:noProof/>
                <w:webHidden/>
              </w:rPr>
              <w:fldChar w:fldCharType="separate"/>
            </w:r>
            <w:r>
              <w:rPr>
                <w:noProof/>
                <w:webHidden/>
              </w:rPr>
              <w:t>5</w:t>
            </w:r>
            <w:r>
              <w:rPr>
                <w:noProof/>
                <w:webHidden/>
              </w:rPr>
              <w:fldChar w:fldCharType="end"/>
            </w:r>
          </w:hyperlink>
        </w:p>
        <w:p w14:paraId="03991705" w14:textId="5341361B" w:rsidR="00A4784D" w:rsidRDefault="00A4784D">
          <w:pPr>
            <w:pStyle w:val="21"/>
            <w:tabs>
              <w:tab w:val="right" w:leader="dot" w:pos="8296"/>
            </w:tabs>
            <w:rPr>
              <w:noProof/>
            </w:rPr>
          </w:pPr>
          <w:hyperlink w:anchor="_Toc134116267" w:history="1">
            <w:r w:rsidRPr="00A759A3">
              <w:rPr>
                <w:rStyle w:val="ad"/>
                <w:rFonts w:ascii="Times New Roman" w:hAnsi="Times New Roman" w:cs="Times New Roman"/>
                <w:noProof/>
                <w:kern w:val="52"/>
                <w:lang w:eastAsia="zh-CN"/>
              </w:rPr>
              <w:t>What is Lewin's Forcefield Analysis model</w:t>
            </w:r>
            <w:r>
              <w:rPr>
                <w:noProof/>
                <w:webHidden/>
              </w:rPr>
              <w:tab/>
            </w:r>
            <w:r>
              <w:rPr>
                <w:noProof/>
                <w:webHidden/>
              </w:rPr>
              <w:fldChar w:fldCharType="begin"/>
            </w:r>
            <w:r>
              <w:rPr>
                <w:noProof/>
                <w:webHidden/>
              </w:rPr>
              <w:instrText xml:space="preserve"> PAGEREF _Toc134116267 \h </w:instrText>
            </w:r>
            <w:r>
              <w:rPr>
                <w:noProof/>
                <w:webHidden/>
              </w:rPr>
            </w:r>
            <w:r>
              <w:rPr>
                <w:noProof/>
                <w:webHidden/>
              </w:rPr>
              <w:fldChar w:fldCharType="separate"/>
            </w:r>
            <w:r>
              <w:rPr>
                <w:noProof/>
                <w:webHidden/>
              </w:rPr>
              <w:t>6</w:t>
            </w:r>
            <w:r>
              <w:rPr>
                <w:noProof/>
                <w:webHidden/>
              </w:rPr>
              <w:fldChar w:fldCharType="end"/>
            </w:r>
          </w:hyperlink>
        </w:p>
        <w:p w14:paraId="2314C1B5" w14:textId="4C75D547" w:rsidR="00A4784D" w:rsidRDefault="00A4784D">
          <w:pPr>
            <w:pStyle w:val="21"/>
            <w:tabs>
              <w:tab w:val="right" w:leader="dot" w:pos="8296"/>
            </w:tabs>
            <w:rPr>
              <w:noProof/>
            </w:rPr>
          </w:pPr>
          <w:hyperlink w:anchor="_Toc134116268" w:history="1">
            <w:r w:rsidRPr="00A759A3">
              <w:rPr>
                <w:rStyle w:val="ad"/>
                <w:rFonts w:ascii="Times New Roman" w:hAnsi="Times New Roman" w:cs="Times New Roman"/>
                <w:noProof/>
                <w:kern w:val="52"/>
                <w:lang w:eastAsia="zh-CN"/>
              </w:rPr>
              <w:t>The Key Factors and Drivers of Changes</w:t>
            </w:r>
            <w:r>
              <w:rPr>
                <w:noProof/>
                <w:webHidden/>
              </w:rPr>
              <w:tab/>
            </w:r>
            <w:r>
              <w:rPr>
                <w:noProof/>
                <w:webHidden/>
              </w:rPr>
              <w:fldChar w:fldCharType="begin"/>
            </w:r>
            <w:r>
              <w:rPr>
                <w:noProof/>
                <w:webHidden/>
              </w:rPr>
              <w:instrText xml:space="preserve"> PAGEREF _Toc134116268 \h </w:instrText>
            </w:r>
            <w:r>
              <w:rPr>
                <w:noProof/>
                <w:webHidden/>
              </w:rPr>
            </w:r>
            <w:r>
              <w:rPr>
                <w:noProof/>
                <w:webHidden/>
              </w:rPr>
              <w:fldChar w:fldCharType="separate"/>
            </w:r>
            <w:r>
              <w:rPr>
                <w:noProof/>
                <w:webHidden/>
              </w:rPr>
              <w:t>6</w:t>
            </w:r>
            <w:r>
              <w:rPr>
                <w:noProof/>
                <w:webHidden/>
              </w:rPr>
              <w:fldChar w:fldCharType="end"/>
            </w:r>
          </w:hyperlink>
        </w:p>
        <w:p w14:paraId="6E57FAA4" w14:textId="04AAE055" w:rsidR="00A4784D" w:rsidRDefault="00A4784D">
          <w:pPr>
            <w:pStyle w:val="21"/>
            <w:tabs>
              <w:tab w:val="right" w:leader="dot" w:pos="8296"/>
            </w:tabs>
            <w:rPr>
              <w:noProof/>
            </w:rPr>
          </w:pPr>
          <w:hyperlink w:anchor="_Toc134116269" w:history="1">
            <w:r w:rsidRPr="00A759A3">
              <w:rPr>
                <w:rStyle w:val="ad"/>
                <w:rFonts w:ascii="Times New Roman" w:hAnsi="Times New Roman" w:cs="Times New Roman"/>
                <w:noProof/>
                <w:kern w:val="52"/>
                <w:lang w:eastAsia="zh-CN"/>
              </w:rPr>
              <w:t>The Key Restraining Forces of Changes</w:t>
            </w:r>
            <w:r>
              <w:rPr>
                <w:noProof/>
                <w:webHidden/>
              </w:rPr>
              <w:tab/>
            </w:r>
            <w:r>
              <w:rPr>
                <w:noProof/>
                <w:webHidden/>
              </w:rPr>
              <w:fldChar w:fldCharType="begin"/>
            </w:r>
            <w:r>
              <w:rPr>
                <w:noProof/>
                <w:webHidden/>
              </w:rPr>
              <w:instrText xml:space="preserve"> PAGEREF _Toc134116269 \h </w:instrText>
            </w:r>
            <w:r>
              <w:rPr>
                <w:noProof/>
                <w:webHidden/>
              </w:rPr>
            </w:r>
            <w:r>
              <w:rPr>
                <w:noProof/>
                <w:webHidden/>
              </w:rPr>
              <w:fldChar w:fldCharType="separate"/>
            </w:r>
            <w:r>
              <w:rPr>
                <w:noProof/>
                <w:webHidden/>
              </w:rPr>
              <w:t>9</w:t>
            </w:r>
            <w:r>
              <w:rPr>
                <w:noProof/>
                <w:webHidden/>
              </w:rPr>
              <w:fldChar w:fldCharType="end"/>
            </w:r>
          </w:hyperlink>
        </w:p>
        <w:p w14:paraId="40376721" w14:textId="5B56639B" w:rsidR="00A4784D" w:rsidRDefault="00A4784D">
          <w:pPr>
            <w:pStyle w:val="11"/>
            <w:tabs>
              <w:tab w:val="right" w:leader="dot" w:pos="8296"/>
            </w:tabs>
            <w:rPr>
              <w:noProof/>
              <w14:ligatures w14:val="standardContextual"/>
            </w:rPr>
          </w:pPr>
          <w:hyperlink w:anchor="_Toc134116270" w:history="1">
            <w:r w:rsidRPr="00A759A3">
              <w:rPr>
                <w:rStyle w:val="ad"/>
                <w:rFonts w:ascii="Times New Roman" w:hAnsi="Times New Roman" w:cs="Times New Roman"/>
                <w:noProof/>
                <w:lang w:eastAsia="zh-CN"/>
              </w:rPr>
              <w:t>How TSMC has overcome resistance to Change</w:t>
            </w:r>
            <w:r>
              <w:rPr>
                <w:noProof/>
                <w:webHidden/>
              </w:rPr>
              <w:tab/>
            </w:r>
            <w:r>
              <w:rPr>
                <w:noProof/>
                <w:webHidden/>
              </w:rPr>
              <w:fldChar w:fldCharType="begin"/>
            </w:r>
            <w:r>
              <w:rPr>
                <w:noProof/>
                <w:webHidden/>
              </w:rPr>
              <w:instrText xml:space="preserve"> PAGEREF _Toc134116270 \h </w:instrText>
            </w:r>
            <w:r>
              <w:rPr>
                <w:noProof/>
                <w:webHidden/>
              </w:rPr>
            </w:r>
            <w:r>
              <w:rPr>
                <w:noProof/>
                <w:webHidden/>
              </w:rPr>
              <w:fldChar w:fldCharType="separate"/>
            </w:r>
            <w:r>
              <w:rPr>
                <w:noProof/>
                <w:webHidden/>
              </w:rPr>
              <w:t>10</w:t>
            </w:r>
            <w:r>
              <w:rPr>
                <w:noProof/>
                <w:webHidden/>
              </w:rPr>
              <w:fldChar w:fldCharType="end"/>
            </w:r>
          </w:hyperlink>
        </w:p>
        <w:p w14:paraId="287C3914" w14:textId="638A9011" w:rsidR="00A4784D" w:rsidRDefault="00A4784D">
          <w:pPr>
            <w:pStyle w:val="11"/>
            <w:tabs>
              <w:tab w:val="right" w:leader="dot" w:pos="8296"/>
            </w:tabs>
            <w:rPr>
              <w:noProof/>
              <w14:ligatures w14:val="standardContextual"/>
            </w:rPr>
          </w:pPr>
          <w:hyperlink w:anchor="_Toc134116271" w:history="1">
            <w:r w:rsidRPr="00A759A3">
              <w:rPr>
                <w:rStyle w:val="ad"/>
                <w:rFonts w:ascii="Times New Roman" w:hAnsi="Times New Roman" w:cs="Times New Roman"/>
                <w:noProof/>
                <w:lang w:eastAsia="zh-CN"/>
              </w:rPr>
              <w:t>Evaluate and Examine the Change</w:t>
            </w:r>
            <w:r>
              <w:rPr>
                <w:noProof/>
                <w:webHidden/>
              </w:rPr>
              <w:tab/>
            </w:r>
            <w:r>
              <w:rPr>
                <w:noProof/>
                <w:webHidden/>
              </w:rPr>
              <w:fldChar w:fldCharType="begin"/>
            </w:r>
            <w:r>
              <w:rPr>
                <w:noProof/>
                <w:webHidden/>
              </w:rPr>
              <w:instrText xml:space="preserve"> PAGEREF _Toc134116271 \h </w:instrText>
            </w:r>
            <w:r>
              <w:rPr>
                <w:noProof/>
                <w:webHidden/>
              </w:rPr>
            </w:r>
            <w:r>
              <w:rPr>
                <w:noProof/>
                <w:webHidden/>
              </w:rPr>
              <w:fldChar w:fldCharType="separate"/>
            </w:r>
            <w:r>
              <w:rPr>
                <w:noProof/>
                <w:webHidden/>
              </w:rPr>
              <w:t>12</w:t>
            </w:r>
            <w:r>
              <w:rPr>
                <w:noProof/>
                <w:webHidden/>
              </w:rPr>
              <w:fldChar w:fldCharType="end"/>
            </w:r>
          </w:hyperlink>
        </w:p>
        <w:p w14:paraId="40A670CF" w14:textId="1D401AC9" w:rsidR="00A4784D" w:rsidRDefault="00A4784D">
          <w:pPr>
            <w:pStyle w:val="11"/>
            <w:tabs>
              <w:tab w:val="right" w:leader="dot" w:pos="8296"/>
            </w:tabs>
            <w:rPr>
              <w:noProof/>
              <w14:ligatures w14:val="standardContextual"/>
            </w:rPr>
          </w:pPr>
          <w:hyperlink w:anchor="_Toc134116272" w:history="1">
            <w:r w:rsidRPr="00A759A3">
              <w:rPr>
                <w:rStyle w:val="ad"/>
                <w:rFonts w:ascii="Times New Roman" w:hAnsi="Times New Roman" w:cs="Times New Roman"/>
                <w:noProof/>
                <w:lang w:eastAsia="zh-CN"/>
              </w:rPr>
              <w:t>Conclusion</w:t>
            </w:r>
            <w:r>
              <w:rPr>
                <w:noProof/>
                <w:webHidden/>
              </w:rPr>
              <w:tab/>
            </w:r>
            <w:r>
              <w:rPr>
                <w:noProof/>
                <w:webHidden/>
              </w:rPr>
              <w:fldChar w:fldCharType="begin"/>
            </w:r>
            <w:r>
              <w:rPr>
                <w:noProof/>
                <w:webHidden/>
              </w:rPr>
              <w:instrText xml:space="preserve"> PAGEREF _Toc134116272 \h </w:instrText>
            </w:r>
            <w:r>
              <w:rPr>
                <w:noProof/>
                <w:webHidden/>
              </w:rPr>
            </w:r>
            <w:r>
              <w:rPr>
                <w:noProof/>
                <w:webHidden/>
              </w:rPr>
              <w:fldChar w:fldCharType="separate"/>
            </w:r>
            <w:r>
              <w:rPr>
                <w:noProof/>
                <w:webHidden/>
              </w:rPr>
              <w:t>14</w:t>
            </w:r>
            <w:r>
              <w:rPr>
                <w:noProof/>
                <w:webHidden/>
              </w:rPr>
              <w:fldChar w:fldCharType="end"/>
            </w:r>
          </w:hyperlink>
        </w:p>
        <w:p w14:paraId="4C42860C" w14:textId="5E594E4A" w:rsidR="00A4784D" w:rsidRDefault="00A4784D">
          <w:pPr>
            <w:pStyle w:val="11"/>
            <w:tabs>
              <w:tab w:val="right" w:leader="dot" w:pos="8296"/>
            </w:tabs>
            <w:rPr>
              <w:noProof/>
              <w14:ligatures w14:val="standardContextual"/>
            </w:rPr>
          </w:pPr>
          <w:hyperlink w:anchor="_Toc134116273" w:history="1">
            <w:r w:rsidRPr="00A759A3">
              <w:rPr>
                <w:rStyle w:val="ad"/>
                <w:rFonts w:ascii="Times New Roman" w:hAnsi="Times New Roman" w:cs="Times New Roman"/>
                <w:noProof/>
                <w:lang w:eastAsia="zh-CN"/>
              </w:rPr>
              <w:t>Reference</w:t>
            </w:r>
            <w:r>
              <w:rPr>
                <w:noProof/>
                <w:webHidden/>
              </w:rPr>
              <w:tab/>
            </w:r>
            <w:r>
              <w:rPr>
                <w:noProof/>
                <w:webHidden/>
              </w:rPr>
              <w:fldChar w:fldCharType="begin"/>
            </w:r>
            <w:r>
              <w:rPr>
                <w:noProof/>
                <w:webHidden/>
              </w:rPr>
              <w:instrText xml:space="preserve"> PAGEREF _Toc134116273 \h </w:instrText>
            </w:r>
            <w:r>
              <w:rPr>
                <w:noProof/>
                <w:webHidden/>
              </w:rPr>
            </w:r>
            <w:r>
              <w:rPr>
                <w:noProof/>
                <w:webHidden/>
              </w:rPr>
              <w:fldChar w:fldCharType="separate"/>
            </w:r>
            <w:r>
              <w:rPr>
                <w:noProof/>
                <w:webHidden/>
              </w:rPr>
              <w:t>15</w:t>
            </w:r>
            <w:r>
              <w:rPr>
                <w:noProof/>
                <w:webHidden/>
              </w:rPr>
              <w:fldChar w:fldCharType="end"/>
            </w:r>
          </w:hyperlink>
        </w:p>
        <w:p w14:paraId="58A4628F" w14:textId="2F1D53D3" w:rsidR="00595E36" w:rsidRDefault="00595E36">
          <w:r>
            <w:rPr>
              <w:b/>
              <w:bCs/>
              <w:lang w:val="zh-TW"/>
            </w:rPr>
            <w:fldChar w:fldCharType="end"/>
          </w:r>
        </w:p>
      </w:sdtContent>
    </w:sdt>
    <w:p w14:paraId="2C2573F6" w14:textId="28BD60CC" w:rsidR="00D316B2" w:rsidRDefault="00D316B2">
      <w:pPr>
        <w:widowControl/>
        <w:rPr>
          <w:rFonts w:ascii="Times New Roman" w:eastAsiaTheme="majorEastAsia" w:hAnsi="Times New Roman" w:cs="Times New Roman"/>
          <w:kern w:val="52"/>
          <w:sz w:val="28"/>
          <w:szCs w:val="28"/>
          <w:lang w:eastAsia="zh-CN"/>
        </w:rPr>
      </w:pPr>
      <w:r>
        <w:rPr>
          <w:rFonts w:ascii="Times New Roman" w:hAnsi="Times New Roman" w:cs="Times New Roman"/>
          <w:b/>
          <w:bCs/>
          <w:sz w:val="28"/>
          <w:szCs w:val="28"/>
          <w:lang w:eastAsia="zh-CN"/>
        </w:rPr>
        <w:br w:type="page"/>
      </w:r>
    </w:p>
    <w:p w14:paraId="7A6765FE" w14:textId="6C344419" w:rsidR="008B09FD" w:rsidRPr="003C45F9" w:rsidRDefault="008B09FD" w:rsidP="008B09FD">
      <w:pPr>
        <w:pStyle w:val="1"/>
        <w:rPr>
          <w:rFonts w:ascii="Times New Roman" w:hAnsi="Times New Roman" w:cs="Times New Roman"/>
          <w:b w:val="0"/>
          <w:bCs w:val="0"/>
          <w:sz w:val="28"/>
          <w:szCs w:val="28"/>
          <w:lang w:eastAsia="zh-CN"/>
        </w:rPr>
      </w:pPr>
      <w:bookmarkStart w:id="2" w:name="_Toc134116264"/>
      <w:r w:rsidRPr="003C45F9">
        <w:rPr>
          <w:rFonts w:ascii="Times New Roman" w:hAnsi="Times New Roman" w:cs="Times New Roman"/>
          <w:b w:val="0"/>
          <w:bCs w:val="0"/>
          <w:sz w:val="28"/>
          <w:szCs w:val="28"/>
          <w:lang w:eastAsia="zh-CN"/>
        </w:rPr>
        <w:lastRenderedPageBreak/>
        <w:t>Introduction</w:t>
      </w:r>
      <w:bookmarkEnd w:id="0"/>
      <w:bookmarkEnd w:id="2"/>
      <w:r w:rsidRPr="003C45F9">
        <w:rPr>
          <w:rFonts w:ascii="Times New Roman" w:hAnsi="Times New Roman" w:cs="Times New Roman"/>
          <w:b w:val="0"/>
          <w:bCs w:val="0"/>
          <w:sz w:val="28"/>
          <w:szCs w:val="28"/>
          <w:lang w:eastAsia="zh-CN"/>
        </w:rPr>
        <w:t xml:space="preserve"> </w:t>
      </w:r>
    </w:p>
    <w:p w14:paraId="42D12020" w14:textId="6BCA4A8F" w:rsidR="002E318E" w:rsidRDefault="004D1F59" w:rsidP="004D1F59">
      <w:r>
        <w:rPr>
          <w:rFonts w:ascii="等线" w:eastAsia="等线" w:hAnsi="等线" w:hint="eastAsia"/>
          <w:lang w:eastAsia="zh-CN"/>
        </w:rPr>
        <w:t>About</w:t>
      </w:r>
      <w:r>
        <w:t xml:space="preserve"> </w:t>
      </w:r>
      <w:r w:rsidRPr="004D1F59">
        <w:t>Taiwan Semiconductor Manufacturing Company Limited</w:t>
      </w:r>
    </w:p>
    <w:p w14:paraId="63A02034" w14:textId="0CCC7CBF" w:rsidR="004D1F59" w:rsidRPr="004D1F59" w:rsidRDefault="004D1F59" w:rsidP="004D1F59">
      <w:r w:rsidRPr="004D1F59">
        <w:t>Founded in 1987, Taiwan Semiconductor Manufacturing Company Limited (TSMC) stands as a global leader in the semiconductor industry. By 2022, TSMC served 532 clients worldwide and manufactured 12,698 products for various end markets. Its annual capacity exceeded 15 million 12-inch equivalent wafers, driven by several facilities located in Taiwan, China, and the United States.</w:t>
      </w:r>
      <w:r>
        <w:t xml:space="preserve"> </w:t>
      </w:r>
      <w:r w:rsidRPr="004D1F59">
        <w:t>TSMC’s growth trajectory includes the construction of two fabs in Arizona, USA, and a fab in Kumamoto, Japan, scheduled to commence production in 2024 and 2026. Despite its success, the rapidly changing semiconductor landscape necessitates continuous change, whether large or incremental</w:t>
      </w:r>
      <w:r>
        <w:t xml:space="preserve"> </w:t>
      </w:r>
      <w:r w:rsidRPr="004D1F59">
        <w:t xml:space="preserve">(TSMC, 2023a). </w:t>
      </w:r>
    </w:p>
    <w:p w14:paraId="11005AE9" w14:textId="77777777" w:rsidR="004D1F59" w:rsidRPr="004D1F59" w:rsidRDefault="004D1F59" w:rsidP="004D1F59">
      <w:r w:rsidRPr="004D1F59">
        <w:t>This paper aims to advise TSMC on managing its change program, using an appropriate change management framework. The following sections will explore TSMC's current state, propose a change management strategy, and discuss potential implications. The objective is to ensure TSMC's changes drive continued success and growth.</w:t>
      </w:r>
    </w:p>
    <w:p w14:paraId="5E5ED881" w14:textId="77777777" w:rsidR="00A6321E" w:rsidRDefault="00A6321E"/>
    <w:p w14:paraId="77554700" w14:textId="4A9B2F1C" w:rsidR="002E318E" w:rsidRDefault="004D1F59" w:rsidP="002E318E">
      <w:r>
        <w:rPr>
          <w:rFonts w:ascii="等线" w:eastAsia="等线" w:hAnsi="等线" w:hint="eastAsia"/>
          <w:lang w:eastAsia="zh-CN"/>
        </w:rPr>
        <w:t>What</w:t>
      </w:r>
      <w:r>
        <w:t xml:space="preserve"> </w:t>
      </w:r>
      <w:r>
        <w:rPr>
          <w:rFonts w:ascii="等线" w:eastAsia="等线" w:hAnsi="等线" w:hint="eastAsia"/>
          <w:lang w:eastAsia="zh-CN"/>
        </w:rPr>
        <w:t>is</w:t>
      </w:r>
      <w:r>
        <w:t xml:space="preserve"> </w:t>
      </w:r>
      <w:r w:rsidRPr="004D1F59">
        <w:t>Change Management of Organization</w:t>
      </w:r>
    </w:p>
    <w:p w14:paraId="2D4951BE" w14:textId="17944139" w:rsidR="004D1F59" w:rsidRDefault="002E318E" w:rsidP="002E318E">
      <w:r>
        <w:t xml:space="preserve">When a company or business makes significant alterations to a fundamental component of its organization, like its culture, internal processes, or underlying technologies, it is referred to as organizational change. Organizational change management involves guiding this process to a successful outcome and typically involves three distinct phases: preparation, implementation, and </w:t>
      </w:r>
      <w:r w:rsidRPr="002E318E">
        <w:t>follow-through</w:t>
      </w:r>
      <w:r>
        <w:t xml:space="preserve"> </w:t>
      </w:r>
      <w:r w:rsidRPr="002E318E">
        <w:t>(</w:t>
      </w:r>
      <w:proofErr w:type="spellStart"/>
      <w:r w:rsidRPr="002E318E">
        <w:t>Stobierski</w:t>
      </w:r>
      <w:proofErr w:type="spellEnd"/>
      <w:r w:rsidRPr="002E318E">
        <w:t>, 2023)</w:t>
      </w:r>
      <w:r>
        <w:t>.</w:t>
      </w:r>
    </w:p>
    <w:p w14:paraId="0F6C0B5D" w14:textId="77777777" w:rsidR="002E318E" w:rsidRDefault="002E318E" w:rsidP="002E318E"/>
    <w:p w14:paraId="06078599" w14:textId="699CF1FB" w:rsidR="009875B7" w:rsidRDefault="009875B7" w:rsidP="009875B7">
      <w:pPr>
        <w:pStyle w:val="1"/>
        <w:rPr>
          <w:rFonts w:ascii="Times New Roman" w:hAnsi="Times New Roman" w:cs="Times New Roman"/>
          <w:b w:val="0"/>
          <w:bCs w:val="0"/>
          <w:sz w:val="28"/>
          <w:szCs w:val="28"/>
          <w:lang w:eastAsia="zh-CN"/>
        </w:rPr>
      </w:pPr>
      <w:bookmarkStart w:id="3" w:name="_Toc134116265"/>
      <w:r>
        <w:rPr>
          <w:rFonts w:ascii="Times New Roman" w:hAnsi="Times New Roman" w:cs="Times New Roman"/>
          <w:b w:val="0"/>
          <w:bCs w:val="0"/>
          <w:sz w:val="28"/>
          <w:szCs w:val="28"/>
          <w:lang w:eastAsia="zh-CN"/>
        </w:rPr>
        <w:t>The Changes of TSMC Undergone</w:t>
      </w:r>
      <w:bookmarkEnd w:id="3"/>
      <w:r>
        <w:rPr>
          <w:rFonts w:ascii="Times New Roman" w:hAnsi="Times New Roman" w:cs="Times New Roman"/>
          <w:b w:val="0"/>
          <w:bCs w:val="0"/>
          <w:sz w:val="28"/>
          <w:szCs w:val="28"/>
          <w:lang w:eastAsia="zh-CN"/>
        </w:rPr>
        <w:t xml:space="preserve"> </w:t>
      </w:r>
    </w:p>
    <w:p w14:paraId="16AE43C3" w14:textId="314AD68F" w:rsidR="009875B7" w:rsidRDefault="009875B7" w:rsidP="009875B7">
      <w:pPr>
        <w:rPr>
          <w:rFonts w:eastAsia="等线"/>
          <w:lang w:eastAsia="zh-CN"/>
        </w:rPr>
      </w:pPr>
      <w:r w:rsidRPr="009875B7">
        <w:rPr>
          <w:rFonts w:eastAsia="等线"/>
          <w:lang w:eastAsia="zh-CN"/>
        </w:rPr>
        <w:t>Expansion of Production</w:t>
      </w:r>
    </w:p>
    <w:p w14:paraId="7AFE2C20" w14:textId="566A515E" w:rsidR="002E318E" w:rsidRDefault="00B64BAA" w:rsidP="002E318E">
      <w:pPr>
        <w:rPr>
          <w:rFonts w:eastAsia="等线"/>
          <w:lang w:eastAsia="zh-CN"/>
        </w:rPr>
      </w:pPr>
      <w:r w:rsidRPr="00B64BAA">
        <w:rPr>
          <w:rFonts w:eastAsia="等线"/>
          <w:lang w:eastAsia="zh-CN"/>
        </w:rPr>
        <w:t xml:space="preserve">TSMC plans to invest $44B in 2022 to expand its chip production capacity and address the global chip shortage. A new plant in Arizona will produce 5-nanometer chips for high-tech industries, expected to alleviate supply chain issues and reduce reliance on top customer Apple Inc. The investment will also potentially increase competition and shift the industry landscape as TSMC becomes an even more dominant player. Overall, TSMC’s commitment to leadership and addressing the chip </w:t>
      </w:r>
      <w:r w:rsidRPr="00B64BAA">
        <w:rPr>
          <w:rFonts w:eastAsia="等线"/>
          <w:lang w:eastAsia="zh-CN"/>
        </w:rPr>
        <w:lastRenderedPageBreak/>
        <w:t>shortage is evident</w:t>
      </w:r>
      <w:r w:rsidRPr="00B64BAA">
        <w:t xml:space="preserve"> </w:t>
      </w:r>
      <w:r w:rsidRPr="00B64BAA">
        <w:rPr>
          <w:rFonts w:eastAsia="等线"/>
          <w:lang w:eastAsia="zh-CN"/>
        </w:rPr>
        <w:t>(</w:t>
      </w:r>
      <w:proofErr w:type="spellStart"/>
      <w:r w:rsidRPr="00B64BAA">
        <w:rPr>
          <w:rFonts w:eastAsia="等线"/>
          <w:lang w:eastAsia="zh-CN"/>
        </w:rPr>
        <w:t>Pgurus</w:t>
      </w:r>
      <w:proofErr w:type="spellEnd"/>
      <w:r w:rsidRPr="00B64BAA">
        <w:rPr>
          <w:rFonts w:eastAsia="等线"/>
          <w:lang w:eastAsia="zh-CN"/>
        </w:rPr>
        <w:t xml:space="preserve"> </w:t>
      </w:r>
      <w:proofErr w:type="spellStart"/>
      <w:r w:rsidRPr="00B64BAA">
        <w:rPr>
          <w:rFonts w:eastAsia="等线"/>
          <w:lang w:eastAsia="zh-CN"/>
        </w:rPr>
        <w:t>Newsdesk</w:t>
      </w:r>
      <w:proofErr w:type="spellEnd"/>
      <w:r w:rsidRPr="00B64BAA">
        <w:rPr>
          <w:rFonts w:eastAsia="等线"/>
          <w:lang w:eastAsia="zh-CN"/>
        </w:rPr>
        <w:t>, 2022).</w:t>
      </w:r>
    </w:p>
    <w:p w14:paraId="40FA710E" w14:textId="77777777" w:rsidR="00B64BAA" w:rsidRDefault="00B64BAA" w:rsidP="002E318E">
      <w:pPr>
        <w:rPr>
          <w:rFonts w:eastAsia="等线"/>
          <w:lang w:eastAsia="zh-CN"/>
        </w:rPr>
      </w:pPr>
    </w:p>
    <w:p w14:paraId="5D5F8DE9" w14:textId="0F59EA19" w:rsidR="00B64BAA" w:rsidRDefault="00B64BAA" w:rsidP="002E318E">
      <w:r w:rsidRPr="00B64BAA">
        <w:t>Embracing Advanced Technology</w:t>
      </w:r>
    </w:p>
    <w:p w14:paraId="0D950DE1" w14:textId="1BFEF76A" w:rsidR="00B64BAA" w:rsidRDefault="00F365B3" w:rsidP="002E318E">
      <w:r w:rsidRPr="00F365B3">
        <w:t xml:space="preserve">TSMC's 3nm technology (N3) represented another full node stride from their 5nm technology (N5) and offered the most advanced foundry technology in both PPA and transistor technology at the time of its introduction. The N3 technology provided up to a 70% logic density gain, up to a 15% speed improvement at the same power, and up to a 30% power reduction at the same speed, as compared to the N5 technology. The N3 technology was being developed on track with good </w:t>
      </w:r>
      <w:proofErr w:type="gramStart"/>
      <w:r w:rsidRPr="00F365B3">
        <w:t>progress, and</w:t>
      </w:r>
      <w:proofErr w:type="gramEnd"/>
      <w:r w:rsidRPr="00F365B3">
        <w:t xml:space="preserve"> offered complete platform support for both mobile and HPC applications, which received multiple customer product tape-outs in 2021. Furthermore, volume production began in the second half of 2022</w:t>
      </w:r>
      <w:r>
        <w:t xml:space="preserve"> </w:t>
      </w:r>
      <w:r w:rsidRPr="00F365B3">
        <w:t>(TSMC, 2020a).</w:t>
      </w:r>
    </w:p>
    <w:p w14:paraId="6BCC062E" w14:textId="77777777" w:rsidR="00F365B3" w:rsidRDefault="00F365B3" w:rsidP="002E318E"/>
    <w:p w14:paraId="4966B35A" w14:textId="5E797458" w:rsidR="00197F2E" w:rsidRDefault="00F365B3" w:rsidP="00197F2E">
      <w:r w:rsidRPr="00F365B3">
        <w:t>Leadership Change</w:t>
      </w:r>
    </w:p>
    <w:p w14:paraId="3CBA2B07" w14:textId="25D6EEBF" w:rsidR="00F365B3" w:rsidRDefault="00197F2E" w:rsidP="00197F2E">
      <w:r>
        <w:t xml:space="preserve">Morris Chang, the founder of Taiwan Semiconductor Manufacturing Company (TSMC), served as the company's CEO from its establishment in 1987 until 2005. He then stepped down from the position but returned to serve as CEO again in mid-2009, during the global economic crisis. Chang continued in this position until his retirement in 2018, at which point he concluded his leadership role in the world's largest chipmaker </w:t>
      </w:r>
      <w:r w:rsidRPr="00197F2E">
        <w:t>(Shilov, 2021b)</w:t>
      </w:r>
      <w:r>
        <w:t>.</w:t>
      </w:r>
    </w:p>
    <w:p w14:paraId="7341DF06" w14:textId="77777777" w:rsidR="00197F2E" w:rsidRDefault="00197F2E" w:rsidP="00197F2E"/>
    <w:p w14:paraId="7C79D674" w14:textId="47AA5801" w:rsidR="00197F2E" w:rsidRDefault="00197F2E" w:rsidP="00197F2E">
      <w:r w:rsidRPr="00197F2E">
        <w:t>Geopolitical Risk</w:t>
      </w:r>
    </w:p>
    <w:p w14:paraId="250D4CD3" w14:textId="65C464D4" w:rsidR="005C6A3A" w:rsidRDefault="005C6A3A" w:rsidP="00197F2E">
      <w:r w:rsidRPr="005C6A3A">
        <w:t xml:space="preserve">TSMC's leading position has attracted geopolitical attention from the US and China. China's potential military annexation of Taiwan and an economic blockade of the island could disrupt TSMC's chip supply. The US has restricted technology exports to China, including semiconductors, and only three companies, including TSMC, have received permits. TSMC's Nanjing plant is the most advanced semiconductor plant in China and could expand to 22/28nm process technology with US permission. TSMC also limited work with its largest customer in China, </w:t>
      </w:r>
      <w:proofErr w:type="spellStart"/>
      <w:r w:rsidRPr="005C6A3A">
        <w:t>HiSilicon</w:t>
      </w:r>
      <w:proofErr w:type="spellEnd"/>
      <w:r w:rsidRPr="005C6A3A">
        <w:t xml:space="preserve"> Technologies, after US sanctions against Huawei, leading to a decrease in revenue from China</w:t>
      </w:r>
      <w:r>
        <w:t xml:space="preserve"> </w:t>
      </w:r>
      <w:r w:rsidRPr="005C6A3A">
        <w:t>(Invest Heroes, 2022).</w:t>
      </w:r>
    </w:p>
    <w:p w14:paraId="5F46875A" w14:textId="77777777" w:rsidR="005C6A3A" w:rsidRDefault="005C6A3A" w:rsidP="00197F2E"/>
    <w:p w14:paraId="2C7CDF87" w14:textId="77777777" w:rsidR="006961E2" w:rsidRDefault="006961E2" w:rsidP="00197F2E"/>
    <w:p w14:paraId="5DCDB6CD" w14:textId="5D3A3683" w:rsidR="006961E2" w:rsidRPr="0078529B" w:rsidRDefault="006961E2" w:rsidP="0078529B">
      <w:pPr>
        <w:pStyle w:val="1"/>
        <w:rPr>
          <w:rFonts w:ascii="Times New Roman" w:hAnsi="Times New Roman" w:cs="Times New Roman"/>
          <w:b w:val="0"/>
          <w:bCs w:val="0"/>
          <w:sz w:val="28"/>
          <w:szCs w:val="28"/>
          <w:lang w:eastAsia="zh-CN"/>
        </w:rPr>
      </w:pPr>
      <w:bookmarkStart w:id="4" w:name="_Toc134116266"/>
      <w:r w:rsidRPr="0078529B">
        <w:rPr>
          <w:rFonts w:ascii="Times New Roman" w:hAnsi="Times New Roman" w:cs="Times New Roman"/>
          <w:b w:val="0"/>
          <w:bCs w:val="0"/>
          <w:sz w:val="28"/>
          <w:szCs w:val="28"/>
          <w:lang w:eastAsia="zh-CN"/>
        </w:rPr>
        <w:t>The Lewin's Forcefield Analysis model on TSMC</w:t>
      </w:r>
      <w:bookmarkEnd w:id="4"/>
      <w:r w:rsidRPr="0078529B">
        <w:rPr>
          <w:rFonts w:ascii="Times New Roman" w:hAnsi="Times New Roman" w:cs="Times New Roman"/>
          <w:b w:val="0"/>
          <w:bCs w:val="0"/>
          <w:sz w:val="28"/>
          <w:szCs w:val="28"/>
          <w:lang w:eastAsia="zh-CN"/>
        </w:rPr>
        <w:t xml:space="preserve"> </w:t>
      </w:r>
    </w:p>
    <w:p w14:paraId="5FD507E6" w14:textId="77777777" w:rsidR="006961E2" w:rsidRDefault="006961E2" w:rsidP="00197F2E">
      <w:pPr>
        <w:rPr>
          <w:rFonts w:ascii="Times New Roman" w:eastAsia="等线" w:hAnsi="Times New Roman" w:cs="Times New Roman"/>
          <w:kern w:val="52"/>
          <w:sz w:val="28"/>
          <w:szCs w:val="28"/>
          <w:lang w:eastAsia="zh-CN"/>
        </w:rPr>
      </w:pPr>
    </w:p>
    <w:p w14:paraId="3EFC3DA6" w14:textId="36963C78" w:rsidR="006961E2" w:rsidRPr="0078529B" w:rsidRDefault="006961E2" w:rsidP="0078529B">
      <w:pPr>
        <w:pStyle w:val="2"/>
        <w:rPr>
          <w:rFonts w:ascii="Times New Roman" w:hAnsi="Times New Roman" w:cs="Times New Roman"/>
          <w:b w:val="0"/>
          <w:bCs w:val="0"/>
          <w:kern w:val="52"/>
          <w:sz w:val="24"/>
          <w:szCs w:val="24"/>
          <w:lang w:eastAsia="zh-CN"/>
        </w:rPr>
      </w:pPr>
      <w:bookmarkStart w:id="5" w:name="_Toc134116267"/>
      <w:r w:rsidRPr="0078529B">
        <w:rPr>
          <w:rFonts w:ascii="Times New Roman" w:hAnsi="Times New Roman" w:cs="Times New Roman"/>
          <w:b w:val="0"/>
          <w:bCs w:val="0"/>
          <w:kern w:val="52"/>
          <w:sz w:val="24"/>
          <w:szCs w:val="24"/>
          <w:lang w:eastAsia="zh-CN"/>
        </w:rPr>
        <w:lastRenderedPageBreak/>
        <w:t>What is Lewin's Forcefield Analysis model</w:t>
      </w:r>
      <w:bookmarkEnd w:id="5"/>
    </w:p>
    <w:p w14:paraId="1EB32375" w14:textId="77777777" w:rsidR="007D1E51" w:rsidRPr="007D1E51" w:rsidRDefault="007D1E51" w:rsidP="007D1E51">
      <w:pPr>
        <w:rPr>
          <w:rFonts w:eastAsia="等线"/>
          <w:lang w:eastAsia="zh-CN"/>
        </w:rPr>
      </w:pPr>
    </w:p>
    <w:p w14:paraId="1301F311" w14:textId="135437C7" w:rsidR="006961E2" w:rsidRDefault="007D1E51" w:rsidP="007D1E51">
      <w:pPr>
        <w:rPr>
          <w:rFonts w:eastAsia="等线"/>
          <w:lang w:eastAsia="zh-CN"/>
        </w:rPr>
      </w:pPr>
      <w:r w:rsidRPr="007D1E51">
        <w:rPr>
          <w:rFonts w:eastAsia="等线"/>
          <w:lang w:eastAsia="zh-CN"/>
        </w:rPr>
        <w:t xml:space="preserve">Force Field Analysis is a model developed by Kurt Lewin in the 1940s that is used to </w:t>
      </w:r>
      <w:proofErr w:type="spellStart"/>
      <w:r w:rsidRPr="007D1E51">
        <w:rPr>
          <w:rFonts w:eastAsia="等线"/>
          <w:lang w:eastAsia="zh-CN"/>
        </w:rPr>
        <w:t>analyse</w:t>
      </w:r>
      <w:proofErr w:type="spellEnd"/>
      <w:r w:rsidRPr="007D1E51">
        <w:rPr>
          <w:rFonts w:eastAsia="等线"/>
          <w:lang w:eastAsia="zh-CN"/>
        </w:rPr>
        <w:t xml:space="preserve"> the opposing forces for and against a change. To conduct a Force Field Analysis, the first step is to describe the proposed change and create a diagram that lists the forces for and against the change. Forces for the change are listed on the left, while forces against the change are listed on the right. Scores are then assigned to each force based on their level of influence. Finally, the forces are evaluated to determine whether to proceed with the change or identify ways to strengthen the forces for the change or weaken the forces a</w:t>
      </w:r>
      <w:r w:rsidRPr="00DB737F">
        <w:rPr>
          <w:rFonts w:eastAsia="等线"/>
          <w:lang w:eastAsia="zh-CN"/>
        </w:rPr>
        <w:t>gainst it</w:t>
      </w:r>
      <w:r w:rsidR="00B836CC">
        <w:rPr>
          <w:rFonts w:eastAsia="等线"/>
          <w:lang w:eastAsia="zh-CN"/>
        </w:rPr>
        <w:t xml:space="preserve"> (</w:t>
      </w:r>
      <w:r w:rsidR="00D151A4" w:rsidRPr="00617275">
        <w:rPr>
          <w:rFonts w:eastAsia="等线"/>
          <w:lang w:eastAsia="zh-CN"/>
        </w:rPr>
        <w:t>Sabina</w:t>
      </w:r>
      <w:r w:rsidR="00B836CC">
        <w:rPr>
          <w:rFonts w:eastAsia="等线"/>
          <w:lang w:eastAsia="zh-CN"/>
        </w:rPr>
        <w:t>, 2021)</w:t>
      </w:r>
      <w:r w:rsidRPr="007D1E51">
        <w:rPr>
          <w:rFonts w:eastAsia="等线"/>
          <w:lang w:eastAsia="zh-CN"/>
        </w:rPr>
        <w:t>.</w:t>
      </w:r>
    </w:p>
    <w:p w14:paraId="0FC954FF" w14:textId="77777777" w:rsidR="007D1E51" w:rsidRPr="006961E2" w:rsidRDefault="007D1E51" w:rsidP="007D1E51">
      <w:pPr>
        <w:rPr>
          <w:rFonts w:eastAsia="等线"/>
          <w:lang w:eastAsia="zh-CN"/>
        </w:rPr>
      </w:pPr>
    </w:p>
    <w:p w14:paraId="7664AC39" w14:textId="2C3AA4EF" w:rsidR="005C6A3A" w:rsidRPr="0078529B" w:rsidRDefault="005C6A3A" w:rsidP="0078529B">
      <w:pPr>
        <w:pStyle w:val="2"/>
        <w:rPr>
          <w:rFonts w:ascii="Times New Roman" w:hAnsi="Times New Roman" w:cs="Times New Roman"/>
          <w:b w:val="0"/>
          <w:bCs w:val="0"/>
          <w:kern w:val="52"/>
          <w:sz w:val="24"/>
          <w:szCs w:val="24"/>
          <w:lang w:eastAsia="zh-CN"/>
        </w:rPr>
      </w:pPr>
      <w:bookmarkStart w:id="6" w:name="_Toc134116268"/>
      <w:r w:rsidRPr="0078529B">
        <w:rPr>
          <w:rFonts w:ascii="Times New Roman" w:hAnsi="Times New Roman" w:cs="Times New Roman" w:hint="eastAsia"/>
          <w:b w:val="0"/>
          <w:bCs w:val="0"/>
          <w:kern w:val="52"/>
          <w:sz w:val="24"/>
          <w:szCs w:val="24"/>
          <w:lang w:eastAsia="zh-CN"/>
        </w:rPr>
        <w:t>T</w:t>
      </w:r>
      <w:r w:rsidRPr="0078529B">
        <w:rPr>
          <w:rFonts w:ascii="Times New Roman" w:hAnsi="Times New Roman" w:cs="Times New Roman"/>
          <w:b w:val="0"/>
          <w:bCs w:val="0"/>
          <w:kern w:val="52"/>
          <w:sz w:val="24"/>
          <w:szCs w:val="24"/>
          <w:lang w:eastAsia="zh-CN"/>
        </w:rPr>
        <w:t>he Key Factors and Drivers of Changes</w:t>
      </w:r>
      <w:bookmarkEnd w:id="6"/>
    </w:p>
    <w:p w14:paraId="281A764B" w14:textId="77777777" w:rsidR="00A574FA" w:rsidRDefault="00A574FA" w:rsidP="00197F2E">
      <w:pPr>
        <w:rPr>
          <w:rFonts w:eastAsia="等线"/>
          <w:lang w:eastAsia="zh-CN"/>
        </w:rPr>
      </w:pPr>
    </w:p>
    <w:p w14:paraId="4F1AB318" w14:textId="3FE13B0E" w:rsidR="005C6A3A" w:rsidRPr="0078529B" w:rsidRDefault="00A574FA" w:rsidP="0078529B">
      <w:pPr>
        <w:pStyle w:val="a7"/>
        <w:numPr>
          <w:ilvl w:val="0"/>
          <w:numId w:val="6"/>
        </w:numPr>
        <w:ind w:leftChars="0"/>
        <w:rPr>
          <w:rFonts w:eastAsia="等线"/>
          <w:lang w:eastAsia="zh-CN"/>
        </w:rPr>
      </w:pPr>
      <w:r w:rsidRPr="0078529B">
        <w:rPr>
          <w:rFonts w:eastAsia="等线"/>
          <w:lang w:eastAsia="zh-CN"/>
        </w:rPr>
        <w:t>Technological Advances:</w:t>
      </w:r>
    </w:p>
    <w:p w14:paraId="178A005B" w14:textId="26FEC666" w:rsidR="0056730C" w:rsidRDefault="0056730C" w:rsidP="0056730C">
      <w:pPr>
        <w:pStyle w:val="a7"/>
        <w:numPr>
          <w:ilvl w:val="0"/>
          <w:numId w:val="3"/>
        </w:numPr>
        <w:ind w:leftChars="0"/>
        <w:rPr>
          <w:rFonts w:eastAsia="等线"/>
          <w:lang w:eastAsia="zh-CN"/>
        </w:rPr>
      </w:pPr>
      <w:r w:rsidRPr="0056730C">
        <w:rPr>
          <w:rFonts w:eastAsia="等线"/>
          <w:lang w:eastAsia="zh-CN"/>
        </w:rPr>
        <w:t>Advanced Process Technologies</w:t>
      </w:r>
    </w:p>
    <w:p w14:paraId="0D01E1F4" w14:textId="7DF56335" w:rsidR="0056730C" w:rsidRDefault="00CA0159" w:rsidP="0056730C">
      <w:pPr>
        <w:rPr>
          <w:rFonts w:eastAsia="等线"/>
          <w:lang w:eastAsia="zh-CN"/>
        </w:rPr>
      </w:pPr>
      <w:r w:rsidRPr="00CA0159">
        <w:rPr>
          <w:rFonts w:eastAsia="等线"/>
          <w:lang w:eastAsia="zh-CN"/>
        </w:rPr>
        <w:t>TSMC has revealed details about its upcoming 3nm process technology, following the introduction of its 5nm process for 2021. The 3nm process offers a significant advancement with estimated improvements such as a power reduction of 25-30% and a 70% increase in transistor density compared to the 5nm process</w:t>
      </w:r>
      <w:r>
        <w:rPr>
          <w:rFonts w:eastAsia="等线"/>
          <w:lang w:eastAsia="zh-CN"/>
        </w:rPr>
        <w:t xml:space="preserve"> </w:t>
      </w:r>
      <w:r w:rsidRPr="00CA0159">
        <w:rPr>
          <w:rFonts w:eastAsia="等线"/>
          <w:lang w:eastAsia="zh-CN"/>
        </w:rPr>
        <w:t>(Cross, 2020).</w:t>
      </w:r>
    </w:p>
    <w:p w14:paraId="5CE5C335" w14:textId="77777777" w:rsidR="00CA0159" w:rsidRDefault="00CA0159" w:rsidP="0056730C">
      <w:pPr>
        <w:rPr>
          <w:rFonts w:eastAsia="等线"/>
          <w:lang w:eastAsia="zh-CN"/>
        </w:rPr>
      </w:pPr>
    </w:p>
    <w:p w14:paraId="1A5613C4" w14:textId="4620C0A6" w:rsidR="00CA0159" w:rsidRDefault="00CA0159" w:rsidP="00CA0159">
      <w:pPr>
        <w:pStyle w:val="a7"/>
        <w:numPr>
          <w:ilvl w:val="0"/>
          <w:numId w:val="3"/>
        </w:numPr>
        <w:ind w:leftChars="0"/>
        <w:rPr>
          <w:rFonts w:eastAsia="等线"/>
          <w:lang w:eastAsia="zh-CN"/>
        </w:rPr>
      </w:pPr>
      <w:r w:rsidRPr="00CA0159">
        <w:rPr>
          <w:rFonts w:eastAsia="等线"/>
          <w:lang w:eastAsia="zh-CN"/>
        </w:rPr>
        <w:t>System-on-Chip (</w:t>
      </w:r>
      <w:proofErr w:type="spellStart"/>
      <w:r w:rsidRPr="00CA0159">
        <w:rPr>
          <w:rFonts w:eastAsia="等线"/>
          <w:lang w:eastAsia="zh-CN"/>
        </w:rPr>
        <w:t>So</w:t>
      </w:r>
      <w:r w:rsidR="008D5527">
        <w:rPr>
          <w:rFonts w:eastAsia="等线"/>
          <w:lang w:eastAsia="zh-CN"/>
        </w:rPr>
        <w:t>I</w:t>
      </w:r>
      <w:r w:rsidRPr="00CA0159">
        <w:rPr>
          <w:rFonts w:eastAsia="等线"/>
          <w:lang w:eastAsia="zh-CN"/>
        </w:rPr>
        <w:t>C</w:t>
      </w:r>
      <w:proofErr w:type="spellEnd"/>
      <w:r w:rsidRPr="00CA0159">
        <w:rPr>
          <w:rFonts w:eastAsia="等线"/>
          <w:lang w:eastAsia="zh-CN"/>
        </w:rPr>
        <w:t>) Integration</w:t>
      </w:r>
    </w:p>
    <w:p w14:paraId="10C53900" w14:textId="79D37062" w:rsidR="008D5527" w:rsidRDefault="00521B82" w:rsidP="008D5527">
      <w:pPr>
        <w:rPr>
          <w:rFonts w:eastAsia="等线"/>
          <w:lang w:eastAsia="zh-CN"/>
        </w:rPr>
      </w:pPr>
      <w:r w:rsidRPr="00521B82">
        <w:rPr>
          <w:rFonts w:eastAsia="等线"/>
          <w:lang w:eastAsia="zh-CN"/>
        </w:rPr>
        <w:t xml:space="preserve">TSMC's </w:t>
      </w:r>
      <w:proofErr w:type="spellStart"/>
      <w:r w:rsidRPr="00521B82">
        <w:rPr>
          <w:rFonts w:eastAsia="等线"/>
          <w:lang w:eastAsia="zh-CN"/>
        </w:rPr>
        <w:t>SoIC</w:t>
      </w:r>
      <w:proofErr w:type="spellEnd"/>
      <w:r w:rsidRPr="00521B82">
        <w:rPr>
          <w:rFonts w:eastAsia="等线"/>
          <w:lang w:eastAsia="zh-CN"/>
        </w:rPr>
        <w:t xml:space="preserve">® services offer custom manufacturing for semiconductors, memory chips, wafers, integrated circuits, product research, design, testing, and technology consultation services. </w:t>
      </w:r>
      <w:proofErr w:type="spellStart"/>
      <w:r w:rsidRPr="00521B82">
        <w:rPr>
          <w:rFonts w:eastAsia="等线"/>
          <w:lang w:eastAsia="zh-CN"/>
        </w:rPr>
        <w:t>SoIC</w:t>
      </w:r>
      <w:proofErr w:type="spellEnd"/>
      <w:r w:rsidRPr="00521B82">
        <w:rPr>
          <w:rFonts w:eastAsia="等线"/>
          <w:lang w:eastAsia="zh-CN"/>
        </w:rPr>
        <w:t xml:space="preserve"> is a technology for heterogeneous </w:t>
      </w:r>
      <w:proofErr w:type="spellStart"/>
      <w:r w:rsidRPr="00521B82">
        <w:rPr>
          <w:rFonts w:eastAsia="等线"/>
          <w:lang w:eastAsia="zh-CN"/>
        </w:rPr>
        <w:t>chiplet</w:t>
      </w:r>
      <w:proofErr w:type="spellEnd"/>
      <w:r w:rsidRPr="00521B82">
        <w:rPr>
          <w:rFonts w:eastAsia="等线"/>
          <w:lang w:eastAsia="zh-CN"/>
        </w:rPr>
        <w:t xml:space="preserve"> integration, featuring ultra-high-density-vertical stacking for high performance and low power. Its innovative bonding scheme allows for strong bonding pitch scalability for chip I/O and holistic 3D system integration, achieving a smaller form factor and higher bandwidth with lower power consumption than current packaging solutions</w:t>
      </w:r>
      <w:r>
        <w:rPr>
          <w:rFonts w:eastAsia="等线"/>
          <w:lang w:eastAsia="zh-CN"/>
        </w:rPr>
        <w:t xml:space="preserve"> </w:t>
      </w:r>
      <w:r w:rsidRPr="00521B82">
        <w:rPr>
          <w:rFonts w:eastAsia="等线"/>
          <w:lang w:eastAsia="zh-CN"/>
        </w:rPr>
        <w:t>(TSMC, n.d.).</w:t>
      </w:r>
    </w:p>
    <w:p w14:paraId="2E213491" w14:textId="77777777" w:rsidR="00521B82" w:rsidRDefault="00521B82" w:rsidP="008D5527">
      <w:pPr>
        <w:rPr>
          <w:rFonts w:eastAsia="等线"/>
          <w:lang w:eastAsia="zh-CN"/>
        </w:rPr>
      </w:pPr>
    </w:p>
    <w:p w14:paraId="49F71771" w14:textId="1A5ADDB3" w:rsidR="00521B82" w:rsidRPr="005502CD" w:rsidRDefault="005502CD" w:rsidP="005502CD">
      <w:pPr>
        <w:pStyle w:val="a7"/>
        <w:numPr>
          <w:ilvl w:val="0"/>
          <w:numId w:val="3"/>
        </w:numPr>
        <w:ind w:leftChars="0"/>
        <w:rPr>
          <w:rFonts w:eastAsia="等线"/>
          <w:lang w:eastAsia="zh-CN"/>
        </w:rPr>
      </w:pPr>
      <w:r w:rsidRPr="005502CD">
        <w:rPr>
          <w:rFonts w:eastAsia="等线"/>
          <w:lang w:eastAsia="zh-CN"/>
        </w:rPr>
        <w:t>Artificial Intelligence (AI) Chips</w:t>
      </w:r>
    </w:p>
    <w:p w14:paraId="0ECBA73B" w14:textId="410AE09D" w:rsidR="00CA0159" w:rsidRDefault="00B06F45" w:rsidP="00CA0159">
      <w:pPr>
        <w:rPr>
          <w:rFonts w:eastAsia="等线"/>
          <w:lang w:eastAsia="zh-CN"/>
        </w:rPr>
      </w:pPr>
      <w:r w:rsidRPr="00B06F45">
        <w:rPr>
          <w:rFonts w:eastAsia="等线"/>
          <w:lang w:eastAsia="zh-CN"/>
        </w:rPr>
        <w:t xml:space="preserve">TSMC is a reserved supplier for Apple, but </w:t>
      </w:r>
      <w:proofErr w:type="spellStart"/>
      <w:r w:rsidRPr="00B06F45">
        <w:rPr>
          <w:rFonts w:eastAsia="等线"/>
          <w:lang w:eastAsia="zh-CN"/>
        </w:rPr>
        <w:t>DigiTimes</w:t>
      </w:r>
      <w:proofErr w:type="spellEnd"/>
      <w:r w:rsidRPr="00B06F45">
        <w:rPr>
          <w:rFonts w:eastAsia="等线"/>
          <w:lang w:eastAsia="zh-CN"/>
        </w:rPr>
        <w:t xml:space="preserve"> reported that it is developing an AI chip with Global </w:t>
      </w:r>
      <w:proofErr w:type="spellStart"/>
      <w:r w:rsidRPr="00B06F45">
        <w:rPr>
          <w:rFonts w:eastAsia="等线"/>
          <w:lang w:eastAsia="zh-CN"/>
        </w:rPr>
        <w:t>Unichip</w:t>
      </w:r>
      <w:proofErr w:type="spellEnd"/>
      <w:r w:rsidRPr="00B06F45">
        <w:rPr>
          <w:rFonts w:eastAsia="等线"/>
          <w:lang w:eastAsia="zh-CN"/>
        </w:rPr>
        <w:t xml:space="preserve"> for Alibaba. TSMC's expertise in advanced chip fabrication and packaging makes it a natural partner for cutting-edge AI chips. This </w:t>
      </w:r>
      <w:r w:rsidRPr="00B06F45">
        <w:rPr>
          <w:rFonts w:eastAsia="等线"/>
          <w:lang w:eastAsia="zh-CN"/>
        </w:rPr>
        <w:lastRenderedPageBreak/>
        <w:t>move diversifies TSMC's client base and underscores its commitment to expanding beyond smartphone manufacturers. As the AI market grows, TSMC's involvement is significant and will drive innovation in the industry</w:t>
      </w:r>
      <w:r>
        <w:rPr>
          <w:rFonts w:eastAsia="等线"/>
          <w:lang w:eastAsia="zh-CN"/>
        </w:rPr>
        <w:t xml:space="preserve"> </w:t>
      </w:r>
      <w:r w:rsidRPr="00B06F45">
        <w:rPr>
          <w:rFonts w:eastAsia="等线"/>
          <w:lang w:eastAsia="zh-CN"/>
        </w:rPr>
        <w:t>(Ingle, 2022).</w:t>
      </w:r>
    </w:p>
    <w:p w14:paraId="2F554DEF" w14:textId="77777777" w:rsidR="00B06F45" w:rsidRDefault="00B06F45" w:rsidP="00CA0159">
      <w:pPr>
        <w:rPr>
          <w:rFonts w:eastAsia="等线"/>
          <w:lang w:eastAsia="zh-CN"/>
        </w:rPr>
      </w:pPr>
    </w:p>
    <w:p w14:paraId="4A0B17A4" w14:textId="13C42915" w:rsidR="00B06F45" w:rsidRDefault="00B06F45" w:rsidP="00B06F45">
      <w:pPr>
        <w:pStyle w:val="a7"/>
        <w:numPr>
          <w:ilvl w:val="0"/>
          <w:numId w:val="3"/>
        </w:numPr>
        <w:ind w:leftChars="0"/>
        <w:rPr>
          <w:rFonts w:eastAsia="等线"/>
          <w:lang w:eastAsia="zh-CN"/>
        </w:rPr>
      </w:pPr>
      <w:r w:rsidRPr="00B06F45">
        <w:rPr>
          <w:rFonts w:eastAsia="等线"/>
          <w:lang w:eastAsia="zh-CN"/>
        </w:rPr>
        <w:t xml:space="preserve">TSMC created HBM </w:t>
      </w:r>
      <w:proofErr w:type="gramStart"/>
      <w:r w:rsidRPr="00B06F45">
        <w:rPr>
          <w:rFonts w:eastAsia="等线"/>
          <w:lang w:eastAsia="zh-CN"/>
        </w:rPr>
        <w:t>stacks</w:t>
      </w:r>
      <w:proofErr w:type="gramEnd"/>
    </w:p>
    <w:p w14:paraId="3A87E2FA" w14:textId="5AD6E4E9" w:rsidR="00B06F45" w:rsidRDefault="009A0ABF" w:rsidP="00B06F45">
      <w:pPr>
        <w:rPr>
          <w:rFonts w:eastAsia="等线"/>
          <w:lang w:eastAsia="zh-CN"/>
        </w:rPr>
      </w:pPr>
      <w:r w:rsidRPr="009A0ABF">
        <w:rPr>
          <w:rFonts w:eastAsia="等线"/>
          <w:lang w:eastAsia="zh-CN"/>
        </w:rPr>
        <w:t>TSMC increased its interposer size limitation in 2020, projecting up to 3x reticle sizes and 8 HBM stacks for 2021 products. At its 2020 Technology Symposium, TSMC teased further evolution, projecting up to 4x reticle size interposers with 12 HBM stacks by 2023. A 12-stack implementation using current technology could offer up to 5.5TB/s of memory bandwidth, significantly faster than even the most complex designs</w:t>
      </w:r>
      <w:r>
        <w:rPr>
          <w:rFonts w:eastAsia="等线"/>
          <w:lang w:eastAsia="zh-CN"/>
        </w:rPr>
        <w:t xml:space="preserve"> </w:t>
      </w:r>
      <w:r w:rsidRPr="009A0ABF">
        <w:rPr>
          <w:rFonts w:eastAsia="等线"/>
          <w:lang w:eastAsia="zh-CN"/>
        </w:rPr>
        <w:t>(</w:t>
      </w:r>
      <w:proofErr w:type="spellStart"/>
      <w:r w:rsidRPr="009A0ABF">
        <w:rPr>
          <w:rFonts w:eastAsia="等线"/>
          <w:lang w:eastAsia="zh-CN"/>
        </w:rPr>
        <w:t>Frumusanu</w:t>
      </w:r>
      <w:proofErr w:type="spellEnd"/>
      <w:r w:rsidRPr="009A0ABF">
        <w:rPr>
          <w:rFonts w:eastAsia="等线"/>
          <w:lang w:eastAsia="zh-CN"/>
        </w:rPr>
        <w:t>, 2020).</w:t>
      </w:r>
    </w:p>
    <w:p w14:paraId="0AD9805E" w14:textId="77777777" w:rsidR="009A0ABF" w:rsidRDefault="009A0ABF" w:rsidP="00B06F45">
      <w:pPr>
        <w:rPr>
          <w:rFonts w:eastAsia="等线"/>
          <w:lang w:eastAsia="zh-CN"/>
        </w:rPr>
      </w:pPr>
    </w:p>
    <w:p w14:paraId="04E30D69" w14:textId="0B596146" w:rsidR="009A0ABF" w:rsidRDefault="000E41D6" w:rsidP="000E41D6">
      <w:pPr>
        <w:pStyle w:val="a7"/>
        <w:numPr>
          <w:ilvl w:val="0"/>
          <w:numId w:val="3"/>
        </w:numPr>
        <w:ind w:leftChars="0"/>
        <w:rPr>
          <w:rFonts w:eastAsia="等线"/>
          <w:lang w:eastAsia="zh-CN"/>
        </w:rPr>
      </w:pPr>
      <w:r w:rsidRPr="000E41D6">
        <w:rPr>
          <w:rFonts w:eastAsia="等线"/>
          <w:lang w:eastAsia="zh-CN"/>
        </w:rPr>
        <w:t>Quantum Computing</w:t>
      </w:r>
    </w:p>
    <w:p w14:paraId="19E790C0" w14:textId="4F296196" w:rsidR="000E41D6" w:rsidRDefault="0039541F" w:rsidP="000E41D6">
      <w:pPr>
        <w:rPr>
          <w:rFonts w:eastAsia="等线"/>
          <w:lang w:eastAsia="zh-CN"/>
        </w:rPr>
      </w:pPr>
      <w:r w:rsidRPr="0039541F">
        <w:rPr>
          <w:rFonts w:eastAsia="等线"/>
          <w:lang w:eastAsia="zh-CN"/>
        </w:rPr>
        <w:t>TSMC will use nanosheet technology for its next 2nm node starting in 2025 to reduce energy consumption in HPC systems. Samsung and Intel also plan to roll out nanosheet devices. TSMC is exploring other process technologies like CFET to increase transistor density and reduce energy consumption in HPC applications, which contribute to global warming</w:t>
      </w:r>
      <w:r>
        <w:rPr>
          <w:rFonts w:eastAsia="等线"/>
          <w:lang w:eastAsia="zh-CN"/>
        </w:rPr>
        <w:t xml:space="preserve"> </w:t>
      </w:r>
      <w:r w:rsidRPr="0039541F">
        <w:rPr>
          <w:rFonts w:eastAsia="等线"/>
          <w:lang w:eastAsia="zh-CN"/>
        </w:rPr>
        <w:t>(Patterson, 2022).</w:t>
      </w:r>
    </w:p>
    <w:p w14:paraId="6191D7EC" w14:textId="77777777" w:rsidR="0039541F" w:rsidRDefault="0039541F" w:rsidP="000E41D6">
      <w:pPr>
        <w:rPr>
          <w:rFonts w:eastAsia="等线"/>
          <w:lang w:eastAsia="zh-CN"/>
        </w:rPr>
      </w:pPr>
    </w:p>
    <w:p w14:paraId="584C3230" w14:textId="6FF90A82" w:rsidR="0039541F" w:rsidRPr="0078529B" w:rsidRDefault="0039541F" w:rsidP="0078529B">
      <w:pPr>
        <w:pStyle w:val="a7"/>
        <w:numPr>
          <w:ilvl w:val="0"/>
          <w:numId w:val="6"/>
        </w:numPr>
        <w:ind w:leftChars="0"/>
        <w:rPr>
          <w:rFonts w:eastAsia="等线"/>
          <w:lang w:eastAsia="zh-CN"/>
        </w:rPr>
      </w:pPr>
      <w:r w:rsidRPr="0078529B">
        <w:rPr>
          <w:rFonts w:eastAsia="等线"/>
          <w:lang w:eastAsia="zh-CN"/>
        </w:rPr>
        <w:t>Customer Demands:</w:t>
      </w:r>
    </w:p>
    <w:p w14:paraId="29C68C8E" w14:textId="6E14A151" w:rsidR="0039541F" w:rsidRDefault="00852E69" w:rsidP="000E41D6">
      <w:pPr>
        <w:rPr>
          <w:rFonts w:eastAsia="等线"/>
          <w:lang w:eastAsia="zh-CN"/>
        </w:rPr>
      </w:pPr>
      <w:r w:rsidRPr="00852E69">
        <w:rPr>
          <w:rFonts w:eastAsia="等线"/>
          <w:lang w:eastAsia="zh-CN"/>
        </w:rPr>
        <w:t>AMD has become the third-largest customer of TSMC, the world's leading semiconductor foundry, following Apple and MediaTek. The rise in AMD's position was due to its decision to produce all its advanced products at TSMC and its increasing orders from the foundry. As a result, the chip developer's contribution to TSMC's revenue is growing along with its rising sales, giving it greater influence over the development of next-generation nodes. Other leading customers of TSMC, including Qualcomm and Nvidia, have shifted many of their orders to Samsung Foundry, causing their contribution to TSMC's revenue to decline</w:t>
      </w:r>
      <w:r w:rsidR="00413116" w:rsidRPr="00413116">
        <w:t xml:space="preserve"> </w:t>
      </w:r>
      <w:r w:rsidR="00413116" w:rsidRPr="00413116">
        <w:rPr>
          <w:rFonts w:eastAsia="等线"/>
          <w:lang w:eastAsia="zh-CN"/>
        </w:rPr>
        <w:t>(Shilov, 2021a).</w:t>
      </w:r>
    </w:p>
    <w:p w14:paraId="0F924056" w14:textId="683ADA25" w:rsidR="00413116" w:rsidRDefault="00413116" w:rsidP="000E41D6">
      <w:pPr>
        <w:rPr>
          <w:rFonts w:eastAsia="等线"/>
          <w:lang w:eastAsia="zh-CN"/>
        </w:rPr>
      </w:pPr>
      <w:r w:rsidRPr="00413116">
        <w:rPr>
          <w:rFonts w:eastAsia="等线"/>
          <w:noProof/>
          <w:lang w:eastAsia="zh-CN"/>
        </w:rPr>
        <w:lastRenderedPageBreak/>
        <w:drawing>
          <wp:inline distT="0" distB="0" distL="0" distR="0" wp14:anchorId="465F249B" wp14:editId="5A616A3B">
            <wp:extent cx="3284220" cy="3244284"/>
            <wp:effectExtent l="0" t="0" r="0" b="0"/>
            <wp:docPr id="1" name="圖片 1" descr="一張含有 資料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資料表 的圖片&#10;&#10;自動產生的描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0773" cy="3250757"/>
                    </a:xfrm>
                    <a:prstGeom prst="rect">
                      <a:avLst/>
                    </a:prstGeom>
                    <a:noFill/>
                    <a:ln>
                      <a:noFill/>
                    </a:ln>
                  </pic:spPr>
                </pic:pic>
              </a:graphicData>
            </a:graphic>
          </wp:inline>
        </w:drawing>
      </w:r>
    </w:p>
    <w:p w14:paraId="13F65D25" w14:textId="77777777" w:rsidR="00413116" w:rsidRDefault="00413116" w:rsidP="000E41D6">
      <w:pPr>
        <w:rPr>
          <w:rFonts w:eastAsia="等线"/>
          <w:lang w:eastAsia="zh-CN"/>
        </w:rPr>
      </w:pPr>
    </w:p>
    <w:p w14:paraId="44DD3D41" w14:textId="4545281C" w:rsidR="00492559" w:rsidRPr="0078529B" w:rsidRDefault="00E035C0" w:rsidP="0078529B">
      <w:pPr>
        <w:pStyle w:val="a7"/>
        <w:numPr>
          <w:ilvl w:val="0"/>
          <w:numId w:val="6"/>
        </w:numPr>
        <w:ind w:leftChars="0"/>
        <w:rPr>
          <w:rFonts w:eastAsia="等线"/>
          <w:lang w:eastAsia="zh-CN"/>
        </w:rPr>
      </w:pPr>
      <w:r w:rsidRPr="0078529B">
        <w:rPr>
          <w:rFonts w:eastAsia="等线"/>
          <w:lang w:eastAsia="zh-CN"/>
        </w:rPr>
        <w:t>Diversification</w:t>
      </w:r>
    </w:p>
    <w:p w14:paraId="11B9D232" w14:textId="7683B06A" w:rsidR="00A06F61" w:rsidRDefault="00492559" w:rsidP="00492559">
      <w:pPr>
        <w:rPr>
          <w:rFonts w:eastAsia="等线"/>
          <w:lang w:eastAsia="zh-CN"/>
        </w:rPr>
      </w:pPr>
      <w:r w:rsidRPr="00492559">
        <w:rPr>
          <w:rFonts w:eastAsia="等线"/>
          <w:lang w:eastAsia="zh-CN"/>
        </w:rPr>
        <w:t>TSMC has developed four technology platforms to cater to the growing demand in the smartphone, high performance computing, automotive electronics, and the Internet of Things markets. These platforms provide customers with a range of logic process technologies, specialty technologies, intellectual property, and packaging and testing technologies to help shorten the time-to-design and time-to-market of their products. The platforms are designed to be flexible and customer-centric, allowing customers to select the best technology solutions for their specific product applications.</w:t>
      </w:r>
      <w:r w:rsidR="00A06F61" w:rsidRPr="00A06F61">
        <w:t xml:space="preserve"> </w:t>
      </w:r>
      <w:r w:rsidR="00A06F61" w:rsidRPr="00A06F61">
        <w:rPr>
          <w:rFonts w:eastAsia="等线"/>
          <w:lang w:eastAsia="zh-CN"/>
        </w:rPr>
        <w:t>(TSMC, 2023c).</w:t>
      </w:r>
    </w:p>
    <w:p w14:paraId="62EB9279" w14:textId="77777777" w:rsidR="00492559" w:rsidRDefault="00492559" w:rsidP="00492559">
      <w:pPr>
        <w:rPr>
          <w:rFonts w:eastAsia="等线"/>
          <w:lang w:eastAsia="zh-CN"/>
        </w:rPr>
      </w:pPr>
    </w:p>
    <w:p w14:paraId="1406626C" w14:textId="504C3FF9" w:rsidR="00492559" w:rsidRPr="0078529B" w:rsidRDefault="00492559" w:rsidP="0078529B">
      <w:pPr>
        <w:pStyle w:val="a7"/>
        <w:numPr>
          <w:ilvl w:val="0"/>
          <w:numId w:val="6"/>
        </w:numPr>
        <w:ind w:leftChars="0"/>
        <w:rPr>
          <w:rFonts w:eastAsia="等线"/>
          <w:lang w:eastAsia="zh-CN"/>
        </w:rPr>
      </w:pPr>
      <w:r w:rsidRPr="0078529B">
        <w:rPr>
          <w:rFonts w:eastAsia="等线"/>
          <w:lang w:eastAsia="zh-CN"/>
        </w:rPr>
        <w:t>Competition</w:t>
      </w:r>
    </w:p>
    <w:p w14:paraId="355D39ED" w14:textId="04737E35" w:rsidR="006B4F56" w:rsidRDefault="00484C4D" w:rsidP="00484C4D">
      <w:pPr>
        <w:rPr>
          <w:rFonts w:eastAsia="等线"/>
          <w:lang w:eastAsia="zh-CN"/>
        </w:rPr>
      </w:pPr>
      <w:r w:rsidRPr="00484C4D">
        <w:rPr>
          <w:rFonts w:eastAsia="等线"/>
          <w:lang w:eastAsia="zh-CN"/>
        </w:rPr>
        <w:t>The semiconductor supply chain comprises various areas, including design, packaging, and manufacturing, which require specialized tools. ASML is the only company that manufactures the machines required to produce the most advanced chips. However, Taiwan's TSMC and South Korea's Samsung dominate the manufacturing of advanced semiconductors, while the US has lost its manufacturing dominance. The foundry market is primarily dominated by Taiwan and South Korea, which hold approximately 80% of the global market.</w:t>
      </w:r>
      <w:r>
        <w:rPr>
          <w:rFonts w:eastAsia="等线" w:hint="eastAsia"/>
          <w:lang w:eastAsia="zh-CN"/>
        </w:rPr>
        <w:t xml:space="preserve"> </w:t>
      </w:r>
      <w:r w:rsidRPr="00484C4D">
        <w:rPr>
          <w:rFonts w:eastAsia="等线"/>
          <w:lang w:eastAsia="zh-CN"/>
        </w:rPr>
        <w:t xml:space="preserve">To limit China's ambitions to dominate the industry, experts believe semiconductor alliances between the US and Asia could prove effective. Partnerships between the US and Taiwan are seen as a response to China's increasing dominance in chip manufacturing. As China has invested heavily in the industry, the alliances between the US and Asian countries are </w:t>
      </w:r>
      <w:r w:rsidRPr="00484C4D">
        <w:rPr>
          <w:rFonts w:eastAsia="等线"/>
          <w:lang w:eastAsia="zh-CN"/>
        </w:rPr>
        <w:lastRenderedPageBreak/>
        <w:t>expected to strengthen the global semiconductor supply chain and help limit China's ability to control the market</w:t>
      </w:r>
      <w:r>
        <w:rPr>
          <w:rFonts w:eastAsia="等线"/>
          <w:lang w:eastAsia="zh-CN"/>
        </w:rPr>
        <w:t xml:space="preserve"> </w:t>
      </w:r>
      <w:r w:rsidRPr="00484C4D">
        <w:rPr>
          <w:rFonts w:eastAsia="等线"/>
          <w:lang w:eastAsia="zh-CN"/>
        </w:rPr>
        <w:t>(</w:t>
      </w:r>
      <w:proofErr w:type="spellStart"/>
      <w:r w:rsidRPr="00484C4D">
        <w:rPr>
          <w:rFonts w:eastAsia="等线"/>
          <w:lang w:eastAsia="zh-CN"/>
        </w:rPr>
        <w:t>Kharpal</w:t>
      </w:r>
      <w:proofErr w:type="spellEnd"/>
      <w:r w:rsidRPr="00484C4D">
        <w:rPr>
          <w:rFonts w:eastAsia="等线"/>
          <w:lang w:eastAsia="zh-CN"/>
        </w:rPr>
        <w:t>, 2022)</w:t>
      </w:r>
      <w:r w:rsidR="006B4F56">
        <w:rPr>
          <w:rFonts w:eastAsia="等线" w:hint="eastAsia"/>
          <w:lang w:eastAsia="zh-CN"/>
        </w:rPr>
        <w:t>.</w:t>
      </w:r>
    </w:p>
    <w:p w14:paraId="489D039F" w14:textId="77777777" w:rsidR="006B4F56" w:rsidRDefault="006B4F56" w:rsidP="00484C4D">
      <w:pPr>
        <w:rPr>
          <w:rFonts w:eastAsia="等线"/>
          <w:lang w:eastAsia="zh-CN"/>
        </w:rPr>
      </w:pPr>
    </w:p>
    <w:p w14:paraId="7AF6B1D5" w14:textId="628C6597" w:rsidR="002A0F56" w:rsidRPr="0078529B" w:rsidRDefault="002A0F56" w:rsidP="0078529B">
      <w:pPr>
        <w:pStyle w:val="2"/>
        <w:rPr>
          <w:rFonts w:ascii="Times New Roman" w:hAnsi="Times New Roman" w:cs="Times New Roman"/>
          <w:b w:val="0"/>
          <w:bCs w:val="0"/>
          <w:kern w:val="52"/>
          <w:sz w:val="24"/>
          <w:szCs w:val="24"/>
          <w:lang w:eastAsia="zh-CN"/>
        </w:rPr>
      </w:pPr>
      <w:bookmarkStart w:id="7" w:name="_Toc134116269"/>
      <w:r w:rsidRPr="0078529B">
        <w:rPr>
          <w:rFonts w:ascii="Times New Roman" w:hAnsi="Times New Roman" w:cs="Times New Roman" w:hint="eastAsia"/>
          <w:b w:val="0"/>
          <w:bCs w:val="0"/>
          <w:kern w:val="52"/>
          <w:sz w:val="24"/>
          <w:szCs w:val="24"/>
          <w:lang w:eastAsia="zh-CN"/>
        </w:rPr>
        <w:t>T</w:t>
      </w:r>
      <w:r w:rsidRPr="0078529B">
        <w:rPr>
          <w:rFonts w:ascii="Times New Roman" w:hAnsi="Times New Roman" w:cs="Times New Roman"/>
          <w:b w:val="0"/>
          <w:bCs w:val="0"/>
          <w:kern w:val="52"/>
          <w:sz w:val="24"/>
          <w:szCs w:val="24"/>
          <w:lang w:eastAsia="zh-CN"/>
        </w:rPr>
        <w:t xml:space="preserve">he Key </w:t>
      </w:r>
      <w:r w:rsidR="00126BFF" w:rsidRPr="0078529B">
        <w:rPr>
          <w:rFonts w:ascii="Times New Roman" w:hAnsi="Times New Roman" w:cs="Times New Roman"/>
          <w:b w:val="0"/>
          <w:bCs w:val="0"/>
          <w:kern w:val="52"/>
          <w:sz w:val="24"/>
          <w:szCs w:val="24"/>
          <w:lang w:eastAsia="zh-CN"/>
        </w:rPr>
        <w:t>Restraining Forces</w:t>
      </w:r>
      <w:r w:rsidRPr="0078529B">
        <w:rPr>
          <w:rFonts w:ascii="Times New Roman" w:hAnsi="Times New Roman" w:cs="Times New Roman"/>
          <w:b w:val="0"/>
          <w:bCs w:val="0"/>
          <w:kern w:val="52"/>
          <w:sz w:val="24"/>
          <w:szCs w:val="24"/>
          <w:lang w:eastAsia="zh-CN"/>
        </w:rPr>
        <w:t xml:space="preserve"> of Changes</w:t>
      </w:r>
      <w:bookmarkEnd w:id="7"/>
    </w:p>
    <w:p w14:paraId="20B05246" w14:textId="77777777" w:rsidR="00126BFF" w:rsidRDefault="00126BFF" w:rsidP="002A0F56">
      <w:pPr>
        <w:rPr>
          <w:rFonts w:ascii="Times New Roman" w:eastAsia="等线" w:hAnsi="Times New Roman" w:cs="Times New Roman"/>
          <w:kern w:val="52"/>
          <w:sz w:val="28"/>
          <w:szCs w:val="28"/>
          <w:lang w:eastAsia="zh-CN"/>
        </w:rPr>
      </w:pPr>
    </w:p>
    <w:p w14:paraId="69F57998" w14:textId="7B37E020" w:rsidR="00126BFF" w:rsidRPr="0078529B" w:rsidRDefault="00126BFF" w:rsidP="0078529B">
      <w:pPr>
        <w:pStyle w:val="a7"/>
        <w:numPr>
          <w:ilvl w:val="0"/>
          <w:numId w:val="7"/>
        </w:numPr>
        <w:ind w:leftChars="0"/>
        <w:rPr>
          <w:rFonts w:eastAsia="等线"/>
          <w:lang w:eastAsia="zh-CN"/>
        </w:rPr>
      </w:pPr>
      <w:r w:rsidRPr="0078529B">
        <w:rPr>
          <w:rFonts w:eastAsia="等线"/>
          <w:lang w:eastAsia="zh-CN"/>
        </w:rPr>
        <w:t>Dependence on a Few Key Customers</w:t>
      </w:r>
    </w:p>
    <w:p w14:paraId="30D04E0D" w14:textId="0A2D7404" w:rsidR="00126BFF" w:rsidRDefault="00F97B2C" w:rsidP="002A0F56">
      <w:pPr>
        <w:rPr>
          <w:rFonts w:eastAsia="等线"/>
          <w:lang w:eastAsia="zh-CN"/>
        </w:rPr>
      </w:pPr>
      <w:r w:rsidRPr="00F97B2C">
        <w:rPr>
          <w:rFonts w:eastAsia="等线"/>
          <w:lang w:eastAsia="zh-CN"/>
        </w:rPr>
        <w:t>The Taiwanese semiconductor foundry TSMC is heavily dependent on a few key customers, with Apple being its largest customer in 2021, contributing a quarter of the company's revenues. This dependence on a small number of clients can be risky, as any significant shift in demand from those customers could have a significant impact on TSMC's revenue and overall financial health. However, TSMC has been successful in maintaining strong relationships with key customers like Apple, which has helped it remain competitive in the semiconductor market</w:t>
      </w:r>
      <w:r>
        <w:rPr>
          <w:rFonts w:eastAsia="等线"/>
          <w:lang w:eastAsia="zh-CN"/>
        </w:rPr>
        <w:t xml:space="preserve"> </w:t>
      </w:r>
      <w:r w:rsidRPr="00F97B2C">
        <w:rPr>
          <w:rFonts w:eastAsia="等线"/>
          <w:lang w:eastAsia="zh-CN"/>
        </w:rPr>
        <w:t>(Statista, 2021).</w:t>
      </w:r>
    </w:p>
    <w:p w14:paraId="32EF80F5" w14:textId="77777777" w:rsidR="00F97B2C" w:rsidRDefault="00F97B2C" w:rsidP="002A0F56">
      <w:pPr>
        <w:rPr>
          <w:rFonts w:eastAsia="等线"/>
          <w:lang w:eastAsia="zh-CN"/>
        </w:rPr>
      </w:pPr>
    </w:p>
    <w:p w14:paraId="25A450F4" w14:textId="510D30E2" w:rsidR="00F97B2C" w:rsidRPr="0078529B" w:rsidRDefault="00F97B2C" w:rsidP="0078529B">
      <w:pPr>
        <w:pStyle w:val="a7"/>
        <w:numPr>
          <w:ilvl w:val="0"/>
          <w:numId w:val="7"/>
        </w:numPr>
        <w:ind w:leftChars="0"/>
        <w:rPr>
          <w:rFonts w:eastAsia="等线"/>
          <w:lang w:eastAsia="zh-CN"/>
        </w:rPr>
      </w:pPr>
      <w:r w:rsidRPr="0078529B">
        <w:rPr>
          <w:rFonts w:eastAsia="等线"/>
          <w:lang w:eastAsia="zh-CN"/>
        </w:rPr>
        <w:t>Supply Chain Risks</w:t>
      </w:r>
    </w:p>
    <w:p w14:paraId="265C63A3" w14:textId="0F019238" w:rsidR="00F97B2C" w:rsidRDefault="00F61B31" w:rsidP="002A0F56">
      <w:pPr>
        <w:rPr>
          <w:rFonts w:eastAsia="等线"/>
          <w:lang w:eastAsia="zh-CN"/>
        </w:rPr>
      </w:pPr>
      <w:r w:rsidRPr="00F61B31">
        <w:rPr>
          <w:rFonts w:eastAsia="等线"/>
          <w:lang w:eastAsia="zh-CN"/>
        </w:rPr>
        <w:t>The semiconductor manufacturer TSMC is exposed to supply chain risks, including the possibility of disruptions to the supply of raw materials or geopolitical tensions. To address these risks, TSMC has implemented a responsible supply chain management program that includes a risk management system and a supplier sustainability assessment program. Additionally, TSMC collaborates with its suppliers to identify potential risks and develop mitigation strategies. As a case study, TSMC worked with a supplier to improve working conditions and reduce environmental impacts</w:t>
      </w:r>
      <w:r w:rsidRPr="00F61B31">
        <w:rPr>
          <w:rFonts w:asciiTheme="majorHAnsi" w:eastAsia="Malgun Gothic" w:hAnsi="Calibri"/>
          <w:color w:val="07B8E1"/>
          <w:kern w:val="24"/>
          <w:sz w:val="34"/>
          <w:szCs w:val="34"/>
        </w:rPr>
        <w:t xml:space="preserve"> </w:t>
      </w:r>
      <w:r w:rsidRPr="00F61B31">
        <w:rPr>
          <w:rFonts w:eastAsia="等线"/>
          <w:lang w:eastAsia="zh-CN"/>
        </w:rPr>
        <w:t>(Lin and Sun, 2022).</w:t>
      </w:r>
    </w:p>
    <w:p w14:paraId="705F7CD0" w14:textId="77777777" w:rsidR="00F61B31" w:rsidRDefault="00F61B31" w:rsidP="002A0F56">
      <w:pPr>
        <w:rPr>
          <w:rFonts w:eastAsia="等线"/>
          <w:lang w:eastAsia="zh-CN"/>
        </w:rPr>
      </w:pPr>
    </w:p>
    <w:p w14:paraId="46EE026F" w14:textId="3FD034B5" w:rsidR="00F61B31" w:rsidRPr="0078529B" w:rsidRDefault="00F61B31" w:rsidP="0078529B">
      <w:pPr>
        <w:pStyle w:val="a7"/>
        <w:numPr>
          <w:ilvl w:val="0"/>
          <w:numId w:val="7"/>
        </w:numPr>
        <w:ind w:leftChars="0"/>
        <w:rPr>
          <w:rFonts w:eastAsia="等线"/>
          <w:lang w:eastAsia="zh-CN"/>
        </w:rPr>
      </w:pPr>
      <w:r w:rsidRPr="0078529B">
        <w:rPr>
          <w:rFonts w:eastAsia="等线"/>
          <w:lang w:eastAsia="zh-CN"/>
        </w:rPr>
        <w:t>Environmental Impact</w:t>
      </w:r>
    </w:p>
    <w:p w14:paraId="64FD5B81" w14:textId="44DBA691" w:rsidR="00F61B31" w:rsidRPr="00126BFF" w:rsidRDefault="008A44FA" w:rsidP="008A44FA">
      <w:pPr>
        <w:rPr>
          <w:rFonts w:eastAsia="等线"/>
          <w:lang w:eastAsia="zh-CN"/>
        </w:rPr>
      </w:pPr>
      <w:r w:rsidRPr="008A44FA">
        <w:rPr>
          <w:rFonts w:eastAsia="等线"/>
          <w:lang w:eastAsia="zh-CN"/>
        </w:rPr>
        <w:t>The semiconductor industry's growing demand is putting increasing pressure on the environment, particularly on water resources and greenhouse gas emissions. Companies like TSMC have been taking steps to mitigate their environmental impact, such as increasing the use of renewable energy, reducing water consumption, and developing new technologies to improve efficiency. However, more needs to be done to address the industry's sustainability challenges, including finding new ways to recycle and reuse materials, reducing energy consumption, and improving the efficiency of production processes</w:t>
      </w:r>
      <w:r>
        <w:rPr>
          <w:rFonts w:eastAsia="等线"/>
          <w:lang w:eastAsia="zh-CN"/>
        </w:rPr>
        <w:t xml:space="preserve"> </w:t>
      </w:r>
      <w:r w:rsidRPr="008A44FA">
        <w:rPr>
          <w:rFonts w:eastAsia="等线"/>
          <w:lang w:eastAsia="zh-CN"/>
        </w:rPr>
        <w:t>(</w:t>
      </w:r>
      <w:proofErr w:type="spellStart"/>
      <w:r w:rsidRPr="008A44FA">
        <w:rPr>
          <w:rFonts w:eastAsia="等线"/>
          <w:lang w:eastAsia="zh-CN"/>
        </w:rPr>
        <w:t>Coan</w:t>
      </w:r>
      <w:proofErr w:type="spellEnd"/>
      <w:r w:rsidRPr="008A44FA">
        <w:rPr>
          <w:rFonts w:eastAsia="等线"/>
          <w:lang w:eastAsia="zh-CN"/>
        </w:rPr>
        <w:t>, 2022).</w:t>
      </w:r>
    </w:p>
    <w:p w14:paraId="1310ABBA" w14:textId="77777777" w:rsidR="006B4F56" w:rsidRDefault="006B4F56" w:rsidP="00484C4D">
      <w:pPr>
        <w:rPr>
          <w:rFonts w:eastAsia="等线"/>
          <w:lang w:eastAsia="zh-CN"/>
        </w:rPr>
      </w:pPr>
    </w:p>
    <w:p w14:paraId="0BBBC35A" w14:textId="644C559E" w:rsidR="008A44FA" w:rsidRPr="0078529B" w:rsidRDefault="000278DC" w:rsidP="0078529B">
      <w:pPr>
        <w:pStyle w:val="a7"/>
        <w:numPr>
          <w:ilvl w:val="0"/>
          <w:numId w:val="7"/>
        </w:numPr>
        <w:ind w:leftChars="0"/>
        <w:rPr>
          <w:rFonts w:eastAsia="等线"/>
          <w:lang w:eastAsia="zh-CN"/>
        </w:rPr>
      </w:pPr>
      <w:r w:rsidRPr="0078529B">
        <w:rPr>
          <w:rFonts w:eastAsia="等线"/>
          <w:lang w:eastAsia="zh-CN"/>
        </w:rPr>
        <w:t>Intense Competition</w:t>
      </w:r>
    </w:p>
    <w:p w14:paraId="1BFCBC1E" w14:textId="5EA1D67E" w:rsidR="009C4402" w:rsidRDefault="00DD6FE8" w:rsidP="00DD6FE8">
      <w:pPr>
        <w:rPr>
          <w:rFonts w:eastAsia="等线"/>
          <w:lang w:eastAsia="zh-CN"/>
        </w:rPr>
      </w:pPr>
      <w:r w:rsidRPr="00DD6FE8">
        <w:rPr>
          <w:rFonts w:eastAsia="等线"/>
          <w:lang w:eastAsia="zh-CN"/>
        </w:rPr>
        <w:t>TSMC</w:t>
      </w:r>
      <w:r>
        <w:rPr>
          <w:rFonts w:eastAsia="等线"/>
          <w:lang w:eastAsia="zh-CN"/>
        </w:rPr>
        <w:t xml:space="preserve"> </w:t>
      </w:r>
      <w:r w:rsidRPr="00DD6FE8">
        <w:rPr>
          <w:rFonts w:eastAsia="等线"/>
          <w:lang w:eastAsia="zh-CN"/>
        </w:rPr>
        <w:t xml:space="preserve">is facing intense competition in the semiconductor industry, particularly from </w:t>
      </w:r>
      <w:r w:rsidRPr="00DD6FE8">
        <w:rPr>
          <w:rFonts w:eastAsia="等线"/>
          <w:lang w:eastAsia="zh-CN"/>
        </w:rPr>
        <w:lastRenderedPageBreak/>
        <w:t>companies based in South Korea and China. TSMC is currently the largest semiconductor foundry company in the world, but its market dominance is being challenged by the likes of Samsung Electronics and China's Semiconductor Manufacturing International Corporation (SMIC). While TSMC is known for producing advanced chips for major tech companies like Apple and AMD, Samsung and SMIC are also investing heavily in research and development to develop their own advanced chip-making capabilities</w:t>
      </w:r>
      <w:r w:rsidRPr="00DD6FE8">
        <w:t xml:space="preserve"> </w:t>
      </w:r>
      <w:r w:rsidRPr="00DD6FE8">
        <w:rPr>
          <w:rFonts w:eastAsia="等线"/>
          <w:lang w:eastAsia="zh-CN"/>
        </w:rPr>
        <w:t>(</w:t>
      </w:r>
      <w:proofErr w:type="spellStart"/>
      <w:r w:rsidRPr="00DD6FE8">
        <w:rPr>
          <w:rFonts w:eastAsia="等线"/>
          <w:lang w:eastAsia="zh-CN"/>
        </w:rPr>
        <w:t>Kharpal</w:t>
      </w:r>
      <w:proofErr w:type="spellEnd"/>
      <w:r w:rsidRPr="00DD6FE8">
        <w:rPr>
          <w:rFonts w:eastAsia="等线"/>
          <w:lang w:eastAsia="zh-CN"/>
        </w:rPr>
        <w:t>, 2022).</w:t>
      </w:r>
    </w:p>
    <w:p w14:paraId="229552FF" w14:textId="77777777" w:rsidR="00DD6FE8" w:rsidRDefault="00DD6FE8" w:rsidP="00DD6FE8">
      <w:pPr>
        <w:rPr>
          <w:rFonts w:eastAsia="等线"/>
          <w:lang w:eastAsia="zh-CN"/>
        </w:rPr>
      </w:pPr>
    </w:p>
    <w:p w14:paraId="1F5596BA" w14:textId="0227CB1E" w:rsidR="00DD6FE8" w:rsidRPr="0078529B" w:rsidRDefault="00DD6FE8" w:rsidP="0078529B">
      <w:pPr>
        <w:pStyle w:val="a7"/>
        <w:numPr>
          <w:ilvl w:val="0"/>
          <w:numId w:val="7"/>
        </w:numPr>
        <w:ind w:leftChars="0"/>
        <w:rPr>
          <w:rFonts w:eastAsia="等线"/>
          <w:lang w:eastAsia="zh-CN"/>
        </w:rPr>
      </w:pPr>
      <w:r w:rsidRPr="0078529B">
        <w:rPr>
          <w:rFonts w:eastAsia="等线"/>
          <w:lang w:eastAsia="zh-CN"/>
        </w:rPr>
        <w:t>Geopolitical Tensions</w:t>
      </w:r>
      <w:r w:rsidRPr="0078529B">
        <w:rPr>
          <w:rFonts w:eastAsia="等线"/>
          <w:lang w:eastAsia="zh-CN"/>
        </w:rPr>
        <w:tab/>
      </w:r>
    </w:p>
    <w:p w14:paraId="283C806B" w14:textId="2099FCF4" w:rsidR="004B7DEF" w:rsidRDefault="004B7DEF" w:rsidP="00DD6FE8">
      <w:pPr>
        <w:rPr>
          <w:rFonts w:eastAsia="等线"/>
          <w:lang w:eastAsia="zh-CN"/>
        </w:rPr>
      </w:pPr>
      <w:r w:rsidRPr="004B7DEF">
        <w:rPr>
          <w:rFonts w:eastAsia="等线"/>
          <w:lang w:eastAsia="zh-CN"/>
        </w:rPr>
        <w:t>TSMC, the world's largest contract chip manufacturer, is vulnerable to geopolitical tensions, particularly between the US and China. TSMC's production is located primarily in Taiwan, which China claims as its territory. Additionally, the company is a critical supplier to US tech companies, and the US government has been taking measures to reduce reliance on Chinese-made semiconductor products, which may lead to a shift in demand away from TSMC. In addition, TSMC's dependence on advanced chip manufacturing technology and equipment from the US and Europe could make the company vulnerable to trade restrictions and sanctions</w:t>
      </w:r>
      <w:r w:rsidRPr="004B7DEF">
        <w:rPr>
          <w:rFonts w:asciiTheme="majorHAnsi" w:eastAsia="Malgun Gothic" w:hAnsi="Calibri"/>
          <w:color w:val="07B8E1"/>
          <w:kern w:val="24"/>
          <w:sz w:val="32"/>
          <w:szCs w:val="32"/>
        </w:rPr>
        <w:t xml:space="preserve"> </w:t>
      </w:r>
      <w:r w:rsidRPr="004B7DEF">
        <w:rPr>
          <w:rFonts w:eastAsia="等线"/>
          <w:lang w:eastAsia="zh-CN"/>
        </w:rPr>
        <w:t>(Wong, 2022).</w:t>
      </w:r>
    </w:p>
    <w:p w14:paraId="4FCCA8CE" w14:textId="77777777" w:rsidR="0078529B" w:rsidRDefault="0078529B" w:rsidP="00DD6FE8">
      <w:pPr>
        <w:rPr>
          <w:rFonts w:eastAsia="等线"/>
          <w:lang w:eastAsia="zh-CN"/>
        </w:rPr>
      </w:pPr>
    </w:p>
    <w:p w14:paraId="4D6E217B" w14:textId="36665565" w:rsidR="00AF52C4" w:rsidRPr="0078529B" w:rsidRDefault="00AF52C4" w:rsidP="0078529B">
      <w:pPr>
        <w:pStyle w:val="a7"/>
        <w:numPr>
          <w:ilvl w:val="0"/>
          <w:numId w:val="7"/>
        </w:numPr>
        <w:ind w:leftChars="0"/>
        <w:rPr>
          <w:rFonts w:eastAsia="等线"/>
          <w:lang w:eastAsia="zh-CN"/>
        </w:rPr>
      </w:pPr>
      <w:r w:rsidRPr="0078529B">
        <w:rPr>
          <w:rFonts w:eastAsia="等线"/>
          <w:lang w:eastAsia="zh-CN"/>
        </w:rPr>
        <w:t>Economic Uncertainty</w:t>
      </w:r>
    </w:p>
    <w:p w14:paraId="69E2A884" w14:textId="2FDBA2A0" w:rsidR="000D14CC" w:rsidRDefault="000D14CC" w:rsidP="00DD6FE8">
      <w:pPr>
        <w:rPr>
          <w:rFonts w:eastAsia="等线"/>
          <w:lang w:eastAsia="zh-CN"/>
        </w:rPr>
      </w:pPr>
      <w:r w:rsidRPr="000D14CC">
        <w:rPr>
          <w:rFonts w:eastAsia="等线"/>
          <w:lang w:eastAsia="zh-CN"/>
        </w:rPr>
        <w:t xml:space="preserve">TSMC, Apple's most important chipmaker, has forecasted lower-than-expected revenue for the current quarter due to a persistent slump in demand for smartphones and server chips. The company’s profit grew by 2.1%, the slowest pace in almost four years. TSMC's CEO noted that the PC and smartphone markets "continue to be soft at the present time." The mixed outlook indicates uncertainty about electronics demand in 2023 and beyond, as consumers and corporations tighten their budgets to deal with soaring inflation and a potential global recession. The management's decision to cut its 2023 sales target suggests that global smartphone and PC chip demand may be weaker than </w:t>
      </w:r>
      <w:commentRangeStart w:id="8"/>
      <w:r w:rsidRPr="000D14CC">
        <w:rPr>
          <w:rFonts w:eastAsia="等线"/>
          <w:highlight w:val="yellow"/>
          <w:lang w:eastAsia="zh-CN"/>
        </w:rPr>
        <w:t>expected</w:t>
      </w:r>
      <w:commentRangeEnd w:id="8"/>
      <w:r>
        <w:rPr>
          <w:rStyle w:val="a8"/>
        </w:rPr>
        <w:commentReference w:id="8"/>
      </w:r>
      <w:r w:rsidR="00DB737F">
        <w:rPr>
          <w:rFonts w:eastAsia="等线"/>
          <w:highlight w:val="yellow"/>
          <w:lang w:eastAsia="zh-CN"/>
        </w:rPr>
        <w:t xml:space="preserve"> </w:t>
      </w:r>
      <w:r w:rsidR="00136AE0">
        <w:rPr>
          <w:rFonts w:eastAsia="等线"/>
          <w:highlight w:val="yellow"/>
          <w:lang w:eastAsia="zh-CN"/>
        </w:rPr>
        <w:t>(</w:t>
      </w:r>
      <w:r w:rsidR="00405E86" w:rsidRPr="00405E86">
        <w:rPr>
          <w:rFonts w:eastAsia="等线"/>
          <w:lang w:eastAsia="zh-CN"/>
        </w:rPr>
        <w:t>Debby</w:t>
      </w:r>
      <w:r w:rsidR="00136AE0">
        <w:rPr>
          <w:rFonts w:eastAsia="等线"/>
          <w:lang w:eastAsia="zh-CN"/>
        </w:rPr>
        <w:t xml:space="preserve"> 2023</w:t>
      </w:r>
      <w:r w:rsidR="00136AE0">
        <w:rPr>
          <w:rFonts w:eastAsia="等线"/>
          <w:highlight w:val="yellow"/>
          <w:lang w:eastAsia="zh-CN"/>
        </w:rPr>
        <w:t>)</w:t>
      </w:r>
      <w:r w:rsidRPr="000D14CC">
        <w:rPr>
          <w:rFonts w:eastAsia="等线"/>
          <w:highlight w:val="yellow"/>
          <w:lang w:eastAsia="zh-CN"/>
        </w:rPr>
        <w:t>.</w:t>
      </w:r>
    </w:p>
    <w:p w14:paraId="5A2B59BE" w14:textId="77777777" w:rsidR="000D14CC" w:rsidRDefault="000D14CC" w:rsidP="00DD6FE8">
      <w:pPr>
        <w:rPr>
          <w:rFonts w:eastAsia="等线"/>
          <w:lang w:eastAsia="zh-CN"/>
        </w:rPr>
      </w:pPr>
    </w:p>
    <w:p w14:paraId="50CCA76E" w14:textId="77777777" w:rsidR="000D14CC" w:rsidRDefault="000D14CC" w:rsidP="00DD6FE8">
      <w:pPr>
        <w:rPr>
          <w:rFonts w:eastAsia="等线"/>
          <w:lang w:eastAsia="zh-CN"/>
        </w:rPr>
      </w:pPr>
    </w:p>
    <w:p w14:paraId="6B319436" w14:textId="0CD4830F" w:rsidR="00377092" w:rsidRPr="0078529B" w:rsidRDefault="00377092" w:rsidP="0078529B">
      <w:pPr>
        <w:pStyle w:val="1"/>
        <w:rPr>
          <w:rFonts w:ascii="Times New Roman" w:hAnsi="Times New Roman" w:cs="Times New Roman"/>
          <w:b w:val="0"/>
          <w:bCs w:val="0"/>
          <w:sz w:val="28"/>
          <w:szCs w:val="28"/>
          <w:lang w:eastAsia="zh-CN"/>
        </w:rPr>
      </w:pPr>
      <w:bookmarkStart w:id="9" w:name="_Toc134116270"/>
      <w:r w:rsidRPr="0078529B">
        <w:rPr>
          <w:rFonts w:ascii="Times New Roman" w:hAnsi="Times New Roman" w:cs="Times New Roman"/>
          <w:b w:val="0"/>
          <w:bCs w:val="0"/>
          <w:sz w:val="28"/>
          <w:szCs w:val="28"/>
          <w:lang w:eastAsia="zh-CN"/>
        </w:rPr>
        <w:t xml:space="preserve">How TSMC has overcome resistance to </w:t>
      </w:r>
      <w:proofErr w:type="gramStart"/>
      <w:r w:rsidRPr="0078529B">
        <w:rPr>
          <w:rFonts w:ascii="Times New Roman" w:hAnsi="Times New Roman" w:cs="Times New Roman"/>
          <w:b w:val="0"/>
          <w:bCs w:val="0"/>
          <w:sz w:val="28"/>
          <w:szCs w:val="28"/>
          <w:lang w:eastAsia="zh-CN"/>
        </w:rPr>
        <w:t>Change</w:t>
      </w:r>
      <w:bookmarkEnd w:id="9"/>
      <w:proofErr w:type="gramEnd"/>
    </w:p>
    <w:p w14:paraId="15D9A1D7" w14:textId="77777777" w:rsidR="00B779C6" w:rsidRDefault="00B779C6" w:rsidP="00DD6FE8">
      <w:pPr>
        <w:rPr>
          <w:rFonts w:ascii="Times New Roman" w:eastAsiaTheme="majorEastAsia" w:hAnsi="Times New Roman" w:cs="Times New Roman"/>
          <w:kern w:val="52"/>
          <w:sz w:val="28"/>
          <w:szCs w:val="28"/>
          <w:lang w:eastAsia="zh-CN"/>
        </w:rPr>
      </w:pPr>
    </w:p>
    <w:p w14:paraId="51B51E24" w14:textId="7E3B8C90" w:rsidR="00393C3D" w:rsidRPr="0078529B" w:rsidRDefault="00B779C6" w:rsidP="0078529B">
      <w:pPr>
        <w:pStyle w:val="a7"/>
        <w:numPr>
          <w:ilvl w:val="0"/>
          <w:numId w:val="8"/>
        </w:numPr>
        <w:ind w:leftChars="0"/>
        <w:rPr>
          <w:rFonts w:eastAsia="等线"/>
          <w:lang w:eastAsia="zh-CN"/>
        </w:rPr>
      </w:pPr>
      <w:r w:rsidRPr="0078529B">
        <w:rPr>
          <w:rFonts w:eastAsia="等线"/>
          <w:lang w:eastAsia="zh-CN"/>
        </w:rPr>
        <w:t>Communication</w:t>
      </w:r>
    </w:p>
    <w:p w14:paraId="2174C5DA" w14:textId="1CA872A4" w:rsidR="00B779C6" w:rsidRDefault="00B779C6" w:rsidP="00DD6FE8">
      <w:pPr>
        <w:rPr>
          <w:rFonts w:eastAsia="等线"/>
          <w:lang w:eastAsia="zh-CN"/>
        </w:rPr>
      </w:pPr>
      <w:r w:rsidRPr="00B779C6">
        <w:rPr>
          <w:rFonts w:eastAsia="等线"/>
          <w:lang w:eastAsia="zh-CN"/>
        </w:rPr>
        <w:t xml:space="preserve">TSMC has effectively communicated the need for change to its employees, </w:t>
      </w:r>
      <w:r w:rsidRPr="00B779C6">
        <w:rPr>
          <w:rFonts w:eastAsia="等线"/>
          <w:lang w:eastAsia="zh-CN"/>
        </w:rPr>
        <w:lastRenderedPageBreak/>
        <w:t>stakeholders, and customers.</w:t>
      </w:r>
      <w:r w:rsidR="00D06830" w:rsidRPr="00D06830">
        <w:t xml:space="preserve"> </w:t>
      </w:r>
      <w:r w:rsidR="00A36B84" w:rsidRPr="00A36B84">
        <w:rPr>
          <w:rFonts w:eastAsia="等线"/>
          <w:lang w:eastAsia="zh-CN"/>
        </w:rPr>
        <w:t>TSMC is committed to fostering clear communication with its stakeholders, including employees, customers, and shareholders. As part of its environmental, social, and governance (ESG) approach, the company identified 119 potential issues in 2021, which could impact its operations and stakeholder relationships. To prioritize, TSMC engaged in thorough discussions involving senior executives across departments, highlighting the company's dedication to cross-functional collaboration. This process helped narrow down the list to 23 key ESG issues, enabling TSMC to concentrate its efforts effectively. This streamlined strategy ensures impactful changes are implemented, aligning TSMC's operations with its ESG commitments while maintaining adaptability in the dynamic semiconductor environment (TSMC, 2023b).</w:t>
      </w:r>
    </w:p>
    <w:p w14:paraId="6C77E1C5" w14:textId="77777777" w:rsidR="00A36B84" w:rsidRDefault="00A36B84" w:rsidP="00DD6FE8">
      <w:pPr>
        <w:rPr>
          <w:rFonts w:eastAsia="等线"/>
          <w:lang w:eastAsia="zh-CN"/>
        </w:rPr>
      </w:pPr>
    </w:p>
    <w:p w14:paraId="5204E36B" w14:textId="4D5E8D08" w:rsidR="00A36B84" w:rsidRPr="0078529B" w:rsidRDefault="002A44B9" w:rsidP="0078529B">
      <w:pPr>
        <w:pStyle w:val="a7"/>
        <w:numPr>
          <w:ilvl w:val="0"/>
          <w:numId w:val="8"/>
        </w:numPr>
        <w:ind w:leftChars="0"/>
        <w:rPr>
          <w:rFonts w:eastAsia="等线"/>
          <w:lang w:eastAsia="zh-CN"/>
        </w:rPr>
      </w:pPr>
      <w:r w:rsidRPr="0078529B">
        <w:rPr>
          <w:rFonts w:eastAsia="等线"/>
          <w:lang w:eastAsia="zh-CN"/>
        </w:rPr>
        <w:t>Training and Development</w:t>
      </w:r>
    </w:p>
    <w:p w14:paraId="55333716" w14:textId="2C5F1BA6" w:rsidR="002A44B9" w:rsidRDefault="00B3345A" w:rsidP="00D605BC">
      <w:pPr>
        <w:rPr>
          <w:rFonts w:eastAsia="等线"/>
          <w:lang w:eastAsia="zh-CN"/>
        </w:rPr>
      </w:pPr>
      <w:r w:rsidRPr="00B3345A">
        <w:rPr>
          <w:rFonts w:eastAsia="等线"/>
          <w:lang w:eastAsia="zh-CN"/>
        </w:rPr>
        <w:t>TSMC has invested in training and development programs to help employees adapt to changes in the company.</w:t>
      </w:r>
      <w:r w:rsidR="000A5525" w:rsidRPr="000A5525">
        <w:rPr>
          <w:rFonts w:hint="eastAsia"/>
        </w:rPr>
        <w:t xml:space="preserve"> </w:t>
      </w:r>
      <w:r w:rsidR="00D605BC" w:rsidRPr="00D605BC">
        <w:rPr>
          <w:rFonts w:eastAsia="等线"/>
          <w:lang w:eastAsia="zh-CN"/>
        </w:rPr>
        <w:t>TSMC prioritizes the learning and development of its employees, offering individual development plans and encouraging personalized learning resources. Employee performance assessment had a 100% completion rate in 2018, and over 740,000 hours of training programs were provided in 2019, benefiting over 700,000 participants. On average, each employee received more than 14 hours of training, and TSMC spent NT$59 million on training expenses</w:t>
      </w:r>
      <w:r w:rsidR="00D605BC" w:rsidRPr="00D605BC">
        <w:t xml:space="preserve"> </w:t>
      </w:r>
      <w:r w:rsidR="00D605BC" w:rsidRPr="00D605BC">
        <w:rPr>
          <w:rFonts w:eastAsia="等线"/>
          <w:lang w:eastAsia="zh-CN"/>
        </w:rPr>
        <w:t>(TSMC, 2019).</w:t>
      </w:r>
    </w:p>
    <w:p w14:paraId="0CA93558" w14:textId="77777777" w:rsidR="005A659E" w:rsidRDefault="005A659E" w:rsidP="00D605BC">
      <w:pPr>
        <w:rPr>
          <w:rFonts w:eastAsia="等线"/>
          <w:lang w:eastAsia="zh-CN"/>
        </w:rPr>
      </w:pPr>
    </w:p>
    <w:p w14:paraId="3663565C" w14:textId="3DED9543" w:rsidR="005A659E" w:rsidRPr="00246119" w:rsidRDefault="005A659E" w:rsidP="00246119">
      <w:pPr>
        <w:pStyle w:val="a7"/>
        <w:numPr>
          <w:ilvl w:val="0"/>
          <w:numId w:val="8"/>
        </w:numPr>
        <w:ind w:leftChars="0"/>
        <w:rPr>
          <w:rFonts w:eastAsia="等线"/>
          <w:lang w:eastAsia="zh-CN"/>
        </w:rPr>
      </w:pPr>
      <w:r w:rsidRPr="00246119">
        <w:rPr>
          <w:rFonts w:eastAsia="等线"/>
          <w:lang w:eastAsia="zh-CN"/>
        </w:rPr>
        <w:t>Incentives</w:t>
      </w:r>
    </w:p>
    <w:p w14:paraId="00440BD2" w14:textId="47692F2E" w:rsidR="00CA7A16" w:rsidRDefault="00CA7A16" w:rsidP="00D605BC">
      <w:pPr>
        <w:rPr>
          <w:rFonts w:eastAsia="等线"/>
          <w:lang w:eastAsia="zh-CN"/>
        </w:rPr>
      </w:pPr>
      <w:r w:rsidRPr="00CA7A16">
        <w:rPr>
          <w:rFonts w:eastAsia="等线"/>
          <w:lang w:eastAsia="zh-CN"/>
        </w:rPr>
        <w:t>TSMC conducts an Employee Core Values Survey to promote its core values. Over 95% of employees are committed to their work and willing to continue working for the company in the next five years. TSMC aims to maintain total compensation above the 75th percentile among peers and limit total turnover to 5% to 10%. The company also provides optimized training programs for new employees to integrate them into TSMC's corporate culture, with a goal to keep the turnover of newly recruited employees within one year of service below 13.5%. TSMC also develops campus programs to incubate over 2,000 undergraduate and graduate students worldwide in comprehensive semiconductor programs, including internships and contests</w:t>
      </w:r>
      <w:r w:rsidRPr="00CA7A16">
        <w:t xml:space="preserve"> </w:t>
      </w:r>
      <w:r w:rsidRPr="00CA7A16">
        <w:rPr>
          <w:rFonts w:eastAsia="等线"/>
          <w:lang w:eastAsia="zh-CN"/>
        </w:rPr>
        <w:t>(TSMC, 2020b).</w:t>
      </w:r>
    </w:p>
    <w:p w14:paraId="39C2A9AF" w14:textId="77777777" w:rsidR="00CA7A16" w:rsidRDefault="00CA7A16" w:rsidP="00D605BC">
      <w:pPr>
        <w:rPr>
          <w:rFonts w:eastAsia="等线"/>
          <w:lang w:eastAsia="zh-CN"/>
        </w:rPr>
      </w:pPr>
    </w:p>
    <w:p w14:paraId="6DE45EDB" w14:textId="73BE793D" w:rsidR="00CA7A16" w:rsidRPr="00246119" w:rsidRDefault="00CA7A16" w:rsidP="00246119">
      <w:pPr>
        <w:pStyle w:val="a7"/>
        <w:numPr>
          <w:ilvl w:val="0"/>
          <w:numId w:val="8"/>
        </w:numPr>
        <w:ind w:leftChars="0"/>
        <w:rPr>
          <w:rFonts w:eastAsia="等线"/>
          <w:lang w:eastAsia="zh-CN"/>
        </w:rPr>
      </w:pPr>
      <w:r w:rsidRPr="00246119">
        <w:rPr>
          <w:rFonts w:eastAsia="等线"/>
          <w:lang w:eastAsia="zh-CN"/>
        </w:rPr>
        <w:t>Leadership</w:t>
      </w:r>
    </w:p>
    <w:p w14:paraId="3C028AA4" w14:textId="2118D946" w:rsidR="00D63D7A" w:rsidRDefault="00D63D7A" w:rsidP="00D63D7A">
      <w:pPr>
        <w:rPr>
          <w:rFonts w:eastAsia="等线"/>
          <w:lang w:eastAsia="zh-CN"/>
        </w:rPr>
      </w:pPr>
      <w:proofErr w:type="gramStart"/>
      <w:r w:rsidRPr="00D63D7A">
        <w:rPr>
          <w:rFonts w:eastAsia="等线"/>
          <w:lang w:eastAsia="zh-CN"/>
        </w:rPr>
        <w:t>TSMC‘</w:t>
      </w:r>
      <w:proofErr w:type="gramEnd"/>
      <w:r w:rsidRPr="00D63D7A">
        <w:rPr>
          <w:rFonts w:eastAsia="等线"/>
          <w:lang w:eastAsia="zh-CN"/>
        </w:rPr>
        <w:t>s leadership has played a crucial role in overcoming resistance to change. The company’s leaders have been transparent about the need for change, provided a clear vision for the future.</w:t>
      </w:r>
      <w:r>
        <w:rPr>
          <w:rFonts w:eastAsia="等线" w:hint="eastAsia"/>
          <w:lang w:eastAsia="zh-CN"/>
        </w:rPr>
        <w:t xml:space="preserve"> </w:t>
      </w:r>
      <w:r w:rsidRPr="00D63D7A">
        <w:rPr>
          <w:rFonts w:eastAsia="等线"/>
          <w:lang w:eastAsia="zh-CN"/>
        </w:rPr>
        <w:t xml:space="preserve">TSMC emphasizes "Right People with Shared Vision and </w:t>
      </w:r>
      <w:r w:rsidRPr="00D63D7A">
        <w:rPr>
          <w:rFonts w:eastAsia="等线"/>
          <w:lang w:eastAsia="zh-CN"/>
        </w:rPr>
        <w:lastRenderedPageBreak/>
        <w:t>Values" and reinforces employees' identification and implementation of core values (TSMC, 2022).</w:t>
      </w:r>
    </w:p>
    <w:p w14:paraId="443971AE" w14:textId="77777777" w:rsidR="00D63D7A" w:rsidRDefault="00D63D7A" w:rsidP="00D63D7A">
      <w:pPr>
        <w:rPr>
          <w:rFonts w:eastAsia="等线"/>
          <w:lang w:eastAsia="zh-CN"/>
        </w:rPr>
      </w:pPr>
    </w:p>
    <w:p w14:paraId="238A6F6B" w14:textId="184CB64F" w:rsidR="00AC33E5" w:rsidRPr="00AC33E5" w:rsidRDefault="00AC33E5" w:rsidP="00AC33E5">
      <w:pPr>
        <w:rPr>
          <w:rFonts w:eastAsia="等线"/>
          <w:lang w:eastAsia="zh-CN"/>
        </w:rPr>
      </w:pPr>
      <w:r w:rsidRPr="00AC33E5">
        <w:rPr>
          <w:rFonts w:eastAsia="等线"/>
          <w:lang w:eastAsia="zh-CN"/>
        </w:rPr>
        <w:t>The Lewin's Forcefield Analysis model helps TSMC to evaluate opposing forces for and against a change, assign scores to each force based on their level of influence, and determine whether to proceed with the change or identify ways to strengthen the forces for the change or weaken the forces against it.</w:t>
      </w:r>
    </w:p>
    <w:p w14:paraId="10E13018" w14:textId="77777777" w:rsidR="00AC33E5" w:rsidRPr="00AC33E5" w:rsidRDefault="00AC33E5" w:rsidP="00AC33E5">
      <w:pPr>
        <w:rPr>
          <w:rFonts w:eastAsia="等线"/>
          <w:lang w:eastAsia="zh-CN"/>
        </w:rPr>
      </w:pPr>
    </w:p>
    <w:p w14:paraId="29FEC27D" w14:textId="77777777" w:rsidR="00AC33E5" w:rsidRPr="00AC33E5" w:rsidRDefault="00AC33E5" w:rsidP="00AC33E5">
      <w:pPr>
        <w:rPr>
          <w:rFonts w:eastAsia="等线"/>
          <w:lang w:eastAsia="zh-CN"/>
        </w:rPr>
      </w:pPr>
      <w:r w:rsidRPr="00AC33E5">
        <w:rPr>
          <w:rFonts w:eastAsia="等线"/>
          <w:lang w:eastAsia="zh-CN"/>
        </w:rPr>
        <w:t>In terms of the key factors and drivers of changes, TSMC is investing heavily in technological advances such as advanced process technologies, system-on-chip (</w:t>
      </w:r>
      <w:proofErr w:type="spellStart"/>
      <w:r w:rsidRPr="00AC33E5">
        <w:rPr>
          <w:rFonts w:eastAsia="等线"/>
          <w:lang w:eastAsia="zh-CN"/>
        </w:rPr>
        <w:t>SoIC</w:t>
      </w:r>
      <w:proofErr w:type="spellEnd"/>
      <w:r w:rsidRPr="00AC33E5">
        <w:rPr>
          <w:rFonts w:eastAsia="等线"/>
          <w:lang w:eastAsia="zh-CN"/>
        </w:rPr>
        <w:t>) integration, artificial intelligence (AI) chips, HBM stacks, and quantum computing. It is also diversifying its technology platforms to cater to the growing demand in the smartphone, high-performance computing, automotive electronics, and the Internet of Things markets. However, TSMC faces restraining forces such as dependence on a few key customers, supply chain risks, environmental impact, intense competition, geopolitical tensions, and economic uncertainty.</w:t>
      </w:r>
    </w:p>
    <w:p w14:paraId="2D7810F9" w14:textId="77777777" w:rsidR="00AC33E5" w:rsidRPr="00AC33E5" w:rsidRDefault="00AC33E5" w:rsidP="00AC33E5">
      <w:pPr>
        <w:rPr>
          <w:rFonts w:eastAsia="等线"/>
          <w:lang w:eastAsia="zh-CN"/>
        </w:rPr>
      </w:pPr>
    </w:p>
    <w:p w14:paraId="12B49685" w14:textId="722FF8F2" w:rsidR="00AC33E5" w:rsidRDefault="00AC33E5" w:rsidP="00AC33E5">
      <w:pPr>
        <w:rPr>
          <w:rFonts w:eastAsia="等线"/>
          <w:lang w:eastAsia="zh-CN"/>
        </w:rPr>
      </w:pPr>
      <w:r w:rsidRPr="00AC33E5">
        <w:rPr>
          <w:rFonts w:eastAsia="等线"/>
          <w:lang w:eastAsia="zh-CN"/>
        </w:rPr>
        <w:t>To overcome resistance to change, TSMC is using various strategies such as effective communication, training and development programs, incentives, and strong leadership. For example, TSMC is committed to fostering clear communication with its stakeholders, prioritizing the learning and development of its employees, conducting employee core values surveys to promote its core values, and emphasizing "Right People with Shared Vision and Values" to reinforce employees' identification and implementation of core values.</w:t>
      </w:r>
    </w:p>
    <w:p w14:paraId="630ABC83" w14:textId="2DEEDB70" w:rsidR="00AC33E5" w:rsidRDefault="00AC33E5" w:rsidP="00AC33E5">
      <w:pPr>
        <w:rPr>
          <w:rFonts w:eastAsia="等线"/>
          <w:lang w:eastAsia="zh-CN"/>
        </w:rPr>
      </w:pPr>
      <w:r>
        <w:rPr>
          <w:rFonts w:eastAsia="等线"/>
          <w:lang w:eastAsia="zh-CN"/>
        </w:rPr>
        <w:tab/>
      </w:r>
    </w:p>
    <w:p w14:paraId="6A874549" w14:textId="77777777" w:rsidR="006F12B0" w:rsidRDefault="006F12B0" w:rsidP="00D63D7A">
      <w:pPr>
        <w:rPr>
          <w:rFonts w:eastAsia="等线"/>
          <w:lang w:eastAsia="zh-CN"/>
        </w:rPr>
      </w:pPr>
    </w:p>
    <w:p w14:paraId="3E34D311" w14:textId="0C5B029A" w:rsidR="008D569A" w:rsidRPr="00246119" w:rsidRDefault="008D569A" w:rsidP="00246119">
      <w:pPr>
        <w:pStyle w:val="1"/>
        <w:rPr>
          <w:rFonts w:ascii="Times New Roman" w:hAnsi="Times New Roman" w:cs="Times New Roman"/>
          <w:b w:val="0"/>
          <w:bCs w:val="0"/>
          <w:sz w:val="28"/>
          <w:szCs w:val="28"/>
          <w:lang w:eastAsia="zh-CN"/>
        </w:rPr>
      </w:pPr>
      <w:bookmarkStart w:id="10" w:name="_Toc134116271"/>
      <w:r w:rsidRPr="00246119">
        <w:rPr>
          <w:rFonts w:ascii="Times New Roman" w:hAnsi="Times New Roman" w:cs="Times New Roman"/>
          <w:b w:val="0"/>
          <w:bCs w:val="0"/>
          <w:sz w:val="28"/>
          <w:szCs w:val="28"/>
          <w:lang w:eastAsia="zh-CN"/>
        </w:rPr>
        <w:t xml:space="preserve">Evaluate and </w:t>
      </w:r>
      <w:r w:rsidR="00302169" w:rsidRPr="00246119">
        <w:rPr>
          <w:rFonts w:ascii="Times New Roman" w:hAnsi="Times New Roman" w:cs="Times New Roman" w:hint="eastAsia"/>
          <w:b w:val="0"/>
          <w:bCs w:val="0"/>
          <w:sz w:val="28"/>
          <w:szCs w:val="28"/>
          <w:lang w:eastAsia="zh-CN"/>
        </w:rPr>
        <w:t>Examine</w:t>
      </w:r>
      <w:r w:rsidRPr="00246119">
        <w:rPr>
          <w:rFonts w:ascii="Times New Roman" w:hAnsi="Times New Roman" w:cs="Times New Roman"/>
          <w:b w:val="0"/>
          <w:bCs w:val="0"/>
          <w:sz w:val="28"/>
          <w:szCs w:val="28"/>
          <w:lang w:eastAsia="zh-CN"/>
        </w:rPr>
        <w:t xml:space="preserve"> the </w:t>
      </w:r>
      <w:r w:rsidR="00B74F13" w:rsidRPr="00246119">
        <w:rPr>
          <w:rFonts w:ascii="Times New Roman" w:hAnsi="Times New Roman" w:cs="Times New Roman"/>
          <w:b w:val="0"/>
          <w:bCs w:val="0"/>
          <w:sz w:val="28"/>
          <w:szCs w:val="28"/>
          <w:lang w:eastAsia="zh-CN"/>
        </w:rPr>
        <w:t>C</w:t>
      </w:r>
      <w:r w:rsidRPr="00246119">
        <w:rPr>
          <w:rFonts w:ascii="Times New Roman" w:hAnsi="Times New Roman" w:cs="Times New Roman"/>
          <w:b w:val="0"/>
          <w:bCs w:val="0"/>
          <w:sz w:val="28"/>
          <w:szCs w:val="28"/>
          <w:lang w:eastAsia="zh-CN"/>
        </w:rPr>
        <w:t>hange</w:t>
      </w:r>
      <w:bookmarkEnd w:id="10"/>
    </w:p>
    <w:p w14:paraId="0706AD75" w14:textId="77777777" w:rsidR="00891299" w:rsidRDefault="00891299" w:rsidP="00D63D7A">
      <w:pPr>
        <w:rPr>
          <w:rFonts w:ascii="Times New Roman" w:eastAsia="等线" w:hAnsi="Times New Roman" w:cs="Times New Roman"/>
          <w:kern w:val="52"/>
          <w:sz w:val="28"/>
          <w:szCs w:val="28"/>
          <w:lang w:eastAsia="zh-CN"/>
        </w:rPr>
      </w:pPr>
    </w:p>
    <w:p w14:paraId="76C43468" w14:textId="6C30EEF8" w:rsidR="00891299" w:rsidRDefault="00891299" w:rsidP="00D63D7A">
      <w:pPr>
        <w:rPr>
          <w:rFonts w:eastAsia="等线"/>
          <w:lang w:eastAsia="zh-CN"/>
        </w:rPr>
      </w:pPr>
      <w:r w:rsidRPr="00891299">
        <w:rPr>
          <w:rFonts w:eastAsia="等线"/>
          <w:lang w:eastAsia="zh-CN"/>
        </w:rPr>
        <w:t xml:space="preserve">As it embarked on evaluating and examining the changes at TSMC, it's beneficial to leverage a well-established framework that guides organizational change management. A model that stands out for its effectiveness is John Kotter's 8 Step Change Model. Designed to augment an organization's capacity to adapt and increase the probability of change success, Kotter's model provides a comprehensive roadmap for managing change at various stages. This model, with its structured approach and emphasis on both practical steps and people-centric considerations, is </w:t>
      </w:r>
      <w:r w:rsidRPr="00891299">
        <w:rPr>
          <w:rFonts w:eastAsia="等线"/>
          <w:lang w:eastAsia="zh-CN"/>
        </w:rPr>
        <w:lastRenderedPageBreak/>
        <w:t>particularly suited to analyze the transformative journey at TSMC. As we delve into the specifics of TSMC's change process, we will use Kotter's model as a lens to understand, evaluate, and examine the effectiveness of the company's change initiatives</w:t>
      </w:r>
      <w:r w:rsidRPr="00891299">
        <w:t xml:space="preserve"> </w:t>
      </w:r>
      <w:r w:rsidRPr="00891299">
        <w:rPr>
          <w:rFonts w:eastAsia="等线"/>
          <w:lang w:eastAsia="zh-CN"/>
        </w:rPr>
        <w:t>(</w:t>
      </w:r>
      <w:proofErr w:type="spellStart"/>
      <w:r w:rsidRPr="00891299">
        <w:rPr>
          <w:rFonts w:eastAsia="等线"/>
          <w:lang w:eastAsia="zh-CN"/>
        </w:rPr>
        <w:t>Periyasamy</w:t>
      </w:r>
      <w:proofErr w:type="spellEnd"/>
      <w:r w:rsidRPr="00891299">
        <w:rPr>
          <w:rFonts w:eastAsia="等线"/>
          <w:lang w:eastAsia="zh-CN"/>
        </w:rPr>
        <w:t>, 2020).</w:t>
      </w:r>
    </w:p>
    <w:p w14:paraId="38A96592" w14:textId="77777777" w:rsidR="0036410C" w:rsidRPr="0036410C" w:rsidRDefault="0036410C" w:rsidP="0036410C">
      <w:pPr>
        <w:rPr>
          <w:rFonts w:eastAsia="等线"/>
          <w:lang w:eastAsia="zh-CN"/>
        </w:rPr>
      </w:pPr>
    </w:p>
    <w:p w14:paraId="55AA5A0B" w14:textId="77777777" w:rsidR="0036410C" w:rsidRPr="0036410C" w:rsidRDefault="0036410C" w:rsidP="0036410C">
      <w:pPr>
        <w:rPr>
          <w:rFonts w:eastAsia="等线"/>
          <w:lang w:eastAsia="zh-CN"/>
        </w:rPr>
      </w:pPr>
      <w:r w:rsidRPr="0036410C">
        <w:rPr>
          <w:rFonts w:eastAsia="等线"/>
          <w:lang w:eastAsia="zh-CN"/>
        </w:rPr>
        <w:t>The effectiveness of TSMC's change management process can be robustly classified as HIGHLY EFFECTIVE, as detailed below:</w:t>
      </w:r>
    </w:p>
    <w:p w14:paraId="034D4732" w14:textId="77777777" w:rsidR="0036410C" w:rsidRPr="0036410C" w:rsidRDefault="0036410C" w:rsidP="0036410C">
      <w:pPr>
        <w:rPr>
          <w:rFonts w:eastAsia="等线"/>
          <w:lang w:eastAsia="zh-CN"/>
        </w:rPr>
      </w:pPr>
    </w:p>
    <w:p w14:paraId="46B0EB8E" w14:textId="77777777" w:rsidR="0036410C" w:rsidRPr="0036410C" w:rsidRDefault="0036410C" w:rsidP="0036410C">
      <w:pPr>
        <w:pStyle w:val="a7"/>
        <w:numPr>
          <w:ilvl w:val="0"/>
          <w:numId w:val="5"/>
        </w:numPr>
        <w:ind w:leftChars="0"/>
        <w:rPr>
          <w:rFonts w:eastAsia="等线"/>
          <w:lang w:eastAsia="zh-CN"/>
        </w:rPr>
      </w:pPr>
      <w:r w:rsidRPr="0036410C">
        <w:rPr>
          <w:rFonts w:eastAsia="等线"/>
          <w:lang w:eastAsia="zh-CN"/>
        </w:rPr>
        <w:t>Clear Vision and Strategy: TSMC has successfully established and communicated a clear vision and strategy for change. By aligning all stakeholders - employees, management, shareholders, and customers - around a common goal, TSMC has ensured that everyone understands and buys into the direction the company is taking. This unity of purpose is a vital component in the successful implementation of change initiatives.</w:t>
      </w:r>
    </w:p>
    <w:p w14:paraId="0C498EBE" w14:textId="77777777" w:rsidR="0036410C" w:rsidRPr="0036410C" w:rsidRDefault="0036410C" w:rsidP="0036410C">
      <w:pPr>
        <w:rPr>
          <w:rFonts w:eastAsia="等线"/>
          <w:lang w:eastAsia="zh-CN"/>
        </w:rPr>
      </w:pPr>
    </w:p>
    <w:p w14:paraId="7CF5C591" w14:textId="77777777" w:rsidR="0036410C" w:rsidRPr="0036410C" w:rsidRDefault="0036410C" w:rsidP="0036410C">
      <w:pPr>
        <w:pStyle w:val="a7"/>
        <w:numPr>
          <w:ilvl w:val="0"/>
          <w:numId w:val="5"/>
        </w:numPr>
        <w:ind w:leftChars="0"/>
        <w:rPr>
          <w:rFonts w:eastAsia="等线"/>
          <w:lang w:eastAsia="zh-CN"/>
        </w:rPr>
      </w:pPr>
      <w:r w:rsidRPr="0036410C">
        <w:rPr>
          <w:rFonts w:eastAsia="等线"/>
          <w:lang w:eastAsia="zh-CN"/>
        </w:rPr>
        <w:t>Change Champions: TSMC has identified and empowered change champions within the organization who have been instrumental in building momentum and engagement around change. These individuals, often leaders in their respective areas, inspire others, address concerns, and help overcome resistance, thus playing a pivotal role in driving the change process forward.</w:t>
      </w:r>
    </w:p>
    <w:p w14:paraId="7BA954DE" w14:textId="77777777" w:rsidR="0036410C" w:rsidRPr="0036410C" w:rsidRDefault="0036410C" w:rsidP="0036410C">
      <w:pPr>
        <w:rPr>
          <w:rFonts w:eastAsia="等线"/>
          <w:lang w:eastAsia="zh-CN"/>
        </w:rPr>
      </w:pPr>
    </w:p>
    <w:p w14:paraId="2A29B8F8" w14:textId="77777777" w:rsidR="0036410C" w:rsidRPr="0036410C" w:rsidRDefault="0036410C" w:rsidP="0036410C">
      <w:pPr>
        <w:pStyle w:val="a7"/>
        <w:numPr>
          <w:ilvl w:val="0"/>
          <w:numId w:val="5"/>
        </w:numPr>
        <w:ind w:leftChars="0"/>
        <w:rPr>
          <w:rFonts w:eastAsia="等线"/>
          <w:lang w:eastAsia="zh-CN"/>
        </w:rPr>
      </w:pPr>
      <w:r w:rsidRPr="0036410C">
        <w:rPr>
          <w:rFonts w:eastAsia="等线"/>
          <w:lang w:eastAsia="zh-CN"/>
        </w:rPr>
        <w:t>Communication: TSMC's approach to communication has been exemplary. By promoting trust, transparency, and engagement, the company has been able to minimize resistance to change. Regular updates, open forums for discussion, and prompt responses to queries and concerns have fostered a sense of inclusion and eased the transition.</w:t>
      </w:r>
    </w:p>
    <w:p w14:paraId="1DA9C05D" w14:textId="77777777" w:rsidR="0036410C" w:rsidRPr="0036410C" w:rsidRDefault="0036410C" w:rsidP="0036410C">
      <w:pPr>
        <w:rPr>
          <w:rFonts w:eastAsia="等线"/>
          <w:lang w:eastAsia="zh-CN"/>
        </w:rPr>
      </w:pPr>
    </w:p>
    <w:p w14:paraId="14456117" w14:textId="77777777" w:rsidR="0036410C" w:rsidRPr="0036410C" w:rsidRDefault="0036410C" w:rsidP="0036410C">
      <w:pPr>
        <w:pStyle w:val="a7"/>
        <w:numPr>
          <w:ilvl w:val="0"/>
          <w:numId w:val="5"/>
        </w:numPr>
        <w:ind w:leftChars="0"/>
        <w:rPr>
          <w:rFonts w:eastAsia="等线"/>
          <w:lang w:eastAsia="zh-CN"/>
        </w:rPr>
      </w:pPr>
      <w:r w:rsidRPr="0036410C">
        <w:rPr>
          <w:rFonts w:eastAsia="等线"/>
          <w:lang w:eastAsia="zh-CN"/>
        </w:rPr>
        <w:t>Learning and Development: TSMC has invested in learning and development initiatives that have helped build capacity and capability within the organization. Employees have been provided with the tools, training, and resources they need to adapt to new roles, technologies, or processes. This investment not only facilitates change but also enhances employee satisfaction and retention.</w:t>
      </w:r>
    </w:p>
    <w:p w14:paraId="44AA76C3" w14:textId="77777777" w:rsidR="0036410C" w:rsidRPr="0036410C" w:rsidRDefault="0036410C" w:rsidP="0036410C">
      <w:pPr>
        <w:rPr>
          <w:rFonts w:eastAsia="等线"/>
          <w:lang w:eastAsia="zh-CN"/>
        </w:rPr>
      </w:pPr>
    </w:p>
    <w:p w14:paraId="5A9AF4A6" w14:textId="77777777" w:rsidR="0036410C" w:rsidRPr="0036410C" w:rsidRDefault="0036410C" w:rsidP="0036410C">
      <w:pPr>
        <w:pStyle w:val="a7"/>
        <w:numPr>
          <w:ilvl w:val="0"/>
          <w:numId w:val="5"/>
        </w:numPr>
        <w:ind w:leftChars="0"/>
        <w:rPr>
          <w:rFonts w:eastAsia="等线"/>
          <w:lang w:eastAsia="zh-CN"/>
        </w:rPr>
      </w:pPr>
      <w:r w:rsidRPr="0036410C">
        <w:rPr>
          <w:rFonts w:eastAsia="等线"/>
          <w:lang w:eastAsia="zh-CN"/>
        </w:rPr>
        <w:t xml:space="preserve">Continuous Improvement: TSMC has demonstrated a commitment to continuous improvement, which is a cornerstone of successful change management. By regularly assessing its operations, gathering feedback, and making necessary adjustments, TSMC ensures that the organization remains agile and responsive. This ability to adapt and improve allows the company to </w:t>
      </w:r>
      <w:r w:rsidRPr="0036410C">
        <w:rPr>
          <w:rFonts w:eastAsia="等线"/>
          <w:lang w:eastAsia="zh-CN"/>
        </w:rPr>
        <w:lastRenderedPageBreak/>
        <w:t>effectively respond to new challenges and opportunities that arise, securing its competitive edge in the dynamic semiconductor landscape.</w:t>
      </w:r>
    </w:p>
    <w:p w14:paraId="05A86E08" w14:textId="77777777" w:rsidR="0036410C" w:rsidRPr="0036410C" w:rsidRDefault="0036410C" w:rsidP="0036410C">
      <w:pPr>
        <w:rPr>
          <w:rFonts w:eastAsia="等线"/>
          <w:lang w:eastAsia="zh-CN"/>
        </w:rPr>
      </w:pPr>
    </w:p>
    <w:p w14:paraId="3B8F4944" w14:textId="2991E7B3" w:rsidR="0036410C" w:rsidRDefault="0036410C" w:rsidP="0036410C">
      <w:pPr>
        <w:rPr>
          <w:rFonts w:eastAsia="等线"/>
          <w:lang w:eastAsia="zh-CN"/>
        </w:rPr>
      </w:pPr>
      <w:r w:rsidRPr="0036410C">
        <w:rPr>
          <w:rFonts w:eastAsia="等线"/>
          <w:lang w:eastAsia="zh-CN"/>
        </w:rPr>
        <w:t>In summary, TSMC's change management process stands out for its comprehensive approach, ensuring the company is well-positioned to navigate the complexities of change and steer towards continued success.</w:t>
      </w:r>
    </w:p>
    <w:p w14:paraId="5E387967" w14:textId="77777777" w:rsidR="0036410C" w:rsidRDefault="0036410C" w:rsidP="0036410C">
      <w:pPr>
        <w:rPr>
          <w:rFonts w:eastAsia="等线"/>
          <w:lang w:eastAsia="zh-CN"/>
        </w:rPr>
      </w:pPr>
    </w:p>
    <w:p w14:paraId="1C15822C" w14:textId="55B25874" w:rsidR="0036410C" w:rsidRPr="00246119" w:rsidRDefault="0036410C" w:rsidP="00246119">
      <w:pPr>
        <w:pStyle w:val="1"/>
        <w:rPr>
          <w:rFonts w:ascii="Times New Roman" w:hAnsi="Times New Roman" w:cs="Times New Roman"/>
          <w:b w:val="0"/>
          <w:bCs w:val="0"/>
          <w:sz w:val="28"/>
          <w:szCs w:val="28"/>
          <w:lang w:eastAsia="zh-CN"/>
        </w:rPr>
      </w:pPr>
      <w:bookmarkStart w:id="11" w:name="_Toc134116272"/>
      <w:r w:rsidRPr="00246119">
        <w:rPr>
          <w:rFonts w:ascii="Times New Roman" w:hAnsi="Times New Roman" w:cs="Times New Roman" w:hint="eastAsia"/>
          <w:b w:val="0"/>
          <w:bCs w:val="0"/>
          <w:sz w:val="28"/>
          <w:szCs w:val="28"/>
          <w:lang w:eastAsia="zh-CN"/>
        </w:rPr>
        <w:t>Conclusion</w:t>
      </w:r>
      <w:bookmarkEnd w:id="11"/>
    </w:p>
    <w:p w14:paraId="1EE66893" w14:textId="77777777" w:rsidR="00647437" w:rsidRPr="00647437" w:rsidRDefault="00647437" w:rsidP="00647437">
      <w:pPr>
        <w:rPr>
          <w:rFonts w:eastAsia="等线"/>
          <w:lang w:eastAsia="zh-CN"/>
        </w:rPr>
      </w:pPr>
      <w:r w:rsidRPr="00647437">
        <w:rPr>
          <w:rFonts w:eastAsia="等线"/>
          <w:lang w:eastAsia="zh-CN"/>
        </w:rPr>
        <w:t>In conclusion, TSMC, a prominent player in the global semiconductor industry, acknowledges the significance of change management to maintain its competitiveness and ensure continued growth. The company has effectively dealt with substantial changes such as expanding production facilities, embracing advanced technologies like the 3nm process, undergoing leadership transitions, and tackling geopolitical risks.</w:t>
      </w:r>
    </w:p>
    <w:p w14:paraId="08469278" w14:textId="77777777" w:rsidR="00647437" w:rsidRPr="00647437" w:rsidRDefault="00647437" w:rsidP="00647437">
      <w:pPr>
        <w:rPr>
          <w:rFonts w:eastAsia="等线"/>
          <w:lang w:eastAsia="zh-CN"/>
        </w:rPr>
      </w:pPr>
    </w:p>
    <w:p w14:paraId="166DA883" w14:textId="77777777" w:rsidR="00647437" w:rsidRPr="00647437" w:rsidRDefault="00647437" w:rsidP="00647437">
      <w:pPr>
        <w:rPr>
          <w:rFonts w:eastAsia="等线"/>
          <w:lang w:eastAsia="zh-CN"/>
        </w:rPr>
      </w:pPr>
      <w:r w:rsidRPr="00647437">
        <w:rPr>
          <w:rFonts w:eastAsia="等线"/>
          <w:lang w:eastAsia="zh-CN"/>
        </w:rPr>
        <w:t>Lewin's Force Field Analysis model has been instrumental in identifying and evaluating key driving and restraining forces impacting TSMC's change initiatives. Technological advancements, evolving customer demands, market diversification, and strategic alliances are among the driving forces bolstering its growth. Simultaneously, restraining forces such as geopolitical risks, internal resistance to change, resource limitations, and regulatory considerations pose potential impediments.</w:t>
      </w:r>
    </w:p>
    <w:p w14:paraId="07E675CC" w14:textId="77777777" w:rsidR="00647437" w:rsidRPr="00647437" w:rsidRDefault="00647437" w:rsidP="00647437">
      <w:pPr>
        <w:rPr>
          <w:rFonts w:eastAsia="等线"/>
          <w:lang w:eastAsia="zh-CN"/>
        </w:rPr>
      </w:pPr>
    </w:p>
    <w:p w14:paraId="2F41BC2C" w14:textId="77777777" w:rsidR="00647437" w:rsidRPr="00647437" w:rsidRDefault="00647437" w:rsidP="00647437">
      <w:pPr>
        <w:rPr>
          <w:rFonts w:eastAsia="等线"/>
          <w:lang w:eastAsia="zh-CN"/>
        </w:rPr>
      </w:pPr>
      <w:r w:rsidRPr="00647437">
        <w:rPr>
          <w:rFonts w:eastAsia="等线"/>
          <w:lang w:eastAsia="zh-CN"/>
        </w:rPr>
        <w:t>Despite these challenges, TSMC has successfully managed resistance to change through strategic communication, comprehensive training and development programs, employee incentives, and strong leadership. These strategies align with John Kotter's 8 Step Change Model, which advocates for a clear vision and strategy, empowerment of change champions, effective communication, a focus on learning and development, and a commitment to continuous improvement.</w:t>
      </w:r>
    </w:p>
    <w:p w14:paraId="07DCAC25" w14:textId="77777777" w:rsidR="00647437" w:rsidRPr="00647437" w:rsidRDefault="00647437" w:rsidP="00647437">
      <w:pPr>
        <w:rPr>
          <w:rFonts w:eastAsia="等线"/>
          <w:lang w:eastAsia="zh-CN"/>
        </w:rPr>
      </w:pPr>
    </w:p>
    <w:p w14:paraId="0B1AD818" w14:textId="37C4B7D9" w:rsidR="00B74F13" w:rsidRPr="00647437" w:rsidRDefault="00647437" w:rsidP="00647437">
      <w:pPr>
        <w:rPr>
          <w:rFonts w:eastAsia="等线"/>
          <w:lang w:eastAsia="zh-CN"/>
        </w:rPr>
      </w:pPr>
      <w:r w:rsidRPr="00647437">
        <w:rPr>
          <w:rFonts w:eastAsia="等线"/>
          <w:lang w:eastAsia="zh-CN"/>
        </w:rPr>
        <w:t>This comprehensive and strategic approach towards change management has resulted in TSMC's change management process being highly effective. Consequently, TSMC is well-equipped to navigate the complexities of the semiconductor industry, allowing for continued innovation and success in a rapidly evolving market landscape.</w:t>
      </w:r>
    </w:p>
    <w:p w14:paraId="04EC0D54" w14:textId="6AB32DDA" w:rsidR="00B74F13" w:rsidRDefault="00246119" w:rsidP="00246119">
      <w:pPr>
        <w:pStyle w:val="1"/>
        <w:rPr>
          <w:lang w:eastAsia="zh-CN"/>
        </w:rPr>
      </w:pPr>
      <w:bookmarkStart w:id="12" w:name="_Toc134116273"/>
      <w:r w:rsidRPr="00A4784D">
        <w:rPr>
          <w:rFonts w:ascii="Times New Roman" w:hAnsi="Times New Roman" w:cs="Times New Roman"/>
          <w:b w:val="0"/>
          <w:bCs w:val="0"/>
          <w:sz w:val="28"/>
          <w:szCs w:val="28"/>
          <w:lang w:eastAsia="zh-CN"/>
        </w:rPr>
        <w:lastRenderedPageBreak/>
        <w:t>R</w:t>
      </w:r>
      <w:r w:rsidRPr="00A4784D">
        <w:rPr>
          <w:rFonts w:ascii="Times New Roman" w:hAnsi="Times New Roman" w:cs="Times New Roman" w:hint="eastAsia"/>
          <w:b w:val="0"/>
          <w:bCs w:val="0"/>
          <w:sz w:val="28"/>
          <w:szCs w:val="28"/>
          <w:lang w:eastAsia="zh-CN"/>
        </w:rPr>
        <w:t>eference</w:t>
      </w:r>
      <w:bookmarkEnd w:id="12"/>
      <w:r>
        <w:rPr>
          <w:lang w:eastAsia="zh-CN"/>
        </w:rPr>
        <w:t xml:space="preserve"> </w:t>
      </w:r>
    </w:p>
    <w:p w14:paraId="1F5AE992"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Chang, W. and Madhok, D. (2022) ‘Taiwan’s TSMC to bring its most advanced chip manufacturing to Arizona’, CNN, 21 November. Available at: https://www.cnn.com/2022/11/21/business/taiwan-tsmc-arizona-plant-hnk-intl/index.html (Accessed: 22 February 2023).</w:t>
      </w:r>
    </w:p>
    <w:p w14:paraId="7DBF5024"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Coan</w:t>
      </w:r>
      <w:proofErr w:type="spellEnd"/>
      <w:r w:rsidRPr="00E33728">
        <w:rPr>
          <w:rFonts w:eastAsia="等线"/>
          <w:lang w:eastAsia="zh-CN"/>
        </w:rPr>
        <w:t>, K.E.D. (2022) Can semiconductor makers meet surging demands sustainably? Available at: https://arstechnica.com/science/2022/04/can-semiconductor-makers-meet-surging-demands-sustainably/ (Accessed: 22 February 2023).</w:t>
      </w:r>
    </w:p>
    <w:p w14:paraId="2F726792" w14:textId="77777777" w:rsidR="00E33728" w:rsidRDefault="00E33728" w:rsidP="00E33728">
      <w:pPr>
        <w:pStyle w:val="a7"/>
        <w:numPr>
          <w:ilvl w:val="0"/>
          <w:numId w:val="8"/>
        </w:numPr>
        <w:ind w:leftChars="0"/>
        <w:rPr>
          <w:rFonts w:eastAsia="等线"/>
          <w:lang w:eastAsia="zh-CN"/>
        </w:rPr>
      </w:pPr>
      <w:r w:rsidRPr="00E33728">
        <w:rPr>
          <w:rFonts w:eastAsia="等线"/>
          <w:lang w:eastAsia="zh-CN"/>
        </w:rPr>
        <w:t>Cross, J. (2020) ‘TSMC details its future 5nm and 3nm manufacturing processes—here’s what it means for Apple silicon’, Macworld, 25 August. Available at: https://www.macworld.com/article/234529/tsmc-details-its-future-5nm-and-3nm-manufacturing-processesheres-what-it-means-for-apple-silicon.html (Accessed: 22 February 2023).</w:t>
      </w:r>
    </w:p>
    <w:p w14:paraId="59255FAC" w14:textId="353EFE08" w:rsidR="00B836CC" w:rsidRPr="00E33728" w:rsidRDefault="00617275" w:rsidP="00E33728">
      <w:pPr>
        <w:pStyle w:val="a7"/>
        <w:numPr>
          <w:ilvl w:val="0"/>
          <w:numId w:val="8"/>
        </w:numPr>
        <w:ind w:leftChars="0"/>
        <w:rPr>
          <w:rFonts w:eastAsia="等线"/>
          <w:lang w:eastAsia="zh-CN"/>
        </w:rPr>
      </w:pPr>
      <w:r w:rsidRPr="00617275">
        <w:rPr>
          <w:rFonts w:eastAsia="等线"/>
          <w:lang w:eastAsia="zh-CN"/>
        </w:rPr>
        <w:t>Sabina K</w:t>
      </w:r>
      <w:r>
        <w:rPr>
          <w:rFonts w:eastAsia="等线"/>
          <w:lang w:eastAsia="zh-CN"/>
        </w:rPr>
        <w:t>. (2021)</w:t>
      </w:r>
      <w:r w:rsidR="00DB737F">
        <w:rPr>
          <w:rFonts w:eastAsia="等线"/>
          <w:lang w:eastAsia="zh-CN"/>
        </w:rPr>
        <w:t xml:space="preserve"> ‘</w:t>
      </w:r>
      <w:r w:rsidR="00DB737F" w:rsidRPr="00DB737F">
        <w:rPr>
          <w:rFonts w:eastAsia="等线"/>
          <w:lang w:eastAsia="zh-CN"/>
        </w:rPr>
        <w:t>Lewin's Force Field Analysis</w:t>
      </w:r>
      <w:r w:rsidR="00DB737F">
        <w:rPr>
          <w:rFonts w:eastAsia="等线"/>
          <w:lang w:eastAsia="zh-CN"/>
        </w:rPr>
        <w:t>’</w:t>
      </w:r>
      <w:r w:rsidR="00DB737F">
        <w:rPr>
          <w:rFonts w:eastAsia="等线" w:hint="eastAsia"/>
          <w:lang w:eastAsia="zh-CN"/>
        </w:rPr>
        <w:t>,</w:t>
      </w:r>
      <w:r w:rsidR="00DB737F">
        <w:rPr>
          <w:rFonts w:eastAsia="等线"/>
          <w:lang w:eastAsia="zh-CN"/>
        </w:rPr>
        <w:t xml:space="preserve"> LinkedIn, 7 July. Available at: </w:t>
      </w:r>
      <w:r w:rsidR="00DB737F" w:rsidRPr="00DB737F">
        <w:rPr>
          <w:rFonts w:eastAsia="等线"/>
          <w:lang w:eastAsia="zh-CN"/>
        </w:rPr>
        <w:t>https://www.linkedin.com/pulse/lewins-force-field-analysis-sabina-kacinova/</w:t>
      </w:r>
      <w:r w:rsidR="00DB737F">
        <w:rPr>
          <w:rFonts w:eastAsia="等线"/>
          <w:lang w:eastAsia="zh-CN"/>
        </w:rPr>
        <w:t xml:space="preserve"> (Accessed 4 May 2023)</w:t>
      </w:r>
    </w:p>
    <w:p w14:paraId="52FC147E"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Deutscher</w:t>
      </w:r>
      <w:proofErr w:type="spellEnd"/>
      <w:r w:rsidRPr="00E33728">
        <w:rPr>
          <w:rFonts w:eastAsia="等线"/>
          <w:lang w:eastAsia="zh-CN"/>
        </w:rPr>
        <w:t>, M. (2023) TSMC posts strong fourth-quarter results but forecasts slowing chip demand. Available at: https://siliconangle.com/2023/01/12/tsmc-posts-strong-fourth-quarter-results-forecasts-slowing-chip-demand/ (Accessed: 23 February 2023).</w:t>
      </w:r>
    </w:p>
    <w:p w14:paraId="2BAB186A"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Frumusanu</w:t>
      </w:r>
      <w:proofErr w:type="spellEnd"/>
      <w:r w:rsidRPr="00E33728">
        <w:rPr>
          <w:rFonts w:eastAsia="等线"/>
          <w:lang w:eastAsia="zh-CN"/>
        </w:rPr>
        <w:t xml:space="preserve">, A. (2020) ‘2023 Interposers: TSMC hints at 3400mm2 + 12x HBM in one package’, </w:t>
      </w:r>
      <w:proofErr w:type="spellStart"/>
      <w:r w:rsidRPr="00E33728">
        <w:rPr>
          <w:rFonts w:eastAsia="等线"/>
          <w:lang w:eastAsia="zh-CN"/>
        </w:rPr>
        <w:t>AnandTech</w:t>
      </w:r>
      <w:proofErr w:type="spellEnd"/>
      <w:r w:rsidRPr="00E33728">
        <w:rPr>
          <w:rFonts w:eastAsia="等线"/>
          <w:lang w:eastAsia="zh-CN"/>
        </w:rPr>
        <w:t>, 25 August. Available at: https://www.anandtech.com/show/16036/2023-interposers-tsmc-hints-at-2000mm2-12x-hbm-in-one-package (Accessed: 23 February 2023).</w:t>
      </w:r>
    </w:p>
    <w:p w14:paraId="5DD470E6"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Hille</w:t>
      </w:r>
      <w:proofErr w:type="spellEnd"/>
      <w:r w:rsidRPr="00E33728">
        <w:rPr>
          <w:rFonts w:eastAsia="等线"/>
          <w:lang w:eastAsia="zh-CN"/>
        </w:rPr>
        <w:t>, K. (2022) ‘Chipmaker TSMC raises revenue outlook but warns of inflation pressure’, Financial Times, 14 July. Available at: https://www.ft.com/content/818e8d23-6d9e-4793-bd69-35e9f5dc49a9 (Accessed: 23 February 2023).</w:t>
      </w:r>
    </w:p>
    <w:p w14:paraId="39FC11F4"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Ingle, P. (2022) Top artificial intelligence (AI) chip companies leading the way in 2022. Available at: https://www.marktechpost.com/2022/09/29/top-artificial-intelligence-ai-chip-companies-leading-the-way-in-2022/ (Accessed: 23 February 2023).</w:t>
      </w:r>
    </w:p>
    <w:p w14:paraId="164994C9"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 xml:space="preserve">Invest Heroes (2022) Taiwan Semiconductor: growth stock with high geopolitical risks. Available at: https://seekingalpha.com/article/4549698-taiwan-semiconductor-growth-stock-with-high-geopolitical-risks-tsm (Accessed: 23 </w:t>
      </w:r>
      <w:r w:rsidRPr="00E33728">
        <w:rPr>
          <w:rFonts w:eastAsia="等线"/>
          <w:lang w:eastAsia="zh-CN"/>
        </w:rPr>
        <w:lastRenderedPageBreak/>
        <w:t>February 2023).</w:t>
      </w:r>
    </w:p>
    <w:p w14:paraId="1FDDA003"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Kharpal</w:t>
      </w:r>
      <w:proofErr w:type="spellEnd"/>
      <w:r w:rsidRPr="00E33728">
        <w:rPr>
          <w:rFonts w:eastAsia="等线"/>
          <w:lang w:eastAsia="zh-CN"/>
        </w:rPr>
        <w:t>, A. (2022) ‘The U.S. and its allies are joining forces on chips. That could stop China reaching the next level’, CNBC, 22 September. Available at: https://www.cnbc.com/2022/09/22/semiconductor-alliances-between-us-and-asia-could-hold-back-china.html (Accessed: 23 February 2023).</w:t>
      </w:r>
    </w:p>
    <w:p w14:paraId="14506763"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Lin, G. and Sun, L. (2022) TSMC takes the lead in establishing supplier new plant loss control management system. Available at: https://esg.tsmc.com/en/update/responsibleSupplyChain/caseStudy/33/index.html (Accessed: 23 February 2023).</w:t>
      </w:r>
    </w:p>
    <w:p w14:paraId="59EB6E73" w14:textId="6B9B01B3" w:rsidR="00E33728" w:rsidRDefault="00E33728" w:rsidP="00E33728">
      <w:pPr>
        <w:pStyle w:val="a7"/>
        <w:numPr>
          <w:ilvl w:val="0"/>
          <w:numId w:val="8"/>
        </w:numPr>
        <w:ind w:leftChars="0"/>
        <w:rPr>
          <w:rFonts w:eastAsia="等线"/>
          <w:lang w:eastAsia="zh-CN"/>
        </w:rPr>
      </w:pPr>
      <w:r w:rsidRPr="00E33728">
        <w:rPr>
          <w:rFonts w:eastAsia="等线"/>
          <w:lang w:eastAsia="zh-CN"/>
        </w:rPr>
        <w:t>Patterson, A. (2022) ‘TSMC commits to nanosheet technology at 2nm node’, EE Times Asia, 8 June. Available at: https://www.eetasia.com/tsmc-commits-to-nanosheet-technology-at-2nm-node/ (Accessed: 23 February 2023).</w:t>
      </w:r>
    </w:p>
    <w:p w14:paraId="66BBF39F"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Periyasamy</w:t>
      </w:r>
      <w:proofErr w:type="spellEnd"/>
      <w:r w:rsidRPr="00E33728">
        <w:rPr>
          <w:rFonts w:eastAsia="等线"/>
          <w:lang w:eastAsia="zh-CN"/>
        </w:rPr>
        <w:t>, R. (2020) Kotter’s 8-Step model – a beginner’s guide to change management. Available at: https://www.apty.io/blog/kotters-8-step-model/ (Accessed: 23 February 2023).</w:t>
      </w:r>
    </w:p>
    <w:p w14:paraId="537DF5E0"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PGurus</w:t>
      </w:r>
      <w:proofErr w:type="spellEnd"/>
      <w:r w:rsidRPr="00E33728">
        <w:rPr>
          <w:rFonts w:eastAsia="等线"/>
          <w:lang w:eastAsia="zh-CN"/>
        </w:rPr>
        <w:t xml:space="preserve"> </w:t>
      </w:r>
      <w:proofErr w:type="spellStart"/>
      <w:r w:rsidRPr="00E33728">
        <w:rPr>
          <w:rFonts w:eastAsia="等线"/>
          <w:lang w:eastAsia="zh-CN"/>
        </w:rPr>
        <w:t>Newsdesk</w:t>
      </w:r>
      <w:proofErr w:type="spellEnd"/>
      <w:r w:rsidRPr="00E33728">
        <w:rPr>
          <w:rFonts w:eastAsia="等线"/>
          <w:lang w:eastAsia="zh-CN"/>
        </w:rPr>
        <w:t xml:space="preserve"> (2022) ‘TSMC to invest a record $44 bn on chip capacity expansion to address shortage’, </w:t>
      </w:r>
      <w:proofErr w:type="spellStart"/>
      <w:r w:rsidRPr="00E33728">
        <w:rPr>
          <w:rFonts w:eastAsia="等线"/>
          <w:lang w:eastAsia="zh-CN"/>
        </w:rPr>
        <w:t>PGurus</w:t>
      </w:r>
      <w:proofErr w:type="spellEnd"/>
      <w:r w:rsidRPr="00E33728">
        <w:rPr>
          <w:rFonts w:eastAsia="等线"/>
          <w:lang w:eastAsia="zh-CN"/>
        </w:rPr>
        <w:t>, 13 January. Available at: https://www.pgurus.com/tsmc-to-invest-a-record-44-bn-on-chip-capacity-expansion-to-address-shortage/ (Accessed: 23 February 2023).</w:t>
      </w:r>
    </w:p>
    <w:p w14:paraId="224E676C"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Shilov, A. (2021a) AMD becomes TSMC's third largest customer. Available at: https://www.tomshardware.com/news/amd-becomes-tsmc-third-largest-customer (Accessed: 23 February 2023).</w:t>
      </w:r>
    </w:p>
    <w:p w14:paraId="34E253EE"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 xml:space="preserve">Shilov, A. (2021b) TSMC founder: Pat </w:t>
      </w:r>
      <w:proofErr w:type="spellStart"/>
      <w:r w:rsidRPr="00E33728">
        <w:rPr>
          <w:rFonts w:eastAsia="等线"/>
          <w:lang w:eastAsia="zh-CN"/>
        </w:rPr>
        <w:t>Gelsinger</w:t>
      </w:r>
      <w:proofErr w:type="spellEnd"/>
      <w:r w:rsidRPr="00E33728">
        <w:rPr>
          <w:rFonts w:eastAsia="等线"/>
          <w:lang w:eastAsia="zh-CN"/>
        </w:rPr>
        <w:t xml:space="preserve"> too old to make Intel great again. Available at: https://www.tomshardware.com/news/tsmc-founder-pat-gelsinger-may-not-have-time (Accessed: 23 February 2023).</w:t>
      </w:r>
    </w:p>
    <w:p w14:paraId="69BAA60E"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Statista (2021) Leading customers of Taiwan Semiconductor Manufacturing Company (TSMC) in 2021, based on revenue share. Available at: https://www.statista.com/statistics/1247996/tsmc-revenue-share-of-leading-customers/ (Accessed: 22 February 2023).</w:t>
      </w:r>
    </w:p>
    <w:p w14:paraId="388143B3" w14:textId="77777777" w:rsidR="00E33728" w:rsidRPr="00E33728" w:rsidRDefault="00E33728" w:rsidP="00E33728">
      <w:pPr>
        <w:pStyle w:val="a7"/>
        <w:numPr>
          <w:ilvl w:val="0"/>
          <w:numId w:val="8"/>
        </w:numPr>
        <w:ind w:leftChars="0"/>
        <w:rPr>
          <w:rFonts w:eastAsia="等线"/>
          <w:lang w:eastAsia="zh-CN"/>
        </w:rPr>
      </w:pPr>
      <w:proofErr w:type="spellStart"/>
      <w:r w:rsidRPr="00E33728">
        <w:rPr>
          <w:rFonts w:eastAsia="等线"/>
          <w:lang w:eastAsia="zh-CN"/>
        </w:rPr>
        <w:t>Stobierski</w:t>
      </w:r>
      <w:proofErr w:type="spellEnd"/>
      <w:r w:rsidRPr="00E33728">
        <w:rPr>
          <w:rFonts w:eastAsia="等线"/>
          <w:lang w:eastAsia="zh-CN"/>
        </w:rPr>
        <w:t>, T. (2023) Organizational change management: what it is &amp; why it’s important. Available at: https://online.hbs.edu/blog/post/organizational-change-management (Accessed: 22 February 2023).</w:t>
      </w:r>
    </w:p>
    <w:p w14:paraId="520EF0FC"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(2019) Talent development. Available at: https://esg.tsmc.com/en/focus/inclusiveWorkplace/talentDevelopment.html (Accessed: 22 February 2023).</w:t>
      </w:r>
    </w:p>
    <w:p w14:paraId="223FCDEA"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(2020a) 3nm technology. Available at: https://www.tsmc.com/english/dedicatedFoundry/technology/logic/l_3nm (Accessed: 22 February 2023).</w:t>
      </w:r>
    </w:p>
    <w:p w14:paraId="04CB3FBC"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lastRenderedPageBreak/>
        <w:t>TSMC (2020b) Talent attraction and retention. Available at: https://esg.tsmc.com/en/focus/inclusiveWorkplace/talentAttraction.html (Accessed: 22 February 2023).</w:t>
      </w:r>
    </w:p>
    <w:p w14:paraId="0458CBD8"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(2022) An admired employer. Available at: https://esg.tsmc.com/en/focus/AnAdmiredEmployer.html (Accessed: 22 February 2023).</w:t>
      </w:r>
    </w:p>
    <w:p w14:paraId="5D90C7F4"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(2023a) Company info. Available at: https://www.tsmc.com/english/aboutTSMC/company_profile (Accessed: 22 February 2023).</w:t>
      </w:r>
    </w:p>
    <w:p w14:paraId="1653B51C"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(2023b) Stakeholder engagement. Available at: https://esg.tsmc.com/en/ESG/stakeholder.html (Accessed: 22 February 2023).</w:t>
      </w:r>
    </w:p>
    <w:p w14:paraId="2457A201"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(2023c) Technology platforms. Available at: https://www.tsmc.com/english/dedicatedFoundry/technology/platform (Accessed: 22 February 2023).</w:t>
      </w:r>
    </w:p>
    <w:p w14:paraId="50EEC7FE" w14:textId="77777777" w:rsidR="00E33728" w:rsidRPr="00E33728" w:rsidRDefault="00E33728" w:rsidP="00E33728">
      <w:pPr>
        <w:pStyle w:val="a7"/>
        <w:numPr>
          <w:ilvl w:val="0"/>
          <w:numId w:val="8"/>
        </w:numPr>
        <w:ind w:leftChars="0"/>
        <w:rPr>
          <w:rFonts w:eastAsia="等线"/>
          <w:lang w:eastAsia="zh-CN"/>
        </w:rPr>
      </w:pPr>
      <w:r w:rsidRPr="00E33728">
        <w:rPr>
          <w:rFonts w:eastAsia="等线"/>
          <w:lang w:eastAsia="zh-CN"/>
        </w:rPr>
        <w:t>TSMC (n.d.) TSMC-</w:t>
      </w:r>
      <w:proofErr w:type="spellStart"/>
      <w:r w:rsidRPr="00E33728">
        <w:rPr>
          <w:rFonts w:eastAsia="等线"/>
          <w:lang w:eastAsia="zh-CN"/>
        </w:rPr>
        <w:t>SoIC</w:t>
      </w:r>
      <w:proofErr w:type="spellEnd"/>
      <w:r w:rsidRPr="00E33728">
        <w:rPr>
          <w:rFonts w:eastAsia="等线"/>
          <w:lang w:eastAsia="zh-CN"/>
        </w:rPr>
        <w:t xml:space="preserve">: </w:t>
      </w:r>
      <w:proofErr w:type="spellStart"/>
      <w:r w:rsidRPr="00E33728">
        <w:rPr>
          <w:rFonts w:eastAsia="等线"/>
          <w:lang w:eastAsia="zh-CN"/>
        </w:rPr>
        <w:t>SoIC-CoW</w:t>
      </w:r>
      <w:proofErr w:type="spellEnd"/>
      <w:r w:rsidRPr="00E33728">
        <w:rPr>
          <w:rFonts w:eastAsia="等线"/>
          <w:lang w:eastAsia="zh-CN"/>
        </w:rPr>
        <w:t xml:space="preserve"> (chip on wafer). Available at: https://3dfabric.tsmc.com/english/dedicatedFoundry/technology/SoIC.htm (Accessed: 23 February 2023).</w:t>
      </w:r>
    </w:p>
    <w:p w14:paraId="0862385F" w14:textId="737B4DFC" w:rsidR="00E33728" w:rsidRDefault="00E33728" w:rsidP="00E33728">
      <w:pPr>
        <w:pStyle w:val="a7"/>
        <w:numPr>
          <w:ilvl w:val="0"/>
          <w:numId w:val="8"/>
        </w:numPr>
        <w:ind w:leftChars="0"/>
        <w:rPr>
          <w:rFonts w:eastAsia="等线"/>
          <w:lang w:eastAsia="zh-CN"/>
        </w:rPr>
      </w:pPr>
      <w:r w:rsidRPr="00E33728">
        <w:rPr>
          <w:rFonts w:eastAsia="等线"/>
          <w:lang w:eastAsia="zh-CN"/>
        </w:rPr>
        <w:t>Wong, J. (2022) ‘TSMC isn’t immune to the chip downturn—or geopolitics’, The Wall Street Journal, 13 October. Available at: https://www.wsj.com/articles/tsmc-isnt-immune-to-the-chip-downturnor-geopolitics-11665661789 (Accessed: 23 February 2023).</w:t>
      </w:r>
    </w:p>
    <w:p w14:paraId="3C1CD103" w14:textId="1036C9EA" w:rsidR="00405E86" w:rsidRPr="00E33728" w:rsidRDefault="00405E86" w:rsidP="00AD785B">
      <w:pPr>
        <w:pStyle w:val="a7"/>
        <w:numPr>
          <w:ilvl w:val="0"/>
          <w:numId w:val="8"/>
        </w:numPr>
        <w:ind w:leftChars="0"/>
        <w:rPr>
          <w:rFonts w:eastAsia="等线" w:hint="eastAsia"/>
          <w:lang w:eastAsia="zh-CN"/>
        </w:rPr>
      </w:pPr>
      <w:r>
        <w:rPr>
          <w:rFonts w:eastAsia="等线" w:hint="eastAsia"/>
          <w:lang w:eastAsia="zh-CN"/>
        </w:rPr>
        <w:t>Debby</w:t>
      </w:r>
      <w:r>
        <w:rPr>
          <w:rFonts w:eastAsia="等线"/>
          <w:lang w:eastAsia="zh-CN"/>
        </w:rPr>
        <w:t xml:space="preserve"> </w:t>
      </w:r>
      <w:r w:rsidRPr="004B7DEF">
        <w:rPr>
          <w:rFonts w:eastAsia="等线"/>
          <w:lang w:eastAsia="zh-CN"/>
        </w:rPr>
        <w:t>W</w:t>
      </w:r>
      <w:r>
        <w:rPr>
          <w:rFonts w:eastAsia="等线"/>
          <w:lang w:eastAsia="zh-CN"/>
        </w:rPr>
        <w:t>. (2023)</w:t>
      </w:r>
      <w:r w:rsidR="006D1611">
        <w:rPr>
          <w:rFonts w:eastAsia="等线"/>
          <w:lang w:eastAsia="zh-CN"/>
        </w:rPr>
        <w:t>’</w:t>
      </w:r>
      <w:r w:rsidR="006D1611" w:rsidRPr="00752DBD">
        <w:rPr>
          <w:rFonts w:eastAsia="等线"/>
          <w:lang w:eastAsia="zh-CN"/>
        </w:rPr>
        <w:t xml:space="preserve"> </w:t>
      </w:r>
      <w:r w:rsidR="006D1611" w:rsidRPr="006D1611">
        <w:rPr>
          <w:rFonts w:eastAsia="等线"/>
          <w:lang w:eastAsia="zh-CN"/>
        </w:rPr>
        <w:t>TSMC Gains After Keeping Spending Goals as Tech Slump Stabilizes</w:t>
      </w:r>
      <w:r w:rsidR="006D1611">
        <w:rPr>
          <w:rFonts w:eastAsia="等线"/>
          <w:lang w:eastAsia="zh-CN"/>
        </w:rPr>
        <w:t xml:space="preserve">’ Bloomberg, </w:t>
      </w:r>
      <w:r w:rsidR="0008799C">
        <w:rPr>
          <w:rFonts w:eastAsia="等线"/>
          <w:lang w:eastAsia="zh-CN"/>
        </w:rPr>
        <w:t>April 20,2023,</w:t>
      </w:r>
      <w:r w:rsidR="00752DBD" w:rsidRPr="00752DBD">
        <w:rPr>
          <w:rFonts w:eastAsia="等线"/>
          <w:lang w:eastAsia="zh-CN"/>
        </w:rPr>
        <w:t xml:space="preserve"> </w:t>
      </w:r>
      <w:r w:rsidR="00752DBD" w:rsidRPr="00E33728">
        <w:rPr>
          <w:rFonts w:eastAsia="等线"/>
          <w:lang w:eastAsia="zh-CN"/>
        </w:rPr>
        <w:t>Available at:</w:t>
      </w:r>
      <w:r w:rsidR="00752DBD" w:rsidRPr="00752DBD">
        <w:rPr>
          <w:rFonts w:eastAsia="等线"/>
          <w:lang w:eastAsia="zh-CN"/>
        </w:rPr>
        <w:t xml:space="preserve"> </w:t>
      </w:r>
      <w:r w:rsidR="00752DBD" w:rsidRPr="00752DBD">
        <w:rPr>
          <w:rFonts w:eastAsia="等线"/>
          <w:lang w:eastAsia="zh-CN"/>
        </w:rPr>
        <w:t>https://www.bloomberg.com/news/articles/2023-04-20/tsmc-profit-beats-after-chip-demand-fares-better-than</w:t>
      </w:r>
      <w:r w:rsidR="00AD785B">
        <w:rPr>
          <w:rFonts w:eastAsia="等线"/>
          <w:lang w:eastAsia="zh-CN"/>
        </w:rPr>
        <w:t xml:space="preserve"> </w:t>
      </w:r>
      <w:r w:rsidR="00752DBD" w:rsidRPr="00752DBD">
        <w:rPr>
          <w:rFonts w:eastAsia="等线"/>
          <w:lang w:eastAsia="zh-CN"/>
        </w:rPr>
        <w:t>feared?utm_source=website&amp;utm_medium=share&amp;utm_campaign=mobile_web_share&amp;leadSource=uverify%20wall</w:t>
      </w:r>
      <w:r w:rsidR="00AD785B">
        <w:rPr>
          <w:rFonts w:eastAsia="等线"/>
          <w:lang w:eastAsia="zh-CN"/>
        </w:rPr>
        <w:t xml:space="preserve"> </w:t>
      </w:r>
      <w:r w:rsidR="00AD785B" w:rsidRPr="00E33728">
        <w:rPr>
          <w:rFonts w:eastAsia="等线"/>
          <w:lang w:eastAsia="zh-CN"/>
        </w:rPr>
        <w:t xml:space="preserve">(Accessed: </w:t>
      </w:r>
      <w:r w:rsidR="00AD785B">
        <w:rPr>
          <w:rFonts w:eastAsia="等线"/>
          <w:lang w:eastAsia="zh-CN"/>
        </w:rPr>
        <w:t>4 May</w:t>
      </w:r>
      <w:r w:rsidR="00AD785B" w:rsidRPr="00E33728">
        <w:rPr>
          <w:rFonts w:eastAsia="等线"/>
          <w:lang w:eastAsia="zh-CN"/>
        </w:rPr>
        <w:t xml:space="preserve"> 2023)</w:t>
      </w:r>
    </w:p>
    <w:sectPr w:rsidR="00405E86" w:rsidRPr="00E33728">
      <w:pgSz w:w="11906" w:h="16838"/>
      <w:pgMar w:top="1440" w:right="1800" w:bottom="1440" w:left="1800"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a46517" w:date="2023-04-30T16:16:00Z" w:initials="a">
    <w:p w14:paraId="6D6EF089" w14:textId="77777777" w:rsidR="000D14CC" w:rsidRDefault="000D14CC" w:rsidP="00A52552">
      <w:pPr>
        <w:pStyle w:val="a9"/>
      </w:pPr>
      <w:r>
        <w:rPr>
          <w:rStyle w:val="a8"/>
        </w:rPr>
        <w:annotationRef/>
      </w:r>
      <w:hyperlink r:id="rId1" w:history="1">
        <w:r w:rsidRPr="00A52552">
          <w:rPr>
            <w:rStyle w:val="ad"/>
          </w:rPr>
          <w:t>https://www.linkedin.com/posts/subodh-warekar-42b08314_tsmc-profit-beats-after-chip-demand-fares-activity-7054773552071262208-v6mE/?originalSubdomain=mz</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6EF0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912D8" w16cex:dateUtc="2023-04-30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EF089" w16cid:durableId="27F912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15765" w14:textId="77777777" w:rsidR="00A94A2A" w:rsidRDefault="00A94A2A" w:rsidP="008B09FD">
      <w:r>
        <w:separator/>
      </w:r>
    </w:p>
  </w:endnote>
  <w:endnote w:type="continuationSeparator" w:id="0">
    <w:p w14:paraId="3A7BE292" w14:textId="77777777" w:rsidR="00A94A2A" w:rsidRDefault="00A94A2A" w:rsidP="008B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BE0A6" w14:textId="77777777" w:rsidR="00A94A2A" w:rsidRDefault="00A94A2A" w:rsidP="008B09FD">
      <w:r>
        <w:separator/>
      </w:r>
    </w:p>
  </w:footnote>
  <w:footnote w:type="continuationSeparator" w:id="0">
    <w:p w14:paraId="5BC3298E" w14:textId="77777777" w:rsidR="00A94A2A" w:rsidRDefault="00A94A2A" w:rsidP="008B0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57C87"/>
    <w:multiLevelType w:val="hybridMultilevel"/>
    <w:tmpl w:val="CAB629A4"/>
    <w:lvl w:ilvl="0" w:tplc="7C46F7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326BE"/>
    <w:multiLevelType w:val="hybridMultilevel"/>
    <w:tmpl w:val="1692555C"/>
    <w:lvl w:ilvl="0" w:tplc="376C7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6D7725"/>
    <w:multiLevelType w:val="hybridMultilevel"/>
    <w:tmpl w:val="1FF435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F433A1"/>
    <w:multiLevelType w:val="hybridMultilevel"/>
    <w:tmpl w:val="E77AE4E8"/>
    <w:lvl w:ilvl="0" w:tplc="4ECC6C3C">
      <w:start w:val="1"/>
      <w:numFmt w:val="bullet"/>
      <w:lvlText w:val=""/>
      <w:lvlJc w:val="left"/>
      <w:pPr>
        <w:tabs>
          <w:tab w:val="num" w:pos="720"/>
        </w:tabs>
        <w:ind w:left="720" w:hanging="360"/>
      </w:pPr>
      <w:rPr>
        <w:rFonts w:ascii="Wingdings" w:hAnsi="Wingdings" w:hint="default"/>
      </w:rPr>
    </w:lvl>
    <w:lvl w:ilvl="1" w:tplc="C9E01ED4" w:tentative="1">
      <w:start w:val="1"/>
      <w:numFmt w:val="bullet"/>
      <w:lvlText w:val=""/>
      <w:lvlJc w:val="left"/>
      <w:pPr>
        <w:tabs>
          <w:tab w:val="num" w:pos="1440"/>
        </w:tabs>
        <w:ind w:left="1440" w:hanging="360"/>
      </w:pPr>
      <w:rPr>
        <w:rFonts w:ascii="Wingdings" w:hAnsi="Wingdings" w:hint="default"/>
      </w:rPr>
    </w:lvl>
    <w:lvl w:ilvl="2" w:tplc="354AC7BA" w:tentative="1">
      <w:start w:val="1"/>
      <w:numFmt w:val="bullet"/>
      <w:lvlText w:val=""/>
      <w:lvlJc w:val="left"/>
      <w:pPr>
        <w:tabs>
          <w:tab w:val="num" w:pos="2160"/>
        </w:tabs>
        <w:ind w:left="2160" w:hanging="360"/>
      </w:pPr>
      <w:rPr>
        <w:rFonts w:ascii="Wingdings" w:hAnsi="Wingdings" w:hint="default"/>
      </w:rPr>
    </w:lvl>
    <w:lvl w:ilvl="3" w:tplc="9F38A086" w:tentative="1">
      <w:start w:val="1"/>
      <w:numFmt w:val="bullet"/>
      <w:lvlText w:val=""/>
      <w:lvlJc w:val="left"/>
      <w:pPr>
        <w:tabs>
          <w:tab w:val="num" w:pos="2880"/>
        </w:tabs>
        <w:ind w:left="2880" w:hanging="360"/>
      </w:pPr>
      <w:rPr>
        <w:rFonts w:ascii="Wingdings" w:hAnsi="Wingdings" w:hint="default"/>
      </w:rPr>
    </w:lvl>
    <w:lvl w:ilvl="4" w:tplc="B09E183E" w:tentative="1">
      <w:start w:val="1"/>
      <w:numFmt w:val="bullet"/>
      <w:lvlText w:val=""/>
      <w:lvlJc w:val="left"/>
      <w:pPr>
        <w:tabs>
          <w:tab w:val="num" w:pos="3600"/>
        </w:tabs>
        <w:ind w:left="3600" w:hanging="360"/>
      </w:pPr>
      <w:rPr>
        <w:rFonts w:ascii="Wingdings" w:hAnsi="Wingdings" w:hint="default"/>
      </w:rPr>
    </w:lvl>
    <w:lvl w:ilvl="5" w:tplc="4D484ED2" w:tentative="1">
      <w:start w:val="1"/>
      <w:numFmt w:val="bullet"/>
      <w:lvlText w:val=""/>
      <w:lvlJc w:val="left"/>
      <w:pPr>
        <w:tabs>
          <w:tab w:val="num" w:pos="4320"/>
        </w:tabs>
        <w:ind w:left="4320" w:hanging="360"/>
      </w:pPr>
      <w:rPr>
        <w:rFonts w:ascii="Wingdings" w:hAnsi="Wingdings" w:hint="default"/>
      </w:rPr>
    </w:lvl>
    <w:lvl w:ilvl="6" w:tplc="40569F6E" w:tentative="1">
      <w:start w:val="1"/>
      <w:numFmt w:val="bullet"/>
      <w:lvlText w:val=""/>
      <w:lvlJc w:val="left"/>
      <w:pPr>
        <w:tabs>
          <w:tab w:val="num" w:pos="5040"/>
        </w:tabs>
        <w:ind w:left="5040" w:hanging="360"/>
      </w:pPr>
      <w:rPr>
        <w:rFonts w:ascii="Wingdings" w:hAnsi="Wingdings" w:hint="default"/>
      </w:rPr>
    </w:lvl>
    <w:lvl w:ilvl="7" w:tplc="B6345806" w:tentative="1">
      <w:start w:val="1"/>
      <w:numFmt w:val="bullet"/>
      <w:lvlText w:val=""/>
      <w:lvlJc w:val="left"/>
      <w:pPr>
        <w:tabs>
          <w:tab w:val="num" w:pos="5760"/>
        </w:tabs>
        <w:ind w:left="5760" w:hanging="360"/>
      </w:pPr>
      <w:rPr>
        <w:rFonts w:ascii="Wingdings" w:hAnsi="Wingdings" w:hint="default"/>
      </w:rPr>
    </w:lvl>
    <w:lvl w:ilvl="8" w:tplc="691E352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FB27C7"/>
    <w:multiLevelType w:val="hybridMultilevel"/>
    <w:tmpl w:val="7A347B96"/>
    <w:lvl w:ilvl="0" w:tplc="07B641B8">
      <w:numFmt w:val="bullet"/>
      <w:lvlText w:val="-"/>
      <w:lvlJc w:val="left"/>
      <w:pPr>
        <w:ind w:left="360" w:hanging="360"/>
      </w:pPr>
      <w:rPr>
        <w:rFonts w:ascii="Calibri" w:eastAsia="等线"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2447F1F"/>
    <w:multiLevelType w:val="hybridMultilevel"/>
    <w:tmpl w:val="B212D446"/>
    <w:lvl w:ilvl="0" w:tplc="D53025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315ED5"/>
    <w:multiLevelType w:val="hybridMultilevel"/>
    <w:tmpl w:val="8EB8C700"/>
    <w:lvl w:ilvl="0" w:tplc="6CA44E76">
      <w:numFmt w:val="bullet"/>
      <w:lvlText w:val="-"/>
      <w:lvlJc w:val="left"/>
      <w:pPr>
        <w:ind w:left="360" w:hanging="360"/>
      </w:pPr>
      <w:rPr>
        <w:rFonts w:ascii="Times New Roman" w:eastAsia="等线" w:hAnsi="Times New Roman" w:cs="Times New Roman" w:hint="default"/>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C907D97"/>
    <w:multiLevelType w:val="hybridMultilevel"/>
    <w:tmpl w:val="A1CCAD7C"/>
    <w:lvl w:ilvl="0" w:tplc="E5FA52B8">
      <w:start w:val="1"/>
      <w:numFmt w:val="bullet"/>
      <w:lvlText w:val="•"/>
      <w:lvlJc w:val="left"/>
      <w:pPr>
        <w:tabs>
          <w:tab w:val="num" w:pos="720"/>
        </w:tabs>
        <w:ind w:left="720" w:hanging="360"/>
      </w:pPr>
      <w:rPr>
        <w:rFonts w:ascii="Arial" w:hAnsi="Arial" w:hint="default"/>
      </w:rPr>
    </w:lvl>
    <w:lvl w:ilvl="1" w:tplc="C2CED47A" w:tentative="1">
      <w:start w:val="1"/>
      <w:numFmt w:val="bullet"/>
      <w:lvlText w:val="•"/>
      <w:lvlJc w:val="left"/>
      <w:pPr>
        <w:tabs>
          <w:tab w:val="num" w:pos="1440"/>
        </w:tabs>
        <w:ind w:left="1440" w:hanging="360"/>
      </w:pPr>
      <w:rPr>
        <w:rFonts w:ascii="Arial" w:hAnsi="Arial" w:hint="default"/>
      </w:rPr>
    </w:lvl>
    <w:lvl w:ilvl="2" w:tplc="D6E4A56E" w:tentative="1">
      <w:start w:val="1"/>
      <w:numFmt w:val="bullet"/>
      <w:lvlText w:val="•"/>
      <w:lvlJc w:val="left"/>
      <w:pPr>
        <w:tabs>
          <w:tab w:val="num" w:pos="2160"/>
        </w:tabs>
        <w:ind w:left="2160" w:hanging="360"/>
      </w:pPr>
      <w:rPr>
        <w:rFonts w:ascii="Arial" w:hAnsi="Arial" w:hint="default"/>
      </w:rPr>
    </w:lvl>
    <w:lvl w:ilvl="3" w:tplc="0C9C0FC8" w:tentative="1">
      <w:start w:val="1"/>
      <w:numFmt w:val="bullet"/>
      <w:lvlText w:val="•"/>
      <w:lvlJc w:val="left"/>
      <w:pPr>
        <w:tabs>
          <w:tab w:val="num" w:pos="2880"/>
        </w:tabs>
        <w:ind w:left="2880" w:hanging="360"/>
      </w:pPr>
      <w:rPr>
        <w:rFonts w:ascii="Arial" w:hAnsi="Arial" w:hint="default"/>
      </w:rPr>
    </w:lvl>
    <w:lvl w:ilvl="4" w:tplc="DC541C52" w:tentative="1">
      <w:start w:val="1"/>
      <w:numFmt w:val="bullet"/>
      <w:lvlText w:val="•"/>
      <w:lvlJc w:val="left"/>
      <w:pPr>
        <w:tabs>
          <w:tab w:val="num" w:pos="3600"/>
        </w:tabs>
        <w:ind w:left="3600" w:hanging="360"/>
      </w:pPr>
      <w:rPr>
        <w:rFonts w:ascii="Arial" w:hAnsi="Arial" w:hint="default"/>
      </w:rPr>
    </w:lvl>
    <w:lvl w:ilvl="5" w:tplc="C570F082" w:tentative="1">
      <w:start w:val="1"/>
      <w:numFmt w:val="bullet"/>
      <w:lvlText w:val="•"/>
      <w:lvlJc w:val="left"/>
      <w:pPr>
        <w:tabs>
          <w:tab w:val="num" w:pos="4320"/>
        </w:tabs>
        <w:ind w:left="4320" w:hanging="360"/>
      </w:pPr>
      <w:rPr>
        <w:rFonts w:ascii="Arial" w:hAnsi="Arial" w:hint="default"/>
      </w:rPr>
    </w:lvl>
    <w:lvl w:ilvl="6" w:tplc="7592C4B6" w:tentative="1">
      <w:start w:val="1"/>
      <w:numFmt w:val="bullet"/>
      <w:lvlText w:val="•"/>
      <w:lvlJc w:val="left"/>
      <w:pPr>
        <w:tabs>
          <w:tab w:val="num" w:pos="5040"/>
        </w:tabs>
        <w:ind w:left="5040" w:hanging="360"/>
      </w:pPr>
      <w:rPr>
        <w:rFonts w:ascii="Arial" w:hAnsi="Arial" w:hint="default"/>
      </w:rPr>
    </w:lvl>
    <w:lvl w:ilvl="7" w:tplc="048E2480" w:tentative="1">
      <w:start w:val="1"/>
      <w:numFmt w:val="bullet"/>
      <w:lvlText w:val="•"/>
      <w:lvlJc w:val="left"/>
      <w:pPr>
        <w:tabs>
          <w:tab w:val="num" w:pos="5760"/>
        </w:tabs>
        <w:ind w:left="5760" w:hanging="360"/>
      </w:pPr>
      <w:rPr>
        <w:rFonts w:ascii="Arial" w:hAnsi="Arial" w:hint="default"/>
      </w:rPr>
    </w:lvl>
    <w:lvl w:ilvl="8" w:tplc="B03EBC62" w:tentative="1">
      <w:start w:val="1"/>
      <w:numFmt w:val="bullet"/>
      <w:lvlText w:val="•"/>
      <w:lvlJc w:val="left"/>
      <w:pPr>
        <w:tabs>
          <w:tab w:val="num" w:pos="6480"/>
        </w:tabs>
        <w:ind w:left="6480" w:hanging="360"/>
      </w:pPr>
      <w:rPr>
        <w:rFonts w:ascii="Arial" w:hAnsi="Arial" w:hint="default"/>
      </w:rPr>
    </w:lvl>
  </w:abstractNum>
  <w:num w:numId="1" w16cid:durableId="1116557469">
    <w:abstractNumId w:val="3"/>
  </w:num>
  <w:num w:numId="2" w16cid:durableId="1559171911">
    <w:abstractNumId w:val="7"/>
  </w:num>
  <w:num w:numId="3" w16cid:durableId="2111587932">
    <w:abstractNumId w:val="4"/>
  </w:num>
  <w:num w:numId="4" w16cid:durableId="37365803">
    <w:abstractNumId w:val="6"/>
  </w:num>
  <w:num w:numId="5" w16cid:durableId="1730567961">
    <w:abstractNumId w:val="2"/>
  </w:num>
  <w:num w:numId="6" w16cid:durableId="646210175">
    <w:abstractNumId w:val="5"/>
  </w:num>
  <w:num w:numId="7" w16cid:durableId="982270884">
    <w:abstractNumId w:val="0"/>
  </w:num>
  <w:num w:numId="8" w16cid:durableId="119874273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46517">
    <w15:presenceInfo w15:providerId="AD" w15:userId="S::a46517@of365.ru::418b3af0-2202-4dba-bbaf-aaea2bd6c9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214"/>
    <w:rsid w:val="00014B2D"/>
    <w:rsid w:val="000278DC"/>
    <w:rsid w:val="0008799C"/>
    <w:rsid w:val="000A5525"/>
    <w:rsid w:val="000C199D"/>
    <w:rsid w:val="000D14CC"/>
    <w:rsid w:val="000D74F0"/>
    <w:rsid w:val="000E41D6"/>
    <w:rsid w:val="000E5AE3"/>
    <w:rsid w:val="00126BFF"/>
    <w:rsid w:val="00136AE0"/>
    <w:rsid w:val="00197F2E"/>
    <w:rsid w:val="00216DEA"/>
    <w:rsid w:val="00246119"/>
    <w:rsid w:val="002A0F56"/>
    <w:rsid w:val="002A44B9"/>
    <w:rsid w:val="002E318E"/>
    <w:rsid w:val="00302169"/>
    <w:rsid w:val="0036410C"/>
    <w:rsid w:val="00372E40"/>
    <w:rsid w:val="00376DAE"/>
    <w:rsid w:val="00377092"/>
    <w:rsid w:val="00393C3D"/>
    <w:rsid w:val="0039541F"/>
    <w:rsid w:val="00405E86"/>
    <w:rsid w:val="00413116"/>
    <w:rsid w:val="00484C4D"/>
    <w:rsid w:val="00492559"/>
    <w:rsid w:val="004B7DEF"/>
    <w:rsid w:val="004D1F59"/>
    <w:rsid w:val="00521B82"/>
    <w:rsid w:val="005502CD"/>
    <w:rsid w:val="0056074C"/>
    <w:rsid w:val="0056730C"/>
    <w:rsid w:val="00595E36"/>
    <w:rsid w:val="005A659E"/>
    <w:rsid w:val="005A7ADC"/>
    <w:rsid w:val="005C6A3A"/>
    <w:rsid w:val="005E29B0"/>
    <w:rsid w:val="00617275"/>
    <w:rsid w:val="00647437"/>
    <w:rsid w:val="00691DCC"/>
    <w:rsid w:val="006961E2"/>
    <w:rsid w:val="006B4F56"/>
    <w:rsid w:val="006D1611"/>
    <w:rsid w:val="006F12B0"/>
    <w:rsid w:val="00752DBD"/>
    <w:rsid w:val="0078529B"/>
    <w:rsid w:val="007D1E51"/>
    <w:rsid w:val="00852E69"/>
    <w:rsid w:val="00856038"/>
    <w:rsid w:val="00891299"/>
    <w:rsid w:val="008A44FA"/>
    <w:rsid w:val="008B09FD"/>
    <w:rsid w:val="008D5527"/>
    <w:rsid w:val="008D569A"/>
    <w:rsid w:val="008D6FB8"/>
    <w:rsid w:val="009875B7"/>
    <w:rsid w:val="009A0ABF"/>
    <w:rsid w:val="009C33B8"/>
    <w:rsid w:val="009C4402"/>
    <w:rsid w:val="00A06F61"/>
    <w:rsid w:val="00A30214"/>
    <w:rsid w:val="00A36B84"/>
    <w:rsid w:val="00A4784D"/>
    <w:rsid w:val="00A574FA"/>
    <w:rsid w:val="00A6321E"/>
    <w:rsid w:val="00A94A2A"/>
    <w:rsid w:val="00AA2DAE"/>
    <w:rsid w:val="00AC33E5"/>
    <w:rsid w:val="00AD785B"/>
    <w:rsid w:val="00AF52C4"/>
    <w:rsid w:val="00B0271F"/>
    <w:rsid w:val="00B06F45"/>
    <w:rsid w:val="00B30086"/>
    <w:rsid w:val="00B3345A"/>
    <w:rsid w:val="00B64BAA"/>
    <w:rsid w:val="00B74F13"/>
    <w:rsid w:val="00B779C6"/>
    <w:rsid w:val="00B836CC"/>
    <w:rsid w:val="00C062DA"/>
    <w:rsid w:val="00C41844"/>
    <w:rsid w:val="00C6637D"/>
    <w:rsid w:val="00CA0159"/>
    <w:rsid w:val="00CA7A16"/>
    <w:rsid w:val="00D06830"/>
    <w:rsid w:val="00D1312A"/>
    <w:rsid w:val="00D151A4"/>
    <w:rsid w:val="00D316B2"/>
    <w:rsid w:val="00D4330C"/>
    <w:rsid w:val="00D605BC"/>
    <w:rsid w:val="00D63D7A"/>
    <w:rsid w:val="00DB737F"/>
    <w:rsid w:val="00DD6FE8"/>
    <w:rsid w:val="00E035C0"/>
    <w:rsid w:val="00E33728"/>
    <w:rsid w:val="00F365B3"/>
    <w:rsid w:val="00F61B31"/>
    <w:rsid w:val="00F97B2C"/>
    <w:rsid w:val="00FF55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118B3"/>
  <w15:chartTrackingRefBased/>
  <w15:docId w15:val="{CDC90B9A-A1C7-462C-945D-ED21ADF5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0F56"/>
    <w:pPr>
      <w:widowControl w:val="0"/>
    </w:pPr>
  </w:style>
  <w:style w:type="paragraph" w:styleId="1">
    <w:name w:val="heading 1"/>
    <w:basedOn w:val="a"/>
    <w:next w:val="a"/>
    <w:link w:val="10"/>
    <w:uiPriority w:val="9"/>
    <w:qFormat/>
    <w:rsid w:val="008B09F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852E69"/>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09FD"/>
    <w:pPr>
      <w:tabs>
        <w:tab w:val="center" w:pos="4153"/>
        <w:tab w:val="right" w:pos="8306"/>
      </w:tabs>
      <w:snapToGrid w:val="0"/>
    </w:pPr>
    <w:rPr>
      <w:sz w:val="20"/>
      <w:szCs w:val="20"/>
    </w:rPr>
  </w:style>
  <w:style w:type="character" w:customStyle="1" w:styleId="a4">
    <w:name w:val="頁首 字元"/>
    <w:basedOn w:val="a0"/>
    <w:link w:val="a3"/>
    <w:uiPriority w:val="99"/>
    <w:rsid w:val="008B09FD"/>
    <w:rPr>
      <w:sz w:val="20"/>
      <w:szCs w:val="20"/>
    </w:rPr>
  </w:style>
  <w:style w:type="paragraph" w:styleId="a5">
    <w:name w:val="footer"/>
    <w:basedOn w:val="a"/>
    <w:link w:val="a6"/>
    <w:uiPriority w:val="99"/>
    <w:unhideWhenUsed/>
    <w:rsid w:val="008B09FD"/>
    <w:pPr>
      <w:tabs>
        <w:tab w:val="center" w:pos="4153"/>
        <w:tab w:val="right" w:pos="8306"/>
      </w:tabs>
      <w:snapToGrid w:val="0"/>
    </w:pPr>
    <w:rPr>
      <w:sz w:val="20"/>
      <w:szCs w:val="20"/>
    </w:rPr>
  </w:style>
  <w:style w:type="character" w:customStyle="1" w:styleId="a6">
    <w:name w:val="頁尾 字元"/>
    <w:basedOn w:val="a0"/>
    <w:link w:val="a5"/>
    <w:uiPriority w:val="99"/>
    <w:rsid w:val="008B09FD"/>
    <w:rPr>
      <w:sz w:val="20"/>
      <w:szCs w:val="20"/>
    </w:rPr>
  </w:style>
  <w:style w:type="character" w:customStyle="1" w:styleId="10">
    <w:name w:val="標題 1 字元"/>
    <w:basedOn w:val="a0"/>
    <w:link w:val="1"/>
    <w:uiPriority w:val="9"/>
    <w:rsid w:val="008B09FD"/>
    <w:rPr>
      <w:rFonts w:asciiTheme="majorHAnsi" w:eastAsiaTheme="majorEastAsia" w:hAnsiTheme="majorHAnsi" w:cstheme="majorBidi"/>
      <w:b/>
      <w:bCs/>
      <w:kern w:val="52"/>
      <w:sz w:val="52"/>
      <w:szCs w:val="52"/>
    </w:rPr>
  </w:style>
  <w:style w:type="paragraph" w:styleId="a7">
    <w:name w:val="List Paragraph"/>
    <w:basedOn w:val="a"/>
    <w:uiPriority w:val="34"/>
    <w:qFormat/>
    <w:rsid w:val="00372E40"/>
    <w:pPr>
      <w:ind w:leftChars="200" w:left="480"/>
    </w:pPr>
  </w:style>
  <w:style w:type="character" w:customStyle="1" w:styleId="20">
    <w:name w:val="標題 2 字元"/>
    <w:basedOn w:val="a0"/>
    <w:link w:val="2"/>
    <w:uiPriority w:val="9"/>
    <w:rsid w:val="00852E69"/>
    <w:rPr>
      <w:rFonts w:asciiTheme="majorHAnsi" w:eastAsiaTheme="majorEastAsia" w:hAnsiTheme="majorHAnsi" w:cstheme="majorBidi"/>
      <w:b/>
      <w:bCs/>
      <w:sz w:val="48"/>
      <w:szCs w:val="48"/>
    </w:rPr>
  </w:style>
  <w:style w:type="character" w:styleId="a8">
    <w:name w:val="annotation reference"/>
    <w:basedOn w:val="a0"/>
    <w:uiPriority w:val="99"/>
    <w:semiHidden/>
    <w:unhideWhenUsed/>
    <w:rsid w:val="006B4F56"/>
    <w:rPr>
      <w:sz w:val="18"/>
      <w:szCs w:val="18"/>
    </w:rPr>
  </w:style>
  <w:style w:type="paragraph" w:styleId="a9">
    <w:name w:val="annotation text"/>
    <w:basedOn w:val="a"/>
    <w:link w:val="aa"/>
    <w:uiPriority w:val="99"/>
    <w:unhideWhenUsed/>
    <w:rsid w:val="006B4F56"/>
  </w:style>
  <w:style w:type="character" w:customStyle="1" w:styleId="aa">
    <w:name w:val="註解文字 字元"/>
    <w:basedOn w:val="a0"/>
    <w:link w:val="a9"/>
    <w:uiPriority w:val="99"/>
    <w:rsid w:val="006B4F56"/>
  </w:style>
  <w:style w:type="paragraph" w:styleId="ab">
    <w:name w:val="annotation subject"/>
    <w:basedOn w:val="a9"/>
    <w:next w:val="a9"/>
    <w:link w:val="ac"/>
    <w:uiPriority w:val="99"/>
    <w:semiHidden/>
    <w:unhideWhenUsed/>
    <w:rsid w:val="006B4F56"/>
    <w:rPr>
      <w:b/>
      <w:bCs/>
    </w:rPr>
  </w:style>
  <w:style w:type="character" w:customStyle="1" w:styleId="ac">
    <w:name w:val="註解主旨 字元"/>
    <w:basedOn w:val="aa"/>
    <w:link w:val="ab"/>
    <w:uiPriority w:val="99"/>
    <w:semiHidden/>
    <w:rsid w:val="006B4F56"/>
    <w:rPr>
      <w:b/>
      <w:bCs/>
    </w:rPr>
  </w:style>
  <w:style w:type="character" w:styleId="ad">
    <w:name w:val="Hyperlink"/>
    <w:basedOn w:val="a0"/>
    <w:uiPriority w:val="99"/>
    <w:unhideWhenUsed/>
    <w:rsid w:val="006B4F56"/>
    <w:rPr>
      <w:color w:val="0563C1" w:themeColor="hyperlink"/>
      <w:u w:val="single"/>
    </w:rPr>
  </w:style>
  <w:style w:type="character" w:styleId="ae">
    <w:name w:val="Unresolved Mention"/>
    <w:basedOn w:val="a0"/>
    <w:uiPriority w:val="99"/>
    <w:semiHidden/>
    <w:unhideWhenUsed/>
    <w:rsid w:val="006B4F56"/>
    <w:rPr>
      <w:color w:val="605E5C"/>
      <w:shd w:val="clear" w:color="auto" w:fill="E1DFDD"/>
    </w:rPr>
  </w:style>
  <w:style w:type="paragraph" w:styleId="af">
    <w:name w:val="TOC Heading"/>
    <w:basedOn w:val="1"/>
    <w:next w:val="a"/>
    <w:uiPriority w:val="39"/>
    <w:unhideWhenUsed/>
    <w:qFormat/>
    <w:rsid w:val="00595E36"/>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595E36"/>
  </w:style>
  <w:style w:type="paragraph" w:styleId="21">
    <w:name w:val="toc 2"/>
    <w:basedOn w:val="a"/>
    <w:next w:val="a"/>
    <w:autoRedefine/>
    <w:uiPriority w:val="39"/>
    <w:unhideWhenUsed/>
    <w:rsid w:val="00A4784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4349">
      <w:bodyDiv w:val="1"/>
      <w:marLeft w:val="0"/>
      <w:marRight w:val="0"/>
      <w:marTop w:val="0"/>
      <w:marBottom w:val="0"/>
      <w:divBdr>
        <w:top w:val="none" w:sz="0" w:space="0" w:color="auto"/>
        <w:left w:val="none" w:sz="0" w:space="0" w:color="auto"/>
        <w:bottom w:val="none" w:sz="0" w:space="0" w:color="auto"/>
        <w:right w:val="none" w:sz="0" w:space="0" w:color="auto"/>
      </w:divBdr>
      <w:divsChild>
        <w:div w:id="170459889">
          <w:marLeft w:val="0"/>
          <w:marRight w:val="0"/>
          <w:marTop w:val="0"/>
          <w:marBottom w:val="0"/>
          <w:divBdr>
            <w:top w:val="single" w:sz="2" w:space="0" w:color="D9D9E3"/>
            <w:left w:val="single" w:sz="2" w:space="0" w:color="D9D9E3"/>
            <w:bottom w:val="single" w:sz="2" w:space="0" w:color="D9D9E3"/>
            <w:right w:val="single" w:sz="2" w:space="0" w:color="D9D9E3"/>
          </w:divBdr>
          <w:divsChild>
            <w:div w:id="161313473">
              <w:marLeft w:val="0"/>
              <w:marRight w:val="0"/>
              <w:marTop w:val="0"/>
              <w:marBottom w:val="0"/>
              <w:divBdr>
                <w:top w:val="single" w:sz="2" w:space="0" w:color="D9D9E3"/>
                <w:left w:val="single" w:sz="2" w:space="0" w:color="D9D9E3"/>
                <w:bottom w:val="single" w:sz="2" w:space="0" w:color="D9D9E3"/>
                <w:right w:val="single" w:sz="2" w:space="0" w:color="D9D9E3"/>
              </w:divBdr>
              <w:divsChild>
                <w:div w:id="466288854">
                  <w:marLeft w:val="0"/>
                  <w:marRight w:val="0"/>
                  <w:marTop w:val="0"/>
                  <w:marBottom w:val="0"/>
                  <w:divBdr>
                    <w:top w:val="single" w:sz="2" w:space="0" w:color="D9D9E3"/>
                    <w:left w:val="single" w:sz="2" w:space="0" w:color="D9D9E3"/>
                    <w:bottom w:val="single" w:sz="2" w:space="0" w:color="D9D9E3"/>
                    <w:right w:val="single" w:sz="2" w:space="0" w:color="D9D9E3"/>
                  </w:divBdr>
                  <w:divsChild>
                    <w:div w:id="2050102611">
                      <w:marLeft w:val="0"/>
                      <w:marRight w:val="0"/>
                      <w:marTop w:val="0"/>
                      <w:marBottom w:val="0"/>
                      <w:divBdr>
                        <w:top w:val="single" w:sz="2" w:space="0" w:color="D9D9E3"/>
                        <w:left w:val="single" w:sz="2" w:space="0" w:color="D9D9E3"/>
                        <w:bottom w:val="single" w:sz="2" w:space="0" w:color="D9D9E3"/>
                        <w:right w:val="single" w:sz="2" w:space="0" w:color="D9D9E3"/>
                      </w:divBdr>
                      <w:divsChild>
                        <w:div w:id="1555852645">
                          <w:marLeft w:val="0"/>
                          <w:marRight w:val="0"/>
                          <w:marTop w:val="0"/>
                          <w:marBottom w:val="0"/>
                          <w:divBdr>
                            <w:top w:val="single" w:sz="2" w:space="0" w:color="auto"/>
                            <w:left w:val="single" w:sz="2" w:space="0" w:color="auto"/>
                            <w:bottom w:val="single" w:sz="6" w:space="0" w:color="auto"/>
                            <w:right w:val="single" w:sz="2" w:space="0" w:color="auto"/>
                          </w:divBdr>
                          <w:divsChild>
                            <w:div w:id="1053581174">
                              <w:marLeft w:val="0"/>
                              <w:marRight w:val="0"/>
                              <w:marTop w:val="100"/>
                              <w:marBottom w:val="100"/>
                              <w:divBdr>
                                <w:top w:val="single" w:sz="2" w:space="0" w:color="D9D9E3"/>
                                <w:left w:val="single" w:sz="2" w:space="0" w:color="D9D9E3"/>
                                <w:bottom w:val="single" w:sz="2" w:space="0" w:color="D9D9E3"/>
                                <w:right w:val="single" w:sz="2" w:space="0" w:color="D9D9E3"/>
                              </w:divBdr>
                              <w:divsChild>
                                <w:div w:id="1982149080">
                                  <w:marLeft w:val="0"/>
                                  <w:marRight w:val="0"/>
                                  <w:marTop w:val="0"/>
                                  <w:marBottom w:val="0"/>
                                  <w:divBdr>
                                    <w:top w:val="single" w:sz="2" w:space="0" w:color="D9D9E3"/>
                                    <w:left w:val="single" w:sz="2" w:space="0" w:color="D9D9E3"/>
                                    <w:bottom w:val="single" w:sz="2" w:space="0" w:color="D9D9E3"/>
                                    <w:right w:val="single" w:sz="2" w:space="0" w:color="D9D9E3"/>
                                  </w:divBdr>
                                  <w:divsChild>
                                    <w:div w:id="412121777">
                                      <w:marLeft w:val="0"/>
                                      <w:marRight w:val="0"/>
                                      <w:marTop w:val="0"/>
                                      <w:marBottom w:val="0"/>
                                      <w:divBdr>
                                        <w:top w:val="single" w:sz="2" w:space="0" w:color="D9D9E3"/>
                                        <w:left w:val="single" w:sz="2" w:space="0" w:color="D9D9E3"/>
                                        <w:bottom w:val="single" w:sz="2" w:space="0" w:color="D9D9E3"/>
                                        <w:right w:val="single" w:sz="2" w:space="0" w:color="D9D9E3"/>
                                      </w:divBdr>
                                      <w:divsChild>
                                        <w:div w:id="56754493">
                                          <w:marLeft w:val="0"/>
                                          <w:marRight w:val="0"/>
                                          <w:marTop w:val="0"/>
                                          <w:marBottom w:val="0"/>
                                          <w:divBdr>
                                            <w:top w:val="single" w:sz="2" w:space="0" w:color="D9D9E3"/>
                                            <w:left w:val="single" w:sz="2" w:space="0" w:color="D9D9E3"/>
                                            <w:bottom w:val="single" w:sz="2" w:space="0" w:color="D9D9E3"/>
                                            <w:right w:val="single" w:sz="2" w:space="0" w:color="D9D9E3"/>
                                          </w:divBdr>
                                          <w:divsChild>
                                            <w:div w:id="1012802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2570200">
                          <w:marLeft w:val="0"/>
                          <w:marRight w:val="0"/>
                          <w:marTop w:val="0"/>
                          <w:marBottom w:val="0"/>
                          <w:divBdr>
                            <w:top w:val="single" w:sz="2" w:space="0" w:color="auto"/>
                            <w:left w:val="single" w:sz="2" w:space="0" w:color="auto"/>
                            <w:bottom w:val="single" w:sz="6" w:space="0" w:color="auto"/>
                            <w:right w:val="single" w:sz="2" w:space="0" w:color="auto"/>
                          </w:divBdr>
                          <w:divsChild>
                            <w:div w:id="893614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479032438">
                                  <w:marLeft w:val="0"/>
                                  <w:marRight w:val="0"/>
                                  <w:marTop w:val="0"/>
                                  <w:marBottom w:val="0"/>
                                  <w:divBdr>
                                    <w:top w:val="single" w:sz="2" w:space="0" w:color="D9D9E3"/>
                                    <w:left w:val="single" w:sz="2" w:space="0" w:color="D9D9E3"/>
                                    <w:bottom w:val="single" w:sz="2" w:space="0" w:color="D9D9E3"/>
                                    <w:right w:val="single" w:sz="2" w:space="0" w:color="D9D9E3"/>
                                  </w:divBdr>
                                  <w:divsChild>
                                    <w:div w:id="1903322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93326282">
                                  <w:marLeft w:val="0"/>
                                  <w:marRight w:val="0"/>
                                  <w:marTop w:val="0"/>
                                  <w:marBottom w:val="0"/>
                                  <w:divBdr>
                                    <w:top w:val="single" w:sz="2" w:space="0" w:color="D9D9E3"/>
                                    <w:left w:val="single" w:sz="2" w:space="0" w:color="D9D9E3"/>
                                    <w:bottom w:val="single" w:sz="2" w:space="0" w:color="D9D9E3"/>
                                    <w:right w:val="single" w:sz="2" w:space="0" w:color="D9D9E3"/>
                                  </w:divBdr>
                                  <w:divsChild>
                                    <w:div w:id="684139164">
                                      <w:marLeft w:val="0"/>
                                      <w:marRight w:val="0"/>
                                      <w:marTop w:val="0"/>
                                      <w:marBottom w:val="0"/>
                                      <w:divBdr>
                                        <w:top w:val="single" w:sz="2" w:space="0" w:color="D9D9E3"/>
                                        <w:left w:val="single" w:sz="2" w:space="0" w:color="D9D9E3"/>
                                        <w:bottom w:val="single" w:sz="2" w:space="0" w:color="D9D9E3"/>
                                        <w:right w:val="single" w:sz="2" w:space="0" w:color="D9D9E3"/>
                                      </w:divBdr>
                                      <w:divsChild>
                                        <w:div w:id="1350568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4807598">
                          <w:marLeft w:val="0"/>
                          <w:marRight w:val="0"/>
                          <w:marTop w:val="0"/>
                          <w:marBottom w:val="0"/>
                          <w:divBdr>
                            <w:top w:val="single" w:sz="2" w:space="0" w:color="auto"/>
                            <w:left w:val="single" w:sz="2" w:space="0" w:color="auto"/>
                            <w:bottom w:val="single" w:sz="6" w:space="0" w:color="auto"/>
                            <w:right w:val="single" w:sz="2" w:space="0" w:color="auto"/>
                          </w:divBdr>
                          <w:divsChild>
                            <w:div w:id="469444092">
                              <w:marLeft w:val="0"/>
                              <w:marRight w:val="0"/>
                              <w:marTop w:val="100"/>
                              <w:marBottom w:val="100"/>
                              <w:divBdr>
                                <w:top w:val="single" w:sz="2" w:space="0" w:color="D9D9E3"/>
                                <w:left w:val="single" w:sz="2" w:space="0" w:color="D9D9E3"/>
                                <w:bottom w:val="single" w:sz="2" w:space="0" w:color="D9D9E3"/>
                                <w:right w:val="single" w:sz="2" w:space="0" w:color="D9D9E3"/>
                              </w:divBdr>
                              <w:divsChild>
                                <w:div w:id="182868740">
                                  <w:marLeft w:val="0"/>
                                  <w:marRight w:val="0"/>
                                  <w:marTop w:val="0"/>
                                  <w:marBottom w:val="0"/>
                                  <w:divBdr>
                                    <w:top w:val="single" w:sz="2" w:space="0" w:color="D9D9E3"/>
                                    <w:left w:val="single" w:sz="2" w:space="0" w:color="D9D9E3"/>
                                    <w:bottom w:val="single" w:sz="2" w:space="0" w:color="D9D9E3"/>
                                    <w:right w:val="single" w:sz="2" w:space="0" w:color="D9D9E3"/>
                                  </w:divBdr>
                                  <w:divsChild>
                                    <w:div w:id="1131437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9449206">
                                  <w:marLeft w:val="0"/>
                                  <w:marRight w:val="0"/>
                                  <w:marTop w:val="0"/>
                                  <w:marBottom w:val="0"/>
                                  <w:divBdr>
                                    <w:top w:val="single" w:sz="2" w:space="0" w:color="D9D9E3"/>
                                    <w:left w:val="single" w:sz="2" w:space="0" w:color="D9D9E3"/>
                                    <w:bottom w:val="single" w:sz="2" w:space="0" w:color="D9D9E3"/>
                                    <w:right w:val="single" w:sz="2" w:space="0" w:color="D9D9E3"/>
                                  </w:divBdr>
                                  <w:divsChild>
                                    <w:div w:id="915364366">
                                      <w:marLeft w:val="0"/>
                                      <w:marRight w:val="0"/>
                                      <w:marTop w:val="0"/>
                                      <w:marBottom w:val="0"/>
                                      <w:divBdr>
                                        <w:top w:val="single" w:sz="2" w:space="0" w:color="D9D9E3"/>
                                        <w:left w:val="single" w:sz="2" w:space="0" w:color="D9D9E3"/>
                                        <w:bottom w:val="single" w:sz="2" w:space="0" w:color="D9D9E3"/>
                                        <w:right w:val="single" w:sz="2" w:space="0" w:color="D9D9E3"/>
                                      </w:divBdr>
                                      <w:divsChild>
                                        <w:div w:id="184750916">
                                          <w:marLeft w:val="0"/>
                                          <w:marRight w:val="0"/>
                                          <w:marTop w:val="0"/>
                                          <w:marBottom w:val="0"/>
                                          <w:divBdr>
                                            <w:top w:val="single" w:sz="2" w:space="0" w:color="D9D9E3"/>
                                            <w:left w:val="single" w:sz="2" w:space="0" w:color="D9D9E3"/>
                                            <w:bottom w:val="single" w:sz="2" w:space="0" w:color="D9D9E3"/>
                                            <w:right w:val="single" w:sz="2" w:space="0" w:color="D9D9E3"/>
                                          </w:divBdr>
                                          <w:divsChild>
                                            <w:div w:id="1299263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771335">
          <w:marLeft w:val="0"/>
          <w:marRight w:val="0"/>
          <w:marTop w:val="0"/>
          <w:marBottom w:val="0"/>
          <w:divBdr>
            <w:top w:val="none" w:sz="0" w:space="0" w:color="auto"/>
            <w:left w:val="none" w:sz="0" w:space="0" w:color="auto"/>
            <w:bottom w:val="none" w:sz="0" w:space="0" w:color="auto"/>
            <w:right w:val="none" w:sz="0" w:space="0" w:color="auto"/>
          </w:divBdr>
        </w:div>
      </w:divsChild>
    </w:div>
    <w:div w:id="23411504">
      <w:bodyDiv w:val="1"/>
      <w:marLeft w:val="0"/>
      <w:marRight w:val="0"/>
      <w:marTop w:val="0"/>
      <w:marBottom w:val="0"/>
      <w:divBdr>
        <w:top w:val="none" w:sz="0" w:space="0" w:color="auto"/>
        <w:left w:val="none" w:sz="0" w:space="0" w:color="auto"/>
        <w:bottom w:val="none" w:sz="0" w:space="0" w:color="auto"/>
        <w:right w:val="none" w:sz="0" w:space="0" w:color="auto"/>
      </w:divBdr>
      <w:divsChild>
        <w:div w:id="317999142">
          <w:marLeft w:val="720"/>
          <w:marRight w:val="0"/>
          <w:marTop w:val="82"/>
          <w:marBottom w:val="0"/>
          <w:divBdr>
            <w:top w:val="none" w:sz="0" w:space="0" w:color="auto"/>
            <w:left w:val="none" w:sz="0" w:space="0" w:color="auto"/>
            <w:bottom w:val="none" w:sz="0" w:space="0" w:color="auto"/>
            <w:right w:val="none" w:sz="0" w:space="0" w:color="auto"/>
          </w:divBdr>
        </w:div>
      </w:divsChild>
    </w:div>
    <w:div w:id="137575452">
      <w:bodyDiv w:val="1"/>
      <w:marLeft w:val="0"/>
      <w:marRight w:val="0"/>
      <w:marTop w:val="0"/>
      <w:marBottom w:val="0"/>
      <w:divBdr>
        <w:top w:val="none" w:sz="0" w:space="0" w:color="auto"/>
        <w:left w:val="none" w:sz="0" w:space="0" w:color="auto"/>
        <w:bottom w:val="none" w:sz="0" w:space="0" w:color="auto"/>
        <w:right w:val="none" w:sz="0" w:space="0" w:color="auto"/>
      </w:divBdr>
      <w:divsChild>
        <w:div w:id="159732805">
          <w:marLeft w:val="720"/>
          <w:marRight w:val="0"/>
          <w:marTop w:val="77"/>
          <w:marBottom w:val="0"/>
          <w:divBdr>
            <w:top w:val="none" w:sz="0" w:space="0" w:color="auto"/>
            <w:left w:val="none" w:sz="0" w:space="0" w:color="auto"/>
            <w:bottom w:val="none" w:sz="0" w:space="0" w:color="auto"/>
            <w:right w:val="none" w:sz="0" w:space="0" w:color="auto"/>
          </w:divBdr>
        </w:div>
      </w:divsChild>
    </w:div>
    <w:div w:id="333849537">
      <w:bodyDiv w:val="1"/>
      <w:marLeft w:val="0"/>
      <w:marRight w:val="0"/>
      <w:marTop w:val="0"/>
      <w:marBottom w:val="0"/>
      <w:divBdr>
        <w:top w:val="none" w:sz="0" w:space="0" w:color="auto"/>
        <w:left w:val="none" w:sz="0" w:space="0" w:color="auto"/>
        <w:bottom w:val="none" w:sz="0" w:space="0" w:color="auto"/>
        <w:right w:val="none" w:sz="0" w:space="0" w:color="auto"/>
      </w:divBdr>
    </w:div>
    <w:div w:id="378746051">
      <w:bodyDiv w:val="1"/>
      <w:marLeft w:val="0"/>
      <w:marRight w:val="0"/>
      <w:marTop w:val="0"/>
      <w:marBottom w:val="0"/>
      <w:divBdr>
        <w:top w:val="none" w:sz="0" w:space="0" w:color="auto"/>
        <w:left w:val="none" w:sz="0" w:space="0" w:color="auto"/>
        <w:bottom w:val="none" w:sz="0" w:space="0" w:color="auto"/>
        <w:right w:val="none" w:sz="0" w:space="0" w:color="auto"/>
      </w:divBdr>
    </w:div>
    <w:div w:id="441807109">
      <w:bodyDiv w:val="1"/>
      <w:marLeft w:val="0"/>
      <w:marRight w:val="0"/>
      <w:marTop w:val="0"/>
      <w:marBottom w:val="0"/>
      <w:divBdr>
        <w:top w:val="none" w:sz="0" w:space="0" w:color="auto"/>
        <w:left w:val="none" w:sz="0" w:space="0" w:color="auto"/>
        <w:bottom w:val="none" w:sz="0" w:space="0" w:color="auto"/>
        <w:right w:val="none" w:sz="0" w:space="0" w:color="auto"/>
      </w:divBdr>
    </w:div>
    <w:div w:id="555244564">
      <w:bodyDiv w:val="1"/>
      <w:marLeft w:val="0"/>
      <w:marRight w:val="0"/>
      <w:marTop w:val="0"/>
      <w:marBottom w:val="0"/>
      <w:divBdr>
        <w:top w:val="none" w:sz="0" w:space="0" w:color="auto"/>
        <w:left w:val="none" w:sz="0" w:space="0" w:color="auto"/>
        <w:bottom w:val="none" w:sz="0" w:space="0" w:color="auto"/>
        <w:right w:val="none" w:sz="0" w:space="0" w:color="auto"/>
      </w:divBdr>
    </w:div>
    <w:div w:id="682561055">
      <w:bodyDiv w:val="1"/>
      <w:marLeft w:val="0"/>
      <w:marRight w:val="0"/>
      <w:marTop w:val="0"/>
      <w:marBottom w:val="0"/>
      <w:divBdr>
        <w:top w:val="none" w:sz="0" w:space="0" w:color="auto"/>
        <w:left w:val="none" w:sz="0" w:space="0" w:color="auto"/>
        <w:bottom w:val="none" w:sz="0" w:space="0" w:color="auto"/>
        <w:right w:val="none" w:sz="0" w:space="0" w:color="auto"/>
      </w:divBdr>
    </w:div>
    <w:div w:id="696155271">
      <w:bodyDiv w:val="1"/>
      <w:marLeft w:val="0"/>
      <w:marRight w:val="0"/>
      <w:marTop w:val="0"/>
      <w:marBottom w:val="0"/>
      <w:divBdr>
        <w:top w:val="none" w:sz="0" w:space="0" w:color="auto"/>
        <w:left w:val="none" w:sz="0" w:space="0" w:color="auto"/>
        <w:bottom w:val="none" w:sz="0" w:space="0" w:color="auto"/>
        <w:right w:val="none" w:sz="0" w:space="0" w:color="auto"/>
      </w:divBdr>
    </w:div>
    <w:div w:id="710686832">
      <w:bodyDiv w:val="1"/>
      <w:marLeft w:val="0"/>
      <w:marRight w:val="0"/>
      <w:marTop w:val="0"/>
      <w:marBottom w:val="0"/>
      <w:divBdr>
        <w:top w:val="none" w:sz="0" w:space="0" w:color="auto"/>
        <w:left w:val="none" w:sz="0" w:space="0" w:color="auto"/>
        <w:bottom w:val="none" w:sz="0" w:space="0" w:color="auto"/>
        <w:right w:val="none" w:sz="0" w:space="0" w:color="auto"/>
      </w:divBdr>
    </w:div>
    <w:div w:id="807862368">
      <w:bodyDiv w:val="1"/>
      <w:marLeft w:val="0"/>
      <w:marRight w:val="0"/>
      <w:marTop w:val="0"/>
      <w:marBottom w:val="0"/>
      <w:divBdr>
        <w:top w:val="none" w:sz="0" w:space="0" w:color="auto"/>
        <w:left w:val="none" w:sz="0" w:space="0" w:color="auto"/>
        <w:bottom w:val="none" w:sz="0" w:space="0" w:color="auto"/>
        <w:right w:val="none" w:sz="0" w:space="0" w:color="auto"/>
      </w:divBdr>
    </w:div>
    <w:div w:id="940528858">
      <w:bodyDiv w:val="1"/>
      <w:marLeft w:val="0"/>
      <w:marRight w:val="0"/>
      <w:marTop w:val="0"/>
      <w:marBottom w:val="0"/>
      <w:divBdr>
        <w:top w:val="none" w:sz="0" w:space="0" w:color="auto"/>
        <w:left w:val="none" w:sz="0" w:space="0" w:color="auto"/>
        <w:bottom w:val="none" w:sz="0" w:space="0" w:color="auto"/>
        <w:right w:val="none" w:sz="0" w:space="0" w:color="auto"/>
      </w:divBdr>
    </w:div>
    <w:div w:id="986131970">
      <w:bodyDiv w:val="1"/>
      <w:marLeft w:val="0"/>
      <w:marRight w:val="0"/>
      <w:marTop w:val="0"/>
      <w:marBottom w:val="0"/>
      <w:divBdr>
        <w:top w:val="none" w:sz="0" w:space="0" w:color="auto"/>
        <w:left w:val="none" w:sz="0" w:space="0" w:color="auto"/>
        <w:bottom w:val="none" w:sz="0" w:space="0" w:color="auto"/>
        <w:right w:val="none" w:sz="0" w:space="0" w:color="auto"/>
      </w:divBdr>
      <w:divsChild>
        <w:div w:id="2060861556">
          <w:marLeft w:val="547"/>
          <w:marRight w:val="0"/>
          <w:marTop w:val="0"/>
          <w:marBottom w:val="0"/>
          <w:divBdr>
            <w:top w:val="none" w:sz="0" w:space="0" w:color="auto"/>
            <w:left w:val="none" w:sz="0" w:space="0" w:color="auto"/>
            <w:bottom w:val="none" w:sz="0" w:space="0" w:color="auto"/>
            <w:right w:val="none" w:sz="0" w:space="0" w:color="auto"/>
          </w:divBdr>
        </w:div>
      </w:divsChild>
    </w:div>
    <w:div w:id="1078600136">
      <w:bodyDiv w:val="1"/>
      <w:marLeft w:val="0"/>
      <w:marRight w:val="0"/>
      <w:marTop w:val="0"/>
      <w:marBottom w:val="0"/>
      <w:divBdr>
        <w:top w:val="none" w:sz="0" w:space="0" w:color="auto"/>
        <w:left w:val="none" w:sz="0" w:space="0" w:color="auto"/>
        <w:bottom w:val="none" w:sz="0" w:space="0" w:color="auto"/>
        <w:right w:val="none" w:sz="0" w:space="0" w:color="auto"/>
      </w:divBdr>
    </w:div>
    <w:div w:id="1107769374">
      <w:bodyDiv w:val="1"/>
      <w:marLeft w:val="0"/>
      <w:marRight w:val="0"/>
      <w:marTop w:val="0"/>
      <w:marBottom w:val="0"/>
      <w:divBdr>
        <w:top w:val="none" w:sz="0" w:space="0" w:color="auto"/>
        <w:left w:val="none" w:sz="0" w:space="0" w:color="auto"/>
        <w:bottom w:val="none" w:sz="0" w:space="0" w:color="auto"/>
        <w:right w:val="none" w:sz="0" w:space="0" w:color="auto"/>
      </w:divBdr>
    </w:div>
    <w:div w:id="1108084160">
      <w:bodyDiv w:val="1"/>
      <w:marLeft w:val="0"/>
      <w:marRight w:val="0"/>
      <w:marTop w:val="0"/>
      <w:marBottom w:val="0"/>
      <w:divBdr>
        <w:top w:val="none" w:sz="0" w:space="0" w:color="auto"/>
        <w:left w:val="none" w:sz="0" w:space="0" w:color="auto"/>
        <w:bottom w:val="none" w:sz="0" w:space="0" w:color="auto"/>
        <w:right w:val="none" w:sz="0" w:space="0" w:color="auto"/>
      </w:divBdr>
    </w:div>
    <w:div w:id="1120881483">
      <w:bodyDiv w:val="1"/>
      <w:marLeft w:val="0"/>
      <w:marRight w:val="0"/>
      <w:marTop w:val="0"/>
      <w:marBottom w:val="0"/>
      <w:divBdr>
        <w:top w:val="none" w:sz="0" w:space="0" w:color="auto"/>
        <w:left w:val="none" w:sz="0" w:space="0" w:color="auto"/>
        <w:bottom w:val="none" w:sz="0" w:space="0" w:color="auto"/>
        <w:right w:val="none" w:sz="0" w:space="0" w:color="auto"/>
      </w:divBdr>
    </w:div>
    <w:div w:id="1133520132">
      <w:bodyDiv w:val="1"/>
      <w:marLeft w:val="0"/>
      <w:marRight w:val="0"/>
      <w:marTop w:val="0"/>
      <w:marBottom w:val="0"/>
      <w:divBdr>
        <w:top w:val="none" w:sz="0" w:space="0" w:color="auto"/>
        <w:left w:val="none" w:sz="0" w:space="0" w:color="auto"/>
        <w:bottom w:val="none" w:sz="0" w:space="0" w:color="auto"/>
        <w:right w:val="none" w:sz="0" w:space="0" w:color="auto"/>
      </w:divBdr>
      <w:divsChild>
        <w:div w:id="136916386">
          <w:marLeft w:val="547"/>
          <w:marRight w:val="0"/>
          <w:marTop w:val="0"/>
          <w:marBottom w:val="0"/>
          <w:divBdr>
            <w:top w:val="none" w:sz="0" w:space="0" w:color="auto"/>
            <w:left w:val="none" w:sz="0" w:space="0" w:color="auto"/>
            <w:bottom w:val="none" w:sz="0" w:space="0" w:color="auto"/>
            <w:right w:val="none" w:sz="0" w:space="0" w:color="auto"/>
          </w:divBdr>
        </w:div>
      </w:divsChild>
    </w:div>
    <w:div w:id="1218861161">
      <w:bodyDiv w:val="1"/>
      <w:marLeft w:val="0"/>
      <w:marRight w:val="0"/>
      <w:marTop w:val="0"/>
      <w:marBottom w:val="0"/>
      <w:divBdr>
        <w:top w:val="none" w:sz="0" w:space="0" w:color="auto"/>
        <w:left w:val="none" w:sz="0" w:space="0" w:color="auto"/>
        <w:bottom w:val="none" w:sz="0" w:space="0" w:color="auto"/>
        <w:right w:val="none" w:sz="0" w:space="0" w:color="auto"/>
      </w:divBdr>
    </w:div>
    <w:div w:id="1258363235">
      <w:bodyDiv w:val="1"/>
      <w:marLeft w:val="0"/>
      <w:marRight w:val="0"/>
      <w:marTop w:val="0"/>
      <w:marBottom w:val="0"/>
      <w:divBdr>
        <w:top w:val="none" w:sz="0" w:space="0" w:color="auto"/>
        <w:left w:val="none" w:sz="0" w:space="0" w:color="auto"/>
        <w:bottom w:val="none" w:sz="0" w:space="0" w:color="auto"/>
        <w:right w:val="none" w:sz="0" w:space="0" w:color="auto"/>
      </w:divBdr>
    </w:div>
    <w:div w:id="1374891630">
      <w:bodyDiv w:val="1"/>
      <w:marLeft w:val="0"/>
      <w:marRight w:val="0"/>
      <w:marTop w:val="0"/>
      <w:marBottom w:val="0"/>
      <w:divBdr>
        <w:top w:val="none" w:sz="0" w:space="0" w:color="auto"/>
        <w:left w:val="none" w:sz="0" w:space="0" w:color="auto"/>
        <w:bottom w:val="none" w:sz="0" w:space="0" w:color="auto"/>
        <w:right w:val="none" w:sz="0" w:space="0" w:color="auto"/>
      </w:divBdr>
    </w:div>
    <w:div w:id="1437094531">
      <w:bodyDiv w:val="1"/>
      <w:marLeft w:val="0"/>
      <w:marRight w:val="0"/>
      <w:marTop w:val="0"/>
      <w:marBottom w:val="0"/>
      <w:divBdr>
        <w:top w:val="none" w:sz="0" w:space="0" w:color="auto"/>
        <w:left w:val="none" w:sz="0" w:space="0" w:color="auto"/>
        <w:bottom w:val="none" w:sz="0" w:space="0" w:color="auto"/>
        <w:right w:val="none" w:sz="0" w:space="0" w:color="auto"/>
      </w:divBdr>
    </w:div>
    <w:div w:id="1483351561">
      <w:bodyDiv w:val="1"/>
      <w:marLeft w:val="0"/>
      <w:marRight w:val="0"/>
      <w:marTop w:val="0"/>
      <w:marBottom w:val="0"/>
      <w:divBdr>
        <w:top w:val="none" w:sz="0" w:space="0" w:color="auto"/>
        <w:left w:val="none" w:sz="0" w:space="0" w:color="auto"/>
        <w:bottom w:val="none" w:sz="0" w:space="0" w:color="auto"/>
        <w:right w:val="none" w:sz="0" w:space="0" w:color="auto"/>
      </w:divBdr>
      <w:divsChild>
        <w:div w:id="1129980265">
          <w:marLeft w:val="1325"/>
          <w:marRight w:val="0"/>
          <w:marTop w:val="0"/>
          <w:marBottom w:val="0"/>
          <w:divBdr>
            <w:top w:val="none" w:sz="0" w:space="0" w:color="auto"/>
            <w:left w:val="none" w:sz="0" w:space="0" w:color="auto"/>
            <w:bottom w:val="none" w:sz="0" w:space="0" w:color="auto"/>
            <w:right w:val="none" w:sz="0" w:space="0" w:color="auto"/>
          </w:divBdr>
        </w:div>
      </w:divsChild>
    </w:div>
    <w:div w:id="1510176688">
      <w:bodyDiv w:val="1"/>
      <w:marLeft w:val="0"/>
      <w:marRight w:val="0"/>
      <w:marTop w:val="0"/>
      <w:marBottom w:val="0"/>
      <w:divBdr>
        <w:top w:val="none" w:sz="0" w:space="0" w:color="auto"/>
        <w:left w:val="none" w:sz="0" w:space="0" w:color="auto"/>
        <w:bottom w:val="none" w:sz="0" w:space="0" w:color="auto"/>
        <w:right w:val="none" w:sz="0" w:space="0" w:color="auto"/>
      </w:divBdr>
    </w:div>
    <w:div w:id="1528635903">
      <w:bodyDiv w:val="1"/>
      <w:marLeft w:val="0"/>
      <w:marRight w:val="0"/>
      <w:marTop w:val="0"/>
      <w:marBottom w:val="0"/>
      <w:divBdr>
        <w:top w:val="none" w:sz="0" w:space="0" w:color="auto"/>
        <w:left w:val="none" w:sz="0" w:space="0" w:color="auto"/>
        <w:bottom w:val="none" w:sz="0" w:space="0" w:color="auto"/>
        <w:right w:val="none" w:sz="0" w:space="0" w:color="auto"/>
      </w:divBdr>
      <w:divsChild>
        <w:div w:id="983393896">
          <w:marLeft w:val="547"/>
          <w:marRight w:val="0"/>
          <w:marTop w:val="0"/>
          <w:marBottom w:val="0"/>
          <w:divBdr>
            <w:top w:val="none" w:sz="0" w:space="0" w:color="auto"/>
            <w:left w:val="none" w:sz="0" w:space="0" w:color="auto"/>
            <w:bottom w:val="none" w:sz="0" w:space="0" w:color="auto"/>
            <w:right w:val="none" w:sz="0" w:space="0" w:color="auto"/>
          </w:divBdr>
        </w:div>
      </w:divsChild>
    </w:div>
    <w:div w:id="1590918297">
      <w:bodyDiv w:val="1"/>
      <w:marLeft w:val="0"/>
      <w:marRight w:val="0"/>
      <w:marTop w:val="0"/>
      <w:marBottom w:val="0"/>
      <w:divBdr>
        <w:top w:val="none" w:sz="0" w:space="0" w:color="auto"/>
        <w:left w:val="none" w:sz="0" w:space="0" w:color="auto"/>
        <w:bottom w:val="none" w:sz="0" w:space="0" w:color="auto"/>
        <w:right w:val="none" w:sz="0" w:space="0" w:color="auto"/>
      </w:divBdr>
      <w:divsChild>
        <w:div w:id="559825471">
          <w:marLeft w:val="547"/>
          <w:marRight w:val="0"/>
          <w:marTop w:val="0"/>
          <w:marBottom w:val="0"/>
          <w:divBdr>
            <w:top w:val="none" w:sz="0" w:space="0" w:color="auto"/>
            <w:left w:val="none" w:sz="0" w:space="0" w:color="auto"/>
            <w:bottom w:val="none" w:sz="0" w:space="0" w:color="auto"/>
            <w:right w:val="none" w:sz="0" w:space="0" w:color="auto"/>
          </w:divBdr>
        </w:div>
        <w:div w:id="2064062451">
          <w:marLeft w:val="547"/>
          <w:marRight w:val="0"/>
          <w:marTop w:val="0"/>
          <w:marBottom w:val="0"/>
          <w:divBdr>
            <w:top w:val="none" w:sz="0" w:space="0" w:color="auto"/>
            <w:left w:val="none" w:sz="0" w:space="0" w:color="auto"/>
            <w:bottom w:val="none" w:sz="0" w:space="0" w:color="auto"/>
            <w:right w:val="none" w:sz="0" w:space="0" w:color="auto"/>
          </w:divBdr>
        </w:div>
        <w:div w:id="146633017">
          <w:marLeft w:val="547"/>
          <w:marRight w:val="0"/>
          <w:marTop w:val="0"/>
          <w:marBottom w:val="0"/>
          <w:divBdr>
            <w:top w:val="none" w:sz="0" w:space="0" w:color="auto"/>
            <w:left w:val="none" w:sz="0" w:space="0" w:color="auto"/>
            <w:bottom w:val="none" w:sz="0" w:space="0" w:color="auto"/>
            <w:right w:val="none" w:sz="0" w:space="0" w:color="auto"/>
          </w:divBdr>
        </w:div>
        <w:div w:id="204604296">
          <w:marLeft w:val="547"/>
          <w:marRight w:val="0"/>
          <w:marTop w:val="0"/>
          <w:marBottom w:val="0"/>
          <w:divBdr>
            <w:top w:val="none" w:sz="0" w:space="0" w:color="auto"/>
            <w:left w:val="none" w:sz="0" w:space="0" w:color="auto"/>
            <w:bottom w:val="none" w:sz="0" w:space="0" w:color="auto"/>
            <w:right w:val="none" w:sz="0" w:space="0" w:color="auto"/>
          </w:divBdr>
        </w:div>
        <w:div w:id="1159538225">
          <w:marLeft w:val="547"/>
          <w:marRight w:val="0"/>
          <w:marTop w:val="0"/>
          <w:marBottom w:val="0"/>
          <w:divBdr>
            <w:top w:val="none" w:sz="0" w:space="0" w:color="auto"/>
            <w:left w:val="none" w:sz="0" w:space="0" w:color="auto"/>
            <w:bottom w:val="none" w:sz="0" w:space="0" w:color="auto"/>
            <w:right w:val="none" w:sz="0" w:space="0" w:color="auto"/>
          </w:divBdr>
        </w:div>
        <w:div w:id="873349794">
          <w:marLeft w:val="547"/>
          <w:marRight w:val="0"/>
          <w:marTop w:val="0"/>
          <w:marBottom w:val="0"/>
          <w:divBdr>
            <w:top w:val="none" w:sz="0" w:space="0" w:color="auto"/>
            <w:left w:val="none" w:sz="0" w:space="0" w:color="auto"/>
            <w:bottom w:val="none" w:sz="0" w:space="0" w:color="auto"/>
            <w:right w:val="none" w:sz="0" w:space="0" w:color="auto"/>
          </w:divBdr>
        </w:div>
      </w:divsChild>
    </w:div>
    <w:div w:id="1681352743">
      <w:bodyDiv w:val="1"/>
      <w:marLeft w:val="0"/>
      <w:marRight w:val="0"/>
      <w:marTop w:val="0"/>
      <w:marBottom w:val="0"/>
      <w:divBdr>
        <w:top w:val="none" w:sz="0" w:space="0" w:color="auto"/>
        <w:left w:val="none" w:sz="0" w:space="0" w:color="auto"/>
        <w:bottom w:val="none" w:sz="0" w:space="0" w:color="auto"/>
        <w:right w:val="none" w:sz="0" w:space="0" w:color="auto"/>
      </w:divBdr>
    </w:div>
    <w:div w:id="1681853790">
      <w:bodyDiv w:val="1"/>
      <w:marLeft w:val="0"/>
      <w:marRight w:val="0"/>
      <w:marTop w:val="0"/>
      <w:marBottom w:val="0"/>
      <w:divBdr>
        <w:top w:val="none" w:sz="0" w:space="0" w:color="auto"/>
        <w:left w:val="none" w:sz="0" w:space="0" w:color="auto"/>
        <w:bottom w:val="none" w:sz="0" w:space="0" w:color="auto"/>
        <w:right w:val="none" w:sz="0" w:space="0" w:color="auto"/>
      </w:divBdr>
      <w:divsChild>
        <w:div w:id="992176295">
          <w:marLeft w:val="547"/>
          <w:marRight w:val="0"/>
          <w:marTop w:val="0"/>
          <w:marBottom w:val="0"/>
          <w:divBdr>
            <w:top w:val="none" w:sz="0" w:space="0" w:color="auto"/>
            <w:left w:val="none" w:sz="0" w:space="0" w:color="auto"/>
            <w:bottom w:val="none" w:sz="0" w:space="0" w:color="auto"/>
            <w:right w:val="none" w:sz="0" w:space="0" w:color="auto"/>
          </w:divBdr>
        </w:div>
      </w:divsChild>
    </w:div>
    <w:div w:id="1748847253">
      <w:bodyDiv w:val="1"/>
      <w:marLeft w:val="0"/>
      <w:marRight w:val="0"/>
      <w:marTop w:val="0"/>
      <w:marBottom w:val="0"/>
      <w:divBdr>
        <w:top w:val="none" w:sz="0" w:space="0" w:color="auto"/>
        <w:left w:val="none" w:sz="0" w:space="0" w:color="auto"/>
        <w:bottom w:val="none" w:sz="0" w:space="0" w:color="auto"/>
        <w:right w:val="none" w:sz="0" w:space="0" w:color="auto"/>
      </w:divBdr>
    </w:div>
    <w:div w:id="1749569615">
      <w:bodyDiv w:val="1"/>
      <w:marLeft w:val="0"/>
      <w:marRight w:val="0"/>
      <w:marTop w:val="0"/>
      <w:marBottom w:val="0"/>
      <w:divBdr>
        <w:top w:val="none" w:sz="0" w:space="0" w:color="auto"/>
        <w:left w:val="none" w:sz="0" w:space="0" w:color="auto"/>
        <w:bottom w:val="none" w:sz="0" w:space="0" w:color="auto"/>
        <w:right w:val="none" w:sz="0" w:space="0" w:color="auto"/>
      </w:divBdr>
    </w:div>
    <w:div w:id="1770546054">
      <w:bodyDiv w:val="1"/>
      <w:marLeft w:val="0"/>
      <w:marRight w:val="0"/>
      <w:marTop w:val="0"/>
      <w:marBottom w:val="0"/>
      <w:divBdr>
        <w:top w:val="none" w:sz="0" w:space="0" w:color="auto"/>
        <w:left w:val="none" w:sz="0" w:space="0" w:color="auto"/>
        <w:bottom w:val="none" w:sz="0" w:space="0" w:color="auto"/>
        <w:right w:val="none" w:sz="0" w:space="0" w:color="auto"/>
      </w:divBdr>
      <w:divsChild>
        <w:div w:id="1822575721">
          <w:marLeft w:val="547"/>
          <w:marRight w:val="0"/>
          <w:marTop w:val="0"/>
          <w:marBottom w:val="0"/>
          <w:divBdr>
            <w:top w:val="none" w:sz="0" w:space="0" w:color="auto"/>
            <w:left w:val="none" w:sz="0" w:space="0" w:color="auto"/>
            <w:bottom w:val="none" w:sz="0" w:space="0" w:color="auto"/>
            <w:right w:val="none" w:sz="0" w:space="0" w:color="auto"/>
          </w:divBdr>
        </w:div>
      </w:divsChild>
    </w:div>
    <w:div w:id="1908301587">
      <w:bodyDiv w:val="1"/>
      <w:marLeft w:val="0"/>
      <w:marRight w:val="0"/>
      <w:marTop w:val="0"/>
      <w:marBottom w:val="0"/>
      <w:divBdr>
        <w:top w:val="none" w:sz="0" w:space="0" w:color="auto"/>
        <w:left w:val="none" w:sz="0" w:space="0" w:color="auto"/>
        <w:bottom w:val="none" w:sz="0" w:space="0" w:color="auto"/>
        <w:right w:val="none" w:sz="0" w:space="0" w:color="auto"/>
      </w:divBdr>
    </w:div>
    <w:div w:id="1922371571">
      <w:bodyDiv w:val="1"/>
      <w:marLeft w:val="0"/>
      <w:marRight w:val="0"/>
      <w:marTop w:val="0"/>
      <w:marBottom w:val="0"/>
      <w:divBdr>
        <w:top w:val="none" w:sz="0" w:space="0" w:color="auto"/>
        <w:left w:val="none" w:sz="0" w:space="0" w:color="auto"/>
        <w:bottom w:val="none" w:sz="0" w:space="0" w:color="auto"/>
        <w:right w:val="none" w:sz="0" w:space="0" w:color="auto"/>
      </w:divBdr>
    </w:div>
    <w:div w:id="1966157804">
      <w:bodyDiv w:val="1"/>
      <w:marLeft w:val="0"/>
      <w:marRight w:val="0"/>
      <w:marTop w:val="0"/>
      <w:marBottom w:val="0"/>
      <w:divBdr>
        <w:top w:val="none" w:sz="0" w:space="0" w:color="auto"/>
        <w:left w:val="none" w:sz="0" w:space="0" w:color="auto"/>
        <w:bottom w:val="none" w:sz="0" w:space="0" w:color="auto"/>
        <w:right w:val="none" w:sz="0" w:space="0" w:color="auto"/>
      </w:divBdr>
    </w:div>
    <w:div w:id="1993024603">
      <w:bodyDiv w:val="1"/>
      <w:marLeft w:val="0"/>
      <w:marRight w:val="0"/>
      <w:marTop w:val="0"/>
      <w:marBottom w:val="0"/>
      <w:divBdr>
        <w:top w:val="none" w:sz="0" w:space="0" w:color="auto"/>
        <w:left w:val="none" w:sz="0" w:space="0" w:color="auto"/>
        <w:bottom w:val="none" w:sz="0" w:space="0" w:color="auto"/>
        <w:right w:val="none" w:sz="0" w:space="0" w:color="auto"/>
      </w:divBdr>
      <w:divsChild>
        <w:div w:id="2014185616">
          <w:marLeft w:val="720"/>
          <w:marRight w:val="0"/>
          <w:marTop w:val="77"/>
          <w:marBottom w:val="0"/>
          <w:divBdr>
            <w:top w:val="none" w:sz="0" w:space="0" w:color="auto"/>
            <w:left w:val="none" w:sz="0" w:space="0" w:color="auto"/>
            <w:bottom w:val="none" w:sz="0" w:space="0" w:color="auto"/>
            <w:right w:val="none" w:sz="0" w:space="0" w:color="auto"/>
          </w:divBdr>
        </w:div>
      </w:divsChild>
    </w:div>
    <w:div w:id="206860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linkedin.com/posts/subodh-warekar-42b08314_tsmc-profit-beats-after-chip-demand-fares-activity-7054773552071262208-v6mE/?originalSubdomain=mz"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8384D-C0AB-474D-833C-D3A357CCD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4661</Words>
  <Characters>26572</Characters>
  <Application>Microsoft Office Word</Application>
  <DocSecurity>0</DocSecurity>
  <Lines>221</Lines>
  <Paragraphs>62</Paragraphs>
  <ScaleCrop>false</ScaleCrop>
  <Company/>
  <LinksUpToDate>false</LinksUpToDate>
  <CharactersWithSpaces>31171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a46517</dc:creator>
  <cp:keywords/>
  <dc:description/>
  <cp:lastModifiedBy>a46517</cp:lastModifiedBy>
  <cp:revision>2</cp:revision>
  <dcterms:created xsi:type="dcterms:W3CDTF">2023-05-04T10:36:00Z</dcterms:created>
  <dcterms:modified xsi:type="dcterms:W3CDTF">2023-05-04T10:36:00Z</dcterms:modified>
</cp:coreProperties>
</file>