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2C7B0" w14:textId="77777777" w:rsidR="005E43F8" w:rsidRPr="005E43F8" w:rsidRDefault="005E43F8" w:rsidP="005E43F8">
      <w:pPr>
        <w:spacing w:line="360" w:lineRule="auto"/>
        <w:jc w:val="both"/>
        <w:rPr>
          <w:rFonts w:ascii="Arial" w:hAnsi="Arial" w:cs="Arial"/>
          <w:sz w:val="24"/>
          <w:szCs w:val="24"/>
        </w:rPr>
      </w:pPr>
    </w:p>
    <w:p w14:paraId="25336C80" w14:textId="77777777" w:rsidR="005E43F8" w:rsidRPr="005E43F8" w:rsidRDefault="005E43F8" w:rsidP="005E43F8">
      <w:pPr>
        <w:spacing w:line="360" w:lineRule="auto"/>
        <w:jc w:val="both"/>
        <w:rPr>
          <w:rFonts w:ascii="Arial" w:hAnsi="Arial" w:cs="Arial"/>
          <w:sz w:val="24"/>
          <w:szCs w:val="24"/>
        </w:rPr>
      </w:pPr>
    </w:p>
    <w:p w14:paraId="4E84BB4D" w14:textId="77777777" w:rsidR="005E43F8" w:rsidRPr="005E43F8" w:rsidRDefault="005E43F8" w:rsidP="005E43F8">
      <w:pPr>
        <w:spacing w:before="120" w:after="120" w:line="360" w:lineRule="auto"/>
        <w:jc w:val="both"/>
        <w:rPr>
          <w:rFonts w:ascii="Arial" w:eastAsia="Arial" w:hAnsi="Arial" w:cs="Arial"/>
          <w:sz w:val="24"/>
          <w:szCs w:val="24"/>
        </w:rPr>
      </w:pPr>
      <w:r w:rsidRPr="005E43F8">
        <w:rPr>
          <w:rFonts w:ascii="Arial" w:eastAsia="Arial" w:hAnsi="Arial" w:cs="Arial"/>
          <w:b/>
          <w:bCs/>
          <w:sz w:val="24"/>
          <w:szCs w:val="24"/>
        </w:rPr>
        <w:t>Evidence Based Policing &amp; Applications</w:t>
      </w:r>
    </w:p>
    <w:p w14:paraId="76A9B38B" w14:textId="77777777" w:rsidR="005E43F8" w:rsidRPr="005E43F8" w:rsidRDefault="005E43F8" w:rsidP="005E43F8">
      <w:pPr>
        <w:spacing w:line="360" w:lineRule="auto"/>
        <w:jc w:val="both"/>
        <w:rPr>
          <w:rFonts w:ascii="Arial" w:hAnsi="Arial" w:cs="Arial"/>
          <w:b/>
          <w:bCs/>
          <w:sz w:val="24"/>
          <w:szCs w:val="24"/>
        </w:rPr>
      </w:pPr>
    </w:p>
    <w:p w14:paraId="6759C9CA" w14:textId="77777777" w:rsidR="005E43F8" w:rsidRPr="005E43F8" w:rsidRDefault="005E43F8" w:rsidP="005E43F8">
      <w:pPr>
        <w:spacing w:line="360" w:lineRule="auto"/>
        <w:jc w:val="both"/>
        <w:rPr>
          <w:rFonts w:ascii="Arial" w:hAnsi="Arial" w:cs="Arial"/>
          <w:b/>
          <w:bCs/>
          <w:sz w:val="24"/>
          <w:szCs w:val="24"/>
        </w:rPr>
      </w:pPr>
    </w:p>
    <w:p w14:paraId="7A9F329B" w14:textId="77777777" w:rsidR="005E43F8" w:rsidRPr="005E43F8" w:rsidRDefault="005E43F8" w:rsidP="005E43F8">
      <w:pPr>
        <w:spacing w:line="360" w:lineRule="auto"/>
        <w:jc w:val="both"/>
        <w:rPr>
          <w:rFonts w:ascii="Arial" w:hAnsi="Arial" w:cs="Arial"/>
          <w:b/>
          <w:bCs/>
          <w:sz w:val="24"/>
          <w:szCs w:val="24"/>
        </w:rPr>
      </w:pPr>
    </w:p>
    <w:p w14:paraId="4865578C" w14:textId="77777777" w:rsidR="005E43F8" w:rsidRPr="005E43F8" w:rsidRDefault="005E43F8" w:rsidP="005E43F8">
      <w:pPr>
        <w:spacing w:line="360" w:lineRule="auto"/>
        <w:jc w:val="both"/>
        <w:rPr>
          <w:rFonts w:ascii="Arial" w:hAnsi="Arial" w:cs="Arial"/>
          <w:b/>
          <w:bCs/>
          <w:sz w:val="24"/>
          <w:szCs w:val="24"/>
        </w:rPr>
      </w:pPr>
      <w:r w:rsidRPr="005E43F8">
        <w:rPr>
          <w:rFonts w:ascii="Arial" w:hAnsi="Arial" w:cs="Arial"/>
          <w:b/>
          <w:bCs/>
          <w:sz w:val="24"/>
          <w:szCs w:val="24"/>
        </w:rPr>
        <w:t>Student name:</w:t>
      </w:r>
      <w:r w:rsidRPr="005E43F8">
        <w:rPr>
          <w:rFonts w:ascii="Arial" w:hAnsi="Arial" w:cs="Arial"/>
          <w:b/>
          <w:bCs/>
          <w:sz w:val="24"/>
          <w:szCs w:val="24"/>
        </w:rPr>
        <w:tab/>
      </w:r>
      <w:r w:rsidRPr="005E43F8">
        <w:rPr>
          <w:rFonts w:ascii="Arial" w:hAnsi="Arial" w:cs="Arial"/>
          <w:b/>
          <w:bCs/>
          <w:sz w:val="24"/>
          <w:szCs w:val="24"/>
        </w:rPr>
        <w:tab/>
        <w:t>Vasile Marian Dinu</w:t>
      </w:r>
    </w:p>
    <w:p w14:paraId="72DC7DC8" w14:textId="77777777" w:rsidR="005E43F8" w:rsidRPr="005E43F8" w:rsidRDefault="005E43F8" w:rsidP="005E43F8">
      <w:pPr>
        <w:spacing w:line="360" w:lineRule="auto"/>
        <w:jc w:val="both"/>
        <w:rPr>
          <w:rFonts w:ascii="Arial" w:hAnsi="Arial" w:cs="Arial"/>
          <w:b/>
          <w:bCs/>
          <w:sz w:val="24"/>
          <w:szCs w:val="24"/>
        </w:rPr>
      </w:pPr>
      <w:r w:rsidRPr="005E43F8">
        <w:rPr>
          <w:rFonts w:ascii="Arial" w:hAnsi="Arial" w:cs="Arial"/>
          <w:b/>
          <w:bCs/>
          <w:sz w:val="24"/>
          <w:szCs w:val="24"/>
        </w:rPr>
        <w:t>Student number:</w:t>
      </w:r>
      <w:r w:rsidRPr="005E43F8">
        <w:rPr>
          <w:rFonts w:ascii="Arial" w:hAnsi="Arial" w:cs="Arial"/>
          <w:b/>
          <w:bCs/>
          <w:sz w:val="24"/>
          <w:szCs w:val="24"/>
        </w:rPr>
        <w:tab/>
      </w:r>
      <w:r w:rsidRPr="005E43F8">
        <w:rPr>
          <w:rFonts w:ascii="Arial" w:hAnsi="Arial" w:cs="Arial"/>
          <w:b/>
          <w:bCs/>
          <w:sz w:val="24"/>
          <w:szCs w:val="24"/>
        </w:rPr>
        <w:tab/>
        <w:t>2209834</w:t>
      </w:r>
    </w:p>
    <w:p w14:paraId="0FD25F64" w14:textId="5551DE92" w:rsidR="005E43F8" w:rsidRPr="005E43F8" w:rsidRDefault="005E43F8" w:rsidP="005E43F8">
      <w:pPr>
        <w:spacing w:before="120" w:after="120" w:line="360" w:lineRule="auto"/>
        <w:jc w:val="both"/>
        <w:rPr>
          <w:rFonts w:ascii="Arial" w:hAnsi="Arial" w:cs="Arial"/>
          <w:b/>
          <w:bCs/>
          <w:sz w:val="24"/>
          <w:szCs w:val="24"/>
        </w:rPr>
      </w:pPr>
      <w:r w:rsidRPr="005E43F8">
        <w:rPr>
          <w:rFonts w:ascii="Arial" w:hAnsi="Arial" w:cs="Arial"/>
          <w:b/>
          <w:bCs/>
          <w:sz w:val="24"/>
          <w:szCs w:val="24"/>
        </w:rPr>
        <w:t>Module name:</w:t>
      </w:r>
      <w:r w:rsidRPr="005E43F8">
        <w:rPr>
          <w:rFonts w:ascii="Arial" w:hAnsi="Arial" w:cs="Arial"/>
          <w:b/>
          <w:bCs/>
          <w:sz w:val="24"/>
          <w:szCs w:val="24"/>
        </w:rPr>
        <w:tab/>
      </w:r>
      <w:r w:rsidRPr="005E43F8">
        <w:rPr>
          <w:rFonts w:ascii="Arial" w:hAnsi="Arial" w:cs="Arial"/>
          <w:b/>
          <w:bCs/>
          <w:sz w:val="24"/>
          <w:szCs w:val="24"/>
        </w:rPr>
        <w:tab/>
        <w:t>Evidence-Based Policing and Decision Making</w:t>
      </w:r>
    </w:p>
    <w:p w14:paraId="14A22B04" w14:textId="4D55A55B" w:rsidR="005E43F8" w:rsidRPr="005E43F8" w:rsidRDefault="005E43F8" w:rsidP="005E43F8">
      <w:pPr>
        <w:spacing w:line="360" w:lineRule="auto"/>
        <w:jc w:val="both"/>
        <w:rPr>
          <w:rFonts w:ascii="Arial" w:hAnsi="Arial" w:cs="Arial"/>
          <w:b/>
          <w:bCs/>
          <w:sz w:val="24"/>
          <w:szCs w:val="24"/>
        </w:rPr>
      </w:pPr>
      <w:r w:rsidRPr="005E43F8">
        <w:rPr>
          <w:rFonts w:ascii="Arial" w:hAnsi="Arial" w:cs="Arial"/>
          <w:b/>
          <w:bCs/>
          <w:sz w:val="24"/>
          <w:szCs w:val="24"/>
        </w:rPr>
        <w:t xml:space="preserve">Module code: </w:t>
      </w:r>
      <w:r w:rsidRPr="005E43F8">
        <w:rPr>
          <w:rFonts w:ascii="Arial" w:hAnsi="Arial" w:cs="Arial"/>
          <w:b/>
          <w:bCs/>
          <w:sz w:val="24"/>
          <w:szCs w:val="24"/>
        </w:rPr>
        <w:tab/>
      </w:r>
      <w:r w:rsidRPr="005E43F8">
        <w:rPr>
          <w:rFonts w:ascii="Arial" w:hAnsi="Arial" w:cs="Arial"/>
          <w:b/>
          <w:bCs/>
          <w:sz w:val="24"/>
          <w:szCs w:val="24"/>
        </w:rPr>
        <w:tab/>
        <w:t>BMPL40</w:t>
      </w:r>
      <w:r w:rsidRPr="005E43F8">
        <w:rPr>
          <w:rFonts w:ascii="Arial" w:hAnsi="Arial" w:cs="Arial"/>
          <w:b/>
          <w:bCs/>
          <w:sz w:val="24"/>
          <w:szCs w:val="24"/>
        </w:rPr>
        <w:t>01</w:t>
      </w:r>
    </w:p>
    <w:p w14:paraId="2C58E7F6" w14:textId="183E90D6" w:rsidR="005E43F8" w:rsidRPr="005E43F8" w:rsidRDefault="005E43F8" w:rsidP="005E43F8">
      <w:pPr>
        <w:spacing w:line="360" w:lineRule="auto"/>
        <w:jc w:val="both"/>
        <w:rPr>
          <w:rFonts w:ascii="Arial" w:hAnsi="Arial" w:cs="Arial"/>
          <w:b/>
          <w:bCs/>
          <w:sz w:val="24"/>
          <w:szCs w:val="24"/>
        </w:rPr>
      </w:pPr>
      <w:r w:rsidRPr="005E43F8">
        <w:rPr>
          <w:rFonts w:ascii="Arial" w:hAnsi="Arial" w:cs="Arial"/>
          <w:b/>
          <w:bCs/>
          <w:sz w:val="24"/>
          <w:szCs w:val="24"/>
        </w:rPr>
        <w:t xml:space="preserve">Lecturer: </w:t>
      </w:r>
      <w:r w:rsidRPr="005E43F8">
        <w:rPr>
          <w:rFonts w:ascii="Arial" w:hAnsi="Arial" w:cs="Arial"/>
          <w:b/>
          <w:bCs/>
          <w:sz w:val="24"/>
          <w:szCs w:val="24"/>
        </w:rPr>
        <w:tab/>
      </w:r>
      <w:r w:rsidRPr="005E43F8">
        <w:rPr>
          <w:rFonts w:ascii="Arial" w:hAnsi="Arial" w:cs="Arial"/>
          <w:b/>
          <w:bCs/>
          <w:sz w:val="24"/>
          <w:szCs w:val="24"/>
        </w:rPr>
        <w:tab/>
      </w:r>
      <w:r w:rsidRPr="005E43F8">
        <w:rPr>
          <w:rFonts w:ascii="Arial" w:hAnsi="Arial" w:cs="Arial"/>
          <w:b/>
          <w:bCs/>
          <w:sz w:val="24"/>
          <w:szCs w:val="24"/>
        </w:rPr>
        <w:tab/>
        <w:t>Luke Roach</w:t>
      </w:r>
    </w:p>
    <w:p w14:paraId="69C781FC" w14:textId="77777777"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br w:type="page"/>
      </w:r>
    </w:p>
    <w:p w14:paraId="46F683C5" w14:textId="381F5476"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lastRenderedPageBreak/>
        <w:t xml:space="preserve">Classical criminology examines crime and criminal behaviour from a deterministic standpoint. It assumes that individuals make an informed and conscientious decision to commit a crime, and that this decision is influenced by the costs and benefits of the act. Individuals, according to classical criminology, will assess the costs (risk of punishment) and advantages (pleasure/illicit gains) of a crime before determining </w:t>
      </w:r>
      <w:r w:rsidR="00CD31E7" w:rsidRPr="005E43F8">
        <w:rPr>
          <w:rFonts w:ascii="Arial" w:hAnsi="Arial" w:cs="Arial"/>
          <w:sz w:val="24"/>
          <w:szCs w:val="24"/>
        </w:rPr>
        <w:t>whether</w:t>
      </w:r>
      <w:r w:rsidRPr="005E43F8">
        <w:rPr>
          <w:rFonts w:ascii="Arial" w:hAnsi="Arial" w:cs="Arial"/>
          <w:sz w:val="24"/>
          <w:szCs w:val="24"/>
        </w:rPr>
        <w:t xml:space="preserve"> to conduct it, and they will choose to commit a crime if they believe the benefits outweigh the costs.</w:t>
      </w:r>
    </w:p>
    <w:p w14:paraId="1312AAD1" w14:textId="535CEA96"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t>Evidence-based policing is an approach to law enforcement that emphasises the use of data and research to influence police conduct and enhance public safety. This strategy stresses the use of empirical facts and analysis to determine the most effective and efficient strategies for combating crime and reducing fear in local areas. With this strategy, cops utilise crime mapping, intelligence-led policing, evidence-based techniques, and technological tools to identify and respond to criminal activity</w:t>
      </w:r>
      <w:r w:rsidR="00713A56" w:rsidRPr="00713A56">
        <w:rPr>
          <w:rFonts w:ascii="Roboto" w:hAnsi="Roboto"/>
          <w:color w:val="2C3E50"/>
          <w:sz w:val="23"/>
          <w:szCs w:val="23"/>
          <w:shd w:val="clear" w:color="auto" w:fill="FFFFFF"/>
        </w:rPr>
        <w:t xml:space="preserve"> </w:t>
      </w:r>
      <w:r w:rsidR="00713A56">
        <w:rPr>
          <w:rFonts w:ascii="Roboto" w:hAnsi="Roboto"/>
          <w:color w:val="2C3E50"/>
          <w:sz w:val="23"/>
          <w:szCs w:val="23"/>
          <w:shd w:val="clear" w:color="auto" w:fill="FFFFFF"/>
        </w:rPr>
        <w:t>(College of Policing, 2022)</w:t>
      </w:r>
      <w:r w:rsidRPr="005E43F8">
        <w:rPr>
          <w:rFonts w:ascii="Arial" w:hAnsi="Arial" w:cs="Arial"/>
          <w:sz w:val="24"/>
          <w:szCs w:val="24"/>
        </w:rPr>
        <w:t>.</w:t>
      </w:r>
    </w:p>
    <w:p w14:paraId="592EAC59" w14:textId="18D5E404" w:rsidR="00D3129C" w:rsidRDefault="005E43F8" w:rsidP="005E43F8">
      <w:pPr>
        <w:spacing w:line="360" w:lineRule="auto"/>
        <w:jc w:val="both"/>
        <w:rPr>
          <w:rFonts w:ascii="Arial" w:hAnsi="Arial" w:cs="Arial"/>
          <w:sz w:val="24"/>
          <w:szCs w:val="24"/>
        </w:rPr>
      </w:pPr>
      <w:r w:rsidRPr="005E43F8">
        <w:rPr>
          <w:rFonts w:ascii="Arial" w:hAnsi="Arial" w:cs="Arial"/>
          <w:sz w:val="24"/>
          <w:szCs w:val="24"/>
        </w:rPr>
        <w:t xml:space="preserve">The classical criminological paradigm is fundamental to evidence-based policing because it enables police to better comprehend the motives, behaviours, and decision-making processes of offenders. By understanding these components of criminal behaviour, officers can employ evidence-based approaches to respond to and reduce crime in their communities more effectively. In addition, understanding the cost/benefit analysis of a crime can offer cops with a better knowledge of how to frame their responses in order to dissuade criminal activity. This may involve an increase in police presence in high-crime areas or the implementation of </w:t>
      </w:r>
      <w:proofErr w:type="gramStart"/>
      <w:r w:rsidRPr="005E43F8">
        <w:rPr>
          <w:rFonts w:ascii="Arial" w:hAnsi="Arial" w:cs="Arial"/>
          <w:sz w:val="24"/>
          <w:szCs w:val="24"/>
        </w:rPr>
        <w:t>particular deterrents</w:t>
      </w:r>
      <w:proofErr w:type="gramEnd"/>
      <w:r w:rsidRPr="005E43F8">
        <w:rPr>
          <w:rFonts w:ascii="Arial" w:hAnsi="Arial" w:cs="Arial"/>
          <w:sz w:val="24"/>
          <w:szCs w:val="24"/>
        </w:rPr>
        <w:t xml:space="preserve"> suited to criminal conduct (such as increasing penalties or installing cameras). Evidence-based policing is a proactive approach to crime prevention, and the classical criminological framework assists police in targeting their efforts in the most efficient and successful manner</w:t>
      </w:r>
      <w:r w:rsidR="00722F9B" w:rsidRPr="00722F9B">
        <w:rPr>
          <w:rFonts w:ascii="Roboto" w:hAnsi="Roboto"/>
          <w:color w:val="2C3E50"/>
          <w:sz w:val="23"/>
          <w:szCs w:val="23"/>
          <w:shd w:val="clear" w:color="auto" w:fill="FFFFFF"/>
        </w:rPr>
        <w:t xml:space="preserve"> </w:t>
      </w:r>
      <w:r w:rsidR="00722F9B">
        <w:rPr>
          <w:rFonts w:ascii="Roboto" w:hAnsi="Roboto"/>
          <w:color w:val="2C3E50"/>
          <w:sz w:val="23"/>
          <w:szCs w:val="23"/>
          <w:shd w:val="clear" w:color="auto" w:fill="FFFFFF"/>
        </w:rPr>
        <w:t>(</w:t>
      </w:r>
      <w:proofErr w:type="spellStart"/>
      <w:r w:rsidR="00722F9B">
        <w:rPr>
          <w:rFonts w:ascii="Roboto" w:hAnsi="Roboto"/>
          <w:color w:val="2C3E50"/>
          <w:sz w:val="23"/>
          <w:szCs w:val="23"/>
          <w:shd w:val="clear" w:color="auto" w:fill="FFFFFF"/>
        </w:rPr>
        <w:t>Telep</w:t>
      </w:r>
      <w:proofErr w:type="spellEnd"/>
      <w:r w:rsidR="00722F9B">
        <w:rPr>
          <w:rFonts w:ascii="Roboto" w:hAnsi="Roboto"/>
          <w:color w:val="2C3E50"/>
          <w:sz w:val="23"/>
          <w:szCs w:val="23"/>
          <w:shd w:val="clear" w:color="auto" w:fill="FFFFFF"/>
        </w:rPr>
        <w:t>, 2018)</w:t>
      </w:r>
      <w:r w:rsidRPr="005E43F8">
        <w:rPr>
          <w:rFonts w:ascii="Arial" w:hAnsi="Arial" w:cs="Arial"/>
          <w:sz w:val="24"/>
          <w:szCs w:val="24"/>
        </w:rPr>
        <w:t>.</w:t>
      </w:r>
    </w:p>
    <w:p w14:paraId="3DD39C1B" w14:textId="1C66FCDD"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t>Classical criminology derives from the writings of Cesare Beccaria and Jeremy Bentham</w:t>
      </w:r>
      <w:r w:rsidR="00493A6E">
        <w:rPr>
          <w:rFonts w:ascii="Arial" w:hAnsi="Arial" w:cs="Arial"/>
          <w:sz w:val="24"/>
          <w:szCs w:val="24"/>
        </w:rPr>
        <w:t xml:space="preserve"> </w:t>
      </w:r>
      <w:r w:rsidR="00493A6E">
        <w:rPr>
          <w:rFonts w:ascii="Roboto" w:hAnsi="Roboto"/>
          <w:color w:val="2C3E50"/>
          <w:sz w:val="23"/>
          <w:szCs w:val="23"/>
          <w:shd w:val="clear" w:color="auto" w:fill="FFFFFF"/>
        </w:rPr>
        <w:t>(</w:t>
      </w:r>
      <w:proofErr w:type="spellStart"/>
      <w:r w:rsidR="00493A6E">
        <w:rPr>
          <w:rFonts w:ascii="Roboto" w:hAnsi="Roboto"/>
          <w:color w:val="2C3E50"/>
          <w:sz w:val="23"/>
          <w:szCs w:val="23"/>
          <w:shd w:val="clear" w:color="auto" w:fill="FFFFFF"/>
        </w:rPr>
        <w:t>Secolo</w:t>
      </w:r>
      <w:proofErr w:type="spellEnd"/>
      <w:r w:rsidR="00493A6E">
        <w:rPr>
          <w:rFonts w:ascii="Roboto" w:hAnsi="Roboto"/>
          <w:color w:val="2C3E50"/>
          <w:sz w:val="23"/>
          <w:szCs w:val="23"/>
          <w:shd w:val="clear" w:color="auto" w:fill="FFFFFF"/>
        </w:rPr>
        <w:t xml:space="preserve"> and Schofield, 2019)</w:t>
      </w:r>
      <w:r w:rsidRPr="005E43F8">
        <w:rPr>
          <w:rFonts w:ascii="Arial" w:hAnsi="Arial" w:cs="Arial"/>
          <w:sz w:val="24"/>
          <w:szCs w:val="24"/>
        </w:rPr>
        <w:t xml:space="preserve">, who believed that humans </w:t>
      </w:r>
      <w:r w:rsidRPr="005E43F8">
        <w:rPr>
          <w:rFonts w:ascii="Arial" w:hAnsi="Arial" w:cs="Arial"/>
          <w:sz w:val="24"/>
          <w:szCs w:val="24"/>
        </w:rPr>
        <w:t>can manage</w:t>
      </w:r>
      <w:r w:rsidRPr="005E43F8">
        <w:rPr>
          <w:rFonts w:ascii="Arial" w:hAnsi="Arial" w:cs="Arial"/>
          <w:sz w:val="24"/>
          <w:szCs w:val="24"/>
        </w:rPr>
        <w:t xml:space="preserve"> their conduct and should therefore be held accountable for their actions. Both Beccaria and Bentham felt that certain sanctions, including fines and jail, could prevent criminal behaviour. They also maintained that deterrence is a more effective method of crime prevention than punishment.</w:t>
      </w:r>
    </w:p>
    <w:p w14:paraId="7A189757" w14:textId="77777777" w:rsidR="005E43F8" w:rsidRPr="005E43F8" w:rsidRDefault="005E43F8" w:rsidP="005E43F8">
      <w:pPr>
        <w:spacing w:line="360" w:lineRule="auto"/>
        <w:jc w:val="both"/>
        <w:rPr>
          <w:rFonts w:ascii="Arial" w:hAnsi="Arial" w:cs="Arial"/>
          <w:sz w:val="24"/>
          <w:szCs w:val="24"/>
        </w:rPr>
      </w:pPr>
    </w:p>
    <w:p w14:paraId="1C72D526" w14:textId="77777777"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t>• Describe how traditional criminology influences evidence-based policing</w:t>
      </w:r>
    </w:p>
    <w:p w14:paraId="38F152FF" w14:textId="6E17D581"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t>A crucial component of evidence-based policing is traditional criminology. Evidence-based policing is a kind of policing that employs data and research to evaluate and detect criminal patterns, drive resource allocation decisions, and concentrate public safety operations.</w:t>
      </w:r>
    </w:p>
    <w:p w14:paraId="1ADEF0B9" w14:textId="4C95FFD1" w:rsidR="005E43F8" w:rsidRPr="005E43F8" w:rsidRDefault="005E43F8" w:rsidP="005E43F8">
      <w:pPr>
        <w:spacing w:line="360" w:lineRule="auto"/>
        <w:jc w:val="both"/>
        <w:rPr>
          <w:rFonts w:ascii="Arial" w:hAnsi="Arial" w:cs="Arial"/>
          <w:sz w:val="24"/>
          <w:szCs w:val="24"/>
        </w:rPr>
      </w:pPr>
      <w:r w:rsidRPr="005E43F8">
        <w:rPr>
          <w:rFonts w:ascii="Arial" w:hAnsi="Arial" w:cs="Arial"/>
          <w:sz w:val="24"/>
          <w:szCs w:val="24"/>
        </w:rPr>
        <w:t xml:space="preserve">The theories of traditional criminology can assist determine which methods and approaches are most effective for preventing and reducing crime. For instance, Beccaria and Bentham's ideas regarding deterrence offer a foundation for evidence-based police techniques, such as the employment of punishments to discourage criminal behaviour. Evidence-based policing also leverages research, such as crime mapping, to identify crime hot spots </w:t>
      </w:r>
      <w:proofErr w:type="gramStart"/>
      <w:r w:rsidRPr="005E43F8">
        <w:rPr>
          <w:rFonts w:ascii="Arial" w:hAnsi="Arial" w:cs="Arial"/>
          <w:sz w:val="24"/>
          <w:szCs w:val="24"/>
        </w:rPr>
        <w:t>in a given</w:t>
      </w:r>
      <w:proofErr w:type="gramEnd"/>
      <w:r w:rsidRPr="005E43F8">
        <w:rPr>
          <w:rFonts w:ascii="Arial" w:hAnsi="Arial" w:cs="Arial"/>
          <w:sz w:val="24"/>
          <w:szCs w:val="24"/>
        </w:rPr>
        <w:t xml:space="preserve"> location and then employs targeted methods, such as a heightened police presence or the deployment of additional resources, to reduce the crime rate in that area</w:t>
      </w:r>
      <w:r w:rsidR="00722F9B" w:rsidRPr="00722F9B">
        <w:rPr>
          <w:rFonts w:ascii="Roboto" w:hAnsi="Roboto"/>
          <w:color w:val="2C3E50"/>
          <w:sz w:val="23"/>
          <w:szCs w:val="23"/>
          <w:shd w:val="clear" w:color="auto" w:fill="FFFFFF"/>
        </w:rPr>
        <w:t xml:space="preserve"> </w:t>
      </w:r>
      <w:r w:rsidR="00722F9B">
        <w:rPr>
          <w:rFonts w:ascii="Roboto" w:hAnsi="Roboto"/>
          <w:color w:val="2C3E50"/>
          <w:sz w:val="23"/>
          <w:szCs w:val="23"/>
          <w:shd w:val="clear" w:color="auto" w:fill="FFFFFF"/>
        </w:rPr>
        <w:t>(Okada, 2015)</w:t>
      </w:r>
      <w:r w:rsidRPr="005E43F8">
        <w:rPr>
          <w:rFonts w:ascii="Arial" w:hAnsi="Arial" w:cs="Arial"/>
          <w:sz w:val="24"/>
          <w:szCs w:val="24"/>
        </w:rPr>
        <w:t>.</w:t>
      </w:r>
    </w:p>
    <w:p w14:paraId="3C7BE50A" w14:textId="0FEC9BDC" w:rsidR="005E43F8" w:rsidRDefault="005E43F8" w:rsidP="005E43F8">
      <w:pPr>
        <w:spacing w:line="360" w:lineRule="auto"/>
        <w:jc w:val="both"/>
        <w:rPr>
          <w:rFonts w:ascii="Arial" w:hAnsi="Arial" w:cs="Arial"/>
          <w:sz w:val="24"/>
          <w:szCs w:val="24"/>
        </w:rPr>
      </w:pPr>
      <w:r w:rsidRPr="005E43F8">
        <w:rPr>
          <w:rFonts w:ascii="Arial" w:hAnsi="Arial" w:cs="Arial"/>
          <w:sz w:val="24"/>
          <w:szCs w:val="24"/>
        </w:rPr>
        <w:t>Evidence-based policing can help decrease and prevent crime in a community by integrating data, research, and theories from traditional criminology</w:t>
      </w:r>
      <w:r w:rsidR="00722F9B" w:rsidRPr="00722F9B">
        <w:rPr>
          <w:rFonts w:ascii="Roboto" w:hAnsi="Roboto"/>
          <w:color w:val="2C3E50"/>
          <w:sz w:val="23"/>
          <w:szCs w:val="23"/>
          <w:shd w:val="clear" w:color="auto" w:fill="FFFFFF"/>
        </w:rPr>
        <w:t xml:space="preserve"> </w:t>
      </w:r>
      <w:r w:rsidR="00722F9B">
        <w:rPr>
          <w:rFonts w:ascii="Roboto" w:hAnsi="Roboto"/>
          <w:color w:val="2C3E50"/>
          <w:sz w:val="23"/>
          <w:szCs w:val="23"/>
          <w:shd w:val="clear" w:color="auto" w:fill="FFFFFF"/>
        </w:rPr>
        <w:t>(College of Policing, 2021)</w:t>
      </w:r>
      <w:r w:rsidRPr="005E43F8">
        <w:rPr>
          <w:rFonts w:ascii="Arial" w:hAnsi="Arial" w:cs="Arial"/>
          <w:sz w:val="24"/>
          <w:szCs w:val="24"/>
        </w:rPr>
        <w:t>.</w:t>
      </w:r>
    </w:p>
    <w:p w14:paraId="368FFDB2" w14:textId="5FE577A3" w:rsidR="00493A6E" w:rsidRPr="00493A6E" w:rsidRDefault="00493A6E" w:rsidP="00493A6E">
      <w:pPr>
        <w:spacing w:line="360" w:lineRule="auto"/>
        <w:jc w:val="both"/>
        <w:rPr>
          <w:rFonts w:ascii="Arial" w:hAnsi="Arial" w:cs="Arial"/>
          <w:sz w:val="24"/>
          <w:szCs w:val="24"/>
        </w:rPr>
      </w:pPr>
      <w:r w:rsidRPr="00493A6E">
        <w:rPr>
          <w:rFonts w:ascii="Arial" w:hAnsi="Arial" w:cs="Arial"/>
          <w:sz w:val="24"/>
          <w:szCs w:val="24"/>
        </w:rPr>
        <w:t>Classical criminology is a sort of criminological theory that arose in the 18th century and is based on the notion that criminals assess the potential benefits of their illicit conduct against the penalties they may pay if they are caught. This idea promotes evidence-based policing by aiding in the comprehension of criminal behaviour and its causes. It serves as a resource for police officers in their pursuit of justice, providing direction on the most effective methods of criminal investigation and prosecution</w:t>
      </w:r>
      <w:r w:rsidR="002A4E3C" w:rsidRPr="002A4E3C">
        <w:rPr>
          <w:rFonts w:ascii="Roboto" w:hAnsi="Roboto"/>
          <w:color w:val="2C3E50"/>
          <w:sz w:val="23"/>
          <w:szCs w:val="23"/>
          <w:shd w:val="clear" w:color="auto" w:fill="FFFFFF"/>
        </w:rPr>
        <w:t xml:space="preserve"> </w:t>
      </w:r>
      <w:r w:rsidR="002A4E3C">
        <w:rPr>
          <w:rFonts w:ascii="Roboto" w:hAnsi="Roboto"/>
          <w:color w:val="2C3E50"/>
          <w:sz w:val="23"/>
          <w:szCs w:val="23"/>
          <w:shd w:val="clear" w:color="auto" w:fill="FFFFFF"/>
        </w:rPr>
        <w:t>(College of Policing, 2013)</w:t>
      </w:r>
      <w:r w:rsidRPr="00493A6E">
        <w:rPr>
          <w:rFonts w:ascii="Arial" w:hAnsi="Arial" w:cs="Arial"/>
          <w:sz w:val="24"/>
          <w:szCs w:val="24"/>
        </w:rPr>
        <w:t>.</w:t>
      </w:r>
    </w:p>
    <w:p w14:paraId="3F02905A" w14:textId="117CE7EE" w:rsidR="00493A6E" w:rsidRPr="00493A6E" w:rsidRDefault="00493A6E" w:rsidP="00493A6E">
      <w:pPr>
        <w:spacing w:line="360" w:lineRule="auto"/>
        <w:jc w:val="both"/>
        <w:rPr>
          <w:rFonts w:ascii="Arial" w:hAnsi="Arial" w:cs="Arial"/>
          <w:sz w:val="24"/>
          <w:szCs w:val="24"/>
        </w:rPr>
      </w:pPr>
      <w:r w:rsidRPr="00493A6E">
        <w:rPr>
          <w:rFonts w:ascii="Arial" w:hAnsi="Arial" w:cs="Arial"/>
          <w:sz w:val="24"/>
          <w:szCs w:val="24"/>
        </w:rPr>
        <w:t xml:space="preserve">Classical criminology is predicated on the notion that offenders weigh the costs and rewards of committing a crime before making reasonable judgements. This has ramifications for evidence-based policing since it enables police to comprehend the motivations behind </w:t>
      </w:r>
      <w:proofErr w:type="gramStart"/>
      <w:r w:rsidRPr="00493A6E">
        <w:rPr>
          <w:rFonts w:ascii="Arial" w:hAnsi="Arial" w:cs="Arial"/>
          <w:sz w:val="24"/>
          <w:szCs w:val="24"/>
        </w:rPr>
        <w:t>particular sorts</w:t>
      </w:r>
      <w:proofErr w:type="gramEnd"/>
      <w:r w:rsidRPr="00493A6E">
        <w:rPr>
          <w:rFonts w:ascii="Arial" w:hAnsi="Arial" w:cs="Arial"/>
          <w:sz w:val="24"/>
          <w:szCs w:val="24"/>
        </w:rPr>
        <w:t xml:space="preserve"> of crimes and to direct their efforts accordingly. For instance, if an officer is aware that a particular sort of crime is motivated by financial gain, he or she can hunt for indications that aid to identify the perpetrators. This can assist law enforcement conduct investigations and allocate resources more efficiently.</w:t>
      </w:r>
    </w:p>
    <w:p w14:paraId="2BDD6F85" w14:textId="16E75B85" w:rsidR="00493A6E" w:rsidRPr="00493A6E" w:rsidRDefault="00493A6E" w:rsidP="00493A6E">
      <w:pPr>
        <w:spacing w:line="360" w:lineRule="auto"/>
        <w:jc w:val="both"/>
        <w:rPr>
          <w:rFonts w:ascii="Arial" w:hAnsi="Arial" w:cs="Arial"/>
          <w:sz w:val="24"/>
          <w:szCs w:val="24"/>
        </w:rPr>
      </w:pPr>
      <w:r w:rsidRPr="00493A6E">
        <w:rPr>
          <w:rFonts w:ascii="Arial" w:hAnsi="Arial" w:cs="Arial"/>
          <w:sz w:val="24"/>
          <w:szCs w:val="24"/>
        </w:rPr>
        <w:lastRenderedPageBreak/>
        <w:t>Classical criminology also offers insight into the long-term consequences of criminal behaviour and the harm it can cause to society. It assists law enforcement in comprehending the negative effects of criminal activities on the community. This understanding can be used by evidence-based policing to establish effective prevention efforts. For instance, if it is known that certain characteristics increase the likelihood that a given sort of crime would occur, police can target people at risk, such as juveniles or members of a certain group</w:t>
      </w:r>
      <w:r w:rsidR="002A4E3C" w:rsidRPr="002A4E3C">
        <w:rPr>
          <w:rFonts w:ascii="Roboto" w:hAnsi="Roboto"/>
          <w:color w:val="2C3E50"/>
          <w:sz w:val="23"/>
          <w:szCs w:val="23"/>
          <w:shd w:val="clear" w:color="auto" w:fill="FFFFFF"/>
        </w:rPr>
        <w:t xml:space="preserve"> </w:t>
      </w:r>
      <w:r w:rsidR="002A4E3C">
        <w:rPr>
          <w:rFonts w:ascii="Roboto" w:hAnsi="Roboto"/>
          <w:color w:val="2C3E50"/>
          <w:sz w:val="23"/>
          <w:szCs w:val="23"/>
          <w:shd w:val="clear" w:color="auto" w:fill="FFFFFF"/>
        </w:rPr>
        <w:t>(ONS, 2018)</w:t>
      </w:r>
      <w:r w:rsidRPr="00493A6E">
        <w:rPr>
          <w:rFonts w:ascii="Arial" w:hAnsi="Arial" w:cs="Arial"/>
          <w:sz w:val="24"/>
          <w:szCs w:val="24"/>
        </w:rPr>
        <w:t>.</w:t>
      </w:r>
    </w:p>
    <w:p w14:paraId="2D3F4C29" w14:textId="3DFE928B" w:rsidR="00493A6E" w:rsidRDefault="00493A6E" w:rsidP="00493A6E">
      <w:pPr>
        <w:spacing w:line="360" w:lineRule="auto"/>
        <w:jc w:val="both"/>
        <w:rPr>
          <w:rFonts w:ascii="Arial" w:hAnsi="Arial" w:cs="Arial"/>
          <w:sz w:val="24"/>
          <w:szCs w:val="24"/>
        </w:rPr>
      </w:pPr>
      <w:r w:rsidRPr="00493A6E">
        <w:rPr>
          <w:rFonts w:ascii="Arial" w:hAnsi="Arial" w:cs="Arial"/>
          <w:sz w:val="24"/>
          <w:szCs w:val="24"/>
        </w:rPr>
        <w:t>In general, classical criminology offers a framework for comprehending crime and criminality and aids in evidence-based policing. It aids in the identification of effective investigation and prosecution techniques and directs police personnel in their pursuit of justice. In addition, it explains the long-term repercussions of crime and the harm it can cause to society. By employing an evidence-based strategy, police departments can use these findings to lower the frequency of crime</w:t>
      </w:r>
      <w:r w:rsidR="00AF4B39" w:rsidRPr="00AF4B39">
        <w:rPr>
          <w:rFonts w:ascii="Roboto" w:hAnsi="Roboto"/>
          <w:color w:val="2C3E50"/>
          <w:sz w:val="23"/>
          <w:szCs w:val="23"/>
          <w:shd w:val="clear" w:color="auto" w:fill="FFFFFF"/>
        </w:rPr>
        <w:t xml:space="preserve"> </w:t>
      </w:r>
      <w:r w:rsidR="00AF4B39">
        <w:rPr>
          <w:rFonts w:ascii="Roboto" w:hAnsi="Roboto"/>
          <w:color w:val="2C3E50"/>
          <w:sz w:val="23"/>
          <w:szCs w:val="23"/>
          <w:shd w:val="clear" w:color="auto" w:fill="FFFFFF"/>
        </w:rPr>
        <w:t>(GOV.UK, 2021)</w:t>
      </w:r>
      <w:r w:rsidRPr="00493A6E">
        <w:rPr>
          <w:rFonts w:ascii="Arial" w:hAnsi="Arial" w:cs="Arial"/>
          <w:sz w:val="24"/>
          <w:szCs w:val="24"/>
        </w:rPr>
        <w:t>.</w:t>
      </w:r>
    </w:p>
    <w:p w14:paraId="012E2904" w14:textId="473F91BF" w:rsidR="00493A6E" w:rsidRPr="00493A6E" w:rsidRDefault="00493A6E" w:rsidP="00493A6E">
      <w:pPr>
        <w:spacing w:line="360" w:lineRule="auto"/>
        <w:jc w:val="both"/>
        <w:rPr>
          <w:rFonts w:ascii="Arial" w:hAnsi="Arial" w:cs="Arial"/>
          <w:sz w:val="24"/>
          <w:szCs w:val="24"/>
        </w:rPr>
      </w:pPr>
      <w:r w:rsidRPr="00493A6E">
        <w:rPr>
          <w:rFonts w:ascii="Arial" w:hAnsi="Arial" w:cs="Arial"/>
          <w:sz w:val="24"/>
          <w:szCs w:val="24"/>
        </w:rPr>
        <w:t>Evidence-based policing is an approach to policing that stresses the use of research and analysis to inform the creation, implementation, and evaluation of police initiatives, policies, and practises. It is primarily based on scientific methodologies and the establishment of best practises, which are supported by empirical evidence and data-driven techniques. POP, or Problem-Oriented Policing, encourages officers to collaborate with other police agencies, community groups, and researchers to find answers to crime problems</w:t>
      </w:r>
      <w:r w:rsidR="00AF4B39">
        <w:rPr>
          <w:rFonts w:ascii="Arial" w:hAnsi="Arial" w:cs="Arial"/>
          <w:sz w:val="24"/>
          <w:szCs w:val="24"/>
        </w:rPr>
        <w:t xml:space="preserve"> </w:t>
      </w:r>
      <w:r w:rsidR="00AF4B39">
        <w:rPr>
          <w:rFonts w:ascii="Roboto" w:hAnsi="Roboto"/>
          <w:color w:val="2C3E50"/>
          <w:sz w:val="23"/>
          <w:szCs w:val="23"/>
          <w:shd w:val="clear" w:color="auto" w:fill="FFFFFF"/>
        </w:rPr>
        <w:t>(Hinkle et al., 2020)</w:t>
      </w:r>
      <w:r w:rsidRPr="00493A6E">
        <w:rPr>
          <w:rFonts w:ascii="Arial" w:hAnsi="Arial" w:cs="Arial"/>
          <w:sz w:val="24"/>
          <w:szCs w:val="24"/>
        </w:rPr>
        <w:t>. Strategic Approaches to Community-Oriented Policing, or SARA, is an evidence-based police strategy that identifies problems, plans responses, implements solutions, and evaluates results</w:t>
      </w:r>
      <w:r w:rsidR="00AF4B39" w:rsidRPr="00AF4B39">
        <w:rPr>
          <w:rFonts w:ascii="Roboto" w:hAnsi="Roboto"/>
          <w:color w:val="2C3E50"/>
          <w:sz w:val="23"/>
          <w:szCs w:val="23"/>
          <w:shd w:val="clear" w:color="auto" w:fill="FFFFFF"/>
        </w:rPr>
        <w:t xml:space="preserve"> </w:t>
      </w:r>
      <w:r w:rsidR="00AF4B39">
        <w:rPr>
          <w:rFonts w:ascii="Roboto" w:hAnsi="Roboto"/>
          <w:color w:val="2C3E50"/>
          <w:sz w:val="23"/>
          <w:szCs w:val="23"/>
          <w:shd w:val="clear" w:color="auto" w:fill="FFFFFF"/>
        </w:rPr>
        <w:t>(Burton and McGregor, 2018)</w:t>
      </w:r>
      <w:r w:rsidRPr="00493A6E">
        <w:rPr>
          <w:rFonts w:ascii="Arial" w:hAnsi="Arial" w:cs="Arial"/>
          <w:sz w:val="24"/>
          <w:szCs w:val="24"/>
        </w:rPr>
        <w:t xml:space="preserve">. Using crime statistics and intelligence research, hotspot policing </w:t>
      </w:r>
      <w:r w:rsidR="00CD31E7" w:rsidRPr="00493A6E">
        <w:rPr>
          <w:rFonts w:ascii="Arial" w:hAnsi="Arial" w:cs="Arial"/>
          <w:sz w:val="24"/>
          <w:szCs w:val="24"/>
        </w:rPr>
        <w:t>pinpoint’s</w:t>
      </w:r>
      <w:r w:rsidRPr="00493A6E">
        <w:rPr>
          <w:rFonts w:ascii="Arial" w:hAnsi="Arial" w:cs="Arial"/>
          <w:sz w:val="24"/>
          <w:szCs w:val="24"/>
        </w:rPr>
        <w:t xml:space="preserve"> locations and periods where criminal activity is expected to grow.</w:t>
      </w:r>
    </w:p>
    <w:p w14:paraId="40867833" w14:textId="37E89869" w:rsidR="00493A6E" w:rsidRDefault="00493A6E" w:rsidP="00493A6E">
      <w:pPr>
        <w:spacing w:line="360" w:lineRule="auto"/>
        <w:jc w:val="both"/>
        <w:rPr>
          <w:rFonts w:ascii="Arial" w:hAnsi="Arial" w:cs="Arial"/>
          <w:sz w:val="24"/>
          <w:szCs w:val="24"/>
        </w:rPr>
      </w:pPr>
      <w:r w:rsidRPr="00493A6E">
        <w:rPr>
          <w:rFonts w:ascii="Arial" w:hAnsi="Arial" w:cs="Arial"/>
          <w:sz w:val="24"/>
          <w:szCs w:val="24"/>
        </w:rPr>
        <w:t>Classical criminology contributes to evidence-based policing by providing an understanding of what causes criminal behaviour and its repercussions. Classical criminology is centred on the concept of free will and the concept of deterrence, which states that potential offenders perceive the risk of being detected is greater than the reward of committing the crime</w:t>
      </w:r>
      <w:r w:rsidR="00AF4B39">
        <w:rPr>
          <w:rFonts w:ascii="Arial" w:hAnsi="Arial" w:cs="Arial"/>
          <w:sz w:val="24"/>
          <w:szCs w:val="24"/>
        </w:rPr>
        <w:t xml:space="preserve"> </w:t>
      </w:r>
      <w:r w:rsidR="00AF4B39">
        <w:rPr>
          <w:rFonts w:ascii="Roboto" w:hAnsi="Roboto"/>
          <w:color w:val="2C3E50"/>
          <w:sz w:val="23"/>
          <w:szCs w:val="23"/>
          <w:shd w:val="clear" w:color="auto" w:fill="FFFFFF"/>
        </w:rPr>
        <w:t>(Schafer, 1976)</w:t>
      </w:r>
      <w:r w:rsidRPr="00493A6E">
        <w:rPr>
          <w:rFonts w:ascii="Arial" w:hAnsi="Arial" w:cs="Arial"/>
          <w:sz w:val="24"/>
          <w:szCs w:val="24"/>
        </w:rPr>
        <w:t>. This implies that evidence-based policing techniques are intended to target places where criminals are likely to congregate and discourage criminal conduct by emphasising the consequences of being detected. In order to maximise the effectiveness of policing activities, evidence-</w:t>
      </w:r>
      <w:r w:rsidRPr="00493A6E">
        <w:rPr>
          <w:rFonts w:ascii="Arial" w:hAnsi="Arial" w:cs="Arial"/>
          <w:sz w:val="24"/>
          <w:szCs w:val="24"/>
        </w:rPr>
        <w:lastRenderedPageBreak/>
        <w:t>based policing also uses crime data and analysis to allocate resources, establish tactics, and analyse the impact of enforcement initiatives. Evidence-based policing draws on the knowledge gathered from traditional criminology to build effective policies and practises, as well as to inform judgements regarding the most efficient resource allocation.</w:t>
      </w:r>
    </w:p>
    <w:p w14:paraId="14505DD7" w14:textId="48C3BB3E" w:rsidR="00493A6E" w:rsidRPr="00493A6E" w:rsidRDefault="00493A6E" w:rsidP="00493A6E">
      <w:pPr>
        <w:spacing w:line="360" w:lineRule="auto"/>
        <w:jc w:val="both"/>
        <w:rPr>
          <w:rFonts w:ascii="Arial" w:hAnsi="Arial" w:cs="Arial"/>
          <w:sz w:val="24"/>
          <w:szCs w:val="24"/>
        </w:rPr>
      </w:pPr>
      <w:r w:rsidRPr="00493A6E">
        <w:rPr>
          <w:rFonts w:ascii="Arial" w:hAnsi="Arial" w:cs="Arial"/>
          <w:sz w:val="24"/>
          <w:szCs w:val="24"/>
        </w:rPr>
        <w:t>Classical criminology aids in the comprehension of criminal conduct by offering a framework for identifying its causes and motivations. This entails understanding the goals and motivations of potential offenders as well as the potential repercussions of their acts</w:t>
      </w:r>
      <w:r w:rsidR="008D55B4" w:rsidRPr="008D55B4">
        <w:rPr>
          <w:rFonts w:ascii="Roboto" w:hAnsi="Roboto"/>
          <w:color w:val="2C3E50"/>
          <w:sz w:val="23"/>
          <w:szCs w:val="23"/>
          <w:shd w:val="clear" w:color="auto" w:fill="FFFFFF"/>
        </w:rPr>
        <w:t xml:space="preserve"> </w:t>
      </w:r>
      <w:r w:rsidR="008D55B4">
        <w:rPr>
          <w:rFonts w:ascii="Roboto" w:hAnsi="Roboto"/>
          <w:color w:val="2C3E50"/>
          <w:sz w:val="23"/>
          <w:szCs w:val="23"/>
          <w:shd w:val="clear" w:color="auto" w:fill="FFFFFF"/>
        </w:rPr>
        <w:t>(Ministry of Justice, 2018)</w:t>
      </w:r>
      <w:r w:rsidRPr="00493A6E">
        <w:rPr>
          <w:rFonts w:ascii="Arial" w:hAnsi="Arial" w:cs="Arial"/>
          <w:sz w:val="24"/>
          <w:szCs w:val="24"/>
        </w:rPr>
        <w:t xml:space="preserve">. </w:t>
      </w:r>
      <w:r w:rsidR="00D64076" w:rsidRPr="00493A6E">
        <w:rPr>
          <w:rFonts w:ascii="Arial" w:hAnsi="Arial" w:cs="Arial"/>
          <w:sz w:val="24"/>
          <w:szCs w:val="24"/>
        </w:rPr>
        <w:t>Considering</w:t>
      </w:r>
      <w:r w:rsidRPr="00493A6E">
        <w:rPr>
          <w:rFonts w:ascii="Arial" w:hAnsi="Arial" w:cs="Arial"/>
          <w:sz w:val="24"/>
          <w:szCs w:val="24"/>
        </w:rPr>
        <w:t xml:space="preserve"> this, evidence-based policing </w:t>
      </w:r>
      <w:proofErr w:type="gramStart"/>
      <w:r w:rsidRPr="00493A6E">
        <w:rPr>
          <w:rFonts w:ascii="Arial" w:hAnsi="Arial" w:cs="Arial"/>
          <w:sz w:val="24"/>
          <w:szCs w:val="24"/>
        </w:rPr>
        <w:t>is able to</w:t>
      </w:r>
      <w:proofErr w:type="gramEnd"/>
      <w:r w:rsidRPr="00493A6E">
        <w:rPr>
          <w:rFonts w:ascii="Arial" w:hAnsi="Arial" w:cs="Arial"/>
          <w:sz w:val="24"/>
          <w:szCs w:val="24"/>
        </w:rPr>
        <w:t xml:space="preserve"> apply the tenets of Classical criminology to the creation of strategies for preventing and stopping crime.</w:t>
      </w:r>
    </w:p>
    <w:p w14:paraId="50074A93" w14:textId="23A5F475" w:rsidR="00493A6E" w:rsidRPr="00493A6E" w:rsidRDefault="00493A6E" w:rsidP="00493A6E">
      <w:pPr>
        <w:spacing w:line="360" w:lineRule="auto"/>
        <w:jc w:val="both"/>
        <w:rPr>
          <w:rFonts w:ascii="Arial" w:hAnsi="Arial" w:cs="Arial"/>
          <w:sz w:val="24"/>
          <w:szCs w:val="24"/>
        </w:rPr>
      </w:pPr>
      <w:r w:rsidRPr="00493A6E">
        <w:rPr>
          <w:rFonts w:ascii="Arial" w:hAnsi="Arial" w:cs="Arial"/>
          <w:sz w:val="24"/>
          <w:szCs w:val="24"/>
        </w:rPr>
        <w:t>In evidence-based policing, traditional criminology methodologies are utilised to develop proactive measures for combating criminal activity</w:t>
      </w:r>
      <w:r w:rsidR="008D55B4" w:rsidRPr="008D55B4">
        <w:rPr>
          <w:rFonts w:ascii="Roboto" w:hAnsi="Roboto"/>
          <w:color w:val="2C3E50"/>
          <w:sz w:val="23"/>
          <w:szCs w:val="23"/>
          <w:shd w:val="clear" w:color="auto" w:fill="FFFFFF"/>
        </w:rPr>
        <w:t xml:space="preserve"> </w:t>
      </w:r>
      <w:r w:rsidR="008D55B4">
        <w:rPr>
          <w:rFonts w:ascii="Roboto" w:hAnsi="Roboto"/>
          <w:color w:val="2C3E50"/>
          <w:sz w:val="23"/>
          <w:szCs w:val="23"/>
          <w:shd w:val="clear" w:color="auto" w:fill="FFFFFF"/>
        </w:rPr>
        <w:t>(</w:t>
      </w:r>
      <w:proofErr w:type="spellStart"/>
      <w:r w:rsidR="008D55B4">
        <w:rPr>
          <w:rFonts w:ascii="Roboto" w:hAnsi="Roboto"/>
          <w:color w:val="2C3E50"/>
          <w:sz w:val="23"/>
          <w:szCs w:val="23"/>
          <w:shd w:val="clear" w:color="auto" w:fill="FFFFFF"/>
        </w:rPr>
        <w:t>Telep</w:t>
      </w:r>
      <w:proofErr w:type="spellEnd"/>
      <w:r w:rsidR="008D55B4">
        <w:rPr>
          <w:rFonts w:ascii="Roboto" w:hAnsi="Roboto"/>
          <w:color w:val="2C3E50"/>
          <w:sz w:val="23"/>
          <w:szCs w:val="23"/>
          <w:shd w:val="clear" w:color="auto" w:fill="FFFFFF"/>
        </w:rPr>
        <w:t>, 2018)</w:t>
      </w:r>
      <w:r w:rsidRPr="00493A6E">
        <w:rPr>
          <w:rFonts w:ascii="Arial" w:hAnsi="Arial" w:cs="Arial"/>
          <w:sz w:val="24"/>
          <w:szCs w:val="24"/>
        </w:rPr>
        <w:t xml:space="preserve">. Evidence-based policing </w:t>
      </w:r>
      <w:proofErr w:type="gramStart"/>
      <w:r w:rsidRPr="00493A6E">
        <w:rPr>
          <w:rFonts w:ascii="Arial" w:hAnsi="Arial" w:cs="Arial"/>
          <w:sz w:val="24"/>
          <w:szCs w:val="24"/>
        </w:rPr>
        <w:t>is able to</w:t>
      </w:r>
      <w:proofErr w:type="gramEnd"/>
      <w:r w:rsidRPr="00493A6E">
        <w:rPr>
          <w:rFonts w:ascii="Arial" w:hAnsi="Arial" w:cs="Arial"/>
          <w:sz w:val="24"/>
          <w:szCs w:val="24"/>
        </w:rPr>
        <w:t xml:space="preserve"> develop the most rational solutions to a problem by combining factual facts regarding criminal behaviour with an understanding of the motivations of criminals. For instance, using evidence-based policing, police officers may examine crime data to identify hotspots and execute preventive methods, such as expanding foot patrols</w:t>
      </w:r>
      <w:r w:rsidR="008D55B4" w:rsidRPr="008D55B4">
        <w:rPr>
          <w:rFonts w:ascii="Roboto" w:hAnsi="Roboto"/>
          <w:color w:val="2C3E50"/>
          <w:sz w:val="23"/>
          <w:szCs w:val="23"/>
          <w:shd w:val="clear" w:color="auto" w:fill="FFFFFF"/>
        </w:rPr>
        <w:t xml:space="preserve"> </w:t>
      </w:r>
      <w:r w:rsidR="008D55B4">
        <w:rPr>
          <w:rFonts w:ascii="Roboto" w:hAnsi="Roboto"/>
          <w:color w:val="2C3E50"/>
          <w:sz w:val="23"/>
          <w:szCs w:val="23"/>
          <w:shd w:val="clear" w:color="auto" w:fill="FFFFFF"/>
        </w:rPr>
        <w:t>(Cebcp.org, 2018)</w:t>
      </w:r>
      <w:r w:rsidRPr="00493A6E">
        <w:rPr>
          <w:rFonts w:ascii="Arial" w:hAnsi="Arial" w:cs="Arial"/>
          <w:sz w:val="24"/>
          <w:szCs w:val="24"/>
        </w:rPr>
        <w:t>. In order to devise more effective remedies, officers may also apply traditional criminology to comprehend the motivations and causes behind particular types of crime.</w:t>
      </w:r>
    </w:p>
    <w:p w14:paraId="281A3C02" w14:textId="4E987533" w:rsidR="00493A6E" w:rsidRDefault="00493A6E" w:rsidP="00493A6E">
      <w:pPr>
        <w:spacing w:line="360" w:lineRule="auto"/>
        <w:jc w:val="both"/>
        <w:rPr>
          <w:rFonts w:ascii="Arial" w:hAnsi="Arial" w:cs="Arial"/>
          <w:sz w:val="24"/>
          <w:szCs w:val="24"/>
        </w:rPr>
      </w:pPr>
      <w:r w:rsidRPr="00493A6E">
        <w:rPr>
          <w:rFonts w:ascii="Arial" w:hAnsi="Arial" w:cs="Arial"/>
          <w:sz w:val="24"/>
          <w:szCs w:val="24"/>
        </w:rPr>
        <w:t xml:space="preserve">Classical criminology contributes to evidence-based policing by providing a framework for comprehending criminal behaviour. By comprehending the underlying causes and motivations of criminal behaviour, police personnel </w:t>
      </w:r>
      <w:r w:rsidR="008D55B4" w:rsidRPr="00493A6E">
        <w:rPr>
          <w:rFonts w:ascii="Arial" w:hAnsi="Arial" w:cs="Arial"/>
          <w:sz w:val="24"/>
          <w:szCs w:val="24"/>
        </w:rPr>
        <w:t>can</w:t>
      </w:r>
      <w:r w:rsidRPr="00493A6E">
        <w:rPr>
          <w:rFonts w:ascii="Arial" w:hAnsi="Arial" w:cs="Arial"/>
          <w:sz w:val="24"/>
          <w:szCs w:val="24"/>
        </w:rPr>
        <w:t xml:space="preserve"> apply the tenets of classical criminology to develop more informed, proactive responses to criminal activity</w:t>
      </w:r>
      <w:r w:rsidR="00367C8C">
        <w:rPr>
          <w:rFonts w:ascii="Arial" w:hAnsi="Arial" w:cs="Arial"/>
          <w:sz w:val="24"/>
          <w:szCs w:val="24"/>
        </w:rPr>
        <w:t xml:space="preserve"> </w:t>
      </w:r>
      <w:r w:rsidR="00367C8C">
        <w:rPr>
          <w:rFonts w:ascii="Roboto" w:hAnsi="Roboto"/>
          <w:color w:val="2C3E50"/>
          <w:sz w:val="23"/>
          <w:szCs w:val="23"/>
          <w:shd w:val="clear" w:color="auto" w:fill="FFFFFF"/>
        </w:rPr>
        <w:t>(ResearchGate, n.d.)</w:t>
      </w:r>
      <w:r w:rsidRPr="00493A6E">
        <w:rPr>
          <w:rFonts w:ascii="Arial" w:hAnsi="Arial" w:cs="Arial"/>
          <w:sz w:val="24"/>
          <w:szCs w:val="24"/>
        </w:rPr>
        <w:t>. These tactics are the cornerstone of evidence-based policing.</w:t>
      </w:r>
    </w:p>
    <w:p w14:paraId="5D4D689C" w14:textId="220CC63B"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Evidence-based policing (EBP) is founded on the premise that decisions should be influenced by data and evaluation findings of implemented initiatives. Classical criminology is a school of thought within criminology that precedes the birth of EBP and provides crucial insight into the development of treatments for terrorist actions with a specific objective</w:t>
      </w:r>
      <w:r w:rsidR="00241031" w:rsidRPr="00241031">
        <w:rPr>
          <w:rFonts w:ascii="Roboto" w:hAnsi="Roboto"/>
          <w:color w:val="2C3E50"/>
          <w:sz w:val="23"/>
          <w:szCs w:val="23"/>
          <w:shd w:val="clear" w:color="auto" w:fill="FFFFFF"/>
        </w:rPr>
        <w:t xml:space="preserve"> </w:t>
      </w:r>
      <w:r w:rsidR="00241031">
        <w:rPr>
          <w:rFonts w:ascii="Roboto" w:hAnsi="Roboto"/>
          <w:color w:val="2C3E50"/>
          <w:sz w:val="23"/>
          <w:szCs w:val="23"/>
          <w:shd w:val="clear" w:color="auto" w:fill="FFFFFF"/>
        </w:rPr>
        <w:t>(UNODC, 2019)</w:t>
      </w:r>
      <w:r w:rsidRPr="00D64076">
        <w:rPr>
          <w:rFonts w:ascii="Arial" w:hAnsi="Arial" w:cs="Arial"/>
          <w:sz w:val="24"/>
          <w:szCs w:val="24"/>
        </w:rPr>
        <w:t xml:space="preserve">. According to the tenets of traditional criminology, the commission of a crime is a deliberate, calculated decision undertaken by individuals in order to maximise their personal benefits while minimising the danger </w:t>
      </w:r>
      <w:r w:rsidRPr="00D64076">
        <w:rPr>
          <w:rFonts w:ascii="Arial" w:hAnsi="Arial" w:cs="Arial"/>
          <w:sz w:val="24"/>
          <w:szCs w:val="24"/>
        </w:rPr>
        <w:lastRenderedPageBreak/>
        <w:t>of detection or punishment. As a result, policy interventions performed by law enforcement can effectively target characteristics that discourage offenders from committing a crime or returning to criminal activity after punishment.</w:t>
      </w:r>
    </w:p>
    <w:p w14:paraId="59A793EA" w14:textId="074CE028"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EBP can be used to target a range of actions intended to dissuade terrorist conduct within the context of terrorism. For instance, greater surveillance may be used to detect terrorist acts in advance or identify individuals who may be prone to committing such crimes. The potential threat posed by potential terrorists can be mitigated by implementing measures that prevent people regarded to be at risk from gaining access to the materials required to commit a terrorist ac</w:t>
      </w:r>
      <w:r w:rsidR="00241031">
        <w:rPr>
          <w:rFonts w:ascii="Arial" w:hAnsi="Arial" w:cs="Arial"/>
          <w:sz w:val="24"/>
          <w:szCs w:val="24"/>
        </w:rPr>
        <w:t xml:space="preserve">t </w:t>
      </w:r>
      <w:r w:rsidR="00241031">
        <w:rPr>
          <w:rFonts w:ascii="Roboto" w:hAnsi="Roboto"/>
          <w:color w:val="2C3E50"/>
          <w:sz w:val="23"/>
          <w:szCs w:val="23"/>
          <w:shd w:val="clear" w:color="auto" w:fill="FFFFFF"/>
        </w:rPr>
        <w:t>(Cpni.gov.uk, 2014)</w:t>
      </w:r>
      <w:r w:rsidRPr="00D64076">
        <w:rPr>
          <w:rFonts w:ascii="Arial" w:hAnsi="Arial" w:cs="Arial"/>
          <w:sz w:val="24"/>
          <w:szCs w:val="24"/>
        </w:rPr>
        <w:t>. In addition, evidence-based policing could be used to inform preventive initiatives to lessen the possibility of an attack, such as the implementation of education programmes meant to reduce radicalization and extremist views</w:t>
      </w:r>
      <w:r w:rsidR="00241031">
        <w:rPr>
          <w:rFonts w:ascii="Arial" w:hAnsi="Arial" w:cs="Arial"/>
          <w:sz w:val="24"/>
          <w:szCs w:val="24"/>
        </w:rPr>
        <w:t xml:space="preserve"> </w:t>
      </w:r>
      <w:r w:rsidR="00241031">
        <w:rPr>
          <w:rFonts w:ascii="Roboto" w:hAnsi="Roboto"/>
          <w:color w:val="2C3E50"/>
          <w:sz w:val="23"/>
          <w:szCs w:val="23"/>
          <w:shd w:val="clear" w:color="auto" w:fill="FFFFFF"/>
        </w:rPr>
        <w:t>(National Institute of Justice, n.d.)</w:t>
      </w:r>
      <w:r w:rsidRPr="00D64076">
        <w:rPr>
          <w:rFonts w:ascii="Arial" w:hAnsi="Arial" w:cs="Arial"/>
          <w:sz w:val="24"/>
          <w:szCs w:val="24"/>
        </w:rPr>
        <w:t>.</w:t>
      </w:r>
    </w:p>
    <w:p w14:paraId="6077DF41" w14:textId="0F0DC8C1" w:rsidR="00D64076" w:rsidRDefault="00D64076" w:rsidP="00D64076">
      <w:pPr>
        <w:spacing w:line="360" w:lineRule="auto"/>
        <w:jc w:val="both"/>
        <w:rPr>
          <w:rFonts w:ascii="Arial" w:hAnsi="Arial" w:cs="Arial"/>
          <w:sz w:val="24"/>
          <w:szCs w:val="24"/>
        </w:rPr>
      </w:pPr>
      <w:r w:rsidRPr="00D64076">
        <w:rPr>
          <w:rFonts w:ascii="Arial" w:hAnsi="Arial" w:cs="Arial"/>
          <w:sz w:val="24"/>
          <w:szCs w:val="24"/>
        </w:rPr>
        <w:t>Classical criminology, in addition to evidence-based policing, provides insight into how individuals become involved in terrorist operations. By comprehending the motivations behind terrorist operations, it is possible to design interventions that effectively address the underlying causes of crime and terrorism. In addition, a set of regulations that diminish the incentive to engage in terrorist acts can be devised. Popular interventions informed by the tenets of evidence-based policing and traditional criminology may be valuable weapons for mitigating the dangers posed by terrorist activities.</w:t>
      </w:r>
    </w:p>
    <w:p w14:paraId="5CA769A4" w14:textId="6B4AAAAC"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 xml:space="preserve">In 1764, the Italian philosopher Cesare Beccaria formulated a philosophy of criminal justice known as classic </w:t>
      </w:r>
      <w:r w:rsidR="00A52AC8" w:rsidRPr="00D64076">
        <w:rPr>
          <w:rFonts w:ascii="Arial" w:hAnsi="Arial" w:cs="Arial"/>
          <w:sz w:val="24"/>
          <w:szCs w:val="24"/>
        </w:rPr>
        <w:t>criminology</w:t>
      </w:r>
      <w:r w:rsidR="00A52AC8" w:rsidRPr="00A52AC8">
        <w:rPr>
          <w:rFonts w:ascii="Roboto" w:hAnsi="Roboto"/>
          <w:color w:val="2C3E50"/>
          <w:sz w:val="23"/>
          <w:szCs w:val="23"/>
          <w:shd w:val="clear" w:color="auto" w:fill="FFFFFF"/>
        </w:rPr>
        <w:t xml:space="preserve"> </w:t>
      </w:r>
      <w:r w:rsidR="00A52AC8">
        <w:rPr>
          <w:rFonts w:ascii="Roboto" w:hAnsi="Roboto"/>
          <w:color w:val="2C3E50"/>
          <w:sz w:val="23"/>
          <w:szCs w:val="23"/>
          <w:shd w:val="clear" w:color="auto" w:fill="FFFFFF"/>
        </w:rPr>
        <w:t>(www.lawteacher.net, n.d.)</w:t>
      </w:r>
      <w:r w:rsidR="00A52AC8">
        <w:rPr>
          <w:rFonts w:ascii="Arial" w:hAnsi="Arial" w:cs="Arial"/>
          <w:sz w:val="24"/>
          <w:szCs w:val="24"/>
        </w:rPr>
        <w:t>.</w:t>
      </w:r>
      <w:r w:rsidRPr="00D64076">
        <w:rPr>
          <w:rFonts w:ascii="Arial" w:hAnsi="Arial" w:cs="Arial"/>
          <w:sz w:val="24"/>
          <w:szCs w:val="24"/>
        </w:rPr>
        <w:t xml:space="preserve"> This strategy emphasises deterrence and a free-will paradigm of criminal conduct. According to traditional criminology, criminal activity is motivated by an individual's logical cost-benefit analysis. According to this notion, punishments should be strong, certain, and rapid in order to dissuade potential criminals.</w:t>
      </w:r>
    </w:p>
    <w:p w14:paraId="343EAB87" w14:textId="0F5E9459"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Evidence-based policing is a theory and, consequently, a methodology used to examine and implement police operations, take initiatives, and establish new practises. It is predicated on utilising quantitative and qualitative knowledge to inform and direct police conduct and decision-making. Using the scientific method, the evidence-based police methodology determines the efficacy of each incident response and crime prevention action in a specific context</w:t>
      </w:r>
      <w:r w:rsidR="00A52AC8" w:rsidRPr="00A52AC8">
        <w:rPr>
          <w:rFonts w:ascii="Roboto" w:hAnsi="Roboto"/>
          <w:color w:val="2C3E50"/>
          <w:sz w:val="23"/>
          <w:szCs w:val="23"/>
          <w:shd w:val="clear" w:color="auto" w:fill="FFFFFF"/>
        </w:rPr>
        <w:t xml:space="preserve"> </w:t>
      </w:r>
      <w:r w:rsidR="00A52AC8">
        <w:rPr>
          <w:rFonts w:ascii="Roboto" w:hAnsi="Roboto"/>
          <w:color w:val="2C3E50"/>
          <w:sz w:val="23"/>
          <w:szCs w:val="23"/>
          <w:shd w:val="clear" w:color="auto" w:fill="FFFFFF"/>
        </w:rPr>
        <w:t>(</w:t>
      </w:r>
      <w:proofErr w:type="spellStart"/>
      <w:r w:rsidR="00A52AC8">
        <w:rPr>
          <w:rFonts w:ascii="Roboto" w:hAnsi="Roboto"/>
          <w:color w:val="2C3E50"/>
          <w:sz w:val="23"/>
          <w:szCs w:val="23"/>
          <w:shd w:val="clear" w:color="auto" w:fill="FFFFFF"/>
        </w:rPr>
        <w:t>Bueermann</w:t>
      </w:r>
      <w:proofErr w:type="spellEnd"/>
      <w:r w:rsidR="00A52AC8">
        <w:rPr>
          <w:rFonts w:ascii="Roboto" w:hAnsi="Roboto"/>
          <w:color w:val="2C3E50"/>
          <w:sz w:val="23"/>
          <w:szCs w:val="23"/>
          <w:shd w:val="clear" w:color="auto" w:fill="FFFFFF"/>
        </w:rPr>
        <w:t>, 2012)</w:t>
      </w:r>
      <w:r w:rsidRPr="00D64076">
        <w:rPr>
          <w:rFonts w:ascii="Arial" w:hAnsi="Arial" w:cs="Arial"/>
          <w:sz w:val="24"/>
          <w:szCs w:val="24"/>
        </w:rPr>
        <w:t xml:space="preserve">. It tries to employ </w:t>
      </w:r>
      <w:r w:rsidRPr="00D64076">
        <w:rPr>
          <w:rFonts w:ascii="Arial" w:hAnsi="Arial" w:cs="Arial"/>
          <w:sz w:val="24"/>
          <w:szCs w:val="24"/>
        </w:rPr>
        <w:lastRenderedPageBreak/>
        <w:t>data-driven adaptive tactics that are congruent with the values and beliefs of the community</w:t>
      </w:r>
      <w:r w:rsidR="00242AD8">
        <w:rPr>
          <w:rFonts w:ascii="Calibri" w:hAnsi="Calibri" w:cs="Calibri"/>
          <w:color w:val="000000"/>
          <w:sz w:val="27"/>
          <w:szCs w:val="27"/>
        </w:rPr>
        <w:t>‌</w:t>
      </w:r>
      <w:r w:rsidR="00242AD8" w:rsidRPr="00CD31E7">
        <w:rPr>
          <w:rFonts w:ascii="Arial" w:hAnsi="Arial" w:cs="Arial"/>
          <w:color w:val="2A2A2A"/>
          <w:sz w:val="24"/>
          <w:szCs w:val="24"/>
          <w:shd w:val="clear" w:color="auto" w:fill="FFFFFF"/>
        </w:rPr>
        <w:t xml:space="preserve"> </w:t>
      </w:r>
      <w:r w:rsidR="00242AD8">
        <w:rPr>
          <w:rFonts w:ascii="Arial" w:hAnsi="Arial" w:cs="Arial"/>
          <w:color w:val="2A2A2A"/>
          <w:sz w:val="24"/>
          <w:szCs w:val="24"/>
          <w:shd w:val="clear" w:color="auto" w:fill="FFFFFF"/>
        </w:rPr>
        <w:t>(</w:t>
      </w:r>
      <w:r w:rsidR="00242AD8" w:rsidRPr="00CD31E7">
        <w:rPr>
          <w:rFonts w:ascii="Arial" w:hAnsi="Arial" w:cs="Arial"/>
          <w:color w:val="2A2A2A"/>
          <w:sz w:val="24"/>
          <w:szCs w:val="24"/>
          <w:shd w:val="clear" w:color="auto" w:fill="FFFFFF"/>
        </w:rPr>
        <w:t>Bullock</w:t>
      </w:r>
      <w:r w:rsidR="00242AD8">
        <w:rPr>
          <w:rFonts w:ascii="Arial" w:hAnsi="Arial" w:cs="Arial"/>
          <w:color w:val="2A2A2A"/>
          <w:shd w:val="clear" w:color="auto" w:fill="FFFFFF"/>
        </w:rPr>
        <w:t xml:space="preserve"> and </w:t>
      </w:r>
      <w:r w:rsidR="00242AD8" w:rsidRPr="00CD31E7">
        <w:rPr>
          <w:rFonts w:ascii="Arial" w:hAnsi="Arial" w:cs="Arial"/>
          <w:color w:val="2A2A2A"/>
          <w:sz w:val="24"/>
          <w:szCs w:val="24"/>
          <w:shd w:val="clear" w:color="auto" w:fill="FFFFFF"/>
        </w:rPr>
        <w:t>Tilley</w:t>
      </w:r>
      <w:r w:rsidR="00242AD8">
        <w:rPr>
          <w:rFonts w:ascii="Arial" w:hAnsi="Arial" w:cs="Arial"/>
          <w:color w:val="2A2A2A"/>
          <w:shd w:val="clear" w:color="auto" w:fill="FFFFFF"/>
        </w:rPr>
        <w:t xml:space="preserve">, </w:t>
      </w:r>
      <w:r w:rsidR="00242AD8" w:rsidRPr="00CD31E7">
        <w:rPr>
          <w:rFonts w:ascii="Arial" w:hAnsi="Arial" w:cs="Arial"/>
          <w:color w:val="2A2A2A"/>
          <w:sz w:val="24"/>
          <w:szCs w:val="24"/>
          <w:shd w:val="clear" w:color="auto" w:fill="FFFFFF"/>
        </w:rPr>
        <w:t>2009)</w:t>
      </w:r>
      <w:r w:rsidRPr="00D64076">
        <w:rPr>
          <w:rFonts w:ascii="Arial" w:hAnsi="Arial" w:cs="Arial"/>
          <w:sz w:val="24"/>
          <w:szCs w:val="24"/>
        </w:rPr>
        <w:t>.</w:t>
      </w:r>
    </w:p>
    <w:p w14:paraId="3C67C4BE" w14:textId="07525CAA"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Comparing the two models of classical criminology and evidence-based policing reveals that both ideas are grounded in a scientific approach to criminal justice research. Both methods aim to avoid crime and illegal behaviour by collecting data and determining the optimal way to handle circumstances</w:t>
      </w:r>
      <w:r w:rsidR="00A52AC8">
        <w:rPr>
          <w:rFonts w:ascii="Arial" w:hAnsi="Arial" w:cs="Arial"/>
          <w:sz w:val="24"/>
          <w:szCs w:val="24"/>
        </w:rPr>
        <w:t xml:space="preserve"> </w:t>
      </w:r>
      <w:r w:rsidR="00A52AC8">
        <w:rPr>
          <w:rFonts w:ascii="Roboto" w:hAnsi="Roboto"/>
          <w:color w:val="2C3E50"/>
          <w:sz w:val="23"/>
          <w:szCs w:val="23"/>
          <w:shd w:val="clear" w:color="auto" w:fill="FFFFFF"/>
        </w:rPr>
        <w:t>(</w:t>
      </w:r>
      <w:proofErr w:type="spellStart"/>
      <w:r w:rsidR="00A52AC8">
        <w:rPr>
          <w:rFonts w:ascii="Roboto" w:hAnsi="Roboto"/>
          <w:color w:val="2C3E50"/>
          <w:sz w:val="23"/>
          <w:szCs w:val="23"/>
          <w:shd w:val="clear" w:color="auto" w:fill="FFFFFF"/>
        </w:rPr>
        <w:t>StuDocu</w:t>
      </w:r>
      <w:proofErr w:type="spellEnd"/>
      <w:r w:rsidR="00A52AC8">
        <w:rPr>
          <w:rFonts w:ascii="Roboto" w:hAnsi="Roboto"/>
          <w:color w:val="2C3E50"/>
          <w:sz w:val="23"/>
          <w:szCs w:val="23"/>
          <w:shd w:val="clear" w:color="auto" w:fill="FFFFFF"/>
        </w:rPr>
        <w:t>, n.d.)</w:t>
      </w:r>
      <w:r w:rsidRPr="00D64076">
        <w:rPr>
          <w:rFonts w:ascii="Arial" w:hAnsi="Arial" w:cs="Arial"/>
          <w:sz w:val="24"/>
          <w:szCs w:val="24"/>
        </w:rPr>
        <w:t>.</w:t>
      </w:r>
    </w:p>
    <w:p w14:paraId="5E2DF91D" w14:textId="49CAFDDC"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Classical criminology's benefits lay in its effectiveness in discouraging criminal behaviour through logic and cost-benefit analysis, which is advantageous for all criminal justice-related activities</w:t>
      </w:r>
      <w:r w:rsidR="0074200D" w:rsidRPr="0074200D">
        <w:rPr>
          <w:rFonts w:ascii="Roboto" w:hAnsi="Roboto"/>
          <w:color w:val="2C3E50"/>
          <w:sz w:val="23"/>
          <w:szCs w:val="23"/>
          <w:shd w:val="clear" w:color="auto" w:fill="FFFFFF"/>
        </w:rPr>
        <w:t xml:space="preserve"> </w:t>
      </w:r>
      <w:r w:rsidR="0074200D">
        <w:rPr>
          <w:rFonts w:ascii="Roboto" w:hAnsi="Roboto"/>
          <w:color w:val="2C3E50"/>
          <w:sz w:val="23"/>
          <w:szCs w:val="23"/>
          <w:shd w:val="clear" w:color="auto" w:fill="FFFFFF"/>
        </w:rPr>
        <w:t>(</w:t>
      </w:r>
      <w:proofErr w:type="spellStart"/>
      <w:r w:rsidR="0074200D">
        <w:rPr>
          <w:rFonts w:ascii="Roboto" w:hAnsi="Roboto"/>
          <w:color w:val="2C3E50"/>
          <w:sz w:val="23"/>
          <w:szCs w:val="23"/>
          <w:shd w:val="clear" w:color="auto" w:fill="FFFFFF"/>
        </w:rPr>
        <w:t>StuDocu</w:t>
      </w:r>
      <w:proofErr w:type="spellEnd"/>
      <w:r w:rsidR="0074200D">
        <w:rPr>
          <w:rFonts w:ascii="Roboto" w:hAnsi="Roboto"/>
          <w:color w:val="2C3E50"/>
          <w:sz w:val="23"/>
          <w:szCs w:val="23"/>
          <w:shd w:val="clear" w:color="auto" w:fill="FFFFFF"/>
        </w:rPr>
        <w:t>, n.d.)</w:t>
      </w:r>
      <w:r w:rsidRPr="00D64076">
        <w:rPr>
          <w:rFonts w:ascii="Arial" w:hAnsi="Arial" w:cs="Arial"/>
          <w:sz w:val="24"/>
          <w:szCs w:val="24"/>
        </w:rPr>
        <w:t>. On the other hand, evidence-based policing provides an opportunity to analyse the efficacy of police operations by utilising community-collected data, resulting in more accurate police choices.</w:t>
      </w:r>
    </w:p>
    <w:p w14:paraId="2AD8BB56" w14:textId="7DA06BBC" w:rsidR="00D64076" w:rsidRPr="00D64076" w:rsidRDefault="00D64076" w:rsidP="00D64076">
      <w:pPr>
        <w:spacing w:line="360" w:lineRule="auto"/>
        <w:jc w:val="both"/>
        <w:rPr>
          <w:rFonts w:ascii="Arial" w:hAnsi="Arial" w:cs="Arial"/>
          <w:sz w:val="24"/>
          <w:szCs w:val="24"/>
        </w:rPr>
      </w:pPr>
      <w:r w:rsidRPr="00D64076">
        <w:rPr>
          <w:rFonts w:ascii="Arial" w:hAnsi="Arial" w:cs="Arial"/>
          <w:sz w:val="24"/>
          <w:szCs w:val="24"/>
        </w:rPr>
        <w:t>Classical criminology's flaws include its inability to account for the core causes of crime, which are frequently irrational decisions, and its inability to address concerns of social context or how society influences individuals' decisions. Occasionally, evidence-based policing can be excessively strict and inflexible, failing to account for the officer's judgement, intuition, or the dynamics of circumstances that are constantly evolving.</w:t>
      </w:r>
    </w:p>
    <w:p w14:paraId="1EDB565A" w14:textId="37FDEEF5" w:rsidR="00D64076" w:rsidRDefault="00D64076" w:rsidP="00D64076">
      <w:pPr>
        <w:spacing w:line="360" w:lineRule="auto"/>
        <w:jc w:val="both"/>
        <w:rPr>
          <w:rFonts w:ascii="Arial" w:hAnsi="Arial" w:cs="Arial"/>
          <w:sz w:val="24"/>
          <w:szCs w:val="24"/>
        </w:rPr>
      </w:pPr>
      <w:r w:rsidRPr="00D64076">
        <w:rPr>
          <w:rFonts w:ascii="Arial" w:hAnsi="Arial" w:cs="Arial"/>
          <w:sz w:val="24"/>
          <w:szCs w:val="24"/>
        </w:rPr>
        <w:t>In general, classical criminology lays the groundwork for evidence-based policing and offers a scientific approach to crime prevention. Using data produced from the community, the evidence-based policing method modernises the traditional model and provides flexibility to policing decisions</w:t>
      </w:r>
      <w:r w:rsidR="0074200D" w:rsidRPr="0074200D">
        <w:rPr>
          <w:rFonts w:ascii="Roboto" w:hAnsi="Roboto"/>
          <w:color w:val="2C3E50"/>
          <w:sz w:val="23"/>
          <w:szCs w:val="23"/>
          <w:shd w:val="clear" w:color="auto" w:fill="FFFFFF"/>
        </w:rPr>
        <w:t xml:space="preserve"> </w:t>
      </w:r>
      <w:r w:rsidR="0074200D">
        <w:rPr>
          <w:rFonts w:ascii="Roboto" w:hAnsi="Roboto"/>
          <w:color w:val="2C3E50"/>
          <w:sz w:val="23"/>
          <w:szCs w:val="23"/>
          <w:shd w:val="clear" w:color="auto" w:fill="FFFFFF"/>
        </w:rPr>
        <w:t>(Impact Map | University of Cambridge, 2021)</w:t>
      </w:r>
      <w:r w:rsidRPr="00D64076">
        <w:rPr>
          <w:rFonts w:ascii="Arial" w:hAnsi="Arial" w:cs="Arial"/>
          <w:sz w:val="24"/>
          <w:szCs w:val="24"/>
        </w:rPr>
        <w:t>.</w:t>
      </w:r>
    </w:p>
    <w:p w14:paraId="3B1D6CB7" w14:textId="72E07774" w:rsidR="00493A6E" w:rsidRDefault="00493A6E" w:rsidP="005E43F8">
      <w:pPr>
        <w:spacing w:line="360" w:lineRule="auto"/>
        <w:jc w:val="both"/>
        <w:rPr>
          <w:rFonts w:ascii="Arial" w:hAnsi="Arial" w:cs="Arial"/>
          <w:sz w:val="24"/>
          <w:szCs w:val="24"/>
        </w:rPr>
      </w:pPr>
    </w:p>
    <w:p w14:paraId="28538837" w14:textId="279D6F30" w:rsidR="00493A6E" w:rsidRDefault="00493A6E" w:rsidP="005E43F8">
      <w:pPr>
        <w:spacing w:line="360" w:lineRule="auto"/>
        <w:jc w:val="both"/>
        <w:rPr>
          <w:rFonts w:ascii="Arial" w:hAnsi="Arial" w:cs="Arial"/>
          <w:sz w:val="24"/>
          <w:szCs w:val="24"/>
        </w:rPr>
      </w:pPr>
    </w:p>
    <w:p w14:paraId="5DBF49AB" w14:textId="0E7A1F08" w:rsidR="00493A6E" w:rsidRDefault="00493A6E" w:rsidP="005E43F8">
      <w:pPr>
        <w:spacing w:line="360" w:lineRule="auto"/>
        <w:jc w:val="both"/>
        <w:rPr>
          <w:rFonts w:ascii="Arial" w:hAnsi="Arial" w:cs="Arial"/>
          <w:sz w:val="24"/>
          <w:szCs w:val="24"/>
        </w:rPr>
      </w:pPr>
    </w:p>
    <w:p w14:paraId="7E053DAF" w14:textId="2A1C633A" w:rsidR="00493A6E" w:rsidRDefault="00493A6E">
      <w:pPr>
        <w:rPr>
          <w:rFonts w:ascii="Arial" w:hAnsi="Arial" w:cs="Arial"/>
          <w:sz w:val="24"/>
          <w:szCs w:val="24"/>
        </w:rPr>
      </w:pPr>
      <w:r>
        <w:rPr>
          <w:rFonts w:ascii="Arial" w:hAnsi="Arial" w:cs="Arial"/>
          <w:sz w:val="24"/>
          <w:szCs w:val="24"/>
        </w:rPr>
        <w:br w:type="page"/>
      </w:r>
    </w:p>
    <w:p w14:paraId="1E177D44" w14:textId="46D3E383" w:rsidR="00493A6E" w:rsidRDefault="00493A6E" w:rsidP="005E43F8">
      <w:pPr>
        <w:spacing w:line="360" w:lineRule="auto"/>
        <w:jc w:val="both"/>
        <w:rPr>
          <w:rFonts w:ascii="Arial" w:hAnsi="Arial" w:cs="Arial"/>
          <w:sz w:val="24"/>
          <w:szCs w:val="24"/>
        </w:rPr>
      </w:pPr>
      <w:r>
        <w:rPr>
          <w:rFonts w:ascii="Arial" w:hAnsi="Arial" w:cs="Arial"/>
          <w:sz w:val="24"/>
          <w:szCs w:val="24"/>
        </w:rPr>
        <w:lastRenderedPageBreak/>
        <w:t>References</w:t>
      </w:r>
    </w:p>
    <w:p w14:paraId="34958B45"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Bueermann</w:t>
      </w:r>
      <w:proofErr w:type="spellEnd"/>
      <w:r>
        <w:rPr>
          <w:rFonts w:ascii="Calibri" w:hAnsi="Calibri" w:cs="Calibri"/>
          <w:color w:val="000000"/>
          <w:sz w:val="27"/>
          <w:szCs w:val="27"/>
        </w:rPr>
        <w:t>, J. (2012). </w:t>
      </w:r>
      <w:r>
        <w:rPr>
          <w:rFonts w:ascii="Calibri" w:hAnsi="Calibri" w:cs="Calibri"/>
          <w:i/>
          <w:iCs/>
          <w:color w:val="000000"/>
          <w:sz w:val="27"/>
          <w:szCs w:val="27"/>
        </w:rPr>
        <w:t>Being smart on crime with evidence-based policing</w:t>
      </w:r>
      <w:r>
        <w:rPr>
          <w:rFonts w:ascii="Calibri" w:hAnsi="Calibri" w:cs="Calibri"/>
          <w:color w:val="000000"/>
          <w:sz w:val="27"/>
          <w:szCs w:val="27"/>
        </w:rPr>
        <w:t xml:space="preserve">. [online] National Institute of Justice. Available at: </w:t>
      </w:r>
      <w:r w:rsidRPr="002754B9">
        <w:rPr>
          <w:rFonts w:ascii="Calibri" w:hAnsi="Calibri" w:cs="Calibri"/>
          <w:color w:val="000000"/>
          <w:sz w:val="27"/>
          <w:szCs w:val="27"/>
        </w:rPr>
        <w:t>https://nij.ojp.gov/topics/articles/being-smart-crime-evidence-based-policing</w:t>
      </w:r>
      <w:r>
        <w:rPr>
          <w:rFonts w:ascii="Calibri" w:hAnsi="Calibri" w:cs="Calibri"/>
          <w:color w:val="000000"/>
          <w:sz w:val="27"/>
          <w:szCs w:val="27"/>
        </w:rPr>
        <w:t>.</w:t>
      </w:r>
    </w:p>
    <w:p w14:paraId="2236871D"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2E3E93A8" w14:textId="05F8508B"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Burton, S. and McGregor, M. (2018). Enhancing SARA: a new approach in an increasingly complex world. </w:t>
      </w:r>
      <w:r>
        <w:rPr>
          <w:rFonts w:ascii="Calibri" w:hAnsi="Calibri" w:cs="Calibri"/>
          <w:i/>
          <w:iCs/>
          <w:color w:val="000000"/>
          <w:sz w:val="27"/>
          <w:szCs w:val="27"/>
        </w:rPr>
        <w:t>Crime Science</w:t>
      </w:r>
      <w:r>
        <w:rPr>
          <w:rFonts w:ascii="Calibri" w:hAnsi="Calibri" w:cs="Calibri"/>
          <w:color w:val="000000"/>
          <w:sz w:val="27"/>
          <w:szCs w:val="27"/>
        </w:rPr>
        <w:t xml:space="preserve">, [online] 7(1). </w:t>
      </w:r>
      <w:proofErr w:type="spellStart"/>
      <w:r>
        <w:rPr>
          <w:rFonts w:ascii="Calibri" w:hAnsi="Calibri" w:cs="Calibri"/>
          <w:color w:val="000000"/>
          <w:sz w:val="27"/>
          <w:szCs w:val="27"/>
        </w:rPr>
        <w:t>doi</w:t>
      </w:r>
      <w:proofErr w:type="spellEnd"/>
      <w:r>
        <w:rPr>
          <w:rFonts w:ascii="Calibri" w:hAnsi="Calibri" w:cs="Calibri"/>
          <w:color w:val="000000"/>
          <w:sz w:val="27"/>
          <w:szCs w:val="27"/>
        </w:rPr>
        <w:t>: https://doi.org/10.1186/s40163-018-0078-4.</w:t>
      </w:r>
    </w:p>
    <w:p w14:paraId="54C8A2FA"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4A71A94E" w14:textId="20EA3A3B"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Cebcp.org. (2018). </w:t>
      </w:r>
      <w:r>
        <w:rPr>
          <w:rFonts w:ascii="Calibri" w:hAnsi="Calibri" w:cs="Calibri"/>
          <w:i/>
          <w:iCs/>
          <w:color w:val="000000"/>
          <w:sz w:val="27"/>
          <w:szCs w:val="27"/>
        </w:rPr>
        <w:t xml:space="preserve">Micro Places – Sherman &amp; Weisburd (1995) | </w:t>
      </w:r>
      <w:proofErr w:type="spellStart"/>
      <w:r>
        <w:rPr>
          <w:rFonts w:ascii="Calibri" w:hAnsi="Calibri" w:cs="Calibri"/>
          <w:i/>
          <w:iCs/>
          <w:color w:val="000000"/>
          <w:sz w:val="27"/>
          <w:szCs w:val="27"/>
        </w:rPr>
        <w:t>Center</w:t>
      </w:r>
      <w:proofErr w:type="spellEnd"/>
      <w:r>
        <w:rPr>
          <w:rFonts w:ascii="Calibri" w:hAnsi="Calibri" w:cs="Calibri"/>
          <w:i/>
          <w:iCs/>
          <w:color w:val="000000"/>
          <w:sz w:val="27"/>
          <w:szCs w:val="27"/>
        </w:rPr>
        <w:t xml:space="preserve"> for Evidence-Based Crime Policy</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https://cebcp.org/evidence-based-policing/the-matrix/micro-places/micro-places-sherman-and-weisburd-1995/</w:t>
      </w:r>
      <w:r>
        <w:rPr>
          <w:rFonts w:ascii="Calibri" w:hAnsi="Calibri" w:cs="Calibri"/>
          <w:color w:val="000000"/>
          <w:sz w:val="27"/>
          <w:szCs w:val="27"/>
        </w:rPr>
        <w:t>.</w:t>
      </w:r>
    </w:p>
    <w:p w14:paraId="064E45F6"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7F10840A" w14:textId="30213DD8"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Charging and case preparation</w:t>
      </w:r>
      <w:r>
        <w:rPr>
          <w:rFonts w:ascii="Calibri" w:hAnsi="Calibri" w:cs="Calibri"/>
          <w:color w:val="000000"/>
          <w:sz w:val="27"/>
          <w:szCs w:val="27"/>
        </w:rPr>
        <w:t xml:space="preserve">. [online] College of Policing. Available at: </w:t>
      </w:r>
      <w:r w:rsidRPr="002754B9">
        <w:rPr>
          <w:rFonts w:ascii="Calibri" w:hAnsi="Calibri" w:cs="Calibri"/>
          <w:color w:val="000000"/>
          <w:sz w:val="27"/>
          <w:szCs w:val="27"/>
        </w:rPr>
        <w:t>https://www.college.police.uk/app/prosecution-and-case-management/charging-and-case-preparation</w:t>
      </w:r>
      <w:r>
        <w:rPr>
          <w:rFonts w:ascii="Calibri" w:hAnsi="Calibri" w:cs="Calibri"/>
          <w:color w:val="000000"/>
          <w:sz w:val="27"/>
          <w:szCs w:val="27"/>
        </w:rPr>
        <w:t>.</w:t>
      </w:r>
    </w:p>
    <w:p w14:paraId="11C24CD0"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3E1C96EE" w14:textId="03DEB494"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What Works in Policing to Reduce crime?</w:t>
      </w:r>
      <w:r>
        <w:rPr>
          <w:rFonts w:ascii="Calibri" w:hAnsi="Calibri" w:cs="Calibri"/>
          <w:color w:val="000000"/>
          <w:sz w:val="27"/>
          <w:szCs w:val="27"/>
        </w:rPr>
        <w:t xml:space="preserve"> [online] College of Policing. Available at: </w:t>
      </w:r>
      <w:r w:rsidRPr="006D48BD">
        <w:rPr>
          <w:rFonts w:ascii="Calibri" w:hAnsi="Calibri" w:cs="Calibri"/>
          <w:color w:val="000000"/>
          <w:sz w:val="27"/>
          <w:szCs w:val="27"/>
        </w:rPr>
        <w:t>https://www.college.police.uk/research/what-works-policing-reduce-crime</w:t>
      </w:r>
      <w:r>
        <w:rPr>
          <w:rFonts w:ascii="Calibri" w:hAnsi="Calibri" w:cs="Calibri"/>
          <w:color w:val="000000"/>
          <w:sz w:val="27"/>
          <w:szCs w:val="27"/>
        </w:rPr>
        <w:t>.</w:t>
      </w:r>
    </w:p>
    <w:p w14:paraId="15857783"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4D48FCA7" w14:textId="66098022"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Evidence-based policing</w:t>
      </w:r>
      <w:r>
        <w:rPr>
          <w:rFonts w:ascii="Calibri" w:hAnsi="Calibri" w:cs="Calibri"/>
          <w:color w:val="000000"/>
          <w:sz w:val="27"/>
          <w:szCs w:val="27"/>
        </w:rPr>
        <w:t xml:space="preserve">. [online] College of Policing. Available at: </w:t>
      </w:r>
      <w:r w:rsidRPr="002754B9">
        <w:rPr>
          <w:rFonts w:ascii="Calibri" w:hAnsi="Calibri" w:cs="Calibri"/>
          <w:color w:val="000000"/>
          <w:sz w:val="27"/>
          <w:szCs w:val="27"/>
        </w:rPr>
        <w:t>https://www.college.police.uk/research/evidence-based-policing-EBP</w:t>
      </w:r>
      <w:r>
        <w:rPr>
          <w:rFonts w:ascii="Calibri" w:hAnsi="Calibri" w:cs="Calibri"/>
          <w:color w:val="000000"/>
          <w:sz w:val="27"/>
          <w:szCs w:val="27"/>
        </w:rPr>
        <w:t>.</w:t>
      </w:r>
    </w:p>
    <w:p w14:paraId="7DFFC095"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3A51427A" w14:textId="3C46AA4B"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Cpni.gov.uk. (2014). </w:t>
      </w:r>
      <w:r>
        <w:rPr>
          <w:rFonts w:ascii="Calibri" w:hAnsi="Calibri" w:cs="Calibri"/>
          <w:i/>
          <w:iCs/>
          <w:color w:val="000000"/>
          <w:sz w:val="27"/>
          <w:szCs w:val="27"/>
        </w:rPr>
        <w:t>Terrorism is a major threat for businesses. | Public Website</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https://www.cpni.gov.uk/terrorism</w:t>
      </w:r>
      <w:r>
        <w:rPr>
          <w:rFonts w:ascii="Calibri" w:hAnsi="Calibri" w:cs="Calibri"/>
          <w:color w:val="000000"/>
          <w:sz w:val="27"/>
          <w:szCs w:val="27"/>
        </w:rPr>
        <w:t>.</w:t>
      </w:r>
    </w:p>
    <w:p w14:paraId="3073FAFA"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C5C79E6" w14:textId="578BFCF4"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(2021). </w:t>
      </w:r>
      <w:r>
        <w:rPr>
          <w:rFonts w:ascii="Calibri" w:hAnsi="Calibri" w:cs="Calibri"/>
          <w:i/>
          <w:iCs/>
          <w:color w:val="000000"/>
          <w:sz w:val="27"/>
          <w:szCs w:val="27"/>
        </w:rPr>
        <w:t>Crime and policing</w:t>
      </w:r>
      <w:r>
        <w:rPr>
          <w:rFonts w:ascii="Calibri" w:hAnsi="Calibri" w:cs="Calibri"/>
          <w:color w:val="000000"/>
          <w:sz w:val="27"/>
          <w:szCs w:val="27"/>
        </w:rPr>
        <w:t xml:space="preserve">. [online] GOV.UK. Available at: </w:t>
      </w:r>
      <w:r w:rsidRPr="002754B9">
        <w:rPr>
          <w:rFonts w:ascii="Calibri" w:hAnsi="Calibri" w:cs="Calibri"/>
          <w:color w:val="000000"/>
          <w:sz w:val="27"/>
          <w:szCs w:val="27"/>
        </w:rPr>
        <w:t>https://www.gov.uk/government/publications/the-report-of-the-commission-on-race-and-ethnic-disparities/crime-and-policing</w:t>
      </w:r>
      <w:r>
        <w:rPr>
          <w:rFonts w:ascii="Calibri" w:hAnsi="Calibri" w:cs="Calibri"/>
          <w:color w:val="000000"/>
          <w:sz w:val="27"/>
          <w:szCs w:val="27"/>
        </w:rPr>
        <w:t>.</w:t>
      </w:r>
    </w:p>
    <w:p w14:paraId="231FB3E4"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7E12DC77" w14:textId="6C701698"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Hinkle, J.C., Weisburd, D., </w:t>
      </w:r>
      <w:proofErr w:type="spellStart"/>
      <w:r>
        <w:rPr>
          <w:rFonts w:ascii="Calibri" w:hAnsi="Calibri" w:cs="Calibri"/>
          <w:color w:val="000000"/>
          <w:sz w:val="27"/>
          <w:szCs w:val="27"/>
        </w:rPr>
        <w:t>Telep</w:t>
      </w:r>
      <w:proofErr w:type="spellEnd"/>
      <w:r>
        <w:rPr>
          <w:rFonts w:ascii="Calibri" w:hAnsi="Calibri" w:cs="Calibri"/>
          <w:color w:val="000000"/>
          <w:sz w:val="27"/>
          <w:szCs w:val="27"/>
        </w:rPr>
        <w:t>, C.W. and Petersen, K. (2020). Problem‐oriented policing for reducing crime and disorder: An updated systematic review and meta‐analysis. </w:t>
      </w:r>
      <w:r>
        <w:rPr>
          <w:rFonts w:ascii="Calibri" w:hAnsi="Calibri" w:cs="Calibri"/>
          <w:i/>
          <w:iCs/>
          <w:color w:val="000000"/>
          <w:sz w:val="27"/>
          <w:szCs w:val="27"/>
        </w:rPr>
        <w:t>Campbell Systematic Reviews</w:t>
      </w:r>
      <w:r>
        <w:rPr>
          <w:rFonts w:ascii="Calibri" w:hAnsi="Calibri" w:cs="Calibri"/>
          <w:color w:val="000000"/>
          <w:sz w:val="27"/>
          <w:szCs w:val="27"/>
        </w:rPr>
        <w:t xml:space="preserve">, [online] 16(2). </w:t>
      </w:r>
      <w:proofErr w:type="spellStart"/>
      <w:r>
        <w:rPr>
          <w:rFonts w:ascii="Calibri" w:hAnsi="Calibri" w:cs="Calibri"/>
          <w:color w:val="000000"/>
          <w:sz w:val="27"/>
          <w:szCs w:val="27"/>
        </w:rPr>
        <w:t>doi</w:t>
      </w:r>
      <w:proofErr w:type="spellEnd"/>
      <w:r>
        <w:rPr>
          <w:rFonts w:ascii="Calibri" w:hAnsi="Calibri" w:cs="Calibri"/>
          <w:color w:val="000000"/>
          <w:sz w:val="27"/>
          <w:szCs w:val="27"/>
        </w:rPr>
        <w:t>: https://doi.org/10.1002/cl2.1089.</w:t>
      </w:r>
    </w:p>
    <w:p w14:paraId="11325094"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Impact Map | University of Cambridge. (2021). </w:t>
      </w:r>
      <w:r>
        <w:rPr>
          <w:rFonts w:ascii="Calibri" w:hAnsi="Calibri" w:cs="Calibri"/>
          <w:i/>
          <w:iCs/>
          <w:color w:val="000000"/>
          <w:sz w:val="27"/>
          <w:szCs w:val="27"/>
        </w:rPr>
        <w:t>Evidence-based policing</w:t>
      </w:r>
      <w:r>
        <w:rPr>
          <w:rFonts w:ascii="Calibri" w:hAnsi="Calibri" w:cs="Calibri"/>
          <w:color w:val="000000"/>
          <w:sz w:val="27"/>
          <w:szCs w:val="27"/>
        </w:rPr>
        <w:t>. [online] Available at: https://impactmap.cam.ac.uk/evidence-based-policing/.</w:t>
      </w:r>
    </w:p>
    <w:p w14:paraId="79C1601F" w14:textId="77777777" w:rsidR="006D48BD" w:rsidRDefault="006D48BD" w:rsidP="00493A6E">
      <w:pPr>
        <w:pStyle w:val="NormalWeb"/>
        <w:spacing w:before="0" w:beforeAutospacing="0" w:after="0" w:afterAutospacing="0" w:line="360" w:lineRule="atLeast"/>
        <w:rPr>
          <w:rFonts w:ascii="Arial" w:eastAsiaTheme="minorHAnsi" w:hAnsi="Arial" w:cs="Arial"/>
          <w:color w:val="2A2A2A"/>
          <w:shd w:val="clear" w:color="auto" w:fill="FFFFFF"/>
          <w:lang w:eastAsia="en-US"/>
        </w:rPr>
      </w:pPr>
    </w:p>
    <w:p w14:paraId="666D4BFD" w14:textId="1244F03F" w:rsidR="006D48BD" w:rsidRDefault="006D48BD" w:rsidP="00493A6E">
      <w:pPr>
        <w:pStyle w:val="NormalWeb"/>
        <w:spacing w:before="0" w:beforeAutospacing="0" w:after="0" w:afterAutospacing="0" w:line="360" w:lineRule="atLeast"/>
        <w:rPr>
          <w:rFonts w:ascii="Arial" w:eastAsiaTheme="minorHAnsi" w:hAnsi="Arial" w:cs="Arial"/>
          <w:color w:val="2A2A2A"/>
          <w:shd w:val="clear" w:color="auto" w:fill="FFFFFF"/>
          <w:lang w:eastAsia="en-US"/>
        </w:rPr>
      </w:pPr>
      <w:r w:rsidRPr="00CD31E7">
        <w:rPr>
          <w:rFonts w:ascii="Arial" w:eastAsiaTheme="minorHAnsi" w:hAnsi="Arial" w:cs="Arial"/>
          <w:color w:val="2A2A2A"/>
          <w:shd w:val="clear" w:color="auto" w:fill="FFFFFF"/>
          <w:lang w:eastAsia="en-US"/>
        </w:rPr>
        <w:t>Karen Bullock</w:t>
      </w:r>
      <w:r>
        <w:rPr>
          <w:rFonts w:ascii="Arial" w:eastAsiaTheme="minorHAnsi" w:hAnsi="Arial" w:cs="Arial"/>
          <w:color w:val="2A2A2A"/>
          <w:shd w:val="clear" w:color="auto" w:fill="FFFFFF"/>
          <w:lang w:eastAsia="en-US"/>
        </w:rPr>
        <w:t xml:space="preserve"> and </w:t>
      </w:r>
      <w:r w:rsidRPr="00CD31E7">
        <w:rPr>
          <w:rFonts w:ascii="Arial" w:eastAsiaTheme="minorHAnsi" w:hAnsi="Arial" w:cs="Arial"/>
          <w:color w:val="2A2A2A"/>
          <w:shd w:val="clear" w:color="auto" w:fill="FFFFFF"/>
          <w:lang w:eastAsia="en-US"/>
        </w:rPr>
        <w:t>Nick Tilley</w:t>
      </w:r>
      <w:r>
        <w:rPr>
          <w:rFonts w:ascii="Arial" w:eastAsiaTheme="minorHAnsi" w:hAnsi="Arial" w:cs="Arial"/>
          <w:color w:val="2A2A2A"/>
          <w:shd w:val="clear" w:color="auto" w:fill="FFFFFF"/>
          <w:lang w:eastAsia="en-US"/>
        </w:rPr>
        <w:t xml:space="preserve"> </w:t>
      </w:r>
      <w:r w:rsidRPr="00CD31E7">
        <w:rPr>
          <w:rFonts w:ascii="Arial" w:eastAsiaTheme="minorHAnsi" w:hAnsi="Arial" w:cs="Arial"/>
          <w:color w:val="2A2A2A"/>
          <w:shd w:val="clear" w:color="auto" w:fill="FFFFFF"/>
          <w:lang w:eastAsia="en-US"/>
        </w:rPr>
        <w:t>(2009), Evidence-Based Policing and Crime Reduction, </w:t>
      </w:r>
      <w:r w:rsidRPr="00CD31E7">
        <w:rPr>
          <w:rFonts w:ascii="Arial" w:eastAsiaTheme="minorHAnsi" w:hAnsi="Arial" w:cs="Arial"/>
          <w:i/>
          <w:iCs/>
          <w:color w:val="2A2A2A"/>
          <w:bdr w:val="none" w:sz="0" w:space="0" w:color="auto" w:frame="1"/>
          <w:shd w:val="clear" w:color="auto" w:fill="FFFFFF"/>
          <w:lang w:eastAsia="en-US"/>
        </w:rPr>
        <w:t>Policing: A Journal of Policy and Practice</w:t>
      </w:r>
      <w:r w:rsidRPr="00CD31E7">
        <w:rPr>
          <w:rFonts w:ascii="Arial" w:eastAsiaTheme="minorHAnsi" w:hAnsi="Arial" w:cs="Arial"/>
          <w:color w:val="2A2A2A"/>
          <w:shd w:val="clear" w:color="auto" w:fill="FFFFFF"/>
          <w:lang w:eastAsia="en-US"/>
        </w:rPr>
        <w:t xml:space="preserve">, Volume 3, Issue 4, Pages 381–387, </w:t>
      </w:r>
      <w:hyperlink r:id="rId4" w:history="1">
        <w:r w:rsidRPr="00F55030">
          <w:rPr>
            <w:rStyle w:val="Hyperlink"/>
            <w:rFonts w:ascii="Arial" w:eastAsiaTheme="minorHAnsi" w:hAnsi="Arial" w:cs="Arial"/>
            <w:shd w:val="clear" w:color="auto" w:fill="FFFFFF"/>
            <w:lang w:eastAsia="en-US"/>
          </w:rPr>
          <w:t>https://doi.org/10.1093/police/pap032</w:t>
        </w:r>
      </w:hyperlink>
    </w:p>
    <w:p w14:paraId="5078F925" w14:textId="51EDB1E7" w:rsidR="00493A6E" w:rsidRDefault="00493A6E" w:rsidP="00CD31E7">
      <w:pPr>
        <w:pStyle w:val="NormalWeb"/>
        <w:spacing w:line="360" w:lineRule="auto"/>
        <w:rPr>
          <w:rFonts w:ascii="Arial" w:eastAsiaTheme="minorHAnsi" w:hAnsi="Arial" w:cs="Arial"/>
          <w:lang w:eastAsia="en-US"/>
        </w:rPr>
      </w:pPr>
      <w:r>
        <w:rPr>
          <w:rFonts w:ascii="Calibri" w:hAnsi="Calibri" w:cs="Calibri"/>
          <w:color w:val="000000"/>
          <w:sz w:val="27"/>
          <w:szCs w:val="27"/>
        </w:rPr>
        <w:t>‌</w:t>
      </w:r>
      <w:r w:rsidR="00CD31E7" w:rsidRPr="00CD31E7">
        <w:rPr>
          <w:rFonts w:ascii="Arial" w:eastAsiaTheme="minorHAnsi" w:hAnsi="Arial" w:cs="Arial"/>
          <w:color w:val="2A2A2A"/>
          <w:shd w:val="clear" w:color="auto" w:fill="FFFFFF"/>
          <w:lang w:eastAsia="en-US"/>
        </w:rPr>
        <w:t xml:space="preserve"> </w:t>
      </w:r>
      <w:r w:rsidR="006D48BD">
        <w:rPr>
          <w:rFonts w:ascii="Calibri" w:hAnsi="Calibri" w:cs="Calibri"/>
          <w:color w:val="000000"/>
          <w:sz w:val="27"/>
          <w:szCs w:val="27"/>
        </w:rPr>
        <w:t>Ministry of Justice (2018). </w:t>
      </w:r>
      <w:r w:rsidR="006D48BD">
        <w:rPr>
          <w:rFonts w:ascii="Calibri" w:hAnsi="Calibri" w:cs="Calibri"/>
          <w:i/>
          <w:iCs/>
          <w:color w:val="000000"/>
          <w:sz w:val="27"/>
          <w:szCs w:val="27"/>
        </w:rPr>
        <w:t>Offending behaviour programmes and interventions</w:t>
      </w:r>
      <w:r w:rsidR="006D48BD">
        <w:rPr>
          <w:rFonts w:ascii="Calibri" w:hAnsi="Calibri" w:cs="Calibri"/>
          <w:color w:val="000000"/>
          <w:sz w:val="27"/>
          <w:szCs w:val="27"/>
        </w:rPr>
        <w:t xml:space="preserve">. [online] GOV.UK. Available at: </w:t>
      </w:r>
      <w:r w:rsidR="006D48BD" w:rsidRPr="002754B9">
        <w:rPr>
          <w:rFonts w:ascii="Calibri" w:hAnsi="Calibri" w:cs="Calibri"/>
          <w:color w:val="000000"/>
          <w:sz w:val="27"/>
          <w:szCs w:val="27"/>
        </w:rPr>
        <w:t>https://www.gov.uk/guidance/offending-behaviour-programmes-and-interventions</w:t>
      </w:r>
      <w:r w:rsidR="006D48BD">
        <w:rPr>
          <w:rFonts w:ascii="Calibri" w:hAnsi="Calibri" w:cs="Calibri"/>
          <w:color w:val="000000"/>
          <w:sz w:val="27"/>
          <w:szCs w:val="27"/>
        </w:rPr>
        <w:t>.</w:t>
      </w:r>
    </w:p>
    <w:p w14:paraId="7EDE4983"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2A4E3C">
        <w:rPr>
          <w:rFonts w:ascii="Calibri" w:hAnsi="Calibri" w:cs="Calibri"/>
          <w:color w:val="000000"/>
          <w:sz w:val="27"/>
          <w:szCs w:val="27"/>
        </w:rPr>
        <w:t xml:space="preserve"> </w:t>
      </w:r>
      <w:r>
        <w:rPr>
          <w:rFonts w:ascii="Calibri" w:hAnsi="Calibri" w:cs="Calibri"/>
          <w:color w:val="000000"/>
          <w:sz w:val="27"/>
          <w:szCs w:val="27"/>
        </w:rPr>
        <w:t>Nast, C. (2021). </w:t>
      </w:r>
      <w:r>
        <w:rPr>
          <w:rFonts w:ascii="Calibri" w:hAnsi="Calibri" w:cs="Calibri"/>
          <w:i/>
          <w:iCs/>
          <w:color w:val="000000"/>
          <w:sz w:val="27"/>
          <w:szCs w:val="27"/>
        </w:rPr>
        <w:t>The radical idea to reduce crime by policing less, not more</w:t>
      </w:r>
      <w:r>
        <w:rPr>
          <w:rFonts w:ascii="Calibri" w:hAnsi="Calibri" w:cs="Calibri"/>
          <w:color w:val="000000"/>
          <w:sz w:val="27"/>
          <w:szCs w:val="27"/>
        </w:rPr>
        <w:t xml:space="preserve">. [online] Wired UK. Available at: </w:t>
      </w:r>
      <w:r w:rsidRPr="002754B9">
        <w:rPr>
          <w:rFonts w:ascii="Calibri" w:hAnsi="Calibri" w:cs="Calibri"/>
          <w:color w:val="000000"/>
          <w:sz w:val="27"/>
          <w:szCs w:val="27"/>
        </w:rPr>
        <w:t>https://www.wired.co.uk/article/evidence-based-policing</w:t>
      </w:r>
      <w:r>
        <w:rPr>
          <w:rFonts w:ascii="Calibri" w:hAnsi="Calibri" w:cs="Calibri"/>
          <w:color w:val="000000"/>
          <w:sz w:val="27"/>
          <w:szCs w:val="27"/>
        </w:rPr>
        <w:t>.</w:t>
      </w:r>
    </w:p>
    <w:p w14:paraId="0D7A63CE"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D94310D" w14:textId="0A919128"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National Institute of Justice. (n.d.). </w:t>
      </w:r>
      <w:r>
        <w:rPr>
          <w:rFonts w:ascii="Calibri" w:hAnsi="Calibri" w:cs="Calibri"/>
          <w:i/>
          <w:iCs/>
          <w:color w:val="000000"/>
          <w:sz w:val="27"/>
          <w:szCs w:val="27"/>
        </w:rPr>
        <w:t>The Importance of Management in Evidence-Based Policing</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https://nij.ojp.gov/topics/articles/importance-management-evidence-based-policing#:~:text=Evidence-based%20policing%20research%20is%20the%20practice%20of%20gathering</w:t>
      </w:r>
      <w:r>
        <w:rPr>
          <w:rFonts w:ascii="Calibri" w:hAnsi="Calibri" w:cs="Calibri"/>
          <w:color w:val="000000"/>
          <w:sz w:val="27"/>
          <w:szCs w:val="27"/>
        </w:rPr>
        <w:t>.</w:t>
      </w:r>
    </w:p>
    <w:p w14:paraId="2334D933" w14:textId="77777777" w:rsidR="008316EB"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9115614" w14:textId="64581BF1"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Okada, D. (2015). </w:t>
      </w:r>
      <w:r>
        <w:rPr>
          <w:rFonts w:ascii="Calibri" w:hAnsi="Calibri" w:cs="Calibri"/>
          <w:i/>
          <w:iCs/>
          <w:color w:val="000000"/>
          <w:sz w:val="27"/>
          <w:szCs w:val="27"/>
        </w:rPr>
        <w:t>Criminological Theory and Crime Explanation</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https://uk.sagepub.com/sites/default/files/upm-binaries/65244_Maguire_Chapter_3.pdf</w:t>
      </w:r>
      <w:r>
        <w:rPr>
          <w:rFonts w:ascii="Calibri" w:hAnsi="Calibri" w:cs="Calibri"/>
          <w:color w:val="000000"/>
          <w:sz w:val="27"/>
          <w:szCs w:val="27"/>
        </w:rPr>
        <w:t>.</w:t>
      </w:r>
    </w:p>
    <w:p w14:paraId="3171DE73" w14:textId="77777777" w:rsidR="008316EB"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C9F2813" w14:textId="0861F7F3"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ONS (2018). </w:t>
      </w:r>
      <w:r>
        <w:rPr>
          <w:rFonts w:ascii="Calibri" w:hAnsi="Calibri" w:cs="Calibri"/>
          <w:i/>
          <w:iCs/>
          <w:color w:val="000000"/>
          <w:sz w:val="27"/>
          <w:szCs w:val="27"/>
        </w:rPr>
        <w:t>The Nature of Violent Crime in England and Wales - Office for National Statistics</w:t>
      </w:r>
      <w:r>
        <w:rPr>
          <w:rFonts w:ascii="Calibri" w:hAnsi="Calibri" w:cs="Calibri"/>
          <w:color w:val="000000"/>
          <w:sz w:val="27"/>
          <w:szCs w:val="27"/>
        </w:rPr>
        <w:t xml:space="preserve">. [online] Ons.gov.uk. Available at: </w:t>
      </w:r>
      <w:r w:rsidRPr="002754B9">
        <w:rPr>
          <w:rFonts w:ascii="Calibri" w:hAnsi="Calibri" w:cs="Calibri"/>
          <w:color w:val="000000"/>
          <w:sz w:val="27"/>
          <w:szCs w:val="27"/>
        </w:rPr>
        <w:t>https://www.ons.gov.uk/peoplepopulationandcommunity/crimeandjustice/articles/thenatureofviolentcrimeinenglandandwales/yearendingmarch2018</w:t>
      </w:r>
      <w:r>
        <w:rPr>
          <w:rFonts w:ascii="Calibri" w:hAnsi="Calibri" w:cs="Calibri"/>
          <w:color w:val="000000"/>
          <w:sz w:val="27"/>
          <w:szCs w:val="27"/>
        </w:rPr>
        <w:t>.</w:t>
      </w:r>
    </w:p>
    <w:p w14:paraId="6F24A919" w14:textId="77777777" w:rsidR="008316EB"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A5C6E22" w14:textId="786FABF4"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ResearchGate. (n.d.). </w:t>
      </w:r>
      <w:r>
        <w:rPr>
          <w:rFonts w:ascii="Calibri" w:hAnsi="Calibri" w:cs="Calibri"/>
          <w:i/>
          <w:iCs/>
          <w:color w:val="000000"/>
          <w:sz w:val="27"/>
          <w:szCs w:val="27"/>
        </w:rPr>
        <w:t>(PDF) Essay: Psychological Explanations of Criminal Behaviour</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https://www.researchgate.net/publication/263179161_Essay_Psychological_Explanations_of_Criminal_Behaviour</w:t>
      </w:r>
      <w:r>
        <w:rPr>
          <w:rFonts w:ascii="Calibri" w:hAnsi="Calibri" w:cs="Calibri"/>
          <w:color w:val="000000"/>
          <w:sz w:val="27"/>
          <w:szCs w:val="27"/>
        </w:rPr>
        <w:t>.</w:t>
      </w:r>
    </w:p>
    <w:p w14:paraId="48776D9C" w14:textId="77777777" w:rsidR="008D55B4" w:rsidRDefault="008D55B4" w:rsidP="00713A56">
      <w:pPr>
        <w:pStyle w:val="NormalWeb"/>
        <w:spacing w:before="0" w:beforeAutospacing="0" w:after="0" w:afterAutospacing="0" w:line="360" w:lineRule="atLeast"/>
        <w:rPr>
          <w:rFonts w:ascii="Calibri" w:hAnsi="Calibri" w:cs="Calibri"/>
          <w:color w:val="000000"/>
          <w:sz w:val="27"/>
          <w:szCs w:val="27"/>
        </w:rPr>
      </w:pPr>
    </w:p>
    <w:p w14:paraId="09E06905" w14:textId="77777777" w:rsidR="00722F9B" w:rsidRDefault="00722F9B" w:rsidP="00722F9B">
      <w:pPr>
        <w:pStyle w:val="NormalWeb"/>
        <w:spacing w:before="0" w:beforeAutospacing="0" w:after="0" w:afterAutospacing="0" w:line="360" w:lineRule="atLeast"/>
        <w:rPr>
          <w:rFonts w:ascii="Calibri" w:hAnsi="Calibri" w:cs="Calibri"/>
          <w:color w:val="000000"/>
          <w:sz w:val="27"/>
          <w:szCs w:val="27"/>
        </w:rPr>
      </w:pPr>
    </w:p>
    <w:p w14:paraId="6B0D0CE6" w14:textId="77777777" w:rsidR="00722F9B" w:rsidRDefault="00722F9B" w:rsidP="00722F9B">
      <w:pPr>
        <w:pStyle w:val="NormalWeb"/>
        <w:spacing w:before="0" w:beforeAutospacing="0" w:after="0" w:afterAutospacing="0" w:line="360" w:lineRule="atLeast"/>
        <w:rPr>
          <w:rFonts w:ascii="Calibri" w:hAnsi="Calibri" w:cs="Calibri"/>
          <w:color w:val="000000"/>
          <w:sz w:val="27"/>
          <w:szCs w:val="27"/>
        </w:rPr>
      </w:pPr>
    </w:p>
    <w:p w14:paraId="131159EA" w14:textId="425826EE" w:rsidR="00722F9B" w:rsidRDefault="00722F9B" w:rsidP="00722F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722F9B">
        <w:rPr>
          <w:rFonts w:ascii="Calibri" w:hAnsi="Calibri" w:cs="Calibri"/>
          <w:color w:val="000000"/>
          <w:sz w:val="27"/>
          <w:szCs w:val="27"/>
        </w:rPr>
        <w:t xml:space="preserve"> </w:t>
      </w:r>
    </w:p>
    <w:p w14:paraId="1669D36D" w14:textId="0622F406" w:rsidR="00241031" w:rsidRDefault="00AF4B39" w:rsidP="0024103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Schafer, S. (1976). The Problem of Free Will in Criminology. </w:t>
      </w:r>
      <w:r>
        <w:rPr>
          <w:rFonts w:ascii="Calibri" w:hAnsi="Calibri" w:cs="Calibri"/>
          <w:i/>
          <w:iCs/>
          <w:color w:val="000000"/>
          <w:sz w:val="27"/>
          <w:szCs w:val="27"/>
        </w:rPr>
        <w:t>The Journal of Criminal Law and Criminology (1973-)</w:t>
      </w:r>
      <w:r>
        <w:rPr>
          <w:rFonts w:ascii="Calibri" w:hAnsi="Calibri" w:cs="Calibri"/>
          <w:color w:val="000000"/>
          <w:sz w:val="27"/>
          <w:szCs w:val="27"/>
        </w:rPr>
        <w:t xml:space="preserve">, [online] 67(4), p.481. </w:t>
      </w:r>
      <w:proofErr w:type="spellStart"/>
      <w:r w:rsidR="002754B9">
        <w:rPr>
          <w:rFonts w:ascii="Calibri" w:hAnsi="Calibri" w:cs="Calibri"/>
          <w:color w:val="000000"/>
          <w:sz w:val="27"/>
          <w:szCs w:val="27"/>
        </w:rPr>
        <w:t>doi</w:t>
      </w:r>
      <w:proofErr w:type="spellEnd"/>
      <w:r w:rsidR="002754B9">
        <w:rPr>
          <w:rFonts w:ascii="Calibri" w:hAnsi="Calibri" w:cs="Calibri"/>
          <w:color w:val="000000"/>
          <w:sz w:val="27"/>
          <w:szCs w:val="27"/>
        </w:rPr>
        <w:t>: https://doi.org/10.2307/1142763</w:t>
      </w:r>
      <w:r>
        <w:rPr>
          <w:rFonts w:ascii="Calibri" w:hAnsi="Calibri" w:cs="Calibri"/>
          <w:color w:val="000000"/>
          <w:sz w:val="27"/>
          <w:szCs w:val="27"/>
        </w:rPr>
        <w:t>.</w:t>
      </w:r>
    </w:p>
    <w:p w14:paraId="4A3F70C4" w14:textId="701DEC13" w:rsidR="00241031" w:rsidRDefault="00241031" w:rsidP="00241031">
      <w:pPr>
        <w:pStyle w:val="NormalWeb"/>
        <w:spacing w:before="0" w:beforeAutospacing="0" w:after="0" w:afterAutospacing="0" w:line="360" w:lineRule="atLeast"/>
        <w:rPr>
          <w:rFonts w:ascii="Calibri" w:hAnsi="Calibri" w:cs="Calibri"/>
          <w:color w:val="000000"/>
          <w:sz w:val="27"/>
          <w:szCs w:val="27"/>
        </w:rPr>
      </w:pPr>
    </w:p>
    <w:p w14:paraId="2042AB45"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Secolo</w:t>
      </w:r>
      <w:proofErr w:type="spellEnd"/>
      <w:r>
        <w:rPr>
          <w:rFonts w:ascii="Calibri" w:hAnsi="Calibri" w:cs="Calibri"/>
          <w:color w:val="000000"/>
          <w:sz w:val="27"/>
          <w:szCs w:val="27"/>
        </w:rPr>
        <w:t>, D. and Schofield, P. (2019). ‘The first steps rightly directed in the track of legislation’: Jeremy Bentham on Cesare Beccaria’s Essay on Crimes and Punishments. </w:t>
      </w:r>
      <w:r>
        <w:rPr>
          <w:rFonts w:ascii="Calibri" w:hAnsi="Calibri" w:cs="Calibri"/>
          <w:i/>
          <w:iCs/>
          <w:color w:val="000000"/>
          <w:sz w:val="27"/>
          <w:szCs w:val="27"/>
        </w:rPr>
        <w:t xml:space="preserve">Firenze University Press </w:t>
      </w:r>
      <w:proofErr w:type="spellStart"/>
      <w:r>
        <w:rPr>
          <w:rFonts w:ascii="Calibri" w:hAnsi="Calibri" w:cs="Calibri"/>
          <w:i/>
          <w:iCs/>
          <w:color w:val="000000"/>
          <w:sz w:val="27"/>
          <w:szCs w:val="27"/>
        </w:rPr>
        <w:t>Diciottesimo</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Secolo</w:t>
      </w:r>
      <w:proofErr w:type="spellEnd"/>
      <w:r>
        <w:rPr>
          <w:rFonts w:ascii="Calibri" w:hAnsi="Calibri" w:cs="Calibri"/>
          <w:color w:val="000000"/>
          <w:sz w:val="27"/>
          <w:szCs w:val="27"/>
        </w:rPr>
        <w:t xml:space="preserve">, [online] 4, pp.65–74. </w:t>
      </w:r>
      <w:proofErr w:type="spellStart"/>
      <w:r>
        <w:rPr>
          <w:rFonts w:ascii="Calibri" w:hAnsi="Calibri" w:cs="Calibri"/>
          <w:color w:val="000000"/>
          <w:sz w:val="27"/>
          <w:szCs w:val="27"/>
        </w:rPr>
        <w:t>doi</w:t>
      </w:r>
      <w:proofErr w:type="spellEnd"/>
      <w:r>
        <w:rPr>
          <w:rFonts w:ascii="Calibri" w:hAnsi="Calibri" w:cs="Calibri"/>
          <w:color w:val="000000"/>
          <w:sz w:val="27"/>
          <w:szCs w:val="27"/>
        </w:rPr>
        <w:t>: https://doi.org/10.13128/ds-25439.</w:t>
      </w:r>
    </w:p>
    <w:p w14:paraId="0D20885B" w14:textId="3C233943" w:rsidR="00A52AC8" w:rsidRDefault="00A52AC8" w:rsidP="00A52AC8">
      <w:pPr>
        <w:pStyle w:val="NormalWeb"/>
        <w:spacing w:before="0" w:beforeAutospacing="0" w:after="0" w:afterAutospacing="0" w:line="360" w:lineRule="atLeast"/>
        <w:rPr>
          <w:rFonts w:ascii="Calibri" w:hAnsi="Calibri" w:cs="Calibri"/>
          <w:color w:val="000000"/>
          <w:sz w:val="27"/>
          <w:szCs w:val="27"/>
        </w:rPr>
      </w:pPr>
    </w:p>
    <w:p w14:paraId="28896394" w14:textId="249E71D6" w:rsidR="00A52AC8" w:rsidRDefault="00A52AC8" w:rsidP="00A52AC8">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StuDocu</w:t>
      </w:r>
      <w:proofErr w:type="spellEnd"/>
      <w:r>
        <w:rPr>
          <w:rFonts w:ascii="Calibri" w:hAnsi="Calibri" w:cs="Calibri"/>
          <w:color w:val="000000"/>
          <w:sz w:val="27"/>
          <w:szCs w:val="27"/>
        </w:rPr>
        <w:t>. (n.d.). </w:t>
      </w:r>
      <w:r>
        <w:rPr>
          <w:rFonts w:ascii="Calibri" w:hAnsi="Calibri" w:cs="Calibri"/>
          <w:i/>
          <w:iCs/>
          <w:color w:val="000000"/>
          <w:sz w:val="27"/>
          <w:szCs w:val="27"/>
        </w:rPr>
        <w:t>Compare and contrast two models of policing</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https://www.studocu.com/en-gb/document/birmingham-city-university/li-policing-security-and-community-justice/compare-and-contrast-two-models-of-policing/1723932</w:t>
      </w:r>
      <w:r>
        <w:rPr>
          <w:rFonts w:ascii="Calibri" w:hAnsi="Calibri" w:cs="Calibri"/>
          <w:color w:val="000000"/>
          <w:sz w:val="27"/>
          <w:szCs w:val="27"/>
        </w:rPr>
        <w:t>.</w:t>
      </w:r>
    </w:p>
    <w:p w14:paraId="3F91E0F9" w14:textId="5AA04801" w:rsidR="00A52AC8" w:rsidRDefault="00A52AC8" w:rsidP="00A52AC8">
      <w:pPr>
        <w:pStyle w:val="NormalWeb"/>
        <w:spacing w:before="0" w:beforeAutospacing="0" w:after="0" w:afterAutospacing="0" w:line="360" w:lineRule="atLeast"/>
        <w:rPr>
          <w:rFonts w:ascii="Calibri" w:hAnsi="Calibri" w:cs="Calibri"/>
          <w:color w:val="000000"/>
          <w:sz w:val="27"/>
          <w:szCs w:val="27"/>
        </w:rPr>
      </w:pPr>
    </w:p>
    <w:p w14:paraId="6367EDB6" w14:textId="3F1872D0" w:rsidR="0074200D" w:rsidRDefault="0074200D" w:rsidP="0074200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StuDocu</w:t>
      </w:r>
      <w:proofErr w:type="spellEnd"/>
      <w:r>
        <w:rPr>
          <w:rFonts w:ascii="Calibri" w:hAnsi="Calibri" w:cs="Calibri"/>
          <w:color w:val="000000"/>
          <w:sz w:val="27"/>
          <w:szCs w:val="27"/>
        </w:rPr>
        <w:t>. (n.d.). </w:t>
      </w:r>
      <w:r>
        <w:rPr>
          <w:rFonts w:ascii="Calibri" w:hAnsi="Calibri" w:cs="Calibri"/>
          <w:i/>
          <w:iCs/>
          <w:color w:val="000000"/>
          <w:sz w:val="27"/>
          <w:szCs w:val="27"/>
        </w:rPr>
        <w:t>Classical Criminology Article - International Journal of Academic Research and Development ISSN:</w:t>
      </w:r>
      <w:r>
        <w:rPr>
          <w:rFonts w:ascii="Calibri" w:hAnsi="Calibri" w:cs="Calibri"/>
          <w:color w:val="000000"/>
          <w:sz w:val="27"/>
          <w:szCs w:val="27"/>
        </w:rPr>
        <w:t xml:space="preserve"> [online] Available at: </w:t>
      </w:r>
      <w:r w:rsidRPr="002754B9">
        <w:rPr>
          <w:rFonts w:ascii="Calibri" w:hAnsi="Calibri" w:cs="Calibri"/>
          <w:color w:val="000000"/>
          <w:sz w:val="27"/>
          <w:szCs w:val="27"/>
        </w:rPr>
        <w:t>https://www.studocu.com/en-gb/document/university-of-london/llb/classical-criminology-article/10780549</w:t>
      </w:r>
      <w:r>
        <w:rPr>
          <w:rFonts w:ascii="Calibri" w:hAnsi="Calibri" w:cs="Calibri"/>
          <w:color w:val="000000"/>
          <w:sz w:val="27"/>
          <w:szCs w:val="27"/>
        </w:rPr>
        <w:t>.</w:t>
      </w:r>
    </w:p>
    <w:p w14:paraId="632F8E49" w14:textId="2C117A12" w:rsidR="0074200D" w:rsidRDefault="0074200D" w:rsidP="0074200D">
      <w:pPr>
        <w:pStyle w:val="NormalWeb"/>
        <w:spacing w:before="0" w:beforeAutospacing="0" w:after="0" w:afterAutospacing="0" w:line="360" w:lineRule="atLeast"/>
        <w:rPr>
          <w:rFonts w:ascii="Calibri" w:hAnsi="Calibri" w:cs="Calibri"/>
          <w:color w:val="000000"/>
          <w:sz w:val="27"/>
          <w:szCs w:val="27"/>
        </w:rPr>
      </w:pPr>
    </w:p>
    <w:p w14:paraId="68455F76" w14:textId="77777777" w:rsidR="006D48BD" w:rsidRDefault="0074200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6D48BD">
        <w:rPr>
          <w:rFonts w:ascii="Calibri" w:hAnsi="Calibri" w:cs="Calibri"/>
          <w:color w:val="000000"/>
          <w:sz w:val="27"/>
          <w:szCs w:val="27"/>
        </w:rPr>
        <w:t>‌</w:t>
      </w:r>
      <w:proofErr w:type="spellStart"/>
      <w:r w:rsidR="006D48BD">
        <w:rPr>
          <w:rFonts w:ascii="Calibri" w:hAnsi="Calibri" w:cs="Calibri"/>
          <w:color w:val="000000"/>
          <w:sz w:val="27"/>
          <w:szCs w:val="27"/>
        </w:rPr>
        <w:t>Telep</w:t>
      </w:r>
      <w:proofErr w:type="spellEnd"/>
      <w:r w:rsidR="006D48BD">
        <w:rPr>
          <w:rFonts w:ascii="Calibri" w:hAnsi="Calibri" w:cs="Calibri"/>
          <w:color w:val="000000"/>
          <w:sz w:val="27"/>
          <w:szCs w:val="27"/>
        </w:rPr>
        <w:t>, C.W. (2018). Evidence-Based Policing. </w:t>
      </w:r>
      <w:r w:rsidR="006D48BD">
        <w:rPr>
          <w:rFonts w:ascii="Calibri" w:hAnsi="Calibri" w:cs="Calibri"/>
          <w:i/>
          <w:iCs/>
          <w:color w:val="000000"/>
          <w:sz w:val="27"/>
          <w:szCs w:val="27"/>
        </w:rPr>
        <w:t>Oxford Bibliographies Online Datasets</w:t>
      </w:r>
      <w:r w:rsidR="006D48BD">
        <w:rPr>
          <w:rFonts w:ascii="Calibri" w:hAnsi="Calibri" w:cs="Calibri"/>
          <w:color w:val="000000"/>
          <w:sz w:val="27"/>
          <w:szCs w:val="27"/>
        </w:rPr>
        <w:t xml:space="preserve">. </w:t>
      </w:r>
      <w:proofErr w:type="spellStart"/>
      <w:r w:rsidR="006D48BD">
        <w:rPr>
          <w:rFonts w:ascii="Calibri" w:hAnsi="Calibri" w:cs="Calibri"/>
          <w:color w:val="000000"/>
          <w:sz w:val="27"/>
          <w:szCs w:val="27"/>
        </w:rPr>
        <w:t>doi</w:t>
      </w:r>
      <w:proofErr w:type="spellEnd"/>
      <w:r w:rsidR="006D48BD">
        <w:rPr>
          <w:rFonts w:ascii="Calibri" w:hAnsi="Calibri" w:cs="Calibri"/>
          <w:color w:val="000000"/>
          <w:sz w:val="27"/>
          <w:szCs w:val="27"/>
        </w:rPr>
        <w:t>: https://doi.org/10.1093/obo/9780195396607-0255.</w:t>
      </w:r>
      <w:r w:rsidR="006D48BD" w:rsidRPr="006D48BD">
        <w:rPr>
          <w:rFonts w:ascii="Calibri" w:hAnsi="Calibri" w:cs="Calibri"/>
          <w:color w:val="000000"/>
          <w:sz w:val="27"/>
          <w:szCs w:val="27"/>
        </w:rPr>
        <w:t xml:space="preserve"> </w:t>
      </w:r>
    </w:p>
    <w:p w14:paraId="78961C0C"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10E5BAE3" w14:textId="486C2A0D"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UNODC (2019). </w:t>
      </w:r>
      <w:r>
        <w:rPr>
          <w:rFonts w:ascii="Calibri" w:hAnsi="Calibri" w:cs="Calibri"/>
          <w:i/>
          <w:iCs/>
          <w:color w:val="000000"/>
          <w:sz w:val="27"/>
          <w:szCs w:val="27"/>
        </w:rPr>
        <w:t>Counter-Terrorism Module 4 Key Issues: Defining Terrorism</w:t>
      </w:r>
      <w:r>
        <w:rPr>
          <w:rFonts w:ascii="Calibri" w:hAnsi="Calibri" w:cs="Calibri"/>
          <w:color w:val="000000"/>
          <w:sz w:val="27"/>
          <w:szCs w:val="27"/>
        </w:rPr>
        <w:t xml:space="preserve">. [online] Unodc.org. Available at: </w:t>
      </w:r>
      <w:r w:rsidRPr="002754B9">
        <w:rPr>
          <w:rFonts w:ascii="Calibri" w:hAnsi="Calibri" w:cs="Calibri"/>
          <w:color w:val="000000"/>
          <w:sz w:val="27"/>
          <w:szCs w:val="27"/>
        </w:rPr>
        <w:t>https://www.unodc.org/e4j/en/terrorism/module-4/key-issues/defining-terrorism.html</w:t>
      </w:r>
      <w:r>
        <w:rPr>
          <w:rFonts w:ascii="Calibri" w:hAnsi="Calibri" w:cs="Calibri"/>
          <w:color w:val="000000"/>
          <w:sz w:val="27"/>
          <w:szCs w:val="27"/>
        </w:rPr>
        <w:t>.</w:t>
      </w:r>
    </w:p>
    <w:p w14:paraId="43699475" w14:textId="31BEE4B5"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787268EB"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www.lawteacher.net. (n.d.). </w:t>
      </w:r>
      <w:r>
        <w:rPr>
          <w:rFonts w:ascii="Calibri" w:hAnsi="Calibri" w:cs="Calibri"/>
          <w:i/>
          <w:iCs/>
          <w:color w:val="000000"/>
          <w:sz w:val="27"/>
          <w:szCs w:val="27"/>
        </w:rPr>
        <w:t>The Classical School of Criminology</w:t>
      </w:r>
      <w:r>
        <w:rPr>
          <w:rFonts w:ascii="Calibri" w:hAnsi="Calibri" w:cs="Calibri"/>
          <w:color w:val="000000"/>
          <w:sz w:val="27"/>
          <w:szCs w:val="27"/>
        </w:rPr>
        <w:t>. [online] Available at: https://www.lawteacher.net/free-law-essays/criminology/the-classical-school-of-criminological.php#:~:text=Beccaria%20%281764%2F1963%3A%2093%29%20stated%20that%3B%20%E2%80%98It%20is%20better [Accessed 7 Mar. 2023].</w:t>
      </w:r>
    </w:p>
    <w:p w14:paraId="582FEB7E"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0358C069" w14:textId="77777777" w:rsidR="006D48BD" w:rsidRDefault="006D48BD" w:rsidP="006D48BD">
      <w:pPr>
        <w:pStyle w:val="NormalWeb"/>
        <w:spacing w:before="0" w:beforeAutospacing="0" w:after="0" w:afterAutospacing="0" w:line="360" w:lineRule="atLeast"/>
        <w:rPr>
          <w:rFonts w:ascii="Calibri" w:hAnsi="Calibri" w:cs="Calibri"/>
          <w:color w:val="000000"/>
          <w:sz w:val="27"/>
          <w:szCs w:val="27"/>
        </w:rPr>
      </w:pPr>
    </w:p>
    <w:p w14:paraId="3E2F5AEB" w14:textId="44712525" w:rsidR="0074200D" w:rsidRDefault="0074200D" w:rsidP="0074200D">
      <w:pPr>
        <w:pStyle w:val="NormalWeb"/>
        <w:rPr>
          <w:rFonts w:ascii="Calibri" w:hAnsi="Calibri" w:cs="Calibri"/>
          <w:color w:val="000000"/>
          <w:sz w:val="27"/>
          <w:szCs w:val="27"/>
        </w:rPr>
      </w:pPr>
    </w:p>
    <w:p w14:paraId="3DB8A987" w14:textId="54DEBB41" w:rsidR="00493A6E" w:rsidRPr="005E43F8" w:rsidRDefault="00493A6E" w:rsidP="008316EB">
      <w:pPr>
        <w:pStyle w:val="NormalWeb"/>
        <w:rPr>
          <w:rFonts w:ascii="Arial" w:hAnsi="Arial" w:cs="Arial"/>
        </w:rPr>
      </w:pPr>
    </w:p>
    <w:sectPr w:rsidR="00493A6E" w:rsidRPr="005E4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3F8"/>
    <w:rsid w:val="00241031"/>
    <w:rsid w:val="00242AD8"/>
    <w:rsid w:val="002754B9"/>
    <w:rsid w:val="002A4E3C"/>
    <w:rsid w:val="00367C8C"/>
    <w:rsid w:val="00493A6E"/>
    <w:rsid w:val="005E43F8"/>
    <w:rsid w:val="006D48BD"/>
    <w:rsid w:val="00713A56"/>
    <w:rsid w:val="00722F9B"/>
    <w:rsid w:val="0074200D"/>
    <w:rsid w:val="008316EB"/>
    <w:rsid w:val="008D55B4"/>
    <w:rsid w:val="00A52AC8"/>
    <w:rsid w:val="00AF4B39"/>
    <w:rsid w:val="00CD31E7"/>
    <w:rsid w:val="00D3129C"/>
    <w:rsid w:val="00D64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0B618"/>
  <w15:chartTrackingRefBased/>
  <w15:docId w15:val="{09B0D261-4A81-4830-A49C-79D9215E3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3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3A6E"/>
    <w:rPr>
      <w:color w:val="0563C1" w:themeColor="hyperlink"/>
      <w:u w:val="single"/>
    </w:rPr>
  </w:style>
  <w:style w:type="character" w:styleId="UnresolvedMention">
    <w:name w:val="Unresolved Mention"/>
    <w:basedOn w:val="DefaultParagraphFont"/>
    <w:uiPriority w:val="99"/>
    <w:semiHidden/>
    <w:unhideWhenUsed/>
    <w:rsid w:val="00493A6E"/>
    <w:rPr>
      <w:color w:val="605E5C"/>
      <w:shd w:val="clear" w:color="auto" w:fill="E1DFDD"/>
    </w:rPr>
  </w:style>
  <w:style w:type="paragraph" w:styleId="NormalWeb">
    <w:name w:val="Normal (Web)"/>
    <w:basedOn w:val="Normal"/>
    <w:uiPriority w:val="99"/>
    <w:unhideWhenUsed/>
    <w:rsid w:val="00493A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2465">
      <w:bodyDiv w:val="1"/>
      <w:marLeft w:val="0"/>
      <w:marRight w:val="0"/>
      <w:marTop w:val="0"/>
      <w:marBottom w:val="0"/>
      <w:divBdr>
        <w:top w:val="none" w:sz="0" w:space="0" w:color="auto"/>
        <w:left w:val="none" w:sz="0" w:space="0" w:color="auto"/>
        <w:bottom w:val="none" w:sz="0" w:space="0" w:color="auto"/>
        <w:right w:val="none" w:sz="0" w:space="0" w:color="auto"/>
      </w:divBdr>
    </w:div>
    <w:div w:id="45032460">
      <w:bodyDiv w:val="1"/>
      <w:marLeft w:val="0"/>
      <w:marRight w:val="0"/>
      <w:marTop w:val="0"/>
      <w:marBottom w:val="0"/>
      <w:divBdr>
        <w:top w:val="none" w:sz="0" w:space="0" w:color="auto"/>
        <w:left w:val="none" w:sz="0" w:space="0" w:color="auto"/>
        <w:bottom w:val="none" w:sz="0" w:space="0" w:color="auto"/>
        <w:right w:val="none" w:sz="0" w:space="0" w:color="auto"/>
      </w:divBdr>
    </w:div>
    <w:div w:id="54354861">
      <w:bodyDiv w:val="1"/>
      <w:marLeft w:val="0"/>
      <w:marRight w:val="0"/>
      <w:marTop w:val="0"/>
      <w:marBottom w:val="0"/>
      <w:divBdr>
        <w:top w:val="none" w:sz="0" w:space="0" w:color="auto"/>
        <w:left w:val="none" w:sz="0" w:space="0" w:color="auto"/>
        <w:bottom w:val="none" w:sz="0" w:space="0" w:color="auto"/>
        <w:right w:val="none" w:sz="0" w:space="0" w:color="auto"/>
      </w:divBdr>
    </w:div>
    <w:div w:id="84419352">
      <w:bodyDiv w:val="1"/>
      <w:marLeft w:val="0"/>
      <w:marRight w:val="0"/>
      <w:marTop w:val="0"/>
      <w:marBottom w:val="0"/>
      <w:divBdr>
        <w:top w:val="none" w:sz="0" w:space="0" w:color="auto"/>
        <w:left w:val="none" w:sz="0" w:space="0" w:color="auto"/>
        <w:bottom w:val="none" w:sz="0" w:space="0" w:color="auto"/>
        <w:right w:val="none" w:sz="0" w:space="0" w:color="auto"/>
      </w:divBdr>
    </w:div>
    <w:div w:id="150757901">
      <w:bodyDiv w:val="1"/>
      <w:marLeft w:val="0"/>
      <w:marRight w:val="0"/>
      <w:marTop w:val="0"/>
      <w:marBottom w:val="0"/>
      <w:divBdr>
        <w:top w:val="none" w:sz="0" w:space="0" w:color="auto"/>
        <w:left w:val="none" w:sz="0" w:space="0" w:color="auto"/>
        <w:bottom w:val="none" w:sz="0" w:space="0" w:color="auto"/>
        <w:right w:val="none" w:sz="0" w:space="0" w:color="auto"/>
      </w:divBdr>
    </w:div>
    <w:div w:id="393166043">
      <w:bodyDiv w:val="1"/>
      <w:marLeft w:val="0"/>
      <w:marRight w:val="0"/>
      <w:marTop w:val="0"/>
      <w:marBottom w:val="0"/>
      <w:divBdr>
        <w:top w:val="none" w:sz="0" w:space="0" w:color="auto"/>
        <w:left w:val="none" w:sz="0" w:space="0" w:color="auto"/>
        <w:bottom w:val="none" w:sz="0" w:space="0" w:color="auto"/>
        <w:right w:val="none" w:sz="0" w:space="0" w:color="auto"/>
      </w:divBdr>
    </w:div>
    <w:div w:id="394015809">
      <w:bodyDiv w:val="1"/>
      <w:marLeft w:val="0"/>
      <w:marRight w:val="0"/>
      <w:marTop w:val="0"/>
      <w:marBottom w:val="0"/>
      <w:divBdr>
        <w:top w:val="none" w:sz="0" w:space="0" w:color="auto"/>
        <w:left w:val="none" w:sz="0" w:space="0" w:color="auto"/>
        <w:bottom w:val="none" w:sz="0" w:space="0" w:color="auto"/>
        <w:right w:val="none" w:sz="0" w:space="0" w:color="auto"/>
      </w:divBdr>
    </w:div>
    <w:div w:id="426270066">
      <w:bodyDiv w:val="1"/>
      <w:marLeft w:val="0"/>
      <w:marRight w:val="0"/>
      <w:marTop w:val="0"/>
      <w:marBottom w:val="0"/>
      <w:divBdr>
        <w:top w:val="none" w:sz="0" w:space="0" w:color="auto"/>
        <w:left w:val="none" w:sz="0" w:space="0" w:color="auto"/>
        <w:bottom w:val="none" w:sz="0" w:space="0" w:color="auto"/>
        <w:right w:val="none" w:sz="0" w:space="0" w:color="auto"/>
      </w:divBdr>
    </w:div>
    <w:div w:id="535047576">
      <w:bodyDiv w:val="1"/>
      <w:marLeft w:val="0"/>
      <w:marRight w:val="0"/>
      <w:marTop w:val="0"/>
      <w:marBottom w:val="0"/>
      <w:divBdr>
        <w:top w:val="none" w:sz="0" w:space="0" w:color="auto"/>
        <w:left w:val="none" w:sz="0" w:space="0" w:color="auto"/>
        <w:bottom w:val="none" w:sz="0" w:space="0" w:color="auto"/>
        <w:right w:val="none" w:sz="0" w:space="0" w:color="auto"/>
      </w:divBdr>
    </w:div>
    <w:div w:id="638002733">
      <w:bodyDiv w:val="1"/>
      <w:marLeft w:val="0"/>
      <w:marRight w:val="0"/>
      <w:marTop w:val="0"/>
      <w:marBottom w:val="0"/>
      <w:divBdr>
        <w:top w:val="none" w:sz="0" w:space="0" w:color="auto"/>
        <w:left w:val="none" w:sz="0" w:space="0" w:color="auto"/>
        <w:bottom w:val="none" w:sz="0" w:space="0" w:color="auto"/>
        <w:right w:val="none" w:sz="0" w:space="0" w:color="auto"/>
      </w:divBdr>
    </w:div>
    <w:div w:id="818813584">
      <w:bodyDiv w:val="1"/>
      <w:marLeft w:val="0"/>
      <w:marRight w:val="0"/>
      <w:marTop w:val="0"/>
      <w:marBottom w:val="0"/>
      <w:divBdr>
        <w:top w:val="none" w:sz="0" w:space="0" w:color="auto"/>
        <w:left w:val="none" w:sz="0" w:space="0" w:color="auto"/>
        <w:bottom w:val="none" w:sz="0" w:space="0" w:color="auto"/>
        <w:right w:val="none" w:sz="0" w:space="0" w:color="auto"/>
      </w:divBdr>
    </w:div>
    <w:div w:id="987057185">
      <w:bodyDiv w:val="1"/>
      <w:marLeft w:val="0"/>
      <w:marRight w:val="0"/>
      <w:marTop w:val="0"/>
      <w:marBottom w:val="0"/>
      <w:divBdr>
        <w:top w:val="none" w:sz="0" w:space="0" w:color="auto"/>
        <w:left w:val="none" w:sz="0" w:space="0" w:color="auto"/>
        <w:bottom w:val="none" w:sz="0" w:space="0" w:color="auto"/>
        <w:right w:val="none" w:sz="0" w:space="0" w:color="auto"/>
      </w:divBdr>
    </w:div>
    <w:div w:id="1169951532">
      <w:bodyDiv w:val="1"/>
      <w:marLeft w:val="0"/>
      <w:marRight w:val="0"/>
      <w:marTop w:val="0"/>
      <w:marBottom w:val="0"/>
      <w:divBdr>
        <w:top w:val="none" w:sz="0" w:space="0" w:color="auto"/>
        <w:left w:val="none" w:sz="0" w:space="0" w:color="auto"/>
        <w:bottom w:val="none" w:sz="0" w:space="0" w:color="auto"/>
        <w:right w:val="none" w:sz="0" w:space="0" w:color="auto"/>
      </w:divBdr>
    </w:div>
    <w:div w:id="1302298429">
      <w:bodyDiv w:val="1"/>
      <w:marLeft w:val="0"/>
      <w:marRight w:val="0"/>
      <w:marTop w:val="0"/>
      <w:marBottom w:val="0"/>
      <w:divBdr>
        <w:top w:val="none" w:sz="0" w:space="0" w:color="auto"/>
        <w:left w:val="none" w:sz="0" w:space="0" w:color="auto"/>
        <w:bottom w:val="none" w:sz="0" w:space="0" w:color="auto"/>
        <w:right w:val="none" w:sz="0" w:space="0" w:color="auto"/>
      </w:divBdr>
    </w:div>
    <w:div w:id="1314019616">
      <w:bodyDiv w:val="1"/>
      <w:marLeft w:val="0"/>
      <w:marRight w:val="0"/>
      <w:marTop w:val="0"/>
      <w:marBottom w:val="0"/>
      <w:divBdr>
        <w:top w:val="none" w:sz="0" w:space="0" w:color="auto"/>
        <w:left w:val="none" w:sz="0" w:space="0" w:color="auto"/>
        <w:bottom w:val="none" w:sz="0" w:space="0" w:color="auto"/>
        <w:right w:val="none" w:sz="0" w:space="0" w:color="auto"/>
      </w:divBdr>
    </w:div>
    <w:div w:id="1350793725">
      <w:bodyDiv w:val="1"/>
      <w:marLeft w:val="0"/>
      <w:marRight w:val="0"/>
      <w:marTop w:val="0"/>
      <w:marBottom w:val="0"/>
      <w:divBdr>
        <w:top w:val="none" w:sz="0" w:space="0" w:color="auto"/>
        <w:left w:val="none" w:sz="0" w:space="0" w:color="auto"/>
        <w:bottom w:val="none" w:sz="0" w:space="0" w:color="auto"/>
        <w:right w:val="none" w:sz="0" w:space="0" w:color="auto"/>
      </w:divBdr>
    </w:div>
    <w:div w:id="1558391449">
      <w:bodyDiv w:val="1"/>
      <w:marLeft w:val="0"/>
      <w:marRight w:val="0"/>
      <w:marTop w:val="0"/>
      <w:marBottom w:val="0"/>
      <w:divBdr>
        <w:top w:val="none" w:sz="0" w:space="0" w:color="auto"/>
        <w:left w:val="none" w:sz="0" w:space="0" w:color="auto"/>
        <w:bottom w:val="none" w:sz="0" w:space="0" w:color="auto"/>
        <w:right w:val="none" w:sz="0" w:space="0" w:color="auto"/>
      </w:divBdr>
    </w:div>
    <w:div w:id="1598559262">
      <w:bodyDiv w:val="1"/>
      <w:marLeft w:val="0"/>
      <w:marRight w:val="0"/>
      <w:marTop w:val="0"/>
      <w:marBottom w:val="0"/>
      <w:divBdr>
        <w:top w:val="none" w:sz="0" w:space="0" w:color="auto"/>
        <w:left w:val="none" w:sz="0" w:space="0" w:color="auto"/>
        <w:bottom w:val="none" w:sz="0" w:space="0" w:color="auto"/>
        <w:right w:val="none" w:sz="0" w:space="0" w:color="auto"/>
      </w:divBdr>
    </w:div>
    <w:div w:id="1599026080">
      <w:bodyDiv w:val="1"/>
      <w:marLeft w:val="0"/>
      <w:marRight w:val="0"/>
      <w:marTop w:val="0"/>
      <w:marBottom w:val="0"/>
      <w:divBdr>
        <w:top w:val="none" w:sz="0" w:space="0" w:color="auto"/>
        <w:left w:val="none" w:sz="0" w:space="0" w:color="auto"/>
        <w:bottom w:val="none" w:sz="0" w:space="0" w:color="auto"/>
        <w:right w:val="none" w:sz="0" w:space="0" w:color="auto"/>
      </w:divBdr>
    </w:div>
    <w:div w:id="1602453370">
      <w:bodyDiv w:val="1"/>
      <w:marLeft w:val="0"/>
      <w:marRight w:val="0"/>
      <w:marTop w:val="0"/>
      <w:marBottom w:val="0"/>
      <w:divBdr>
        <w:top w:val="none" w:sz="0" w:space="0" w:color="auto"/>
        <w:left w:val="none" w:sz="0" w:space="0" w:color="auto"/>
        <w:bottom w:val="none" w:sz="0" w:space="0" w:color="auto"/>
        <w:right w:val="none" w:sz="0" w:space="0" w:color="auto"/>
      </w:divBdr>
    </w:div>
    <w:div w:id="1603951621">
      <w:bodyDiv w:val="1"/>
      <w:marLeft w:val="0"/>
      <w:marRight w:val="0"/>
      <w:marTop w:val="0"/>
      <w:marBottom w:val="0"/>
      <w:divBdr>
        <w:top w:val="none" w:sz="0" w:space="0" w:color="auto"/>
        <w:left w:val="none" w:sz="0" w:space="0" w:color="auto"/>
        <w:bottom w:val="none" w:sz="0" w:space="0" w:color="auto"/>
        <w:right w:val="none" w:sz="0" w:space="0" w:color="auto"/>
      </w:divBdr>
    </w:div>
    <w:div w:id="1677347347">
      <w:bodyDiv w:val="1"/>
      <w:marLeft w:val="0"/>
      <w:marRight w:val="0"/>
      <w:marTop w:val="0"/>
      <w:marBottom w:val="0"/>
      <w:divBdr>
        <w:top w:val="none" w:sz="0" w:space="0" w:color="auto"/>
        <w:left w:val="none" w:sz="0" w:space="0" w:color="auto"/>
        <w:bottom w:val="none" w:sz="0" w:space="0" w:color="auto"/>
        <w:right w:val="none" w:sz="0" w:space="0" w:color="auto"/>
      </w:divBdr>
    </w:div>
    <w:div w:id="1722901414">
      <w:bodyDiv w:val="1"/>
      <w:marLeft w:val="0"/>
      <w:marRight w:val="0"/>
      <w:marTop w:val="0"/>
      <w:marBottom w:val="0"/>
      <w:divBdr>
        <w:top w:val="none" w:sz="0" w:space="0" w:color="auto"/>
        <w:left w:val="none" w:sz="0" w:space="0" w:color="auto"/>
        <w:bottom w:val="none" w:sz="0" w:space="0" w:color="auto"/>
        <w:right w:val="none" w:sz="0" w:space="0" w:color="auto"/>
      </w:divBdr>
    </w:div>
    <w:div w:id="1843273464">
      <w:bodyDiv w:val="1"/>
      <w:marLeft w:val="0"/>
      <w:marRight w:val="0"/>
      <w:marTop w:val="0"/>
      <w:marBottom w:val="0"/>
      <w:divBdr>
        <w:top w:val="none" w:sz="0" w:space="0" w:color="auto"/>
        <w:left w:val="none" w:sz="0" w:space="0" w:color="auto"/>
        <w:bottom w:val="none" w:sz="0" w:space="0" w:color="auto"/>
        <w:right w:val="none" w:sz="0" w:space="0" w:color="auto"/>
      </w:divBdr>
    </w:div>
    <w:div w:id="2127236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93/police/pap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10</Pages>
  <Words>2893</Words>
  <Characters>16493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Marian Dinu (2209834)</dc:creator>
  <cp:keywords/>
  <dc:description/>
  <cp:lastModifiedBy>Vasile Marian Dinu (2209834)</cp:lastModifiedBy>
  <cp:revision>3</cp:revision>
  <dcterms:created xsi:type="dcterms:W3CDTF">2023-03-07T20:08:00Z</dcterms:created>
  <dcterms:modified xsi:type="dcterms:W3CDTF">2023-03-07T23:05:00Z</dcterms:modified>
</cp:coreProperties>
</file>