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7FD8D" w14:textId="2019A958" w:rsidR="00990ABC" w:rsidRPr="000D214E" w:rsidRDefault="00990ABC" w:rsidP="000D214E">
      <w:pPr>
        <w:jc w:val="center"/>
        <w:rPr>
          <w:rFonts w:cs="Times New Roman"/>
        </w:rPr>
      </w:pPr>
      <w:r w:rsidRPr="00DD3E99">
        <w:rPr>
          <w:rFonts w:cs="Times New Roman"/>
          <w:b/>
          <w:bCs/>
        </w:rPr>
        <w:t>Strategic Solutions for Revitalising MICE and Corporate Travel Revenue at Hyatt Regency Birmingham</w:t>
      </w:r>
      <w:r w:rsidRPr="00DD3E99">
        <w:rPr>
          <w:rFonts w:cs="Times New Roman"/>
          <w:i/>
          <w:iCs/>
        </w:rPr>
        <w:br/>
      </w:r>
      <w:r w:rsidRPr="000D214E">
        <w:rPr>
          <w:rFonts w:cs="Times New Roman"/>
          <w:i/>
          <w:iCs/>
        </w:rPr>
        <w:t>Prepared by:</w:t>
      </w:r>
      <w:r w:rsidRPr="000D214E">
        <w:rPr>
          <w:rFonts w:cs="Times New Roman"/>
        </w:rPr>
        <w:t xml:space="preserve"> </w:t>
      </w:r>
      <w:r w:rsidRPr="00DD3E99">
        <w:rPr>
          <w:rFonts w:cs="Times New Roman"/>
          <w:b/>
          <w:bCs/>
        </w:rPr>
        <w:t>Heritage Hospitality Consulting</w:t>
      </w:r>
      <w:r w:rsidRPr="000D214E">
        <w:rPr>
          <w:rFonts w:cs="Times New Roman"/>
        </w:rPr>
        <w:t xml:space="preserve"> </w:t>
      </w:r>
      <w:r w:rsidRPr="000D214E">
        <w:rPr>
          <w:rFonts w:cs="Times New Roman"/>
        </w:rPr>
        <w:br/>
      </w:r>
      <w:r w:rsidRPr="000D214E">
        <w:rPr>
          <w:rFonts w:cs="Times New Roman"/>
          <w:i/>
          <w:iCs/>
        </w:rPr>
        <w:t>Consultant:</w:t>
      </w:r>
      <w:r w:rsidRPr="000D214E">
        <w:rPr>
          <w:rFonts w:cs="Times New Roman"/>
        </w:rPr>
        <w:t xml:space="preserve"> [</w:t>
      </w:r>
      <w:r w:rsidR="00A10DC9">
        <w:rPr>
          <w:rFonts w:cs="Times New Roman"/>
        </w:rPr>
        <w:t>Sebastiao Clemente Fernandes</w:t>
      </w:r>
      <w:r w:rsidRPr="000D214E">
        <w:rPr>
          <w:rFonts w:cs="Times New Roman"/>
        </w:rPr>
        <w:t>]</w:t>
      </w:r>
      <w:r w:rsidRPr="000D214E">
        <w:rPr>
          <w:rFonts w:cs="Times New Roman"/>
        </w:rPr>
        <w:br/>
      </w:r>
      <w:r w:rsidRPr="000D214E">
        <w:rPr>
          <w:rFonts w:cs="Times New Roman"/>
          <w:i/>
          <w:iCs/>
        </w:rPr>
        <w:t>Student ID:</w:t>
      </w:r>
      <w:r w:rsidRPr="000D214E">
        <w:rPr>
          <w:rFonts w:cs="Times New Roman"/>
        </w:rPr>
        <w:t xml:space="preserve"> [</w:t>
      </w:r>
      <w:r w:rsidR="00A10DC9">
        <w:rPr>
          <w:rFonts w:cs="Times New Roman"/>
        </w:rPr>
        <w:t>2243325</w:t>
      </w:r>
      <w:r w:rsidRPr="000D214E">
        <w:rPr>
          <w:rFonts w:cs="Times New Roman"/>
        </w:rPr>
        <w:t>]</w:t>
      </w:r>
      <w:r w:rsidRPr="000D214E">
        <w:rPr>
          <w:rFonts w:cs="Times New Roman"/>
        </w:rPr>
        <w:br/>
      </w:r>
      <w:r w:rsidRPr="000D214E">
        <w:rPr>
          <w:rFonts w:cs="Times New Roman"/>
          <w:i/>
          <w:iCs/>
        </w:rPr>
        <w:t>Client:</w:t>
      </w:r>
      <w:r w:rsidRPr="000D214E">
        <w:rPr>
          <w:rFonts w:cs="Times New Roman"/>
        </w:rPr>
        <w:t xml:space="preserve"> </w:t>
      </w:r>
      <w:r w:rsidRPr="000C59F6">
        <w:rPr>
          <w:rFonts w:cs="Times New Roman"/>
          <w:b/>
          <w:bCs/>
        </w:rPr>
        <w:t>Hyatt Regency Birmingham</w:t>
      </w:r>
      <w:r w:rsidRPr="000C59F6">
        <w:rPr>
          <w:rFonts w:cs="Times New Roman"/>
          <w:i/>
          <w:iCs/>
        </w:rPr>
        <w:br/>
      </w:r>
      <w:r w:rsidRPr="000D214E">
        <w:rPr>
          <w:rFonts w:cs="Times New Roman"/>
          <w:i/>
          <w:iCs/>
        </w:rPr>
        <w:t>Location:</w:t>
      </w:r>
      <w:r w:rsidRPr="000D214E">
        <w:rPr>
          <w:rFonts w:cs="Times New Roman"/>
        </w:rPr>
        <w:t xml:space="preserve"> 2 Bridge Street, Birmingham B1 2JZ, United Kingdom</w:t>
      </w:r>
      <w:r w:rsidRPr="000D214E">
        <w:rPr>
          <w:rFonts w:cs="Times New Roman"/>
        </w:rPr>
        <w:br/>
      </w:r>
      <w:r w:rsidRPr="000D214E">
        <w:rPr>
          <w:rFonts w:cs="Times New Roman"/>
          <w:i/>
          <w:iCs/>
        </w:rPr>
        <w:t>Submission Date:</w:t>
      </w:r>
      <w:r w:rsidRPr="000D214E">
        <w:rPr>
          <w:rFonts w:cs="Times New Roman"/>
        </w:rPr>
        <w:t xml:space="preserve"> June 2025</w:t>
      </w:r>
    </w:p>
    <w:p w14:paraId="456CD702" w14:textId="40BA1ACA" w:rsidR="001337B9" w:rsidRPr="000D214E" w:rsidRDefault="00D5659E" w:rsidP="000D214E">
      <w:pPr>
        <w:jc w:val="center"/>
        <w:rPr>
          <w:rFonts w:cs="Times New Roman"/>
        </w:rPr>
      </w:pPr>
      <w:r w:rsidRPr="00D5659E">
        <w:rPr>
          <w:rFonts w:cs="Times New Roman"/>
          <w:noProof/>
        </w:rPr>
        <w:drawing>
          <wp:anchor distT="0" distB="0" distL="114300" distR="114300" simplePos="0" relativeHeight="251660288" behindDoc="1" locked="0" layoutInCell="1" allowOverlap="1" wp14:anchorId="3EA28888" wp14:editId="5880D7AA">
            <wp:simplePos x="0" y="0"/>
            <wp:positionH relativeFrom="column">
              <wp:posOffset>1336675</wp:posOffset>
            </wp:positionH>
            <wp:positionV relativeFrom="paragraph">
              <wp:posOffset>343824</wp:posOffset>
            </wp:positionV>
            <wp:extent cx="3055885" cy="1005927"/>
            <wp:effectExtent l="0" t="0" r="0" b="3810"/>
            <wp:wrapTight wrapText="bothSides">
              <wp:wrapPolygon edited="0">
                <wp:start x="0" y="0"/>
                <wp:lineTo x="0" y="21273"/>
                <wp:lineTo x="21411" y="21273"/>
                <wp:lineTo x="21411" y="0"/>
                <wp:lineTo x="0" y="0"/>
              </wp:wrapPolygon>
            </wp:wrapTight>
            <wp:docPr id="46788957"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8957" name="Picture 1" descr="A black and white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055885" cy="1005927"/>
                    </a:xfrm>
                    <a:prstGeom prst="rect">
                      <a:avLst/>
                    </a:prstGeom>
                  </pic:spPr>
                </pic:pic>
              </a:graphicData>
            </a:graphic>
          </wp:anchor>
        </w:drawing>
      </w:r>
    </w:p>
    <w:p w14:paraId="17E08287" w14:textId="77777777" w:rsidR="00990ABC" w:rsidRPr="000D214E" w:rsidRDefault="00990ABC" w:rsidP="000D214E">
      <w:pPr>
        <w:rPr>
          <w:rFonts w:cs="Times New Roman"/>
        </w:rPr>
      </w:pPr>
    </w:p>
    <w:p w14:paraId="5AB6196E" w14:textId="77777777" w:rsidR="00990ABC" w:rsidRPr="000D214E" w:rsidRDefault="00990ABC" w:rsidP="000D214E">
      <w:pPr>
        <w:rPr>
          <w:rFonts w:cs="Times New Roman"/>
        </w:rPr>
      </w:pPr>
    </w:p>
    <w:p w14:paraId="21B1B732" w14:textId="77777777" w:rsidR="00990ABC" w:rsidRPr="000D214E" w:rsidRDefault="00990ABC" w:rsidP="000D214E">
      <w:pPr>
        <w:rPr>
          <w:rFonts w:cs="Times New Roman"/>
        </w:rPr>
      </w:pPr>
    </w:p>
    <w:p w14:paraId="25C33A74" w14:textId="77777777" w:rsidR="00990ABC" w:rsidRPr="000D214E" w:rsidRDefault="00990ABC" w:rsidP="000D214E">
      <w:pPr>
        <w:rPr>
          <w:rFonts w:cs="Times New Roman"/>
        </w:rPr>
      </w:pPr>
    </w:p>
    <w:sdt>
      <w:sdtPr>
        <w:rPr>
          <w:rFonts w:ascii="Times New Roman" w:eastAsiaTheme="minorHAnsi" w:hAnsi="Times New Roman" w:cs="Times New Roman"/>
          <w:color w:val="auto"/>
          <w:kern w:val="2"/>
          <w:sz w:val="24"/>
          <w:szCs w:val="24"/>
          <w:lang w:eastAsia="en-US"/>
          <w14:ligatures w14:val="standardContextual"/>
        </w:rPr>
        <w:id w:val="-1435432044"/>
        <w:docPartObj>
          <w:docPartGallery w:val="Table of Contents"/>
          <w:docPartUnique/>
        </w:docPartObj>
      </w:sdtPr>
      <w:sdtEndPr>
        <w:rPr>
          <w:b/>
          <w:bCs/>
        </w:rPr>
      </w:sdtEndPr>
      <w:sdtContent>
        <w:p w14:paraId="4EB1FCA9" w14:textId="6E5530AB" w:rsidR="00325469" w:rsidRPr="00921F9A" w:rsidRDefault="00325469" w:rsidP="00921F9A">
          <w:pPr>
            <w:pStyle w:val="TOCHeading"/>
            <w:rPr>
              <w:rFonts w:ascii="Times New Roman" w:hAnsi="Times New Roman" w:cs="Times New Roman"/>
            </w:rPr>
          </w:pPr>
          <w:r w:rsidRPr="00921F9A">
            <w:rPr>
              <w:rFonts w:ascii="Times New Roman" w:hAnsi="Times New Roman" w:cs="Times New Roman"/>
            </w:rPr>
            <w:t>Table of Contents</w:t>
          </w:r>
        </w:p>
        <w:p w14:paraId="7608E2DC" w14:textId="4FA7884F" w:rsidR="004F7075" w:rsidRDefault="00325469">
          <w:pPr>
            <w:pStyle w:val="TOC1"/>
            <w:tabs>
              <w:tab w:val="right" w:leader="dot" w:pos="9019"/>
            </w:tabs>
            <w:rPr>
              <w:rFonts w:asciiTheme="minorHAnsi" w:eastAsiaTheme="minorEastAsia" w:hAnsiTheme="minorHAnsi"/>
              <w:noProof/>
              <w:lang w:eastAsia="en-GB"/>
            </w:rPr>
          </w:pPr>
          <w:r w:rsidRPr="00E41E50">
            <w:rPr>
              <w:rFonts w:cs="Times New Roman"/>
            </w:rPr>
            <w:fldChar w:fldCharType="begin"/>
          </w:r>
          <w:r w:rsidRPr="00E41E50">
            <w:rPr>
              <w:rFonts w:cs="Times New Roman"/>
            </w:rPr>
            <w:instrText xml:space="preserve"> TOC \o "1-3" \h \z \u </w:instrText>
          </w:r>
          <w:r w:rsidRPr="00E41E50">
            <w:rPr>
              <w:rFonts w:cs="Times New Roman"/>
            </w:rPr>
            <w:fldChar w:fldCharType="separate"/>
          </w:r>
          <w:hyperlink w:anchor="_Toc199940932" w:history="1">
            <w:r w:rsidR="004F7075" w:rsidRPr="00117764">
              <w:rPr>
                <w:rStyle w:val="Hyperlink"/>
                <w:noProof/>
              </w:rPr>
              <w:t>Executive Summary</w:t>
            </w:r>
            <w:r w:rsidR="004F7075">
              <w:rPr>
                <w:noProof/>
                <w:webHidden/>
              </w:rPr>
              <w:tab/>
            </w:r>
            <w:r w:rsidR="004F7075">
              <w:rPr>
                <w:noProof/>
                <w:webHidden/>
              </w:rPr>
              <w:fldChar w:fldCharType="begin"/>
            </w:r>
            <w:r w:rsidR="004F7075">
              <w:rPr>
                <w:noProof/>
                <w:webHidden/>
              </w:rPr>
              <w:instrText xml:space="preserve"> PAGEREF _Toc199940932 \h </w:instrText>
            </w:r>
            <w:r w:rsidR="004F7075">
              <w:rPr>
                <w:noProof/>
                <w:webHidden/>
              </w:rPr>
            </w:r>
            <w:r w:rsidR="004F7075">
              <w:rPr>
                <w:noProof/>
                <w:webHidden/>
              </w:rPr>
              <w:fldChar w:fldCharType="separate"/>
            </w:r>
            <w:r w:rsidR="004F7075">
              <w:rPr>
                <w:noProof/>
                <w:webHidden/>
              </w:rPr>
              <w:t>3</w:t>
            </w:r>
            <w:r w:rsidR="004F7075">
              <w:rPr>
                <w:noProof/>
                <w:webHidden/>
              </w:rPr>
              <w:fldChar w:fldCharType="end"/>
            </w:r>
          </w:hyperlink>
        </w:p>
        <w:p w14:paraId="4DF4101A" w14:textId="4E847F4E" w:rsidR="004F7075" w:rsidRDefault="004F7075">
          <w:pPr>
            <w:pStyle w:val="TOC1"/>
            <w:tabs>
              <w:tab w:val="right" w:leader="dot" w:pos="9019"/>
            </w:tabs>
            <w:rPr>
              <w:rFonts w:asciiTheme="minorHAnsi" w:eastAsiaTheme="minorEastAsia" w:hAnsiTheme="minorHAnsi"/>
              <w:noProof/>
              <w:lang w:eastAsia="en-GB"/>
            </w:rPr>
          </w:pPr>
          <w:hyperlink w:anchor="_Toc199940933" w:history="1">
            <w:r w:rsidRPr="00117764">
              <w:rPr>
                <w:rStyle w:val="Hyperlink"/>
                <w:noProof/>
              </w:rPr>
              <w:t>Introduction</w:t>
            </w:r>
            <w:r>
              <w:rPr>
                <w:noProof/>
                <w:webHidden/>
              </w:rPr>
              <w:tab/>
            </w:r>
            <w:r>
              <w:rPr>
                <w:noProof/>
                <w:webHidden/>
              </w:rPr>
              <w:fldChar w:fldCharType="begin"/>
            </w:r>
            <w:r>
              <w:rPr>
                <w:noProof/>
                <w:webHidden/>
              </w:rPr>
              <w:instrText xml:space="preserve"> PAGEREF _Toc199940933 \h </w:instrText>
            </w:r>
            <w:r>
              <w:rPr>
                <w:noProof/>
                <w:webHidden/>
              </w:rPr>
            </w:r>
            <w:r>
              <w:rPr>
                <w:noProof/>
                <w:webHidden/>
              </w:rPr>
              <w:fldChar w:fldCharType="separate"/>
            </w:r>
            <w:r>
              <w:rPr>
                <w:noProof/>
                <w:webHidden/>
              </w:rPr>
              <w:t>6</w:t>
            </w:r>
            <w:r>
              <w:rPr>
                <w:noProof/>
                <w:webHidden/>
              </w:rPr>
              <w:fldChar w:fldCharType="end"/>
            </w:r>
          </w:hyperlink>
        </w:p>
        <w:p w14:paraId="271A8ACA" w14:textId="51865A89" w:rsidR="004F7075" w:rsidRDefault="004F7075">
          <w:pPr>
            <w:pStyle w:val="TOC1"/>
            <w:tabs>
              <w:tab w:val="right" w:leader="dot" w:pos="9019"/>
            </w:tabs>
            <w:rPr>
              <w:rFonts w:asciiTheme="minorHAnsi" w:eastAsiaTheme="minorEastAsia" w:hAnsiTheme="minorHAnsi"/>
              <w:noProof/>
              <w:lang w:eastAsia="en-GB"/>
            </w:rPr>
          </w:pPr>
          <w:hyperlink w:anchor="_Toc199940934" w:history="1">
            <w:r w:rsidRPr="00117764">
              <w:rPr>
                <w:rStyle w:val="Hyperlink"/>
                <w:noProof/>
              </w:rPr>
              <w:t>Analysis</w:t>
            </w:r>
            <w:r>
              <w:rPr>
                <w:noProof/>
                <w:webHidden/>
              </w:rPr>
              <w:tab/>
            </w:r>
            <w:r>
              <w:rPr>
                <w:noProof/>
                <w:webHidden/>
              </w:rPr>
              <w:fldChar w:fldCharType="begin"/>
            </w:r>
            <w:r>
              <w:rPr>
                <w:noProof/>
                <w:webHidden/>
              </w:rPr>
              <w:instrText xml:space="preserve"> PAGEREF _Toc199940934 \h </w:instrText>
            </w:r>
            <w:r>
              <w:rPr>
                <w:noProof/>
                <w:webHidden/>
              </w:rPr>
            </w:r>
            <w:r>
              <w:rPr>
                <w:noProof/>
                <w:webHidden/>
              </w:rPr>
              <w:fldChar w:fldCharType="separate"/>
            </w:r>
            <w:r>
              <w:rPr>
                <w:noProof/>
                <w:webHidden/>
              </w:rPr>
              <w:t>8</w:t>
            </w:r>
            <w:r>
              <w:rPr>
                <w:noProof/>
                <w:webHidden/>
              </w:rPr>
              <w:fldChar w:fldCharType="end"/>
            </w:r>
          </w:hyperlink>
        </w:p>
        <w:p w14:paraId="404B3CF4" w14:textId="4359DC30" w:rsidR="004F7075" w:rsidRDefault="004F7075">
          <w:pPr>
            <w:pStyle w:val="TOC2"/>
            <w:tabs>
              <w:tab w:val="right" w:leader="dot" w:pos="9019"/>
            </w:tabs>
            <w:rPr>
              <w:rFonts w:asciiTheme="minorHAnsi" w:eastAsiaTheme="minorEastAsia" w:hAnsiTheme="minorHAnsi"/>
              <w:noProof/>
              <w:lang w:eastAsia="en-GB"/>
            </w:rPr>
          </w:pPr>
          <w:hyperlink w:anchor="_Toc199940935" w:history="1">
            <w:r w:rsidRPr="00117764">
              <w:rPr>
                <w:rStyle w:val="Hyperlink"/>
                <w:rFonts w:eastAsia="Times New Roman"/>
                <w:noProof/>
                <w:lang w:eastAsia="en-GB"/>
              </w:rPr>
              <w:t>Overview of the Issue</w:t>
            </w:r>
            <w:r>
              <w:rPr>
                <w:noProof/>
                <w:webHidden/>
              </w:rPr>
              <w:tab/>
            </w:r>
            <w:r>
              <w:rPr>
                <w:noProof/>
                <w:webHidden/>
              </w:rPr>
              <w:fldChar w:fldCharType="begin"/>
            </w:r>
            <w:r>
              <w:rPr>
                <w:noProof/>
                <w:webHidden/>
              </w:rPr>
              <w:instrText xml:space="preserve"> PAGEREF _Toc199940935 \h </w:instrText>
            </w:r>
            <w:r>
              <w:rPr>
                <w:noProof/>
                <w:webHidden/>
              </w:rPr>
            </w:r>
            <w:r>
              <w:rPr>
                <w:noProof/>
                <w:webHidden/>
              </w:rPr>
              <w:fldChar w:fldCharType="separate"/>
            </w:r>
            <w:r>
              <w:rPr>
                <w:noProof/>
                <w:webHidden/>
              </w:rPr>
              <w:t>8</w:t>
            </w:r>
            <w:r>
              <w:rPr>
                <w:noProof/>
                <w:webHidden/>
              </w:rPr>
              <w:fldChar w:fldCharType="end"/>
            </w:r>
          </w:hyperlink>
        </w:p>
        <w:p w14:paraId="216E20C1" w14:textId="4A009930" w:rsidR="004F7075" w:rsidRDefault="004F7075">
          <w:pPr>
            <w:pStyle w:val="TOC2"/>
            <w:tabs>
              <w:tab w:val="right" w:leader="dot" w:pos="9019"/>
            </w:tabs>
            <w:rPr>
              <w:rFonts w:asciiTheme="minorHAnsi" w:eastAsiaTheme="minorEastAsia" w:hAnsiTheme="minorHAnsi"/>
              <w:noProof/>
              <w:lang w:eastAsia="en-GB"/>
            </w:rPr>
          </w:pPr>
          <w:hyperlink w:anchor="_Toc199940936" w:history="1">
            <w:r w:rsidRPr="00117764">
              <w:rPr>
                <w:rStyle w:val="Hyperlink"/>
                <w:rFonts w:eastAsia="Times New Roman"/>
                <w:noProof/>
                <w:lang w:eastAsia="en-GB"/>
              </w:rPr>
              <w:t>STEEPLE Analysis</w:t>
            </w:r>
            <w:r>
              <w:rPr>
                <w:noProof/>
                <w:webHidden/>
              </w:rPr>
              <w:tab/>
            </w:r>
            <w:r>
              <w:rPr>
                <w:noProof/>
                <w:webHidden/>
              </w:rPr>
              <w:fldChar w:fldCharType="begin"/>
            </w:r>
            <w:r>
              <w:rPr>
                <w:noProof/>
                <w:webHidden/>
              </w:rPr>
              <w:instrText xml:space="preserve"> PAGEREF _Toc199940936 \h </w:instrText>
            </w:r>
            <w:r>
              <w:rPr>
                <w:noProof/>
                <w:webHidden/>
              </w:rPr>
            </w:r>
            <w:r>
              <w:rPr>
                <w:noProof/>
                <w:webHidden/>
              </w:rPr>
              <w:fldChar w:fldCharType="separate"/>
            </w:r>
            <w:r>
              <w:rPr>
                <w:noProof/>
                <w:webHidden/>
              </w:rPr>
              <w:t>8</w:t>
            </w:r>
            <w:r>
              <w:rPr>
                <w:noProof/>
                <w:webHidden/>
              </w:rPr>
              <w:fldChar w:fldCharType="end"/>
            </w:r>
          </w:hyperlink>
        </w:p>
        <w:p w14:paraId="18EB43DD" w14:textId="1B6EEC7D" w:rsidR="004F7075" w:rsidRDefault="004F7075">
          <w:pPr>
            <w:pStyle w:val="TOC2"/>
            <w:tabs>
              <w:tab w:val="right" w:leader="dot" w:pos="9019"/>
            </w:tabs>
            <w:rPr>
              <w:rFonts w:asciiTheme="minorHAnsi" w:eastAsiaTheme="minorEastAsia" w:hAnsiTheme="minorHAnsi"/>
              <w:noProof/>
              <w:lang w:eastAsia="en-GB"/>
            </w:rPr>
          </w:pPr>
          <w:hyperlink w:anchor="_Toc199940937" w:history="1">
            <w:r w:rsidRPr="00117764">
              <w:rPr>
                <w:rStyle w:val="Hyperlink"/>
                <w:rFonts w:eastAsia="Times New Roman"/>
                <w:noProof/>
                <w:lang w:eastAsia="en-GB"/>
              </w:rPr>
              <w:t>SWOT Analysis</w:t>
            </w:r>
            <w:r>
              <w:rPr>
                <w:noProof/>
                <w:webHidden/>
              </w:rPr>
              <w:tab/>
            </w:r>
            <w:r>
              <w:rPr>
                <w:noProof/>
                <w:webHidden/>
              </w:rPr>
              <w:fldChar w:fldCharType="begin"/>
            </w:r>
            <w:r>
              <w:rPr>
                <w:noProof/>
                <w:webHidden/>
              </w:rPr>
              <w:instrText xml:space="preserve"> PAGEREF _Toc199940937 \h </w:instrText>
            </w:r>
            <w:r>
              <w:rPr>
                <w:noProof/>
                <w:webHidden/>
              </w:rPr>
            </w:r>
            <w:r>
              <w:rPr>
                <w:noProof/>
                <w:webHidden/>
              </w:rPr>
              <w:fldChar w:fldCharType="separate"/>
            </w:r>
            <w:r>
              <w:rPr>
                <w:noProof/>
                <w:webHidden/>
              </w:rPr>
              <w:t>10</w:t>
            </w:r>
            <w:r>
              <w:rPr>
                <w:noProof/>
                <w:webHidden/>
              </w:rPr>
              <w:fldChar w:fldCharType="end"/>
            </w:r>
          </w:hyperlink>
        </w:p>
        <w:p w14:paraId="14972E29" w14:textId="22E210E6" w:rsidR="004F7075" w:rsidRDefault="004F7075">
          <w:pPr>
            <w:pStyle w:val="TOC2"/>
            <w:tabs>
              <w:tab w:val="right" w:leader="dot" w:pos="9019"/>
            </w:tabs>
            <w:rPr>
              <w:rFonts w:asciiTheme="minorHAnsi" w:eastAsiaTheme="minorEastAsia" w:hAnsiTheme="minorHAnsi"/>
              <w:noProof/>
              <w:lang w:eastAsia="en-GB"/>
            </w:rPr>
          </w:pPr>
          <w:hyperlink w:anchor="_Toc199940938" w:history="1">
            <w:r w:rsidRPr="00117764">
              <w:rPr>
                <w:rStyle w:val="Hyperlink"/>
                <w:rFonts w:eastAsia="Times New Roman"/>
                <w:noProof/>
                <w:lang w:eastAsia="en-GB"/>
              </w:rPr>
              <w:t>TOWS Matrix</w:t>
            </w:r>
            <w:r>
              <w:rPr>
                <w:noProof/>
                <w:webHidden/>
              </w:rPr>
              <w:tab/>
            </w:r>
            <w:r>
              <w:rPr>
                <w:noProof/>
                <w:webHidden/>
              </w:rPr>
              <w:fldChar w:fldCharType="begin"/>
            </w:r>
            <w:r>
              <w:rPr>
                <w:noProof/>
                <w:webHidden/>
              </w:rPr>
              <w:instrText xml:space="preserve"> PAGEREF _Toc199940938 \h </w:instrText>
            </w:r>
            <w:r>
              <w:rPr>
                <w:noProof/>
                <w:webHidden/>
              </w:rPr>
            </w:r>
            <w:r>
              <w:rPr>
                <w:noProof/>
                <w:webHidden/>
              </w:rPr>
              <w:fldChar w:fldCharType="separate"/>
            </w:r>
            <w:r>
              <w:rPr>
                <w:noProof/>
                <w:webHidden/>
              </w:rPr>
              <w:t>11</w:t>
            </w:r>
            <w:r>
              <w:rPr>
                <w:noProof/>
                <w:webHidden/>
              </w:rPr>
              <w:fldChar w:fldCharType="end"/>
            </w:r>
          </w:hyperlink>
        </w:p>
        <w:p w14:paraId="06D28934" w14:textId="34B8F564" w:rsidR="004F7075" w:rsidRDefault="004F7075">
          <w:pPr>
            <w:pStyle w:val="TOC2"/>
            <w:tabs>
              <w:tab w:val="right" w:leader="dot" w:pos="9019"/>
            </w:tabs>
            <w:rPr>
              <w:rFonts w:asciiTheme="minorHAnsi" w:eastAsiaTheme="minorEastAsia" w:hAnsiTheme="minorHAnsi"/>
              <w:noProof/>
              <w:lang w:eastAsia="en-GB"/>
            </w:rPr>
          </w:pPr>
          <w:hyperlink w:anchor="_Toc199940939" w:history="1">
            <w:r w:rsidRPr="00117764">
              <w:rPr>
                <w:rStyle w:val="Hyperlink"/>
                <w:rFonts w:eastAsia="Times New Roman"/>
                <w:noProof/>
                <w:lang w:eastAsia="en-GB"/>
              </w:rPr>
              <w:t>Summary of Findings</w:t>
            </w:r>
            <w:r>
              <w:rPr>
                <w:noProof/>
                <w:webHidden/>
              </w:rPr>
              <w:tab/>
            </w:r>
            <w:r>
              <w:rPr>
                <w:noProof/>
                <w:webHidden/>
              </w:rPr>
              <w:fldChar w:fldCharType="begin"/>
            </w:r>
            <w:r>
              <w:rPr>
                <w:noProof/>
                <w:webHidden/>
              </w:rPr>
              <w:instrText xml:space="preserve"> PAGEREF _Toc199940939 \h </w:instrText>
            </w:r>
            <w:r>
              <w:rPr>
                <w:noProof/>
                <w:webHidden/>
              </w:rPr>
            </w:r>
            <w:r>
              <w:rPr>
                <w:noProof/>
                <w:webHidden/>
              </w:rPr>
              <w:fldChar w:fldCharType="separate"/>
            </w:r>
            <w:r>
              <w:rPr>
                <w:noProof/>
                <w:webHidden/>
              </w:rPr>
              <w:t>14</w:t>
            </w:r>
            <w:r>
              <w:rPr>
                <w:noProof/>
                <w:webHidden/>
              </w:rPr>
              <w:fldChar w:fldCharType="end"/>
            </w:r>
          </w:hyperlink>
        </w:p>
        <w:p w14:paraId="55E64D1B" w14:textId="5021FFEB" w:rsidR="004F7075" w:rsidRDefault="004F7075">
          <w:pPr>
            <w:pStyle w:val="TOC1"/>
            <w:tabs>
              <w:tab w:val="right" w:leader="dot" w:pos="9019"/>
            </w:tabs>
            <w:rPr>
              <w:rFonts w:asciiTheme="minorHAnsi" w:eastAsiaTheme="minorEastAsia" w:hAnsiTheme="minorHAnsi"/>
              <w:noProof/>
              <w:lang w:eastAsia="en-GB"/>
            </w:rPr>
          </w:pPr>
          <w:hyperlink w:anchor="_Toc199940940" w:history="1">
            <w:r w:rsidRPr="00117764">
              <w:rPr>
                <w:rStyle w:val="Hyperlink"/>
                <w:noProof/>
              </w:rPr>
              <w:t>Recommendations &amp; Change Management</w:t>
            </w:r>
            <w:r>
              <w:rPr>
                <w:noProof/>
                <w:webHidden/>
              </w:rPr>
              <w:tab/>
            </w:r>
            <w:r>
              <w:rPr>
                <w:noProof/>
                <w:webHidden/>
              </w:rPr>
              <w:fldChar w:fldCharType="begin"/>
            </w:r>
            <w:r>
              <w:rPr>
                <w:noProof/>
                <w:webHidden/>
              </w:rPr>
              <w:instrText xml:space="preserve"> PAGEREF _Toc199940940 \h </w:instrText>
            </w:r>
            <w:r>
              <w:rPr>
                <w:noProof/>
                <w:webHidden/>
              </w:rPr>
            </w:r>
            <w:r>
              <w:rPr>
                <w:noProof/>
                <w:webHidden/>
              </w:rPr>
              <w:fldChar w:fldCharType="separate"/>
            </w:r>
            <w:r>
              <w:rPr>
                <w:noProof/>
                <w:webHidden/>
              </w:rPr>
              <w:t>15</w:t>
            </w:r>
            <w:r>
              <w:rPr>
                <w:noProof/>
                <w:webHidden/>
              </w:rPr>
              <w:fldChar w:fldCharType="end"/>
            </w:r>
          </w:hyperlink>
        </w:p>
        <w:p w14:paraId="7F28EE01" w14:textId="628C92B8" w:rsidR="004F7075" w:rsidRDefault="004F7075">
          <w:pPr>
            <w:pStyle w:val="TOC2"/>
            <w:tabs>
              <w:tab w:val="right" w:leader="dot" w:pos="9019"/>
            </w:tabs>
            <w:rPr>
              <w:rFonts w:asciiTheme="minorHAnsi" w:eastAsiaTheme="minorEastAsia" w:hAnsiTheme="minorHAnsi"/>
              <w:noProof/>
              <w:lang w:eastAsia="en-GB"/>
            </w:rPr>
          </w:pPr>
          <w:hyperlink w:anchor="_Toc199940941" w:history="1">
            <w:r w:rsidRPr="00117764">
              <w:rPr>
                <w:rStyle w:val="Hyperlink"/>
                <w:rFonts w:eastAsia="Times New Roman"/>
                <w:noProof/>
                <w:lang w:eastAsia="en-GB"/>
              </w:rPr>
              <w:t>Introduction to Recommendations</w:t>
            </w:r>
            <w:r>
              <w:rPr>
                <w:noProof/>
                <w:webHidden/>
              </w:rPr>
              <w:tab/>
            </w:r>
            <w:r>
              <w:rPr>
                <w:noProof/>
                <w:webHidden/>
              </w:rPr>
              <w:fldChar w:fldCharType="begin"/>
            </w:r>
            <w:r>
              <w:rPr>
                <w:noProof/>
                <w:webHidden/>
              </w:rPr>
              <w:instrText xml:space="preserve"> PAGEREF _Toc199940941 \h </w:instrText>
            </w:r>
            <w:r>
              <w:rPr>
                <w:noProof/>
                <w:webHidden/>
              </w:rPr>
            </w:r>
            <w:r>
              <w:rPr>
                <w:noProof/>
                <w:webHidden/>
              </w:rPr>
              <w:fldChar w:fldCharType="separate"/>
            </w:r>
            <w:r>
              <w:rPr>
                <w:noProof/>
                <w:webHidden/>
              </w:rPr>
              <w:t>15</w:t>
            </w:r>
            <w:r>
              <w:rPr>
                <w:noProof/>
                <w:webHidden/>
              </w:rPr>
              <w:fldChar w:fldCharType="end"/>
            </w:r>
          </w:hyperlink>
        </w:p>
        <w:p w14:paraId="603F9D77" w14:textId="11E6C824" w:rsidR="004F7075" w:rsidRDefault="004F7075">
          <w:pPr>
            <w:pStyle w:val="TOC2"/>
            <w:tabs>
              <w:tab w:val="right" w:leader="dot" w:pos="9019"/>
            </w:tabs>
            <w:rPr>
              <w:rFonts w:asciiTheme="minorHAnsi" w:eastAsiaTheme="minorEastAsia" w:hAnsiTheme="minorHAnsi"/>
              <w:noProof/>
              <w:lang w:eastAsia="en-GB"/>
            </w:rPr>
          </w:pPr>
          <w:hyperlink w:anchor="_Toc199940942" w:history="1">
            <w:r w:rsidRPr="00117764">
              <w:rPr>
                <w:rStyle w:val="Hyperlink"/>
                <w:rFonts w:eastAsia="Times New Roman"/>
                <w:noProof/>
                <w:lang w:eastAsia="en-GB"/>
              </w:rPr>
              <w:t>Strategic Recommendations Based on Analysis</w:t>
            </w:r>
            <w:r>
              <w:rPr>
                <w:noProof/>
                <w:webHidden/>
              </w:rPr>
              <w:tab/>
            </w:r>
            <w:r>
              <w:rPr>
                <w:noProof/>
                <w:webHidden/>
              </w:rPr>
              <w:fldChar w:fldCharType="begin"/>
            </w:r>
            <w:r>
              <w:rPr>
                <w:noProof/>
                <w:webHidden/>
              </w:rPr>
              <w:instrText xml:space="preserve"> PAGEREF _Toc199940942 \h </w:instrText>
            </w:r>
            <w:r>
              <w:rPr>
                <w:noProof/>
                <w:webHidden/>
              </w:rPr>
            </w:r>
            <w:r>
              <w:rPr>
                <w:noProof/>
                <w:webHidden/>
              </w:rPr>
              <w:fldChar w:fldCharType="separate"/>
            </w:r>
            <w:r>
              <w:rPr>
                <w:noProof/>
                <w:webHidden/>
              </w:rPr>
              <w:t>16</w:t>
            </w:r>
            <w:r>
              <w:rPr>
                <w:noProof/>
                <w:webHidden/>
              </w:rPr>
              <w:fldChar w:fldCharType="end"/>
            </w:r>
          </w:hyperlink>
        </w:p>
        <w:p w14:paraId="0388B6E0" w14:textId="4AEE78ED" w:rsidR="004F7075" w:rsidRDefault="004F7075">
          <w:pPr>
            <w:pStyle w:val="TOC2"/>
            <w:tabs>
              <w:tab w:val="right" w:leader="dot" w:pos="9019"/>
            </w:tabs>
            <w:rPr>
              <w:rFonts w:asciiTheme="minorHAnsi" w:eastAsiaTheme="minorEastAsia" w:hAnsiTheme="minorHAnsi"/>
              <w:noProof/>
              <w:lang w:eastAsia="en-GB"/>
            </w:rPr>
          </w:pPr>
          <w:hyperlink w:anchor="_Toc199940943" w:history="1">
            <w:r w:rsidRPr="00117764">
              <w:rPr>
                <w:rStyle w:val="Hyperlink"/>
                <w:rFonts w:eastAsia="Times New Roman"/>
                <w:noProof/>
                <w:lang w:eastAsia="en-GB"/>
              </w:rPr>
              <w:t>Change Management Strategy</w:t>
            </w:r>
            <w:r>
              <w:rPr>
                <w:noProof/>
                <w:webHidden/>
              </w:rPr>
              <w:tab/>
            </w:r>
            <w:r>
              <w:rPr>
                <w:noProof/>
                <w:webHidden/>
              </w:rPr>
              <w:fldChar w:fldCharType="begin"/>
            </w:r>
            <w:r>
              <w:rPr>
                <w:noProof/>
                <w:webHidden/>
              </w:rPr>
              <w:instrText xml:space="preserve"> PAGEREF _Toc199940943 \h </w:instrText>
            </w:r>
            <w:r>
              <w:rPr>
                <w:noProof/>
                <w:webHidden/>
              </w:rPr>
            </w:r>
            <w:r>
              <w:rPr>
                <w:noProof/>
                <w:webHidden/>
              </w:rPr>
              <w:fldChar w:fldCharType="separate"/>
            </w:r>
            <w:r>
              <w:rPr>
                <w:noProof/>
                <w:webHidden/>
              </w:rPr>
              <w:t>17</w:t>
            </w:r>
            <w:r>
              <w:rPr>
                <w:noProof/>
                <w:webHidden/>
              </w:rPr>
              <w:fldChar w:fldCharType="end"/>
            </w:r>
          </w:hyperlink>
        </w:p>
        <w:p w14:paraId="2EDC5E48" w14:textId="16284111" w:rsidR="004F7075" w:rsidRDefault="004F7075">
          <w:pPr>
            <w:pStyle w:val="TOC2"/>
            <w:tabs>
              <w:tab w:val="right" w:leader="dot" w:pos="9019"/>
            </w:tabs>
            <w:rPr>
              <w:rFonts w:asciiTheme="minorHAnsi" w:eastAsiaTheme="minorEastAsia" w:hAnsiTheme="minorHAnsi"/>
              <w:noProof/>
              <w:lang w:eastAsia="en-GB"/>
            </w:rPr>
          </w:pPr>
          <w:hyperlink w:anchor="_Toc199940944" w:history="1">
            <w:r w:rsidRPr="00117764">
              <w:rPr>
                <w:rStyle w:val="Hyperlink"/>
                <w:rFonts w:eastAsia="Times New Roman"/>
                <w:noProof/>
                <w:lang w:eastAsia="en-GB"/>
              </w:rPr>
              <w:t>Justification of Recommendations</w:t>
            </w:r>
            <w:r>
              <w:rPr>
                <w:noProof/>
                <w:webHidden/>
              </w:rPr>
              <w:tab/>
            </w:r>
            <w:r>
              <w:rPr>
                <w:noProof/>
                <w:webHidden/>
              </w:rPr>
              <w:fldChar w:fldCharType="begin"/>
            </w:r>
            <w:r>
              <w:rPr>
                <w:noProof/>
                <w:webHidden/>
              </w:rPr>
              <w:instrText xml:space="preserve"> PAGEREF _Toc199940944 \h </w:instrText>
            </w:r>
            <w:r>
              <w:rPr>
                <w:noProof/>
                <w:webHidden/>
              </w:rPr>
            </w:r>
            <w:r>
              <w:rPr>
                <w:noProof/>
                <w:webHidden/>
              </w:rPr>
              <w:fldChar w:fldCharType="separate"/>
            </w:r>
            <w:r>
              <w:rPr>
                <w:noProof/>
                <w:webHidden/>
              </w:rPr>
              <w:t>18</w:t>
            </w:r>
            <w:r>
              <w:rPr>
                <w:noProof/>
                <w:webHidden/>
              </w:rPr>
              <w:fldChar w:fldCharType="end"/>
            </w:r>
          </w:hyperlink>
        </w:p>
        <w:p w14:paraId="5719BEC1" w14:textId="538FD713" w:rsidR="004F7075" w:rsidRDefault="004F7075">
          <w:pPr>
            <w:pStyle w:val="TOC2"/>
            <w:tabs>
              <w:tab w:val="right" w:leader="dot" w:pos="9019"/>
            </w:tabs>
            <w:rPr>
              <w:rFonts w:asciiTheme="minorHAnsi" w:eastAsiaTheme="minorEastAsia" w:hAnsiTheme="minorHAnsi"/>
              <w:noProof/>
              <w:lang w:eastAsia="en-GB"/>
            </w:rPr>
          </w:pPr>
          <w:hyperlink w:anchor="_Toc199940945" w:history="1">
            <w:r w:rsidRPr="00117764">
              <w:rPr>
                <w:rStyle w:val="Hyperlink"/>
                <w:rFonts w:eastAsia="Times New Roman"/>
                <w:noProof/>
                <w:lang w:eastAsia="en-GB"/>
              </w:rPr>
              <w:t>Implementation Feasibility</w:t>
            </w:r>
            <w:r>
              <w:rPr>
                <w:noProof/>
                <w:webHidden/>
              </w:rPr>
              <w:tab/>
            </w:r>
            <w:r>
              <w:rPr>
                <w:noProof/>
                <w:webHidden/>
              </w:rPr>
              <w:fldChar w:fldCharType="begin"/>
            </w:r>
            <w:r>
              <w:rPr>
                <w:noProof/>
                <w:webHidden/>
              </w:rPr>
              <w:instrText xml:space="preserve"> PAGEREF _Toc199940945 \h </w:instrText>
            </w:r>
            <w:r>
              <w:rPr>
                <w:noProof/>
                <w:webHidden/>
              </w:rPr>
            </w:r>
            <w:r>
              <w:rPr>
                <w:noProof/>
                <w:webHidden/>
              </w:rPr>
              <w:fldChar w:fldCharType="separate"/>
            </w:r>
            <w:r>
              <w:rPr>
                <w:noProof/>
                <w:webHidden/>
              </w:rPr>
              <w:t>19</w:t>
            </w:r>
            <w:r>
              <w:rPr>
                <w:noProof/>
                <w:webHidden/>
              </w:rPr>
              <w:fldChar w:fldCharType="end"/>
            </w:r>
          </w:hyperlink>
        </w:p>
        <w:p w14:paraId="11B7E0B6" w14:textId="7D32A9D4" w:rsidR="004F7075" w:rsidRDefault="004F7075">
          <w:pPr>
            <w:pStyle w:val="TOC2"/>
            <w:tabs>
              <w:tab w:val="right" w:leader="dot" w:pos="9019"/>
            </w:tabs>
            <w:rPr>
              <w:rFonts w:asciiTheme="minorHAnsi" w:eastAsiaTheme="minorEastAsia" w:hAnsiTheme="minorHAnsi"/>
              <w:noProof/>
              <w:lang w:eastAsia="en-GB"/>
            </w:rPr>
          </w:pPr>
          <w:hyperlink w:anchor="_Toc199940946" w:history="1">
            <w:r w:rsidRPr="00117764">
              <w:rPr>
                <w:rStyle w:val="Hyperlink"/>
                <w:rFonts w:eastAsia="Times New Roman"/>
                <w:noProof/>
                <w:lang w:eastAsia="en-GB"/>
              </w:rPr>
              <w:t>Anticipated Benefits and Alignment with Brand</w:t>
            </w:r>
            <w:r>
              <w:rPr>
                <w:noProof/>
                <w:webHidden/>
              </w:rPr>
              <w:tab/>
            </w:r>
            <w:r>
              <w:rPr>
                <w:noProof/>
                <w:webHidden/>
              </w:rPr>
              <w:fldChar w:fldCharType="begin"/>
            </w:r>
            <w:r>
              <w:rPr>
                <w:noProof/>
                <w:webHidden/>
              </w:rPr>
              <w:instrText xml:space="preserve"> PAGEREF _Toc199940946 \h </w:instrText>
            </w:r>
            <w:r>
              <w:rPr>
                <w:noProof/>
                <w:webHidden/>
              </w:rPr>
            </w:r>
            <w:r>
              <w:rPr>
                <w:noProof/>
                <w:webHidden/>
              </w:rPr>
              <w:fldChar w:fldCharType="separate"/>
            </w:r>
            <w:r>
              <w:rPr>
                <w:noProof/>
                <w:webHidden/>
              </w:rPr>
              <w:t>20</w:t>
            </w:r>
            <w:r>
              <w:rPr>
                <w:noProof/>
                <w:webHidden/>
              </w:rPr>
              <w:fldChar w:fldCharType="end"/>
            </w:r>
          </w:hyperlink>
        </w:p>
        <w:p w14:paraId="56345D7D" w14:textId="674858F0" w:rsidR="004F7075" w:rsidRDefault="004F7075">
          <w:pPr>
            <w:pStyle w:val="TOC2"/>
            <w:tabs>
              <w:tab w:val="right" w:leader="dot" w:pos="9019"/>
            </w:tabs>
            <w:rPr>
              <w:rFonts w:asciiTheme="minorHAnsi" w:eastAsiaTheme="minorEastAsia" w:hAnsiTheme="minorHAnsi"/>
              <w:noProof/>
              <w:lang w:eastAsia="en-GB"/>
            </w:rPr>
          </w:pPr>
          <w:hyperlink w:anchor="_Toc199940947" w:history="1">
            <w:r w:rsidRPr="00117764">
              <w:rPr>
                <w:rStyle w:val="Hyperlink"/>
                <w:rFonts w:eastAsia="Times New Roman"/>
                <w:noProof/>
                <w:lang w:eastAsia="en-GB"/>
              </w:rPr>
              <w:t>Summary</w:t>
            </w:r>
            <w:r>
              <w:rPr>
                <w:noProof/>
                <w:webHidden/>
              </w:rPr>
              <w:tab/>
            </w:r>
            <w:r>
              <w:rPr>
                <w:noProof/>
                <w:webHidden/>
              </w:rPr>
              <w:fldChar w:fldCharType="begin"/>
            </w:r>
            <w:r>
              <w:rPr>
                <w:noProof/>
                <w:webHidden/>
              </w:rPr>
              <w:instrText xml:space="preserve"> PAGEREF _Toc199940947 \h </w:instrText>
            </w:r>
            <w:r>
              <w:rPr>
                <w:noProof/>
                <w:webHidden/>
              </w:rPr>
            </w:r>
            <w:r>
              <w:rPr>
                <w:noProof/>
                <w:webHidden/>
              </w:rPr>
              <w:fldChar w:fldCharType="separate"/>
            </w:r>
            <w:r>
              <w:rPr>
                <w:noProof/>
                <w:webHidden/>
              </w:rPr>
              <w:t>20</w:t>
            </w:r>
            <w:r>
              <w:rPr>
                <w:noProof/>
                <w:webHidden/>
              </w:rPr>
              <w:fldChar w:fldCharType="end"/>
            </w:r>
          </w:hyperlink>
        </w:p>
        <w:p w14:paraId="31F3672B" w14:textId="6632A514" w:rsidR="004F7075" w:rsidRDefault="004F7075">
          <w:pPr>
            <w:pStyle w:val="TOC1"/>
            <w:tabs>
              <w:tab w:val="right" w:leader="dot" w:pos="9019"/>
            </w:tabs>
            <w:rPr>
              <w:rFonts w:asciiTheme="minorHAnsi" w:eastAsiaTheme="minorEastAsia" w:hAnsiTheme="minorHAnsi"/>
              <w:noProof/>
              <w:lang w:eastAsia="en-GB"/>
            </w:rPr>
          </w:pPr>
          <w:hyperlink w:anchor="_Toc199940948" w:history="1">
            <w:r w:rsidRPr="00117764">
              <w:rPr>
                <w:rStyle w:val="Hyperlink"/>
                <w:noProof/>
              </w:rPr>
              <w:t>Action Plan</w:t>
            </w:r>
            <w:r>
              <w:rPr>
                <w:noProof/>
                <w:webHidden/>
              </w:rPr>
              <w:tab/>
            </w:r>
            <w:r>
              <w:rPr>
                <w:noProof/>
                <w:webHidden/>
              </w:rPr>
              <w:fldChar w:fldCharType="begin"/>
            </w:r>
            <w:r>
              <w:rPr>
                <w:noProof/>
                <w:webHidden/>
              </w:rPr>
              <w:instrText xml:space="preserve"> PAGEREF _Toc199940948 \h </w:instrText>
            </w:r>
            <w:r>
              <w:rPr>
                <w:noProof/>
                <w:webHidden/>
              </w:rPr>
            </w:r>
            <w:r>
              <w:rPr>
                <w:noProof/>
                <w:webHidden/>
              </w:rPr>
              <w:fldChar w:fldCharType="separate"/>
            </w:r>
            <w:r>
              <w:rPr>
                <w:noProof/>
                <w:webHidden/>
              </w:rPr>
              <w:t>21</w:t>
            </w:r>
            <w:r>
              <w:rPr>
                <w:noProof/>
                <w:webHidden/>
              </w:rPr>
              <w:fldChar w:fldCharType="end"/>
            </w:r>
          </w:hyperlink>
        </w:p>
        <w:p w14:paraId="61C99F88" w14:textId="0C209FFC" w:rsidR="004F7075" w:rsidRDefault="004F7075">
          <w:pPr>
            <w:pStyle w:val="TOC2"/>
            <w:tabs>
              <w:tab w:val="right" w:leader="dot" w:pos="9019"/>
            </w:tabs>
            <w:rPr>
              <w:rFonts w:asciiTheme="minorHAnsi" w:eastAsiaTheme="minorEastAsia" w:hAnsiTheme="minorHAnsi"/>
              <w:noProof/>
              <w:lang w:eastAsia="en-GB"/>
            </w:rPr>
          </w:pPr>
          <w:hyperlink w:anchor="_Toc199940949" w:history="1">
            <w:r w:rsidRPr="00117764">
              <w:rPr>
                <w:rStyle w:val="Hyperlink"/>
                <w:rFonts w:eastAsia="Times New Roman"/>
                <w:noProof/>
                <w:lang w:eastAsia="en-GB"/>
              </w:rPr>
              <w:t>Summary</w:t>
            </w:r>
            <w:r>
              <w:rPr>
                <w:noProof/>
                <w:webHidden/>
              </w:rPr>
              <w:tab/>
            </w:r>
            <w:r>
              <w:rPr>
                <w:noProof/>
                <w:webHidden/>
              </w:rPr>
              <w:fldChar w:fldCharType="begin"/>
            </w:r>
            <w:r>
              <w:rPr>
                <w:noProof/>
                <w:webHidden/>
              </w:rPr>
              <w:instrText xml:space="preserve"> PAGEREF _Toc199940949 \h </w:instrText>
            </w:r>
            <w:r>
              <w:rPr>
                <w:noProof/>
                <w:webHidden/>
              </w:rPr>
            </w:r>
            <w:r>
              <w:rPr>
                <w:noProof/>
                <w:webHidden/>
              </w:rPr>
              <w:fldChar w:fldCharType="separate"/>
            </w:r>
            <w:r>
              <w:rPr>
                <w:noProof/>
                <w:webHidden/>
              </w:rPr>
              <w:t>23</w:t>
            </w:r>
            <w:r>
              <w:rPr>
                <w:noProof/>
                <w:webHidden/>
              </w:rPr>
              <w:fldChar w:fldCharType="end"/>
            </w:r>
          </w:hyperlink>
        </w:p>
        <w:p w14:paraId="0EFA061E" w14:textId="377419B0" w:rsidR="004F7075" w:rsidRDefault="004F7075">
          <w:pPr>
            <w:pStyle w:val="TOC1"/>
            <w:tabs>
              <w:tab w:val="right" w:leader="dot" w:pos="9019"/>
            </w:tabs>
            <w:rPr>
              <w:rFonts w:asciiTheme="minorHAnsi" w:eastAsiaTheme="minorEastAsia" w:hAnsiTheme="minorHAnsi"/>
              <w:noProof/>
              <w:lang w:eastAsia="en-GB"/>
            </w:rPr>
          </w:pPr>
          <w:hyperlink w:anchor="_Toc199940950" w:history="1">
            <w:r w:rsidRPr="00117764">
              <w:rPr>
                <w:rStyle w:val="Hyperlink"/>
                <w:noProof/>
              </w:rPr>
              <w:t>Conclusion</w:t>
            </w:r>
            <w:r>
              <w:rPr>
                <w:noProof/>
                <w:webHidden/>
              </w:rPr>
              <w:tab/>
            </w:r>
            <w:r>
              <w:rPr>
                <w:noProof/>
                <w:webHidden/>
              </w:rPr>
              <w:fldChar w:fldCharType="begin"/>
            </w:r>
            <w:r>
              <w:rPr>
                <w:noProof/>
                <w:webHidden/>
              </w:rPr>
              <w:instrText xml:space="preserve"> PAGEREF _Toc199940950 \h </w:instrText>
            </w:r>
            <w:r>
              <w:rPr>
                <w:noProof/>
                <w:webHidden/>
              </w:rPr>
            </w:r>
            <w:r>
              <w:rPr>
                <w:noProof/>
                <w:webHidden/>
              </w:rPr>
              <w:fldChar w:fldCharType="separate"/>
            </w:r>
            <w:r>
              <w:rPr>
                <w:noProof/>
                <w:webHidden/>
              </w:rPr>
              <w:t>23</w:t>
            </w:r>
            <w:r>
              <w:rPr>
                <w:noProof/>
                <w:webHidden/>
              </w:rPr>
              <w:fldChar w:fldCharType="end"/>
            </w:r>
          </w:hyperlink>
        </w:p>
        <w:p w14:paraId="28C95AFB" w14:textId="2FF63710" w:rsidR="004F7075" w:rsidRDefault="004F7075">
          <w:pPr>
            <w:pStyle w:val="TOC1"/>
            <w:tabs>
              <w:tab w:val="right" w:leader="dot" w:pos="9019"/>
            </w:tabs>
            <w:rPr>
              <w:rFonts w:asciiTheme="minorHAnsi" w:eastAsiaTheme="minorEastAsia" w:hAnsiTheme="minorHAnsi"/>
              <w:noProof/>
              <w:lang w:eastAsia="en-GB"/>
            </w:rPr>
          </w:pPr>
          <w:hyperlink w:anchor="_Toc199940951" w:history="1">
            <w:r w:rsidRPr="00117764">
              <w:rPr>
                <w:rStyle w:val="Hyperlink"/>
                <w:rFonts w:cs="Times New Roman"/>
                <w:noProof/>
              </w:rPr>
              <w:t>References</w:t>
            </w:r>
            <w:r>
              <w:rPr>
                <w:noProof/>
                <w:webHidden/>
              </w:rPr>
              <w:tab/>
            </w:r>
            <w:r>
              <w:rPr>
                <w:noProof/>
                <w:webHidden/>
              </w:rPr>
              <w:fldChar w:fldCharType="begin"/>
            </w:r>
            <w:r>
              <w:rPr>
                <w:noProof/>
                <w:webHidden/>
              </w:rPr>
              <w:instrText xml:space="preserve"> PAGEREF _Toc199940951 \h </w:instrText>
            </w:r>
            <w:r>
              <w:rPr>
                <w:noProof/>
                <w:webHidden/>
              </w:rPr>
            </w:r>
            <w:r>
              <w:rPr>
                <w:noProof/>
                <w:webHidden/>
              </w:rPr>
              <w:fldChar w:fldCharType="separate"/>
            </w:r>
            <w:r>
              <w:rPr>
                <w:noProof/>
                <w:webHidden/>
              </w:rPr>
              <w:t>25</w:t>
            </w:r>
            <w:r>
              <w:rPr>
                <w:noProof/>
                <w:webHidden/>
              </w:rPr>
              <w:fldChar w:fldCharType="end"/>
            </w:r>
          </w:hyperlink>
        </w:p>
        <w:p w14:paraId="1D36CEF7" w14:textId="4FB41DDC" w:rsidR="00325469" w:rsidRPr="00E41E50" w:rsidRDefault="00325469" w:rsidP="00325469">
          <w:pPr>
            <w:rPr>
              <w:rFonts w:cs="Times New Roman"/>
            </w:rPr>
          </w:pPr>
          <w:r w:rsidRPr="00E41E50">
            <w:rPr>
              <w:rFonts w:cs="Times New Roman"/>
              <w:b/>
              <w:bCs/>
            </w:rPr>
            <w:fldChar w:fldCharType="end"/>
          </w:r>
        </w:p>
      </w:sdtContent>
    </w:sdt>
    <w:p w14:paraId="601F7DB6" w14:textId="1CE9CC6E" w:rsidR="00990ABC" w:rsidRPr="00E41E50" w:rsidRDefault="00990ABC" w:rsidP="00325469">
      <w:pPr>
        <w:rPr>
          <w:rFonts w:eastAsia="Times New Roman" w:cs="Times New Roman"/>
          <w:kern w:val="0"/>
          <w:lang w:eastAsia="en-GB"/>
          <w14:ligatures w14:val="none"/>
        </w:rPr>
      </w:pPr>
    </w:p>
    <w:p w14:paraId="5590DC8B" w14:textId="77777777" w:rsidR="00990ABC" w:rsidRPr="00E41E50" w:rsidRDefault="00990ABC" w:rsidP="00325469">
      <w:pPr>
        <w:rPr>
          <w:rFonts w:eastAsia="Times New Roman" w:cs="Times New Roman"/>
          <w:kern w:val="0"/>
          <w:lang w:eastAsia="en-GB"/>
          <w14:ligatures w14:val="none"/>
        </w:rPr>
      </w:pPr>
    </w:p>
    <w:p w14:paraId="3326AB59" w14:textId="0B122197" w:rsidR="00990ABC" w:rsidRPr="000D214E" w:rsidRDefault="00990ABC" w:rsidP="00921F9A">
      <w:pPr>
        <w:pStyle w:val="Heading1"/>
      </w:pPr>
      <w:bookmarkStart w:id="0" w:name="_Toc199940932"/>
      <w:r w:rsidRPr="000D214E">
        <w:t>Executive Summary</w:t>
      </w:r>
      <w:bookmarkEnd w:id="0"/>
      <w:r w:rsidRPr="000D214E">
        <w:t xml:space="preserve"> </w:t>
      </w:r>
    </w:p>
    <w:p w14:paraId="40EF81D6" w14:textId="4D3FCC66" w:rsidR="009F3353" w:rsidRPr="00125B5E" w:rsidRDefault="00125B5E" w:rsidP="00125B5E">
      <w:pPr>
        <w:rPr>
          <w:rFonts w:cs="Times New Roman"/>
        </w:rPr>
      </w:pPr>
      <w:r w:rsidRPr="00125B5E">
        <w:rPr>
          <w:rFonts w:cs="Times New Roman"/>
        </w:rPr>
        <w:t xml:space="preserve">Home to one of the UK's </w:t>
      </w:r>
      <w:r w:rsidR="00123275">
        <w:rPr>
          <w:rFonts w:cs="Times New Roman"/>
        </w:rPr>
        <w:t>best-known and most prestigious four-star hotels, Hyatt Regency Birmingham, next to the International Convention Centre and Symphony Hall,</w:t>
      </w:r>
      <w:r w:rsidRPr="00125B5E">
        <w:rPr>
          <w:rFonts w:cs="Times New Roman"/>
        </w:rPr>
        <w:t xml:space="preserve"> has long been a primary destination for business travellers, conferences and events. Being a </w:t>
      </w:r>
      <w:r w:rsidR="00123275">
        <w:rPr>
          <w:rFonts w:cs="Times New Roman"/>
        </w:rPr>
        <w:t>corporate-branded</w:t>
      </w:r>
      <w:r w:rsidRPr="00125B5E">
        <w:rPr>
          <w:rFonts w:cs="Times New Roman"/>
        </w:rPr>
        <w:t xml:space="preserve"> property under the global Hyatt Hotels Corporation, it enjoys an international brand presence, access to </w:t>
      </w:r>
      <w:r w:rsidR="00123275">
        <w:rPr>
          <w:rFonts w:cs="Times New Roman"/>
        </w:rPr>
        <w:t xml:space="preserve">a </w:t>
      </w:r>
      <w:r w:rsidRPr="00125B5E">
        <w:rPr>
          <w:rFonts w:cs="Times New Roman"/>
        </w:rPr>
        <w:t xml:space="preserve">corporate loyalty programme and strategic proximity to hubs of </w:t>
      </w:r>
      <w:r w:rsidR="00123275">
        <w:rPr>
          <w:rFonts w:cs="Times New Roman"/>
        </w:rPr>
        <w:t>primary</w:t>
      </w:r>
      <w:r w:rsidRPr="00125B5E">
        <w:rPr>
          <w:rFonts w:cs="Times New Roman"/>
        </w:rPr>
        <w:t xml:space="preserve"> transport links and cultural landmarks. </w:t>
      </w:r>
      <w:r w:rsidR="0077253B">
        <w:rPr>
          <w:rFonts w:cs="Times New Roman"/>
        </w:rPr>
        <w:t>However, after the COVID pandemic, the MICE (Meetings, incentives, conferences, and exhibitions) and corporate segments have declined in</w:t>
      </w:r>
      <w:r w:rsidRPr="00125B5E">
        <w:rPr>
          <w:rFonts w:cs="Times New Roman"/>
        </w:rPr>
        <w:t xml:space="preserve"> the hotel</w:t>
      </w:r>
      <w:r w:rsidR="0077253B">
        <w:rPr>
          <w:rFonts w:cs="Times New Roman"/>
        </w:rPr>
        <w:t xml:space="preserve"> industry</w:t>
      </w:r>
      <w:r w:rsidRPr="00125B5E">
        <w:rPr>
          <w:rFonts w:cs="Times New Roman"/>
        </w:rPr>
        <w:t xml:space="preserve">. The hotel's occupancy rates, RevPAR (Revenue Per Available Room), </w:t>
      </w:r>
      <w:r w:rsidR="00123275">
        <w:rPr>
          <w:rFonts w:cs="Times New Roman"/>
        </w:rPr>
        <w:t xml:space="preserve">and </w:t>
      </w:r>
      <w:r w:rsidRPr="00125B5E">
        <w:rPr>
          <w:rFonts w:cs="Times New Roman"/>
        </w:rPr>
        <w:t xml:space="preserve">food and beverage sales have taken a </w:t>
      </w:r>
      <w:r w:rsidR="00123275">
        <w:rPr>
          <w:rFonts w:cs="Times New Roman"/>
        </w:rPr>
        <w:t>significant</w:t>
      </w:r>
      <w:r w:rsidRPr="00125B5E">
        <w:rPr>
          <w:rFonts w:cs="Times New Roman"/>
        </w:rPr>
        <w:t xml:space="preserve"> hit during this downturn</w:t>
      </w:r>
      <w:r w:rsidR="00123275" w:rsidRPr="00125B5E">
        <w:rPr>
          <w:rFonts w:cs="Times New Roman"/>
        </w:rPr>
        <w:t>,</w:t>
      </w:r>
      <w:r w:rsidRPr="00125B5E">
        <w:rPr>
          <w:rFonts w:cs="Times New Roman"/>
        </w:rPr>
        <w:t xml:space="preserve"> and the impacts are felt throughout the hotel's overall operational profitability. </w:t>
      </w:r>
      <w:r w:rsidR="00575921">
        <w:rPr>
          <w:rFonts w:cs="Times New Roman"/>
        </w:rPr>
        <w:t>What</w:t>
      </w:r>
      <w:r w:rsidRPr="00125B5E">
        <w:rPr>
          <w:rFonts w:cs="Times New Roman"/>
        </w:rPr>
        <w:t xml:space="preserve"> the shift in corporate behaviour means for remote working, digital meetings and reduced travel budgets has left lasting effects on how hospitality businesses</w:t>
      </w:r>
      <w:r w:rsidR="000D2323">
        <w:rPr>
          <w:rFonts w:cs="Times New Roman"/>
        </w:rPr>
        <w:t xml:space="preserve"> operate</w:t>
      </w:r>
      <w:r w:rsidR="006E62B5">
        <w:rPr>
          <w:rFonts w:cs="Times New Roman"/>
        </w:rPr>
        <w:t xml:space="preserve"> </w:t>
      </w:r>
      <w:r w:rsidR="006E62B5" w:rsidRPr="006E62B5">
        <w:rPr>
          <w:rFonts w:cs="Times New Roman"/>
        </w:rPr>
        <w:t>(Rogers and Wynn-Moylan, 2022)</w:t>
      </w:r>
      <w:r w:rsidR="009F3353">
        <w:rPr>
          <w:rFonts w:cs="Times New Roman"/>
        </w:rPr>
        <w:t>.</w:t>
      </w:r>
    </w:p>
    <w:p w14:paraId="582785C5" w14:textId="7037B1FA" w:rsidR="00125B5E" w:rsidRDefault="00125B5E" w:rsidP="00125B5E">
      <w:pPr>
        <w:rPr>
          <w:rFonts w:cs="Times New Roman"/>
        </w:rPr>
      </w:pPr>
      <w:r w:rsidRPr="00125B5E">
        <w:rPr>
          <w:rFonts w:cs="Times New Roman"/>
        </w:rPr>
        <w:t>Heritage Hospitality Consulting, a leading independent consultancy firm specialising in operational and strategic transformation in the hospitality sector</w:t>
      </w:r>
      <w:r w:rsidR="00123275">
        <w:rPr>
          <w:rFonts w:cs="Times New Roman"/>
        </w:rPr>
        <w:t>, was engaged to investigate and identify the sources of poor performance and provide evidence-based</w:t>
      </w:r>
      <w:r w:rsidRPr="00125B5E">
        <w:rPr>
          <w:rFonts w:cs="Times New Roman"/>
        </w:rPr>
        <w:t xml:space="preserve"> recommendations on </w:t>
      </w:r>
      <w:r w:rsidR="00123275">
        <w:rPr>
          <w:rFonts w:cs="Times New Roman"/>
        </w:rPr>
        <w:t>reviving</w:t>
      </w:r>
      <w:r w:rsidRPr="00125B5E">
        <w:rPr>
          <w:rFonts w:cs="Times New Roman"/>
        </w:rPr>
        <w:t xml:space="preserve"> the business. The </w:t>
      </w:r>
      <w:r w:rsidR="00123275">
        <w:rPr>
          <w:rFonts w:cs="Times New Roman"/>
        </w:rPr>
        <w:t>primary</w:t>
      </w:r>
      <w:r w:rsidRPr="00125B5E">
        <w:rPr>
          <w:rFonts w:cs="Times New Roman"/>
        </w:rPr>
        <w:t xml:space="preserve"> purpose of this consultancy report was to prepare the results of </w:t>
      </w:r>
      <w:r w:rsidR="00123275">
        <w:rPr>
          <w:rFonts w:cs="Times New Roman"/>
        </w:rPr>
        <w:t>an in-depth strategic review of the hotel's internal operations</w:t>
      </w:r>
      <w:r w:rsidRPr="00125B5E">
        <w:rPr>
          <w:rFonts w:cs="Times New Roman"/>
        </w:rPr>
        <w:t xml:space="preserve"> and the external operating environment. To further diagnose the current position of the hotel, identify the factors leading to </w:t>
      </w:r>
      <w:r w:rsidR="00575921">
        <w:rPr>
          <w:rFonts w:cs="Times New Roman"/>
        </w:rPr>
        <w:t xml:space="preserve">a </w:t>
      </w:r>
      <w:r w:rsidRPr="00125B5E">
        <w:rPr>
          <w:rFonts w:cs="Times New Roman"/>
        </w:rPr>
        <w:t xml:space="preserve">decline in MICE revenue and gain </w:t>
      </w:r>
      <w:r w:rsidR="00575921">
        <w:rPr>
          <w:rFonts w:cs="Times New Roman"/>
        </w:rPr>
        <w:t>a</w:t>
      </w:r>
      <w:r w:rsidRPr="00125B5E">
        <w:rPr>
          <w:rFonts w:cs="Times New Roman"/>
        </w:rPr>
        <w:t xml:space="preserve"> clear set of strategic responses commensurate with </w:t>
      </w:r>
      <w:r w:rsidRPr="00125B5E">
        <w:rPr>
          <w:rFonts w:cs="Times New Roman"/>
        </w:rPr>
        <w:lastRenderedPageBreak/>
        <w:t xml:space="preserve">the </w:t>
      </w:r>
      <w:r w:rsidR="00123275">
        <w:rPr>
          <w:rFonts w:cs="Times New Roman"/>
        </w:rPr>
        <w:t>property's</w:t>
      </w:r>
      <w:r w:rsidRPr="00125B5E">
        <w:rPr>
          <w:rFonts w:cs="Times New Roman"/>
        </w:rPr>
        <w:t xml:space="preserve"> needs and market, the report makes use of anchored frameworks of STEEPLED, SWOT and TOWS.</w:t>
      </w:r>
    </w:p>
    <w:p w14:paraId="10337DF5" w14:textId="7E20E6AB" w:rsidR="002E505D" w:rsidRPr="002E505D" w:rsidRDefault="002E505D" w:rsidP="002E505D">
      <w:pPr>
        <w:rPr>
          <w:rFonts w:cs="Times New Roman"/>
        </w:rPr>
      </w:pPr>
      <w:r w:rsidRPr="002E505D">
        <w:rPr>
          <w:rFonts w:cs="Times New Roman"/>
        </w:rPr>
        <w:t xml:space="preserve">Analysis with the STEEPLED tool showed </w:t>
      </w:r>
      <w:r w:rsidR="00123275">
        <w:rPr>
          <w:rFonts w:cs="Times New Roman"/>
        </w:rPr>
        <w:t>several</w:t>
      </w:r>
      <w:r w:rsidRPr="002E505D">
        <w:rPr>
          <w:rFonts w:cs="Times New Roman"/>
        </w:rPr>
        <w:t xml:space="preserve"> external pressures that have restructured demand in the business travel segment. The volume of </w:t>
      </w:r>
      <w:r w:rsidR="00123275">
        <w:rPr>
          <w:rFonts w:cs="Times New Roman"/>
        </w:rPr>
        <w:t>in-person meetings and conferences has</w:t>
      </w:r>
      <w:r w:rsidRPr="002E505D">
        <w:rPr>
          <w:rFonts w:cs="Times New Roman"/>
        </w:rPr>
        <w:t xml:space="preserve"> reduced drastically as social factors (mainly hybrid and remote working being adopted by </w:t>
      </w:r>
      <w:r w:rsidR="00575921">
        <w:rPr>
          <w:rFonts w:cs="Times New Roman"/>
        </w:rPr>
        <w:t xml:space="preserve">the </w:t>
      </w:r>
      <w:r w:rsidRPr="002E505D">
        <w:rPr>
          <w:rFonts w:cs="Times New Roman"/>
        </w:rPr>
        <w:t xml:space="preserve">mainstream) diminished the need for humans to come together in </w:t>
      </w:r>
      <w:r w:rsidR="00144D4E">
        <w:rPr>
          <w:rFonts w:cs="Times New Roman"/>
        </w:rPr>
        <w:t>real time</w:t>
      </w:r>
      <w:r w:rsidRPr="002E505D">
        <w:rPr>
          <w:rFonts w:cs="Times New Roman"/>
        </w:rPr>
        <w:t xml:space="preserve">. </w:t>
      </w:r>
      <w:r w:rsidR="00123275">
        <w:rPr>
          <w:rFonts w:cs="Times New Roman"/>
        </w:rPr>
        <w:t xml:space="preserve">Thanks to technological advances, companies can meet globally remotely, reducing the </w:t>
      </w:r>
      <w:r w:rsidRPr="002E505D">
        <w:rPr>
          <w:rFonts w:cs="Times New Roman"/>
        </w:rPr>
        <w:t xml:space="preserve">perceived need to travel. Reduced spending on external venues and hospitality services </w:t>
      </w:r>
      <w:r w:rsidR="00123275">
        <w:rPr>
          <w:rFonts w:cs="Times New Roman"/>
        </w:rPr>
        <w:t>is due to economic constraints (inflation and a wave of cost-cutting</w:t>
      </w:r>
      <w:r w:rsidRPr="002E505D">
        <w:rPr>
          <w:rFonts w:cs="Times New Roman"/>
        </w:rPr>
        <w:t xml:space="preserve"> in corporations). In addition, environmental concerns and ethical expectations have become </w:t>
      </w:r>
      <w:r w:rsidR="00123275">
        <w:rPr>
          <w:rFonts w:cs="Times New Roman"/>
        </w:rPr>
        <w:t>increasingly</w:t>
      </w:r>
      <w:r w:rsidRPr="002E505D">
        <w:rPr>
          <w:rFonts w:cs="Times New Roman"/>
        </w:rPr>
        <w:t xml:space="preserve"> important, evidenced by clients preferring venues that employ sustainable </w:t>
      </w:r>
      <w:r w:rsidR="00123275">
        <w:rPr>
          <w:rFonts w:cs="Times New Roman"/>
        </w:rPr>
        <w:t>practices</w:t>
      </w:r>
      <w:r w:rsidRPr="002E505D">
        <w:rPr>
          <w:rFonts w:cs="Times New Roman"/>
        </w:rPr>
        <w:t xml:space="preserve"> and are socially responsible. </w:t>
      </w:r>
      <w:r w:rsidR="00123275">
        <w:rPr>
          <w:rFonts w:cs="Times New Roman"/>
        </w:rPr>
        <w:t xml:space="preserve">Due to the UK’s exit from the European Union, in terms of labour supply and travelling logistics, complexities of a political and legal nature </w:t>
      </w:r>
      <w:r w:rsidRPr="002E505D">
        <w:rPr>
          <w:rFonts w:cs="Times New Roman"/>
        </w:rPr>
        <w:t xml:space="preserve">have also made operations more complicated. Although these factors are interrelated, they </w:t>
      </w:r>
      <w:r w:rsidR="00123275">
        <w:rPr>
          <w:rFonts w:cs="Times New Roman"/>
        </w:rPr>
        <w:t xml:space="preserve">have created a macro environment that </w:t>
      </w:r>
      <w:r w:rsidR="0077253B">
        <w:rPr>
          <w:rFonts w:cs="Times New Roman"/>
        </w:rPr>
        <w:t xml:space="preserve">has </w:t>
      </w:r>
      <w:r w:rsidR="00123275">
        <w:rPr>
          <w:rFonts w:cs="Times New Roman"/>
        </w:rPr>
        <w:t>rendered the traditional business hospitality models</w:t>
      </w:r>
      <w:r w:rsidRPr="002E505D">
        <w:rPr>
          <w:rFonts w:cs="Times New Roman"/>
        </w:rPr>
        <w:t xml:space="preserve"> less viable than they used to be.</w:t>
      </w:r>
    </w:p>
    <w:p w14:paraId="460FD9C3" w14:textId="77777777" w:rsidR="006C5B96" w:rsidRPr="006C5B96" w:rsidRDefault="002E505D" w:rsidP="006C5B96">
      <w:pPr>
        <w:rPr>
          <w:rFonts w:cs="Times New Roman"/>
        </w:rPr>
      </w:pPr>
      <w:r w:rsidRPr="002E505D">
        <w:rPr>
          <w:rFonts w:cs="Times New Roman"/>
        </w:rPr>
        <w:t>To consider the internal factors of Hyatt Regency Birmingham, a SWOT analysis was conducted</w:t>
      </w:r>
      <w:r w:rsidR="0077253B">
        <w:rPr>
          <w:rFonts w:cs="Times New Roman"/>
        </w:rPr>
        <w:t>,</w:t>
      </w:r>
      <w:r w:rsidRPr="002E505D">
        <w:rPr>
          <w:rFonts w:cs="Times New Roman"/>
        </w:rPr>
        <w:t xml:space="preserve"> providing an organisational structure, resources and insight into how services are provided. </w:t>
      </w:r>
      <w:r w:rsidR="00135F44" w:rsidRPr="000D214E">
        <w:rPr>
          <w:rFonts w:cs="Times New Roman"/>
        </w:rPr>
        <w:t xml:space="preserve">The hotel retains notable strengths, including its prime location in Birmingham’s conference district, the quality and flexibility of its event spaces, and the strong brand trust afforded by its affiliation with Hyatt. </w:t>
      </w:r>
      <w:r w:rsidR="006C5B96" w:rsidRPr="006C5B96">
        <w:rPr>
          <w:rFonts w:cs="Times New Roman"/>
        </w:rPr>
        <w:t xml:space="preserve">In addition, it has an experienced operational team, a loyal client base and modern guest facilities. Despite this, several internal weaknesses have been acknowledged: underuse of event spaces from a fixed room layout, insufficient present-day convening innovation to adjust to hybrid gatherings and minimal outreach to smaller—even neighbourhood—businesses, bringing forth adjustments to home and flexible working. </w:t>
      </w:r>
    </w:p>
    <w:p w14:paraId="50A29986" w14:textId="736C5EC0" w:rsidR="00135F44" w:rsidRPr="000D214E" w:rsidRDefault="006C5B96" w:rsidP="000D214E">
      <w:pPr>
        <w:rPr>
          <w:rFonts w:cs="Times New Roman"/>
        </w:rPr>
      </w:pPr>
      <w:r w:rsidRPr="006C5B96">
        <w:rPr>
          <w:rFonts w:cs="Times New Roman"/>
        </w:rPr>
        <w:t xml:space="preserve">In the competitive landscape, the hotel </w:t>
      </w:r>
      <w:proofErr w:type="gramStart"/>
      <w:r w:rsidRPr="006C5B96">
        <w:rPr>
          <w:rFonts w:cs="Times New Roman"/>
        </w:rPr>
        <w:t>has to</w:t>
      </w:r>
      <w:proofErr w:type="gramEnd"/>
      <w:r w:rsidRPr="006C5B96">
        <w:rPr>
          <w:rFonts w:cs="Times New Roman"/>
        </w:rPr>
        <w:t xml:space="preserve"> face growing threats from agile boutique venues and co‑working spaces that use technology-first integrated approaches</w:t>
      </w:r>
      <w:r w:rsidR="00135F44" w:rsidRPr="000D214E">
        <w:rPr>
          <w:rFonts w:cs="Times New Roman"/>
        </w:rPr>
        <w:t xml:space="preserve">. Competitors </w:t>
      </w:r>
      <w:r w:rsidR="000D2323">
        <w:rPr>
          <w:rFonts w:cs="Times New Roman"/>
        </w:rPr>
        <w:t>increasingly offer</w:t>
      </w:r>
      <w:r w:rsidR="00135F44" w:rsidRPr="000D214E">
        <w:rPr>
          <w:rFonts w:cs="Times New Roman"/>
        </w:rPr>
        <w:t xml:space="preserve"> modular, digitally enhanced spaces that appeal to freelancers, startups, and hybrid teams seeking informal and tech-ready environments. The emergence of event technology platforms and service providers that allow clients to host meetings across virtual channels has also posed a challenge to the hotel’s conventional service model. However, there are also considerable opportunities available. A rise in demand for locally hosted, small-scale business events, increased interest in sustainable and ethically responsible service provision, </w:t>
      </w:r>
      <w:r w:rsidR="00135F44" w:rsidRPr="000D214E">
        <w:rPr>
          <w:rFonts w:cs="Times New Roman"/>
        </w:rPr>
        <w:lastRenderedPageBreak/>
        <w:t xml:space="preserve">and the </w:t>
      </w:r>
      <w:r w:rsidR="00361AED">
        <w:rPr>
          <w:rFonts w:cs="Times New Roman"/>
        </w:rPr>
        <w:t>chance</w:t>
      </w:r>
      <w:r w:rsidR="00135F44" w:rsidRPr="000D214E">
        <w:rPr>
          <w:rFonts w:cs="Times New Roman"/>
        </w:rPr>
        <w:t xml:space="preserve"> to re-engage domestic business travellers all point towards new revenue possibilities.</w:t>
      </w:r>
    </w:p>
    <w:p w14:paraId="08E88459" w14:textId="3D20A17F" w:rsidR="00135F44" w:rsidRPr="000D214E" w:rsidRDefault="00361AED" w:rsidP="000D214E">
      <w:pPr>
        <w:rPr>
          <w:rFonts w:cs="Times New Roman"/>
        </w:rPr>
      </w:pPr>
      <w:r>
        <w:rPr>
          <w:rFonts w:cs="Times New Roman"/>
        </w:rPr>
        <w:t>A series of strategic directions were identified by mapping the SWOT analysis against external pressures in the TOWS matrix</w:t>
      </w:r>
      <w:r w:rsidR="00135F44" w:rsidRPr="000D214E">
        <w:rPr>
          <w:rFonts w:cs="Times New Roman"/>
        </w:rPr>
        <w:t>. These include leveraging brand strengths to reposition the hotel as a leader in hybrid corporate hospitality, addressing technological and spatial weaknesses through investment in conferencing innovation, mitigating threats by aligning more closely with flexible work trends and capitalising on opportunities through improved service design, partnerships, and sustainability integration. The strategy outlined in this report focuses on revitalising the hotel’s business model through service innovation, infrastructure enhancement, market repositioning, and sustainable brand development.</w:t>
      </w:r>
    </w:p>
    <w:p w14:paraId="42C171DE" w14:textId="677739AB" w:rsidR="000D2323" w:rsidRDefault="00070676" w:rsidP="00070676">
      <w:pPr>
        <w:rPr>
          <w:rFonts w:cs="Times New Roman"/>
        </w:rPr>
      </w:pPr>
      <w:r w:rsidRPr="00070676">
        <w:rPr>
          <w:rFonts w:cs="Times New Roman"/>
        </w:rPr>
        <w:t xml:space="preserve">The implementation of </w:t>
      </w:r>
      <w:r w:rsidR="006A1C6E">
        <w:rPr>
          <w:rFonts w:cs="Times New Roman"/>
        </w:rPr>
        <w:t xml:space="preserve">next-generation conferencing technology allows frictionless hybrid events and reconfiguration of meeting spaces to </w:t>
      </w:r>
      <w:r w:rsidR="00213F41">
        <w:rPr>
          <w:rFonts w:cs="Times New Roman"/>
        </w:rPr>
        <w:t>enable more flexible and innovative use and marketing campaigns,</w:t>
      </w:r>
      <w:r w:rsidR="006A1C6E">
        <w:rPr>
          <w:rFonts w:cs="Times New Roman"/>
        </w:rPr>
        <w:t xml:space="preserve"> such as targeting SMEs, remote teams,</w:t>
      </w:r>
      <w:r w:rsidRPr="00070676">
        <w:rPr>
          <w:rFonts w:cs="Times New Roman"/>
        </w:rPr>
        <w:t xml:space="preserve"> and regional businesses as new kinds of business clients. Intertwined with these </w:t>
      </w:r>
      <w:r w:rsidR="00575921">
        <w:rPr>
          <w:rFonts w:cs="Times New Roman"/>
        </w:rPr>
        <w:t>is</w:t>
      </w:r>
      <w:r w:rsidRPr="00070676">
        <w:rPr>
          <w:rFonts w:cs="Times New Roman"/>
        </w:rPr>
        <w:t xml:space="preserve"> the commitment to sustainability</w:t>
      </w:r>
      <w:r w:rsidR="006A1C6E">
        <w:rPr>
          <w:rFonts w:cs="Times New Roman"/>
        </w:rPr>
        <w:t>, which enlists the hotel to offer its events</w:t>
      </w:r>
      <w:r w:rsidRPr="00070676">
        <w:rPr>
          <w:rFonts w:cs="Times New Roman"/>
        </w:rPr>
        <w:t xml:space="preserve"> in line with the modern expectation of environmental responsibility and social impact. These strategies are outlined </w:t>
      </w:r>
      <w:r w:rsidR="006A1C6E">
        <w:rPr>
          <w:rFonts w:cs="Times New Roman"/>
        </w:rPr>
        <w:t xml:space="preserve">on </w:t>
      </w:r>
      <w:r w:rsidRPr="00070676">
        <w:rPr>
          <w:rFonts w:cs="Times New Roman"/>
        </w:rPr>
        <w:t xml:space="preserve">how they can be used through Kotter’s 8-Step Model of structured change management. </w:t>
      </w:r>
    </w:p>
    <w:p w14:paraId="6D1EC686" w14:textId="77777777" w:rsidR="0087691C" w:rsidRPr="0087691C" w:rsidRDefault="0087691C" w:rsidP="0087691C">
      <w:pPr>
        <w:rPr>
          <w:rFonts w:cs="Times New Roman"/>
        </w:rPr>
      </w:pPr>
      <w:r w:rsidRPr="0087691C">
        <w:rPr>
          <w:rFonts w:cs="Times New Roman"/>
        </w:rPr>
        <w:t xml:space="preserve">Cost analysis projects that approximately </w:t>
      </w:r>
      <w:r w:rsidRPr="0087691C">
        <w:rPr>
          <w:rFonts w:cs="Times New Roman"/>
          <w:b/>
          <w:bCs/>
        </w:rPr>
        <w:t>£195,250</w:t>
      </w:r>
      <w:r w:rsidRPr="0087691C">
        <w:rPr>
          <w:rFonts w:cs="Times New Roman"/>
        </w:rPr>
        <w:t xml:space="preserve"> will be required for total investment in implementing upgrades to technology, marketing, sustainability certification, staff training and local partnership development (with a </w:t>
      </w:r>
      <w:r w:rsidRPr="0087691C">
        <w:rPr>
          <w:rFonts w:cs="Times New Roman"/>
          <w:b/>
          <w:bCs/>
        </w:rPr>
        <w:t>10% contingency buffer</w:t>
      </w:r>
      <w:r w:rsidRPr="0087691C">
        <w:rPr>
          <w:rFonts w:cs="Times New Roman"/>
        </w:rPr>
        <w:t xml:space="preserve">). Implementation is projected to begin in September 2025, and return on investment (ROI) is forecasted within </w:t>
      </w:r>
      <w:r w:rsidRPr="0087691C">
        <w:rPr>
          <w:rFonts w:cs="Times New Roman"/>
          <w:b/>
          <w:bCs/>
        </w:rPr>
        <w:t>12 to 18</w:t>
      </w:r>
      <w:r w:rsidRPr="0087691C">
        <w:rPr>
          <w:rFonts w:cs="Times New Roman"/>
        </w:rPr>
        <w:t xml:space="preserve"> months through increased mid-week occupancy, enhanced MICE space utilisation, and brand reputation. Measurable growth in MICE revenue, event booking rates, client satisfaction metrics, digital engagement levels and other key success performance indicators will be used as key performance indicators for success.</w:t>
      </w:r>
    </w:p>
    <w:p w14:paraId="22B6C087" w14:textId="7ACED720" w:rsidR="00990ABC" w:rsidRPr="000D214E" w:rsidRDefault="00A90A84" w:rsidP="00A90A84">
      <w:pPr>
        <w:rPr>
          <w:rFonts w:cs="Times New Roman"/>
        </w:rPr>
      </w:pPr>
      <w:r w:rsidRPr="00A90A84">
        <w:rPr>
          <w:rFonts w:cs="Times New Roman"/>
        </w:rPr>
        <w:t xml:space="preserve">A clear timeline, responsible departments, financial implications and desired outcomes have been given to allow the government to deliver these recommendations through an action plan. </w:t>
      </w:r>
      <w:r w:rsidR="0077253B">
        <w:rPr>
          <w:rFonts w:cs="Times New Roman"/>
        </w:rPr>
        <w:t>The</w:t>
      </w:r>
      <w:r w:rsidRPr="00A90A84">
        <w:rPr>
          <w:rFonts w:cs="Times New Roman"/>
        </w:rPr>
        <w:t xml:space="preserve"> purpose of this plan is to assist the hotel in translating strategic objectives </w:t>
      </w:r>
      <w:r w:rsidR="00575921">
        <w:rPr>
          <w:rFonts w:cs="Times New Roman"/>
        </w:rPr>
        <w:t>into</w:t>
      </w:r>
      <w:r w:rsidRPr="00A90A84">
        <w:rPr>
          <w:rFonts w:cs="Times New Roman"/>
        </w:rPr>
        <w:t xml:space="preserve"> operational realities within a given implementation window. </w:t>
      </w:r>
      <w:r w:rsidR="000D2323">
        <w:rPr>
          <w:rFonts w:cs="Times New Roman"/>
        </w:rPr>
        <w:t xml:space="preserve"> </w:t>
      </w:r>
      <w:r w:rsidRPr="00A90A84">
        <w:rPr>
          <w:rFonts w:cs="Times New Roman"/>
        </w:rPr>
        <w:t xml:space="preserve">The report concludes that </w:t>
      </w:r>
      <w:r w:rsidR="00742ED4">
        <w:rPr>
          <w:rFonts w:cs="Times New Roman"/>
        </w:rPr>
        <w:t>its strategy</w:t>
      </w:r>
      <w:r w:rsidRPr="00A90A84">
        <w:rPr>
          <w:rFonts w:cs="Times New Roman"/>
        </w:rPr>
        <w:t xml:space="preserve"> </w:t>
      </w:r>
      <w:r w:rsidR="00742ED4">
        <w:rPr>
          <w:rFonts w:cs="Times New Roman"/>
        </w:rPr>
        <w:t>for</w:t>
      </w:r>
      <w:r w:rsidRPr="00A90A84">
        <w:rPr>
          <w:rFonts w:cs="Times New Roman"/>
        </w:rPr>
        <w:t xml:space="preserve"> Hyatt Regency Birmingham is a robust, research</w:t>
      </w:r>
      <w:r w:rsidR="00742ED4" w:rsidRPr="00A90A84">
        <w:rPr>
          <w:rFonts w:cs="Times New Roman"/>
        </w:rPr>
        <w:t>-informed</w:t>
      </w:r>
      <w:r w:rsidR="00742ED4">
        <w:rPr>
          <w:rFonts w:cs="Times New Roman"/>
        </w:rPr>
        <w:t>, and cost-effective</w:t>
      </w:r>
      <w:r w:rsidR="00742ED4" w:rsidRPr="00A90A84">
        <w:rPr>
          <w:rFonts w:cs="Times New Roman"/>
        </w:rPr>
        <w:t xml:space="preserve"> way forward to help the hotel tackle the current challenges and reposition itself for a post-</w:t>
      </w:r>
      <w:r w:rsidRPr="00A90A84">
        <w:rPr>
          <w:rFonts w:cs="Times New Roman"/>
        </w:rPr>
        <w:t xml:space="preserve">pandemic market. </w:t>
      </w:r>
    </w:p>
    <w:p w14:paraId="2A4A0442" w14:textId="77777777" w:rsidR="00135F44" w:rsidRPr="000D214E" w:rsidRDefault="00135F44" w:rsidP="000D214E">
      <w:pPr>
        <w:rPr>
          <w:rFonts w:cs="Times New Roman"/>
        </w:rPr>
      </w:pPr>
    </w:p>
    <w:p w14:paraId="2485D385" w14:textId="77777777" w:rsidR="00135F44" w:rsidRPr="000D214E" w:rsidRDefault="00135F44" w:rsidP="000D214E">
      <w:pPr>
        <w:rPr>
          <w:rFonts w:cs="Times New Roman"/>
        </w:rPr>
      </w:pPr>
    </w:p>
    <w:p w14:paraId="7A504D26" w14:textId="7AD07306" w:rsidR="00135F44" w:rsidRPr="000D214E" w:rsidRDefault="00135F44" w:rsidP="00921F9A">
      <w:pPr>
        <w:pStyle w:val="Heading1"/>
      </w:pPr>
      <w:bookmarkStart w:id="1" w:name="_Toc199940933"/>
      <w:r w:rsidRPr="000D214E">
        <w:t>Introduction</w:t>
      </w:r>
      <w:bookmarkEnd w:id="1"/>
    </w:p>
    <w:p w14:paraId="7C31DD28" w14:textId="78F4AA2A" w:rsidR="00135F44" w:rsidRPr="000D214E" w:rsidRDefault="00660F1B" w:rsidP="000D214E">
      <w:pPr>
        <w:rPr>
          <w:rFonts w:cs="Times New Roman"/>
        </w:rPr>
      </w:pPr>
      <w:r>
        <w:rPr>
          <w:rFonts w:cs="Times New Roman"/>
        </w:rPr>
        <w:t>Heritage Hospitality Consulting has prepared this consultancy report</w:t>
      </w:r>
      <w:r w:rsidR="00135F44" w:rsidRPr="000D214E">
        <w:rPr>
          <w:rFonts w:cs="Times New Roman"/>
        </w:rPr>
        <w:t xml:space="preserve"> in response to a strategic brief received from Hyatt Regency Birmingham</w:t>
      </w:r>
      <w:r>
        <w:rPr>
          <w:rFonts w:cs="Times New Roman"/>
        </w:rPr>
        <w:t>. This high-profile four-star hotel</w:t>
      </w:r>
      <w:r w:rsidR="00135F44" w:rsidRPr="000D214E">
        <w:rPr>
          <w:rFonts w:cs="Times New Roman"/>
        </w:rPr>
        <w:t xml:space="preserve"> has experienced a significant decline in MICE (Meetings, Incentives, Conferences, and Exhibitions) and corporate business bookings since the COVID-19 pandemic</w:t>
      </w:r>
      <w:r w:rsidR="002C07D2">
        <w:rPr>
          <w:rFonts w:cs="Times New Roman"/>
        </w:rPr>
        <w:t xml:space="preserve"> (</w:t>
      </w:r>
      <w:r w:rsidR="002C07D2" w:rsidRPr="002C07D2">
        <w:rPr>
          <w:rFonts w:cs="Times New Roman"/>
        </w:rPr>
        <w:t>UNWTO, 2023</w:t>
      </w:r>
      <w:r w:rsidR="002C07D2">
        <w:rPr>
          <w:rFonts w:cs="Times New Roman"/>
        </w:rPr>
        <w:t>)</w:t>
      </w:r>
      <w:r w:rsidR="00135F44" w:rsidRPr="000D214E">
        <w:rPr>
          <w:rFonts w:cs="Times New Roman"/>
        </w:rPr>
        <w:t xml:space="preserve">. </w:t>
      </w:r>
      <w:r>
        <w:rPr>
          <w:rFonts w:cs="Times New Roman"/>
        </w:rPr>
        <w:t xml:space="preserve">This report aims to critically assess the internal and external factors contributing to this decline and </w:t>
      </w:r>
      <w:r w:rsidR="00135F44" w:rsidRPr="000D214E">
        <w:rPr>
          <w:rFonts w:cs="Times New Roman"/>
        </w:rPr>
        <w:t>offer realistic, costed, and actionable recommendations for recovery, repositioning, and sustainable growth. The consultancy process aims to identify and resolve key operational, technological, and marketing challenges that have limited the hotel’s ability to adapt to the evolving business travel landscape</w:t>
      </w:r>
      <w:r w:rsidR="006E5AB0">
        <w:rPr>
          <w:rFonts w:cs="Times New Roman"/>
        </w:rPr>
        <w:t xml:space="preserve"> </w:t>
      </w:r>
      <w:r w:rsidR="006E5AB0" w:rsidRPr="006E5AB0">
        <w:rPr>
          <w:rFonts w:cs="Times New Roman"/>
        </w:rPr>
        <w:t>(O'Mahoney, 2021)</w:t>
      </w:r>
      <w:r w:rsidR="00135F44" w:rsidRPr="000D214E">
        <w:rPr>
          <w:rFonts w:cs="Times New Roman"/>
        </w:rPr>
        <w:t>.</w:t>
      </w:r>
    </w:p>
    <w:p w14:paraId="016F4702" w14:textId="304D1D76" w:rsidR="003D072F" w:rsidRPr="003D072F" w:rsidRDefault="00135F44" w:rsidP="003D072F">
      <w:pPr>
        <w:rPr>
          <w:rFonts w:cs="Times New Roman"/>
        </w:rPr>
      </w:pPr>
      <w:r w:rsidRPr="000D214E">
        <w:rPr>
          <w:rFonts w:cs="Times New Roman"/>
        </w:rPr>
        <w:t xml:space="preserve">Hyatt Regency Birmingham, part of the Hyatt Hotels Corporation, is strategically located on Bridge Street in Birmingham’s city centre. </w:t>
      </w:r>
      <w:r w:rsidR="003D072F" w:rsidRPr="003D072F">
        <w:rPr>
          <w:rFonts w:cs="Times New Roman"/>
        </w:rPr>
        <w:t>The hotel</w:t>
      </w:r>
      <w:r w:rsidR="00660F1B">
        <w:rPr>
          <w:rFonts w:cs="Times New Roman"/>
        </w:rPr>
        <w:t>,</w:t>
      </w:r>
      <w:r w:rsidR="003D072F" w:rsidRPr="003D072F">
        <w:rPr>
          <w:rFonts w:cs="Times New Roman"/>
        </w:rPr>
        <w:t xml:space="preserve"> which </w:t>
      </w:r>
      <w:r w:rsidR="00660F1B">
        <w:rPr>
          <w:rFonts w:cs="Times New Roman"/>
        </w:rPr>
        <w:t>opened in 1990 and has been refurbished in recent years, boasts over 300 modern guest rooms, extensive conference and banqueting facilities, a restaurant and bar and leisure facilities, and</w:t>
      </w:r>
      <w:r w:rsidR="003D072F" w:rsidRPr="003D072F">
        <w:rPr>
          <w:rFonts w:cs="Times New Roman"/>
        </w:rPr>
        <w:t xml:space="preserve"> direct access to the International Convention Centre (ICC). Due to its central location in </w:t>
      </w:r>
      <w:r w:rsidR="00660F1B">
        <w:rPr>
          <w:rFonts w:cs="Times New Roman"/>
        </w:rPr>
        <w:t>the business and events district, adjacency to Birmingham New Street Station and brand association with a globally recognised hospitality group, the hotel has observed high occupancy and strong MICE-associated</w:t>
      </w:r>
      <w:r w:rsidR="003D072F" w:rsidRPr="003D072F">
        <w:rPr>
          <w:rFonts w:cs="Times New Roman"/>
        </w:rPr>
        <w:t xml:space="preserve"> revenue generation.</w:t>
      </w:r>
    </w:p>
    <w:p w14:paraId="2698F7E3" w14:textId="1DAD6140" w:rsidR="00A01ADA" w:rsidRDefault="00660F1B" w:rsidP="003D072F">
      <w:pPr>
        <w:rPr>
          <w:rFonts w:cs="Times New Roman"/>
        </w:rPr>
      </w:pPr>
      <w:r>
        <w:rPr>
          <w:rFonts w:cs="Times New Roman"/>
        </w:rPr>
        <w:t>However, the past four years have seen a seismic shift in the hospitality industry</w:t>
      </w:r>
      <w:r w:rsidR="003D072F" w:rsidRPr="003D072F">
        <w:rPr>
          <w:rFonts w:cs="Times New Roman"/>
        </w:rPr>
        <w:t xml:space="preserve">. Many organisations have shifted permanently to hybrid or remote work models, providing </w:t>
      </w:r>
      <w:r>
        <w:rPr>
          <w:rFonts w:cs="Times New Roman"/>
        </w:rPr>
        <w:t>massive</w:t>
      </w:r>
      <w:r w:rsidR="003D072F" w:rsidRPr="003D072F">
        <w:rPr>
          <w:rFonts w:cs="Times New Roman"/>
        </w:rPr>
        <w:t xml:space="preserve"> disruption to business travel and </w:t>
      </w:r>
      <w:r>
        <w:rPr>
          <w:rFonts w:cs="Times New Roman"/>
        </w:rPr>
        <w:t>lowering the scale and frequency of in-person</w:t>
      </w:r>
      <w:r w:rsidR="003D072F" w:rsidRPr="003D072F">
        <w:rPr>
          <w:rFonts w:cs="Times New Roman"/>
        </w:rPr>
        <w:t xml:space="preserve"> meetings and conferences</w:t>
      </w:r>
      <w:r w:rsidR="003C1553">
        <w:rPr>
          <w:rFonts w:cs="Times New Roman"/>
        </w:rPr>
        <w:t xml:space="preserve"> </w:t>
      </w:r>
      <w:r w:rsidR="003C1553" w:rsidRPr="003C1553">
        <w:rPr>
          <w:rFonts w:cs="Times New Roman"/>
        </w:rPr>
        <w:t>(Odor, 2018)</w:t>
      </w:r>
      <w:r w:rsidR="003D072F" w:rsidRPr="003D072F">
        <w:rPr>
          <w:rFonts w:cs="Times New Roman"/>
        </w:rPr>
        <w:t>. Virtual communication alternatives have become a faster advance of technology</w:t>
      </w:r>
      <w:r>
        <w:rPr>
          <w:rFonts w:cs="Times New Roman"/>
        </w:rPr>
        <w:t>,</w:t>
      </w:r>
      <w:r w:rsidR="003D072F" w:rsidRPr="003D072F">
        <w:rPr>
          <w:rFonts w:cs="Times New Roman"/>
        </w:rPr>
        <w:t xml:space="preserve"> and the economic pressure to reduce corporate travel spend has squeezed budgets even further</w:t>
      </w:r>
      <w:r w:rsidR="003A1F89">
        <w:rPr>
          <w:rFonts w:cs="Times New Roman"/>
        </w:rPr>
        <w:t xml:space="preserve"> </w:t>
      </w:r>
      <w:r w:rsidR="003A1F89" w:rsidRPr="003A1F89">
        <w:rPr>
          <w:rFonts w:cs="Times New Roman"/>
        </w:rPr>
        <w:t>(Lockwood, 2007)</w:t>
      </w:r>
      <w:r w:rsidR="003D072F" w:rsidRPr="003D072F">
        <w:rPr>
          <w:rFonts w:cs="Times New Roman"/>
        </w:rPr>
        <w:t xml:space="preserve">. Such shifts have triggered a dramatic </w:t>
      </w:r>
      <w:r>
        <w:rPr>
          <w:rFonts w:cs="Times New Roman"/>
        </w:rPr>
        <w:t>change in demand dynamics,</w:t>
      </w:r>
      <w:r w:rsidR="003D072F" w:rsidRPr="003D072F">
        <w:rPr>
          <w:rFonts w:cs="Times New Roman"/>
        </w:rPr>
        <w:t xml:space="preserve"> and these operators are now forced to rethink how they position themselves and the </w:t>
      </w:r>
      <w:r w:rsidR="00575921">
        <w:rPr>
          <w:rFonts w:cs="Times New Roman"/>
        </w:rPr>
        <w:t>services</w:t>
      </w:r>
      <w:r w:rsidR="003D072F" w:rsidRPr="003D072F">
        <w:rPr>
          <w:rFonts w:cs="Times New Roman"/>
        </w:rPr>
        <w:t xml:space="preserve"> they offer. </w:t>
      </w:r>
      <w:r>
        <w:rPr>
          <w:rFonts w:cs="Times New Roman"/>
        </w:rPr>
        <w:t xml:space="preserve">Against this backdrop, with its traditional focus on large-scale events and an international business clientele, Hyatt Regency Birmingham </w:t>
      </w:r>
      <w:r w:rsidR="00835D1F">
        <w:rPr>
          <w:rFonts w:cs="Times New Roman"/>
        </w:rPr>
        <w:t>must</w:t>
      </w:r>
      <w:r w:rsidR="003D072F" w:rsidRPr="003D072F">
        <w:rPr>
          <w:rFonts w:cs="Times New Roman"/>
        </w:rPr>
        <w:t xml:space="preserve"> reconfigure its strategy to live up to these expectations. </w:t>
      </w:r>
    </w:p>
    <w:p w14:paraId="451E299B" w14:textId="1885BE68" w:rsidR="00135F44" w:rsidRPr="000D214E" w:rsidRDefault="00660F1B" w:rsidP="003D072F">
      <w:pPr>
        <w:rPr>
          <w:rFonts w:cs="Times New Roman"/>
        </w:rPr>
      </w:pPr>
      <w:r w:rsidRPr="00660F1B">
        <w:rPr>
          <w:rFonts w:cs="Times New Roman"/>
        </w:rPr>
        <w:t xml:space="preserve">An industry specialist consultancy firm for </w:t>
      </w:r>
      <w:r w:rsidR="004467DC" w:rsidRPr="00660F1B">
        <w:rPr>
          <w:rFonts w:cs="Times New Roman"/>
        </w:rPr>
        <w:t>hotels</w:t>
      </w:r>
      <w:r w:rsidRPr="00660F1B">
        <w:rPr>
          <w:rFonts w:cs="Times New Roman"/>
        </w:rPr>
        <w:t xml:space="preserve"> and </w:t>
      </w:r>
      <w:r w:rsidR="003C3D28">
        <w:rPr>
          <w:rFonts w:cs="Times New Roman"/>
        </w:rPr>
        <w:t>hotel</w:t>
      </w:r>
      <w:r w:rsidRPr="00660F1B">
        <w:rPr>
          <w:rFonts w:cs="Times New Roman"/>
        </w:rPr>
        <w:t xml:space="preserve"> venues throughout the UK and Ireland, </w:t>
      </w:r>
      <w:r w:rsidRPr="004467DC">
        <w:rPr>
          <w:rFonts w:cs="Times New Roman"/>
          <w:b/>
          <w:bCs/>
        </w:rPr>
        <w:t>Heritage Hospitality Consulting</w:t>
      </w:r>
      <w:r w:rsidRPr="00660F1B">
        <w:rPr>
          <w:rFonts w:cs="Times New Roman"/>
        </w:rPr>
        <w:t xml:space="preserve"> works with hotels and </w:t>
      </w:r>
      <w:r w:rsidR="003C3D28">
        <w:rPr>
          <w:rFonts w:cs="Times New Roman"/>
        </w:rPr>
        <w:t>exclusive-use</w:t>
      </w:r>
      <w:r w:rsidRPr="00660F1B">
        <w:rPr>
          <w:rFonts w:cs="Times New Roman"/>
        </w:rPr>
        <w:t xml:space="preserve"> venues across </w:t>
      </w:r>
      <w:r w:rsidRPr="00660F1B">
        <w:rPr>
          <w:rFonts w:cs="Times New Roman"/>
        </w:rPr>
        <w:lastRenderedPageBreak/>
        <w:t xml:space="preserve">the UK and Ireland. </w:t>
      </w:r>
      <w:r w:rsidR="00007FD6" w:rsidRPr="00007FD6">
        <w:rPr>
          <w:rFonts w:cs="Times New Roman"/>
        </w:rPr>
        <w:t xml:space="preserve">The firm aims </w:t>
      </w:r>
      <w:r w:rsidR="00CF1C46">
        <w:rPr>
          <w:rFonts w:cs="Times New Roman"/>
        </w:rPr>
        <w:t>to unlock latent potential, solve operational inefficiencies, and provide a tailor-made solution that can sustain the viability and competency of hospitality businesses in the complex market environment</w:t>
      </w:r>
      <w:r w:rsidR="00F913A8">
        <w:rPr>
          <w:rFonts w:cs="Times New Roman"/>
        </w:rPr>
        <w:t xml:space="preserve"> </w:t>
      </w:r>
      <w:r w:rsidR="00F913A8" w:rsidRPr="00F913A8">
        <w:rPr>
          <w:rFonts w:cs="Times New Roman"/>
        </w:rPr>
        <w:t>(Johnson, 2005)</w:t>
      </w:r>
      <w:r w:rsidR="00CF1C46" w:rsidRPr="00007FD6">
        <w:rPr>
          <w:rFonts w:cs="Times New Roman"/>
        </w:rPr>
        <w:t xml:space="preserve">. The consultancy has adopted a holistic method in undertaking this project, such that secondary data research, market benchmarking, strategic environmental scanning and analytical modelling have been used to </w:t>
      </w:r>
      <w:r w:rsidR="00835D1F">
        <w:rPr>
          <w:rFonts w:cs="Times New Roman"/>
        </w:rPr>
        <w:t>comprehensively understand</w:t>
      </w:r>
      <w:r w:rsidR="00007FD6" w:rsidRPr="00007FD6">
        <w:rPr>
          <w:rFonts w:cs="Times New Roman"/>
        </w:rPr>
        <w:t xml:space="preserve"> the challenges and opportunities that Hyatt Regency Birmingham faces</w:t>
      </w:r>
      <w:r w:rsidR="00280189">
        <w:rPr>
          <w:rFonts w:cs="Times New Roman"/>
        </w:rPr>
        <w:t xml:space="preserve"> </w:t>
      </w:r>
      <w:r w:rsidR="00280189" w:rsidRPr="00280189">
        <w:rPr>
          <w:rFonts w:cs="Times New Roman"/>
        </w:rPr>
        <w:t>(Kipping and Clark, 2012)</w:t>
      </w:r>
      <w:r w:rsidR="00007FD6" w:rsidRPr="00007FD6">
        <w:rPr>
          <w:rFonts w:cs="Times New Roman"/>
        </w:rPr>
        <w:t xml:space="preserve">. </w:t>
      </w:r>
      <w:r w:rsidR="00135F44" w:rsidRPr="000D214E">
        <w:rPr>
          <w:rFonts w:cs="Times New Roman"/>
        </w:rPr>
        <w:t xml:space="preserve">The assignment required deep engagement with real-world data, up-to-date trends in hospitality, and strategic planning tools commonly employed in industry-leading consultancy </w:t>
      </w:r>
      <w:r w:rsidR="00575921">
        <w:rPr>
          <w:rFonts w:cs="Times New Roman"/>
        </w:rPr>
        <w:t>practices</w:t>
      </w:r>
      <w:r w:rsidR="004D0F66">
        <w:rPr>
          <w:rFonts w:cs="Times New Roman"/>
        </w:rPr>
        <w:t xml:space="preserve"> </w:t>
      </w:r>
      <w:r w:rsidR="004D0F66" w:rsidRPr="004D0F66">
        <w:rPr>
          <w:rFonts w:cs="Times New Roman"/>
        </w:rPr>
        <w:t>(Evans, Stonehouse and Campbell, 2012)</w:t>
      </w:r>
      <w:r w:rsidR="00135F44" w:rsidRPr="000D214E">
        <w:rPr>
          <w:rFonts w:cs="Times New Roman"/>
        </w:rPr>
        <w:t>.</w:t>
      </w:r>
    </w:p>
    <w:p w14:paraId="312EEF8F" w14:textId="5270DCFD" w:rsidR="00135F44" w:rsidRPr="000D214E" w:rsidRDefault="00135F44" w:rsidP="000D214E">
      <w:pPr>
        <w:rPr>
          <w:rFonts w:cs="Times New Roman"/>
        </w:rPr>
      </w:pPr>
      <w:r w:rsidRPr="000D214E">
        <w:rPr>
          <w:rFonts w:cs="Times New Roman"/>
        </w:rPr>
        <w:t xml:space="preserve">This report is structured into several sections. Following the executive summary and introduction, the analysis section outlines the key problems faced by the hotel, with detailed consideration of operational and external environmental factors. A STEEPLED analysis </w:t>
      </w:r>
      <w:r w:rsidR="00835D1F">
        <w:rPr>
          <w:rFonts w:cs="Times New Roman"/>
        </w:rPr>
        <w:t>examines the wider macro-environmental factors influencing business travel and MICE segment dynamics. This is followed by a SWOT analysis to evaluate the hotel's internal strengths and weaknesses in contrast with market opportunities and threats. Subsequently, a TOWS analysis converts</w:t>
      </w:r>
      <w:r w:rsidRPr="000D214E">
        <w:rPr>
          <w:rFonts w:cs="Times New Roman"/>
        </w:rPr>
        <w:t xml:space="preserve"> findings into strategic directions for the hotel</w:t>
      </w:r>
      <w:r w:rsidR="001E61CD">
        <w:rPr>
          <w:rFonts w:cs="Times New Roman"/>
        </w:rPr>
        <w:t xml:space="preserve"> </w:t>
      </w:r>
      <w:r w:rsidR="00B53F9D">
        <w:rPr>
          <w:rFonts w:cs="Times New Roman"/>
        </w:rPr>
        <w:t>(</w:t>
      </w:r>
      <w:r w:rsidR="001E61CD" w:rsidRPr="004A09E5">
        <w:rPr>
          <w:rFonts w:eastAsia="Times New Roman" w:cs="Times New Roman"/>
          <w:kern w:val="0"/>
          <w:lang w:eastAsia="en-GB"/>
          <w14:ligatures w14:val="none"/>
        </w:rPr>
        <w:t>Burnes,</w:t>
      </w:r>
      <w:r w:rsidR="00B53F9D">
        <w:rPr>
          <w:rFonts w:eastAsia="Times New Roman" w:cs="Times New Roman"/>
          <w:kern w:val="0"/>
          <w:lang w:eastAsia="en-GB"/>
          <w14:ligatures w14:val="none"/>
        </w:rPr>
        <w:t xml:space="preserve"> </w:t>
      </w:r>
      <w:r w:rsidR="001E61CD" w:rsidRPr="004A09E5">
        <w:rPr>
          <w:rFonts w:eastAsia="Times New Roman" w:cs="Times New Roman"/>
          <w:kern w:val="0"/>
          <w:lang w:eastAsia="en-GB"/>
          <w14:ligatures w14:val="none"/>
        </w:rPr>
        <w:t>2004)</w:t>
      </w:r>
      <w:r w:rsidRPr="000D214E">
        <w:rPr>
          <w:rFonts w:cs="Times New Roman"/>
        </w:rPr>
        <w:t>.</w:t>
      </w:r>
    </w:p>
    <w:p w14:paraId="70A90907" w14:textId="7E753AC9" w:rsidR="00135F44" w:rsidRPr="000D214E" w:rsidRDefault="00135F44" w:rsidP="000D214E">
      <w:pPr>
        <w:rPr>
          <w:rFonts w:cs="Times New Roman"/>
        </w:rPr>
      </w:pPr>
      <w:r w:rsidRPr="000D214E">
        <w:rPr>
          <w:rFonts w:cs="Times New Roman"/>
        </w:rPr>
        <w:t xml:space="preserve">The report then advances into a set of targeted recommendations, each discussed in terms of implementation logistics, cost, staffing implications, and potential business impact. These recommendations are supported by a change management strategy designed to </w:t>
      </w:r>
      <w:r w:rsidR="00835D1F">
        <w:rPr>
          <w:rFonts w:cs="Times New Roman"/>
        </w:rPr>
        <w:t>help Hyatt Regency Birmingham execute</w:t>
      </w:r>
      <w:r w:rsidRPr="000D214E">
        <w:rPr>
          <w:rFonts w:cs="Times New Roman"/>
        </w:rPr>
        <w:t xml:space="preserve"> the necessary changes with minimal disruption. The change strategy integrates Kotter’s 8-Step Model, a leading framework in organisational transformation, to ensure that cultural, operational, and technological changes are embedded smoothly and sustainably</w:t>
      </w:r>
      <w:r w:rsidR="001B0E89">
        <w:rPr>
          <w:rFonts w:cs="Times New Roman"/>
        </w:rPr>
        <w:t xml:space="preserve"> </w:t>
      </w:r>
      <w:r w:rsidR="001B0E89" w:rsidRPr="001B0E89">
        <w:rPr>
          <w:rFonts w:cs="Times New Roman"/>
        </w:rPr>
        <w:t xml:space="preserve">(Laig and </w:t>
      </w:r>
      <w:proofErr w:type="spellStart"/>
      <w:r w:rsidR="001B0E89" w:rsidRPr="001B0E89">
        <w:rPr>
          <w:rFonts w:cs="Times New Roman"/>
        </w:rPr>
        <w:t>Abocejo</w:t>
      </w:r>
      <w:proofErr w:type="spellEnd"/>
      <w:r w:rsidR="001B0E89" w:rsidRPr="001B0E89">
        <w:rPr>
          <w:rFonts w:cs="Times New Roman"/>
        </w:rPr>
        <w:t>, 2021)</w:t>
      </w:r>
      <w:r w:rsidRPr="000D214E">
        <w:rPr>
          <w:rFonts w:cs="Times New Roman"/>
        </w:rPr>
        <w:t>.</w:t>
      </w:r>
    </w:p>
    <w:p w14:paraId="51F3D944" w14:textId="482FCCE3" w:rsidR="00B75C38" w:rsidRDefault="00135F44" w:rsidP="000D214E">
      <w:pPr>
        <w:rPr>
          <w:rFonts w:cs="Times New Roman"/>
        </w:rPr>
      </w:pPr>
      <w:r w:rsidRPr="000D214E">
        <w:rPr>
          <w:rFonts w:cs="Times New Roman"/>
        </w:rPr>
        <w:t xml:space="preserve">To support practical implementation, the report includes an action plan outlining what specific measures should be undertaken, by whom, at what cost, and within </w:t>
      </w:r>
      <w:r w:rsidR="00D203AA">
        <w:rPr>
          <w:rFonts w:cs="Times New Roman"/>
        </w:rPr>
        <w:t>what</w:t>
      </w:r>
      <w:r w:rsidRPr="000D214E">
        <w:rPr>
          <w:rFonts w:cs="Times New Roman"/>
        </w:rPr>
        <w:t xml:space="preserve"> timeframe. This structured approach will ensure that the leadership team at Hyatt Regency Birmingham is equipped </w:t>
      </w:r>
      <w:r w:rsidR="00835D1F">
        <w:rPr>
          <w:rFonts w:cs="Times New Roman"/>
        </w:rPr>
        <w:t>with a high-level strategy and</w:t>
      </w:r>
      <w:r w:rsidRPr="000D214E">
        <w:rPr>
          <w:rFonts w:cs="Times New Roman"/>
        </w:rPr>
        <w:t xml:space="preserve"> the operational roadmap to realise it</w:t>
      </w:r>
      <w:r w:rsidR="00640E74">
        <w:rPr>
          <w:rFonts w:cs="Times New Roman"/>
        </w:rPr>
        <w:t xml:space="preserve"> </w:t>
      </w:r>
      <w:r w:rsidR="00640E74" w:rsidRPr="00640E74">
        <w:rPr>
          <w:rFonts w:cs="Times New Roman"/>
        </w:rPr>
        <w:t>(Whittington et al., 20</w:t>
      </w:r>
      <w:r w:rsidR="00A34972">
        <w:rPr>
          <w:rFonts w:cs="Times New Roman"/>
        </w:rPr>
        <w:t>20</w:t>
      </w:r>
      <w:r w:rsidR="00640E74" w:rsidRPr="00640E74">
        <w:rPr>
          <w:rFonts w:cs="Times New Roman"/>
        </w:rPr>
        <w:t>)</w:t>
      </w:r>
      <w:r w:rsidRPr="000D214E">
        <w:rPr>
          <w:rFonts w:cs="Times New Roman"/>
        </w:rPr>
        <w:t>. Finally, the report concludes with a reflective summary of the core findings and outcomes, reaffirming the consultancy’s commitment to client-centred, value-driven strategic support.</w:t>
      </w:r>
      <w:r w:rsidR="00835D1F">
        <w:rPr>
          <w:rFonts w:cs="Times New Roman"/>
        </w:rPr>
        <w:t xml:space="preserve"> </w:t>
      </w:r>
    </w:p>
    <w:p w14:paraId="00643115" w14:textId="16DF46EB" w:rsidR="00416ED9" w:rsidRPr="000D214E" w:rsidRDefault="00416ED9" w:rsidP="00921F9A">
      <w:pPr>
        <w:pStyle w:val="Heading1"/>
      </w:pPr>
      <w:bookmarkStart w:id="2" w:name="_Toc199940934"/>
      <w:r w:rsidRPr="000D214E">
        <w:lastRenderedPageBreak/>
        <w:t>Analysis</w:t>
      </w:r>
      <w:bookmarkEnd w:id="2"/>
    </w:p>
    <w:p w14:paraId="1F984EB8" w14:textId="57EC25CA" w:rsidR="00416ED9" w:rsidRPr="000D214E" w:rsidRDefault="00416ED9" w:rsidP="00921F9A">
      <w:pPr>
        <w:pStyle w:val="Heading2"/>
        <w:rPr>
          <w:rFonts w:eastAsia="Times New Roman"/>
          <w:lang w:eastAsia="en-GB"/>
        </w:rPr>
      </w:pPr>
      <w:bookmarkStart w:id="3" w:name="_Toc199940935"/>
      <w:r w:rsidRPr="000D214E">
        <w:rPr>
          <w:rFonts w:eastAsia="Times New Roman"/>
          <w:lang w:eastAsia="en-GB"/>
        </w:rPr>
        <w:t>Overview of the Issue</w:t>
      </w:r>
      <w:bookmarkEnd w:id="3"/>
    </w:p>
    <w:p w14:paraId="31109E32" w14:textId="032C68B9"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Hyatt Regency Birmingham, located in the heart of Birmingham’s convention district and directly connected to the International Convention Centre (ICC), has long held a strong market position in the UK’s business hospitality landscape</w:t>
      </w:r>
      <w:r w:rsidR="00D32946">
        <w:rPr>
          <w:rFonts w:eastAsia="Times New Roman" w:cs="Times New Roman"/>
          <w:kern w:val="0"/>
          <w:lang w:eastAsia="en-GB"/>
          <w14:ligatures w14:val="none"/>
        </w:rPr>
        <w:t xml:space="preserve"> </w:t>
      </w:r>
      <w:r w:rsidR="00D32946" w:rsidRPr="00D32946">
        <w:rPr>
          <w:rFonts w:eastAsia="Times New Roman" w:cs="Times New Roman"/>
          <w:kern w:val="0"/>
          <w:lang w:eastAsia="en-GB"/>
          <w14:ligatures w14:val="none"/>
        </w:rPr>
        <w:t>(WTTC, 2023)</w:t>
      </w:r>
      <w:r w:rsidRPr="000D214E">
        <w:rPr>
          <w:rFonts w:eastAsia="Times New Roman" w:cs="Times New Roman"/>
          <w:kern w:val="0"/>
          <w:lang w:eastAsia="en-GB"/>
          <w14:ligatures w14:val="none"/>
        </w:rPr>
        <w:t>. Operating as part of the Hyatt Hotels Corporation, the hotel has traditionally catered to international business travellers and large-scale MICE (Meetings, Incentives, Conferences, and Exhibitions) events. However, since the COVID-19 pandemic, Hyatt Regency Birmingham has experienced a dramatic shift in demand</w:t>
      </w:r>
      <w:r w:rsidR="00960F90">
        <w:rPr>
          <w:rFonts w:eastAsia="Times New Roman" w:cs="Times New Roman"/>
          <w:kern w:val="0"/>
          <w:lang w:eastAsia="en-GB"/>
          <w14:ligatures w14:val="none"/>
        </w:rPr>
        <w:t xml:space="preserve"> </w:t>
      </w:r>
      <w:r w:rsidR="00960F90" w:rsidRPr="00960F90">
        <w:rPr>
          <w:rFonts w:eastAsia="Times New Roman" w:cs="Times New Roman"/>
          <w:kern w:val="0"/>
          <w:lang w:eastAsia="en-GB"/>
          <w14:ligatures w14:val="none"/>
        </w:rPr>
        <w:t>(Chopra, Verma and Mandal, 2021)</w:t>
      </w:r>
      <w:r w:rsidRPr="000D214E">
        <w:rPr>
          <w:rFonts w:eastAsia="Times New Roman" w:cs="Times New Roman"/>
          <w:kern w:val="0"/>
          <w:lang w:eastAsia="en-GB"/>
          <w14:ligatures w14:val="none"/>
        </w:rPr>
        <w:t>. Business travel has decreased, digital conferencing has grown, and corporate budgets have contracted</w:t>
      </w:r>
      <w:r w:rsidR="00A049E4">
        <w:rPr>
          <w:rFonts w:eastAsia="Times New Roman" w:cs="Times New Roman"/>
          <w:kern w:val="0"/>
          <w:lang w:eastAsia="en-GB"/>
          <w14:ligatures w14:val="none"/>
        </w:rPr>
        <w:t xml:space="preserve"> (</w:t>
      </w:r>
      <w:r w:rsidR="00A049E4" w:rsidRPr="001A1FB1">
        <w:rPr>
          <w:rFonts w:eastAsia="Times New Roman" w:cs="Times New Roman"/>
          <w:kern w:val="0"/>
          <w:lang w:eastAsia="en-GB"/>
          <w14:ligatures w14:val="none"/>
        </w:rPr>
        <w:t>Holloway</w:t>
      </w:r>
      <w:r w:rsidR="00A049E4">
        <w:rPr>
          <w:rFonts w:eastAsia="Times New Roman" w:cs="Times New Roman"/>
          <w:kern w:val="0"/>
          <w:lang w:eastAsia="en-GB"/>
          <w14:ligatures w14:val="none"/>
        </w:rPr>
        <w:t xml:space="preserve"> </w:t>
      </w:r>
      <w:r w:rsidR="00A049E4" w:rsidRPr="001A1FB1">
        <w:rPr>
          <w:rFonts w:eastAsia="Times New Roman" w:cs="Times New Roman"/>
          <w:kern w:val="0"/>
          <w:lang w:eastAsia="en-GB"/>
          <w14:ligatures w14:val="none"/>
        </w:rPr>
        <w:t>and Humphreys,</w:t>
      </w:r>
      <w:r w:rsidR="00A049E4">
        <w:rPr>
          <w:rFonts w:eastAsia="Times New Roman" w:cs="Times New Roman"/>
          <w:kern w:val="0"/>
          <w:lang w:eastAsia="en-GB"/>
          <w14:ligatures w14:val="none"/>
        </w:rPr>
        <w:t xml:space="preserve"> </w:t>
      </w:r>
      <w:r w:rsidR="00A049E4" w:rsidRPr="001A1FB1">
        <w:rPr>
          <w:rFonts w:eastAsia="Times New Roman" w:cs="Times New Roman"/>
          <w:kern w:val="0"/>
          <w:lang w:eastAsia="en-GB"/>
          <w14:ligatures w14:val="none"/>
        </w:rPr>
        <w:t>2022</w:t>
      </w:r>
      <w:r w:rsidR="00A049E4">
        <w:rPr>
          <w:rFonts w:eastAsia="Times New Roman" w:cs="Times New Roman"/>
          <w:kern w:val="0"/>
          <w:lang w:eastAsia="en-GB"/>
          <w14:ligatures w14:val="none"/>
        </w:rPr>
        <w:t>)</w:t>
      </w:r>
      <w:r w:rsidRPr="000D214E">
        <w:rPr>
          <w:rFonts w:eastAsia="Times New Roman" w:cs="Times New Roman"/>
          <w:kern w:val="0"/>
          <w:lang w:eastAsia="en-GB"/>
          <w14:ligatures w14:val="none"/>
        </w:rPr>
        <w:t>. These disruptions have significantly impacted key performance metrics, including occupancy, RevPAR (Revenue Per Available Room), and the contribution of MICE bookings to total revenue</w:t>
      </w:r>
      <w:r w:rsidR="009B71AA">
        <w:rPr>
          <w:rFonts w:eastAsia="Times New Roman" w:cs="Times New Roman"/>
          <w:kern w:val="0"/>
          <w:lang w:eastAsia="en-GB"/>
          <w14:ligatures w14:val="none"/>
        </w:rPr>
        <w:t xml:space="preserve"> </w:t>
      </w:r>
      <w:r w:rsidR="001D7E97">
        <w:rPr>
          <w:rFonts w:eastAsia="Times New Roman" w:cs="Times New Roman"/>
          <w:kern w:val="0"/>
          <w:lang w:eastAsia="en-GB"/>
          <w14:ligatures w14:val="none"/>
        </w:rPr>
        <w:t>(</w:t>
      </w:r>
      <w:r w:rsidR="001D7E97" w:rsidRPr="00726574">
        <w:rPr>
          <w:rFonts w:eastAsia="Times New Roman" w:cs="Times New Roman"/>
          <w:kern w:val="0"/>
          <w:lang w:eastAsia="en-GB"/>
          <w14:ligatures w14:val="none"/>
        </w:rPr>
        <w:t>Statista, 2024</w:t>
      </w:r>
      <w:r w:rsidR="001D7E97">
        <w:rPr>
          <w:rFonts w:eastAsia="Times New Roman" w:cs="Times New Roman"/>
          <w:kern w:val="0"/>
          <w:lang w:eastAsia="en-GB"/>
          <w14:ligatures w14:val="none"/>
        </w:rPr>
        <w:t>)</w:t>
      </w:r>
      <w:r w:rsidRPr="000D214E">
        <w:rPr>
          <w:rFonts w:eastAsia="Times New Roman" w:cs="Times New Roman"/>
          <w:kern w:val="0"/>
          <w:lang w:eastAsia="en-GB"/>
          <w14:ligatures w14:val="none"/>
        </w:rPr>
        <w:t>.</w:t>
      </w:r>
    </w:p>
    <w:p w14:paraId="6591A43A" w14:textId="5D634188"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According to Hyatt Hotels Corporation (2024), system-wide RevPAR rose by 17% globally in 2023, signalling a broad recovery across several Hyatt properties. However, this rebound has not been uniform. Urban properties reliant on corporate and international travel, such as Hyatt Regency Birmingham, have recovered at a slower rate due to structural changes in travel behaviours and heightened regional competition</w:t>
      </w:r>
      <w:r w:rsidR="00A86845">
        <w:rPr>
          <w:rFonts w:eastAsia="Times New Roman" w:cs="Times New Roman"/>
          <w:kern w:val="0"/>
          <w:lang w:eastAsia="en-GB"/>
          <w14:ligatures w14:val="none"/>
        </w:rPr>
        <w:t xml:space="preserve"> </w:t>
      </w:r>
      <w:r w:rsidR="004D4AD0" w:rsidRPr="004D4AD0">
        <w:rPr>
          <w:rFonts w:eastAsia="Times New Roman" w:cs="Times New Roman"/>
          <w:kern w:val="0"/>
          <w:lang w:eastAsia="en-GB"/>
          <w14:ligatures w14:val="none"/>
        </w:rPr>
        <w:t>(HVS, 2025)</w:t>
      </w:r>
      <w:r w:rsidRPr="000D214E">
        <w:rPr>
          <w:rFonts w:eastAsia="Times New Roman" w:cs="Times New Roman"/>
          <w:kern w:val="0"/>
          <w:lang w:eastAsia="en-GB"/>
          <w14:ligatures w14:val="none"/>
        </w:rPr>
        <w:t>. The UK market specifically has seen mixed results: while occupancy in regional hotels rose to over 79.1% by late 2023, hotels in major business hubs such as Birmingham have struggled to recover midweek occupancy levels due to reduced demand for conferences and corporate travel</w:t>
      </w:r>
      <w:r w:rsidR="0044390C">
        <w:rPr>
          <w:rFonts w:eastAsia="Times New Roman" w:cs="Times New Roman"/>
          <w:kern w:val="0"/>
          <w:lang w:eastAsia="en-GB"/>
          <w14:ligatures w14:val="none"/>
        </w:rPr>
        <w:t xml:space="preserve"> </w:t>
      </w:r>
      <w:r w:rsidR="0044390C" w:rsidRPr="000D214E">
        <w:rPr>
          <w:rFonts w:eastAsia="Times New Roman" w:cs="Times New Roman"/>
          <w:kern w:val="0"/>
          <w:lang w:eastAsia="en-GB"/>
          <w14:ligatures w14:val="none"/>
        </w:rPr>
        <w:t>(Hotel Management Network, 2024)</w:t>
      </w:r>
      <w:r w:rsidRPr="000D214E">
        <w:rPr>
          <w:rFonts w:eastAsia="Times New Roman" w:cs="Times New Roman"/>
          <w:kern w:val="0"/>
          <w:lang w:eastAsia="en-GB"/>
          <w14:ligatures w14:val="none"/>
        </w:rPr>
        <w:t>.</w:t>
      </w:r>
    </w:p>
    <w:p w14:paraId="0A061862" w14:textId="53840D0A" w:rsidR="00545C9B" w:rsidRPr="000D214E" w:rsidRDefault="00416ED9" w:rsidP="000A789B">
      <w:pPr>
        <w:rPr>
          <w:rFonts w:eastAsia="Times New Roman" w:cs="Times New Roman"/>
          <w:kern w:val="0"/>
          <w:lang w:eastAsia="en-GB"/>
          <w14:ligatures w14:val="none"/>
        </w:rPr>
      </w:pPr>
      <w:proofErr w:type="gramStart"/>
      <w:r w:rsidRPr="000D214E">
        <w:rPr>
          <w:rFonts w:eastAsia="Times New Roman" w:cs="Times New Roman"/>
          <w:kern w:val="0"/>
          <w:lang w:eastAsia="en-GB"/>
          <w14:ligatures w14:val="none"/>
        </w:rPr>
        <w:t>In light of</w:t>
      </w:r>
      <w:proofErr w:type="gramEnd"/>
      <w:r w:rsidRPr="000D214E">
        <w:rPr>
          <w:rFonts w:eastAsia="Times New Roman" w:cs="Times New Roman"/>
          <w:kern w:val="0"/>
          <w:lang w:eastAsia="en-GB"/>
          <w14:ligatures w14:val="none"/>
        </w:rPr>
        <w:t xml:space="preserve"> these challenges, this section presents a comprehensive diagnosis of the internal and external factors affecting the hotel’s ability to recapture lost corporate business</w:t>
      </w:r>
      <w:r w:rsidR="00F51338">
        <w:rPr>
          <w:rFonts w:eastAsia="Times New Roman" w:cs="Times New Roman"/>
          <w:kern w:val="0"/>
          <w:lang w:eastAsia="en-GB"/>
          <w14:ligatures w14:val="none"/>
        </w:rPr>
        <w:t xml:space="preserve"> </w:t>
      </w:r>
      <w:r w:rsidR="000A789B" w:rsidRPr="000A789B">
        <w:rPr>
          <w:rFonts w:eastAsia="Times New Roman" w:cs="Times New Roman"/>
          <w:kern w:val="0"/>
          <w:lang w:eastAsia="en-GB"/>
          <w14:ligatures w14:val="none"/>
        </w:rPr>
        <w:t>(</w:t>
      </w:r>
      <w:r w:rsidR="00F51338" w:rsidRPr="000A789B">
        <w:rPr>
          <w:rFonts w:cs="Times New Roman"/>
        </w:rPr>
        <w:t>Noordzij,</w:t>
      </w:r>
      <w:r w:rsidR="000A789B" w:rsidRPr="000A789B">
        <w:rPr>
          <w:rFonts w:cs="Times New Roman"/>
        </w:rPr>
        <w:t xml:space="preserve"> </w:t>
      </w:r>
      <w:r w:rsidR="00F51338" w:rsidRPr="000A789B">
        <w:rPr>
          <w:rFonts w:cs="Times New Roman"/>
        </w:rPr>
        <w:t>2014)</w:t>
      </w:r>
      <w:r w:rsidRPr="000A789B">
        <w:rPr>
          <w:rFonts w:eastAsia="Times New Roman" w:cs="Times New Roman"/>
          <w:kern w:val="0"/>
          <w:lang w:eastAsia="en-GB"/>
          <w14:ligatures w14:val="none"/>
        </w:rPr>
        <w:t>.</w:t>
      </w:r>
      <w:r w:rsidRPr="000D214E">
        <w:rPr>
          <w:rFonts w:eastAsia="Times New Roman" w:cs="Times New Roman"/>
          <w:kern w:val="0"/>
          <w:lang w:eastAsia="en-GB"/>
          <w14:ligatures w14:val="none"/>
        </w:rPr>
        <w:t xml:space="preserve"> The section begins with a macro-level STEEPLED analysis, followed by an internal SWOT analysis and a strategic TOWS matrix to identify viable repositioning strategies.</w:t>
      </w:r>
    </w:p>
    <w:p w14:paraId="66BDF3DE" w14:textId="5B8E2B76" w:rsidR="00416ED9" w:rsidRPr="000D214E" w:rsidRDefault="00545C9B" w:rsidP="00921F9A">
      <w:pPr>
        <w:pStyle w:val="Heading2"/>
        <w:rPr>
          <w:rFonts w:eastAsia="Times New Roman"/>
          <w:lang w:eastAsia="en-GB"/>
        </w:rPr>
      </w:pPr>
      <w:bookmarkStart w:id="4" w:name="_Toc199940936"/>
      <w:r>
        <w:rPr>
          <w:rFonts w:eastAsia="Times New Roman"/>
          <w:lang w:eastAsia="en-GB"/>
        </w:rPr>
        <w:t>STEEPLE</w:t>
      </w:r>
      <w:r w:rsidR="00416ED9" w:rsidRPr="000D214E">
        <w:rPr>
          <w:rFonts w:eastAsia="Times New Roman"/>
          <w:lang w:eastAsia="en-GB"/>
        </w:rPr>
        <w:t xml:space="preserve"> Analysis</w:t>
      </w:r>
      <w:bookmarkEnd w:id="4"/>
    </w:p>
    <w:p w14:paraId="20416D95" w14:textId="77777777" w:rsidR="00416ED9" w:rsidRPr="00F60FC8" w:rsidRDefault="00416ED9" w:rsidP="000D214E">
      <w:pPr>
        <w:rPr>
          <w:rFonts w:eastAsia="Times New Roman" w:cs="Times New Roman"/>
          <w:b/>
          <w:bCs/>
          <w:kern w:val="0"/>
          <w:lang w:eastAsia="en-GB"/>
          <w14:ligatures w14:val="none"/>
        </w:rPr>
      </w:pPr>
      <w:r w:rsidRPr="000D214E">
        <w:rPr>
          <w:rFonts w:eastAsia="Times New Roman" w:cs="Times New Roman"/>
          <w:kern w:val="0"/>
          <w:lang w:eastAsia="en-GB"/>
          <w14:ligatures w14:val="none"/>
        </w:rPr>
        <w:t xml:space="preserve">The STEEPLED model was applied to identify external environmental factors affecting Hyatt Regency Birmingham’s corporate and MICE performance. The findings are summarised in </w:t>
      </w:r>
      <w:r w:rsidRPr="00F60FC8">
        <w:rPr>
          <w:rFonts w:eastAsia="Times New Roman" w:cs="Times New Roman"/>
          <w:b/>
          <w:bCs/>
          <w:kern w:val="0"/>
          <w:lang w:eastAsia="en-GB"/>
          <w14:ligatures w14:val="none"/>
        </w:rPr>
        <w:t>Table 1.</w:t>
      </w:r>
    </w:p>
    <w:p w14:paraId="0915B01E" w14:textId="14471468" w:rsidR="00416ED9" w:rsidRPr="000D214E" w:rsidRDefault="00416ED9" w:rsidP="000D214E">
      <w:pPr>
        <w:rPr>
          <w:rFonts w:eastAsia="Times New Roman" w:cs="Times New Roman"/>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2"/>
        <w:gridCol w:w="7497"/>
      </w:tblGrid>
      <w:tr w:rsidR="00416ED9" w:rsidRPr="000D214E" w14:paraId="3788509A" w14:textId="77777777" w:rsidTr="00416ED9">
        <w:trPr>
          <w:tblHeader/>
          <w:tblCellSpacing w:w="15" w:type="dxa"/>
        </w:trPr>
        <w:tc>
          <w:tcPr>
            <w:tcW w:w="0" w:type="auto"/>
            <w:vAlign w:val="center"/>
            <w:hideMark/>
          </w:tcPr>
          <w:p w14:paraId="20123136"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lastRenderedPageBreak/>
              <w:t>Factor</w:t>
            </w:r>
          </w:p>
        </w:tc>
        <w:tc>
          <w:tcPr>
            <w:tcW w:w="0" w:type="auto"/>
            <w:vAlign w:val="center"/>
            <w:hideMark/>
          </w:tcPr>
          <w:p w14:paraId="74F6B4F0"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Impact on Hyatt Regency Birmingham</w:t>
            </w:r>
          </w:p>
        </w:tc>
      </w:tr>
      <w:tr w:rsidR="00416ED9" w:rsidRPr="000D214E" w14:paraId="0A027140" w14:textId="77777777" w:rsidTr="00416ED9">
        <w:trPr>
          <w:tblCellSpacing w:w="15" w:type="dxa"/>
        </w:trPr>
        <w:tc>
          <w:tcPr>
            <w:tcW w:w="0" w:type="auto"/>
            <w:vAlign w:val="center"/>
            <w:hideMark/>
          </w:tcPr>
          <w:p w14:paraId="0388EFB4"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Social</w:t>
            </w:r>
          </w:p>
        </w:tc>
        <w:tc>
          <w:tcPr>
            <w:tcW w:w="0" w:type="auto"/>
            <w:vAlign w:val="center"/>
            <w:hideMark/>
          </w:tcPr>
          <w:p w14:paraId="37607201" w14:textId="193BF325"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Increased remote and hybrid working models have reduced traditional demand for in-person conferences, shifting expectations toward hybrid-capable hospitality venues</w:t>
            </w:r>
            <w:r w:rsidR="00F15A2B">
              <w:rPr>
                <w:rFonts w:eastAsia="Times New Roman" w:cs="Times New Roman"/>
                <w:kern w:val="0"/>
                <w:lang w:eastAsia="en-GB"/>
                <w14:ligatures w14:val="none"/>
              </w:rPr>
              <w:t xml:space="preserve"> </w:t>
            </w:r>
            <w:r w:rsidR="00F15A2B" w:rsidRPr="00F15A2B">
              <w:rPr>
                <w:rFonts w:eastAsia="Times New Roman" w:cs="Times New Roman"/>
                <w:kern w:val="0"/>
                <w:lang w:eastAsia="en-GB"/>
                <w14:ligatures w14:val="none"/>
              </w:rPr>
              <w:t>(</w:t>
            </w:r>
            <w:proofErr w:type="spellStart"/>
            <w:r w:rsidR="00F15A2B" w:rsidRPr="00F15A2B">
              <w:rPr>
                <w:rFonts w:eastAsia="Times New Roman" w:cs="Times New Roman"/>
                <w:kern w:val="0"/>
                <w:lang w:eastAsia="en-GB"/>
                <w14:ligatures w14:val="none"/>
              </w:rPr>
              <w:t>Gebbels</w:t>
            </w:r>
            <w:proofErr w:type="spellEnd"/>
            <w:r w:rsidR="00F15A2B" w:rsidRPr="00F15A2B">
              <w:rPr>
                <w:rFonts w:eastAsia="Times New Roman" w:cs="Times New Roman"/>
                <w:kern w:val="0"/>
                <w:lang w:eastAsia="en-GB"/>
                <w14:ligatures w14:val="none"/>
              </w:rPr>
              <w:t>, Pantelidis and Goss-Turner, 2019)</w:t>
            </w:r>
            <w:r w:rsidRPr="000D214E">
              <w:rPr>
                <w:rFonts w:eastAsia="Times New Roman" w:cs="Times New Roman"/>
                <w:kern w:val="0"/>
                <w:lang w:eastAsia="en-GB"/>
                <w14:ligatures w14:val="none"/>
              </w:rPr>
              <w:t>.</w:t>
            </w:r>
          </w:p>
        </w:tc>
      </w:tr>
      <w:tr w:rsidR="00416ED9" w:rsidRPr="000D214E" w14:paraId="1A1361AE" w14:textId="77777777" w:rsidTr="00416ED9">
        <w:trPr>
          <w:tblCellSpacing w:w="15" w:type="dxa"/>
        </w:trPr>
        <w:tc>
          <w:tcPr>
            <w:tcW w:w="0" w:type="auto"/>
            <w:vAlign w:val="center"/>
            <w:hideMark/>
          </w:tcPr>
          <w:p w14:paraId="1ABF5269"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Technological</w:t>
            </w:r>
          </w:p>
        </w:tc>
        <w:tc>
          <w:tcPr>
            <w:tcW w:w="0" w:type="auto"/>
            <w:vAlign w:val="center"/>
            <w:hideMark/>
          </w:tcPr>
          <w:p w14:paraId="38C9356D" w14:textId="1D6FDC4C"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Rapid innovation in virtual meeting platforms (e.g., Zoom, Teams) has disrupted the demand for physical conference space, requiring the hotel to invest in hybrid technology</w:t>
            </w:r>
            <w:r w:rsidR="00927CBD">
              <w:rPr>
                <w:rFonts w:eastAsia="Times New Roman" w:cs="Times New Roman"/>
                <w:kern w:val="0"/>
                <w:lang w:eastAsia="en-GB"/>
                <w14:ligatures w14:val="none"/>
              </w:rPr>
              <w:t xml:space="preserve"> </w:t>
            </w:r>
            <w:r w:rsidR="005D56B0">
              <w:rPr>
                <w:rFonts w:eastAsia="Times New Roman" w:cs="Times New Roman"/>
                <w:kern w:val="0"/>
                <w:lang w:eastAsia="en-GB"/>
                <w14:ligatures w14:val="none"/>
              </w:rPr>
              <w:t>(</w:t>
            </w:r>
            <w:r w:rsidR="00927CBD" w:rsidRPr="00726574">
              <w:rPr>
                <w:rFonts w:eastAsia="Times New Roman" w:cs="Times New Roman"/>
                <w:kern w:val="0"/>
                <w:lang w:eastAsia="en-GB"/>
                <w14:ligatures w14:val="none"/>
              </w:rPr>
              <w:t>Harvard Business Review, 202</w:t>
            </w:r>
            <w:r w:rsidR="004D4AD0">
              <w:rPr>
                <w:rFonts w:eastAsia="Times New Roman" w:cs="Times New Roman"/>
                <w:kern w:val="0"/>
                <w:lang w:eastAsia="en-GB"/>
                <w14:ligatures w14:val="none"/>
              </w:rPr>
              <w:t>5</w:t>
            </w:r>
            <w:r w:rsidR="005D56B0">
              <w:rPr>
                <w:rFonts w:eastAsia="Times New Roman" w:cs="Times New Roman"/>
                <w:kern w:val="0"/>
                <w:lang w:eastAsia="en-GB"/>
                <w14:ligatures w14:val="none"/>
              </w:rPr>
              <w:t>)</w:t>
            </w:r>
            <w:r w:rsidRPr="000D214E">
              <w:rPr>
                <w:rFonts w:eastAsia="Times New Roman" w:cs="Times New Roman"/>
                <w:kern w:val="0"/>
                <w:lang w:eastAsia="en-GB"/>
                <w14:ligatures w14:val="none"/>
              </w:rPr>
              <w:t>.</w:t>
            </w:r>
          </w:p>
        </w:tc>
      </w:tr>
      <w:tr w:rsidR="00416ED9" w:rsidRPr="000D214E" w14:paraId="6AFC35D7" w14:textId="77777777" w:rsidTr="00416ED9">
        <w:trPr>
          <w:tblCellSpacing w:w="15" w:type="dxa"/>
        </w:trPr>
        <w:tc>
          <w:tcPr>
            <w:tcW w:w="0" w:type="auto"/>
            <w:vAlign w:val="center"/>
            <w:hideMark/>
          </w:tcPr>
          <w:p w14:paraId="749703D5"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Economic</w:t>
            </w:r>
          </w:p>
        </w:tc>
        <w:tc>
          <w:tcPr>
            <w:tcW w:w="0" w:type="auto"/>
            <w:vAlign w:val="center"/>
            <w:hideMark/>
          </w:tcPr>
          <w:p w14:paraId="607B0859"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Inflation and recessionary pressures have led to tighter corporate budgets for travel and events, leading to increased price sensitivity in the MICE market (Knight Frank, 2023).</w:t>
            </w:r>
          </w:p>
        </w:tc>
      </w:tr>
      <w:tr w:rsidR="00416ED9" w:rsidRPr="000D214E" w14:paraId="7651E47E" w14:textId="77777777" w:rsidTr="00416ED9">
        <w:trPr>
          <w:tblCellSpacing w:w="15" w:type="dxa"/>
        </w:trPr>
        <w:tc>
          <w:tcPr>
            <w:tcW w:w="0" w:type="auto"/>
            <w:vAlign w:val="center"/>
            <w:hideMark/>
          </w:tcPr>
          <w:p w14:paraId="68AA6E71"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Environmental</w:t>
            </w:r>
          </w:p>
        </w:tc>
        <w:tc>
          <w:tcPr>
            <w:tcW w:w="0" w:type="auto"/>
            <w:vAlign w:val="center"/>
            <w:hideMark/>
          </w:tcPr>
          <w:p w14:paraId="6D5BD045" w14:textId="1A5D4B6D"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Growing environmental awareness means business clients increasingly prefer venues with demonstrable sustainability commitments and carbon-neutral packages</w:t>
            </w:r>
            <w:r w:rsidR="00BE0FC9">
              <w:rPr>
                <w:rFonts w:eastAsia="Times New Roman" w:cs="Times New Roman"/>
                <w:kern w:val="0"/>
                <w:lang w:eastAsia="en-GB"/>
                <w14:ligatures w14:val="none"/>
              </w:rPr>
              <w:t xml:space="preserve"> </w:t>
            </w:r>
            <w:r w:rsidR="00BE0FC9" w:rsidRPr="00BE0FC9">
              <w:rPr>
                <w:rFonts w:eastAsia="Times New Roman" w:cs="Times New Roman"/>
                <w:kern w:val="0"/>
                <w:lang w:eastAsia="en-GB"/>
                <w14:ligatures w14:val="none"/>
              </w:rPr>
              <w:t>(</w:t>
            </w:r>
            <w:proofErr w:type="spellStart"/>
            <w:r w:rsidR="00BE0FC9" w:rsidRPr="00BE0FC9">
              <w:rPr>
                <w:rFonts w:eastAsia="Times New Roman" w:cs="Times New Roman"/>
                <w:kern w:val="0"/>
                <w:lang w:eastAsia="en-GB"/>
                <w14:ligatures w14:val="none"/>
              </w:rPr>
              <w:t>Buhalis</w:t>
            </w:r>
            <w:proofErr w:type="spellEnd"/>
            <w:r w:rsidR="00BE0FC9" w:rsidRPr="00BE0FC9">
              <w:rPr>
                <w:rFonts w:eastAsia="Times New Roman" w:cs="Times New Roman"/>
                <w:kern w:val="0"/>
                <w:lang w:eastAsia="en-GB"/>
                <w14:ligatures w14:val="none"/>
              </w:rPr>
              <w:t xml:space="preserve"> and Leung, 2018)</w:t>
            </w:r>
            <w:r w:rsidRPr="000D214E">
              <w:rPr>
                <w:rFonts w:eastAsia="Times New Roman" w:cs="Times New Roman"/>
                <w:kern w:val="0"/>
                <w:lang w:eastAsia="en-GB"/>
                <w14:ligatures w14:val="none"/>
              </w:rPr>
              <w:t>.</w:t>
            </w:r>
          </w:p>
        </w:tc>
      </w:tr>
      <w:tr w:rsidR="00416ED9" w:rsidRPr="000D214E" w14:paraId="5EDBC419" w14:textId="77777777" w:rsidTr="00416ED9">
        <w:trPr>
          <w:tblCellSpacing w:w="15" w:type="dxa"/>
        </w:trPr>
        <w:tc>
          <w:tcPr>
            <w:tcW w:w="0" w:type="auto"/>
            <w:vAlign w:val="center"/>
            <w:hideMark/>
          </w:tcPr>
          <w:p w14:paraId="3EB7B8AC"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Political</w:t>
            </w:r>
          </w:p>
        </w:tc>
        <w:tc>
          <w:tcPr>
            <w:tcW w:w="0" w:type="auto"/>
            <w:vAlign w:val="center"/>
            <w:hideMark/>
          </w:tcPr>
          <w:p w14:paraId="293484EA"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Post-Brexit visa and labour restrictions have impacted the flow of international delegates and access to skilled hospitality workers </w:t>
            </w:r>
            <w:r w:rsidRPr="006C5B96">
              <w:rPr>
                <w:rFonts w:eastAsia="Times New Roman" w:cs="Times New Roman"/>
                <w:kern w:val="0"/>
                <w:lang w:eastAsia="en-GB"/>
                <w14:ligatures w14:val="none"/>
              </w:rPr>
              <w:t>(ONS, 2023).</w:t>
            </w:r>
          </w:p>
        </w:tc>
      </w:tr>
      <w:tr w:rsidR="00416ED9" w:rsidRPr="000D214E" w14:paraId="36014574" w14:textId="77777777" w:rsidTr="00416ED9">
        <w:trPr>
          <w:tblCellSpacing w:w="15" w:type="dxa"/>
        </w:trPr>
        <w:tc>
          <w:tcPr>
            <w:tcW w:w="0" w:type="auto"/>
            <w:vAlign w:val="center"/>
            <w:hideMark/>
          </w:tcPr>
          <w:p w14:paraId="2FFECAAD"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Legal</w:t>
            </w:r>
          </w:p>
        </w:tc>
        <w:tc>
          <w:tcPr>
            <w:tcW w:w="0" w:type="auto"/>
            <w:vAlign w:val="center"/>
            <w:hideMark/>
          </w:tcPr>
          <w:p w14:paraId="5CB20F49"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Evolving employment law and GDPR requirements demand continuous compliance in staffing, guest data handling, and operational planning.</w:t>
            </w:r>
          </w:p>
        </w:tc>
      </w:tr>
      <w:tr w:rsidR="00416ED9" w:rsidRPr="000D214E" w14:paraId="2329244C" w14:textId="77777777" w:rsidTr="00416ED9">
        <w:trPr>
          <w:tblCellSpacing w:w="15" w:type="dxa"/>
        </w:trPr>
        <w:tc>
          <w:tcPr>
            <w:tcW w:w="0" w:type="auto"/>
            <w:vAlign w:val="center"/>
            <w:hideMark/>
          </w:tcPr>
          <w:p w14:paraId="69D23620"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Ethical</w:t>
            </w:r>
          </w:p>
        </w:tc>
        <w:tc>
          <w:tcPr>
            <w:tcW w:w="0" w:type="auto"/>
            <w:vAlign w:val="center"/>
            <w:hideMark/>
          </w:tcPr>
          <w:p w14:paraId="4073524D" w14:textId="39562400"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Clients demand ethically aligned practices, including local sourcing, equity in staffing, and community partnerships, influencing venue choice</w:t>
            </w:r>
            <w:r w:rsidR="005E5BAF">
              <w:rPr>
                <w:rFonts w:eastAsia="Times New Roman" w:cs="Times New Roman"/>
                <w:kern w:val="0"/>
                <w:lang w:eastAsia="en-GB"/>
                <w14:ligatures w14:val="none"/>
              </w:rPr>
              <w:t xml:space="preserve"> </w:t>
            </w:r>
            <w:r w:rsidR="005E5BAF" w:rsidRPr="005E5BAF">
              <w:rPr>
                <w:rFonts w:eastAsia="Times New Roman" w:cs="Times New Roman"/>
                <w:kern w:val="0"/>
                <w:lang w:eastAsia="en-GB"/>
                <w14:ligatures w14:val="none"/>
              </w:rPr>
              <w:t>(Fletcher et al., 2018)</w:t>
            </w:r>
            <w:r w:rsidRPr="000D214E">
              <w:rPr>
                <w:rFonts w:eastAsia="Times New Roman" w:cs="Times New Roman"/>
                <w:kern w:val="0"/>
                <w:lang w:eastAsia="en-GB"/>
                <w14:ligatures w14:val="none"/>
              </w:rPr>
              <w:t>.</w:t>
            </w:r>
          </w:p>
        </w:tc>
      </w:tr>
      <w:tr w:rsidR="00416ED9" w:rsidRPr="000D214E" w14:paraId="1159D710" w14:textId="77777777" w:rsidTr="00416ED9">
        <w:trPr>
          <w:tblCellSpacing w:w="15" w:type="dxa"/>
        </w:trPr>
        <w:tc>
          <w:tcPr>
            <w:tcW w:w="0" w:type="auto"/>
            <w:vAlign w:val="center"/>
            <w:hideMark/>
          </w:tcPr>
          <w:p w14:paraId="7C6246A8"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Demographic</w:t>
            </w:r>
          </w:p>
        </w:tc>
        <w:tc>
          <w:tcPr>
            <w:tcW w:w="0" w:type="auto"/>
            <w:vAlign w:val="center"/>
            <w:hideMark/>
          </w:tcPr>
          <w:p w14:paraId="613D8D12"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A younger generation of business travellers expects seamless digital integration and more informal, collaborative meeting spaces.</w:t>
            </w:r>
          </w:p>
        </w:tc>
      </w:tr>
    </w:tbl>
    <w:p w14:paraId="3201685A" w14:textId="77777777" w:rsidR="00F60FC8" w:rsidRDefault="00F60FC8" w:rsidP="00F60FC8">
      <w:pPr>
        <w:jc w:val="center"/>
        <w:rPr>
          <w:rFonts w:eastAsia="Times New Roman" w:cs="Times New Roman"/>
          <w:b/>
          <w:bCs/>
          <w:kern w:val="0"/>
          <w:lang w:eastAsia="en-GB"/>
          <w14:ligatures w14:val="none"/>
        </w:rPr>
      </w:pPr>
    </w:p>
    <w:p w14:paraId="2C79DEFF" w14:textId="4150D688" w:rsidR="00F60FC8" w:rsidRPr="00F60FC8" w:rsidRDefault="00F60FC8" w:rsidP="00F60FC8">
      <w:pPr>
        <w:jc w:val="center"/>
        <w:rPr>
          <w:rFonts w:eastAsia="Times New Roman" w:cs="Times New Roman"/>
          <w:b/>
          <w:bCs/>
          <w:kern w:val="0"/>
          <w:lang w:eastAsia="en-GB"/>
          <w14:ligatures w14:val="none"/>
        </w:rPr>
      </w:pPr>
      <w:r w:rsidRPr="00F60FC8">
        <w:rPr>
          <w:rFonts w:eastAsia="Times New Roman" w:cs="Times New Roman"/>
          <w:b/>
          <w:bCs/>
          <w:kern w:val="0"/>
          <w:lang w:eastAsia="en-GB"/>
          <w14:ligatures w14:val="none"/>
        </w:rPr>
        <w:t>Table 1: STEEPLED Analysis of Hyatt Regency Birmingham</w:t>
      </w:r>
      <w:r>
        <w:rPr>
          <w:rFonts w:eastAsia="Times New Roman" w:cs="Times New Roman"/>
          <w:b/>
          <w:bCs/>
          <w:kern w:val="0"/>
          <w:lang w:eastAsia="en-GB"/>
          <w14:ligatures w14:val="none"/>
        </w:rPr>
        <w:t xml:space="preserve"> (Self-deve</w:t>
      </w:r>
      <w:r w:rsidR="00146D56">
        <w:rPr>
          <w:rFonts w:eastAsia="Times New Roman" w:cs="Times New Roman"/>
          <w:b/>
          <w:bCs/>
          <w:kern w:val="0"/>
          <w:lang w:eastAsia="en-GB"/>
          <w14:ligatures w14:val="none"/>
        </w:rPr>
        <w:t>loped)</w:t>
      </w:r>
    </w:p>
    <w:p w14:paraId="0D51C13C" w14:textId="0B7BEE83"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analysis suggests that Hyatt Regency Birmingham must address several intersecting external challenges, particularly those driven by technological transformation and evolving client values.</w:t>
      </w:r>
    </w:p>
    <w:p w14:paraId="146ECE5A" w14:textId="598AC6B8" w:rsidR="00416ED9" w:rsidRPr="000D214E" w:rsidRDefault="00416ED9" w:rsidP="00921F9A">
      <w:pPr>
        <w:pStyle w:val="Heading2"/>
        <w:rPr>
          <w:rFonts w:eastAsia="Times New Roman"/>
          <w:lang w:eastAsia="en-GB"/>
        </w:rPr>
      </w:pPr>
      <w:bookmarkStart w:id="5" w:name="_Toc199940937"/>
      <w:r w:rsidRPr="000D214E">
        <w:rPr>
          <w:rFonts w:eastAsia="Times New Roman"/>
          <w:lang w:eastAsia="en-GB"/>
        </w:rPr>
        <w:lastRenderedPageBreak/>
        <w:t>SWOT Analysis</w:t>
      </w:r>
      <w:bookmarkEnd w:id="5"/>
    </w:p>
    <w:p w14:paraId="619E99B9" w14:textId="13BD6B16"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An internal SWOT analysis was conducted to assess Hyatt Regency Birmingham’s strategic position, capabilities, and vulnerabilities. </w:t>
      </w:r>
      <w:r w:rsidRPr="00053680">
        <w:rPr>
          <w:rFonts w:eastAsia="Times New Roman" w:cs="Times New Roman"/>
          <w:b/>
          <w:bCs/>
          <w:kern w:val="0"/>
          <w:lang w:eastAsia="en-GB"/>
          <w14:ligatures w14:val="none"/>
        </w:rPr>
        <w:t>Table 2</w:t>
      </w:r>
      <w:r w:rsidRPr="000D214E">
        <w:rPr>
          <w:rFonts w:eastAsia="Times New Roman" w:cs="Times New Roman"/>
          <w:kern w:val="0"/>
          <w:lang w:eastAsia="en-GB"/>
          <w14:ligatures w14:val="none"/>
        </w:rPr>
        <w:t xml:space="preserve"> presents the analysis.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45"/>
        <w:gridCol w:w="4974"/>
      </w:tblGrid>
      <w:tr w:rsidR="00416ED9" w:rsidRPr="000D214E" w14:paraId="45F36A7F" w14:textId="77777777" w:rsidTr="00416ED9">
        <w:trPr>
          <w:tblHeader/>
          <w:tblCellSpacing w:w="15" w:type="dxa"/>
        </w:trPr>
        <w:tc>
          <w:tcPr>
            <w:tcW w:w="4000" w:type="dxa"/>
            <w:vAlign w:val="center"/>
            <w:hideMark/>
          </w:tcPr>
          <w:p w14:paraId="1C7C4353"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Strengths</w:t>
            </w:r>
          </w:p>
        </w:tc>
        <w:tc>
          <w:tcPr>
            <w:tcW w:w="4929" w:type="dxa"/>
            <w:vAlign w:val="center"/>
            <w:hideMark/>
          </w:tcPr>
          <w:p w14:paraId="662F76F4"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Weaknesses</w:t>
            </w:r>
          </w:p>
        </w:tc>
      </w:tr>
      <w:tr w:rsidR="00416ED9" w:rsidRPr="000D214E" w14:paraId="1F44FA10" w14:textId="77777777" w:rsidTr="00416ED9">
        <w:trPr>
          <w:tblCellSpacing w:w="15" w:type="dxa"/>
        </w:trPr>
        <w:tc>
          <w:tcPr>
            <w:tcW w:w="4000" w:type="dxa"/>
            <w:vAlign w:val="center"/>
            <w:hideMark/>
          </w:tcPr>
          <w:p w14:paraId="26496DA5" w14:textId="11B81F7C"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Prime location next to ICC and the city centre</w:t>
            </w:r>
          </w:p>
        </w:tc>
        <w:tc>
          <w:tcPr>
            <w:tcW w:w="4929" w:type="dxa"/>
            <w:vAlign w:val="center"/>
            <w:hideMark/>
          </w:tcPr>
          <w:p w14:paraId="6A000ECF"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Outdated AV and conferencing infrastructure</w:t>
            </w:r>
          </w:p>
        </w:tc>
      </w:tr>
      <w:tr w:rsidR="00416ED9" w:rsidRPr="000D214E" w14:paraId="1E2CD262" w14:textId="77777777" w:rsidTr="00416ED9">
        <w:trPr>
          <w:tblCellSpacing w:w="15" w:type="dxa"/>
        </w:trPr>
        <w:tc>
          <w:tcPr>
            <w:tcW w:w="4000" w:type="dxa"/>
            <w:vAlign w:val="center"/>
            <w:hideMark/>
          </w:tcPr>
          <w:p w14:paraId="3439E9A4"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Strong brand affiliation with Hyatt Corporation</w:t>
            </w:r>
          </w:p>
        </w:tc>
        <w:tc>
          <w:tcPr>
            <w:tcW w:w="4929" w:type="dxa"/>
            <w:vAlign w:val="center"/>
            <w:hideMark/>
          </w:tcPr>
          <w:p w14:paraId="2CC50A67"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Underutilised midweek MICE spaces</w:t>
            </w:r>
          </w:p>
        </w:tc>
      </w:tr>
      <w:tr w:rsidR="00416ED9" w:rsidRPr="000D214E" w14:paraId="3D476092" w14:textId="77777777" w:rsidTr="00416ED9">
        <w:trPr>
          <w:tblCellSpacing w:w="15" w:type="dxa"/>
        </w:trPr>
        <w:tc>
          <w:tcPr>
            <w:tcW w:w="4000" w:type="dxa"/>
            <w:vAlign w:val="center"/>
            <w:hideMark/>
          </w:tcPr>
          <w:p w14:paraId="388FBF96"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High-quality leisure and wellness facilities</w:t>
            </w:r>
          </w:p>
        </w:tc>
        <w:tc>
          <w:tcPr>
            <w:tcW w:w="4929" w:type="dxa"/>
            <w:vAlign w:val="center"/>
            <w:hideMark/>
          </w:tcPr>
          <w:p w14:paraId="7DB5A9FE"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Limited engagement with local SMEs and regional clients</w:t>
            </w:r>
          </w:p>
        </w:tc>
      </w:tr>
      <w:tr w:rsidR="00416ED9" w:rsidRPr="000D214E" w14:paraId="4FBC6E8F" w14:textId="77777777" w:rsidTr="00416ED9">
        <w:trPr>
          <w:tblCellSpacing w:w="15" w:type="dxa"/>
        </w:trPr>
        <w:tc>
          <w:tcPr>
            <w:tcW w:w="4000" w:type="dxa"/>
            <w:vAlign w:val="center"/>
            <w:hideMark/>
          </w:tcPr>
          <w:p w14:paraId="76509F12"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Experienced management team and MICE operations</w:t>
            </w:r>
          </w:p>
        </w:tc>
        <w:tc>
          <w:tcPr>
            <w:tcW w:w="4929" w:type="dxa"/>
            <w:vAlign w:val="center"/>
            <w:hideMark/>
          </w:tcPr>
          <w:p w14:paraId="0DF3742C" w14:textId="78CFB4DD"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Heavy reliance on international business travel and large-scale events</w:t>
            </w:r>
            <w:r w:rsidR="00410201">
              <w:rPr>
                <w:rFonts w:eastAsia="Times New Roman" w:cs="Times New Roman"/>
                <w:kern w:val="0"/>
                <w:lang w:eastAsia="en-GB"/>
                <w14:ligatures w14:val="none"/>
              </w:rPr>
              <w:t xml:space="preserve"> (</w:t>
            </w:r>
            <w:r w:rsidR="00410201" w:rsidRPr="005C1697">
              <w:rPr>
                <w:rFonts w:eastAsia="Times New Roman" w:cs="Times New Roman"/>
                <w:kern w:val="0"/>
                <w:lang w:eastAsia="en-GB"/>
                <w14:ligatures w14:val="none"/>
              </w:rPr>
              <w:t>Morrison, 2022</w:t>
            </w:r>
            <w:r w:rsidR="00410201">
              <w:rPr>
                <w:rFonts w:eastAsia="Times New Roman" w:cs="Times New Roman"/>
                <w:kern w:val="0"/>
                <w:lang w:eastAsia="en-GB"/>
                <w14:ligatures w14:val="none"/>
              </w:rPr>
              <w:t>).</w:t>
            </w:r>
          </w:p>
        </w:tc>
      </w:tr>
    </w:tbl>
    <w:p w14:paraId="0AEA5518" w14:textId="77777777" w:rsidR="00416ED9" w:rsidRPr="000D214E" w:rsidRDefault="00416ED9" w:rsidP="000D214E">
      <w:pPr>
        <w:rPr>
          <w:rFonts w:eastAsia="Times New Roman" w:cs="Times New Roman"/>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45"/>
        <w:gridCol w:w="4974"/>
      </w:tblGrid>
      <w:tr w:rsidR="00416ED9" w:rsidRPr="000D214E" w14:paraId="7439AF9A" w14:textId="77777777" w:rsidTr="00416ED9">
        <w:trPr>
          <w:tblHeader/>
          <w:tblCellSpacing w:w="15" w:type="dxa"/>
        </w:trPr>
        <w:tc>
          <w:tcPr>
            <w:tcW w:w="4000" w:type="dxa"/>
            <w:vAlign w:val="center"/>
            <w:hideMark/>
          </w:tcPr>
          <w:p w14:paraId="5ACF37D5"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Opportunities</w:t>
            </w:r>
          </w:p>
        </w:tc>
        <w:tc>
          <w:tcPr>
            <w:tcW w:w="4929" w:type="dxa"/>
            <w:vAlign w:val="center"/>
            <w:hideMark/>
          </w:tcPr>
          <w:p w14:paraId="5A9DD678"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Threats</w:t>
            </w:r>
          </w:p>
        </w:tc>
      </w:tr>
      <w:tr w:rsidR="00416ED9" w:rsidRPr="000D214E" w14:paraId="271460C0" w14:textId="77777777" w:rsidTr="00416ED9">
        <w:trPr>
          <w:tblCellSpacing w:w="15" w:type="dxa"/>
        </w:trPr>
        <w:tc>
          <w:tcPr>
            <w:tcW w:w="4000" w:type="dxa"/>
            <w:vAlign w:val="center"/>
            <w:hideMark/>
          </w:tcPr>
          <w:p w14:paraId="6412AA5E"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Increasing interest in hybrid meeting formats</w:t>
            </w:r>
          </w:p>
        </w:tc>
        <w:tc>
          <w:tcPr>
            <w:tcW w:w="4929" w:type="dxa"/>
            <w:vAlign w:val="center"/>
            <w:hideMark/>
          </w:tcPr>
          <w:p w14:paraId="3B1EC911"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Competitive offerings from tech-integrated boutique hotels and co-working spaces</w:t>
            </w:r>
          </w:p>
        </w:tc>
      </w:tr>
      <w:tr w:rsidR="00416ED9" w:rsidRPr="000D214E" w14:paraId="2DA386E7" w14:textId="77777777" w:rsidTr="00416ED9">
        <w:trPr>
          <w:tblCellSpacing w:w="15" w:type="dxa"/>
        </w:trPr>
        <w:tc>
          <w:tcPr>
            <w:tcW w:w="4000" w:type="dxa"/>
            <w:vAlign w:val="center"/>
            <w:hideMark/>
          </w:tcPr>
          <w:p w14:paraId="53D07BD7"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Growth in sustainable hospitality and carbon offset</w:t>
            </w:r>
          </w:p>
        </w:tc>
        <w:tc>
          <w:tcPr>
            <w:tcW w:w="4929" w:type="dxa"/>
            <w:vAlign w:val="center"/>
            <w:hideMark/>
          </w:tcPr>
          <w:p w14:paraId="002BDBFF"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Rise of virtual conferencing platforms replacing in-person events</w:t>
            </w:r>
          </w:p>
        </w:tc>
      </w:tr>
      <w:tr w:rsidR="00416ED9" w:rsidRPr="000D214E" w14:paraId="00E5CDB9" w14:textId="77777777" w:rsidTr="00416ED9">
        <w:trPr>
          <w:tblCellSpacing w:w="15" w:type="dxa"/>
        </w:trPr>
        <w:tc>
          <w:tcPr>
            <w:tcW w:w="4000" w:type="dxa"/>
            <w:vAlign w:val="center"/>
            <w:hideMark/>
          </w:tcPr>
          <w:p w14:paraId="757B0769" w14:textId="69D70D7D"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Partnership potential with </w:t>
            </w:r>
            <w:r w:rsidR="00575921">
              <w:rPr>
                <w:rFonts w:eastAsia="Times New Roman" w:cs="Times New Roman"/>
                <w:kern w:val="0"/>
                <w:lang w:eastAsia="en-GB"/>
                <w14:ligatures w14:val="none"/>
              </w:rPr>
              <w:t>fintech</w:t>
            </w:r>
            <w:r w:rsidRPr="000D214E">
              <w:rPr>
                <w:rFonts w:eastAsia="Times New Roman" w:cs="Times New Roman"/>
                <w:kern w:val="0"/>
                <w:lang w:eastAsia="en-GB"/>
                <w14:ligatures w14:val="none"/>
              </w:rPr>
              <w:t xml:space="preserve"> and universities</w:t>
            </w:r>
          </w:p>
        </w:tc>
        <w:tc>
          <w:tcPr>
            <w:tcW w:w="4929" w:type="dxa"/>
            <w:vAlign w:val="center"/>
            <w:hideMark/>
          </w:tcPr>
          <w:p w14:paraId="0BD837EA" w14:textId="65E0DE92"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General cost-cutting in corporate travel budgets due to economic uncertainty</w:t>
            </w:r>
            <w:r w:rsidR="00925DC1">
              <w:rPr>
                <w:rFonts w:eastAsia="Times New Roman" w:cs="Times New Roman"/>
                <w:kern w:val="0"/>
                <w:lang w:eastAsia="en-GB"/>
                <w14:ligatures w14:val="none"/>
              </w:rPr>
              <w:t xml:space="preserve"> (</w:t>
            </w:r>
            <w:r w:rsidR="00925DC1" w:rsidRPr="00726574">
              <w:rPr>
                <w:rFonts w:eastAsia="Times New Roman" w:cs="Times New Roman"/>
                <w:kern w:val="0"/>
                <w:lang w:eastAsia="en-GB"/>
                <w14:ligatures w14:val="none"/>
              </w:rPr>
              <w:t>Oxford Economics, 202</w:t>
            </w:r>
            <w:r w:rsidR="00AA42AE">
              <w:rPr>
                <w:rFonts w:eastAsia="Times New Roman" w:cs="Times New Roman"/>
                <w:kern w:val="0"/>
                <w:lang w:eastAsia="en-GB"/>
                <w14:ligatures w14:val="none"/>
              </w:rPr>
              <w:t>2</w:t>
            </w:r>
            <w:r w:rsidR="00925DC1">
              <w:rPr>
                <w:rFonts w:eastAsia="Times New Roman" w:cs="Times New Roman"/>
                <w:kern w:val="0"/>
                <w:lang w:eastAsia="en-GB"/>
                <w14:ligatures w14:val="none"/>
              </w:rPr>
              <w:t>)</w:t>
            </w:r>
            <w:r w:rsidR="003B047D">
              <w:rPr>
                <w:rFonts w:eastAsia="Times New Roman" w:cs="Times New Roman"/>
                <w:kern w:val="0"/>
                <w:lang w:eastAsia="en-GB"/>
                <w14:ligatures w14:val="none"/>
              </w:rPr>
              <w:t>.</w:t>
            </w:r>
          </w:p>
        </w:tc>
      </w:tr>
      <w:tr w:rsidR="00416ED9" w:rsidRPr="000D214E" w14:paraId="6E1A6B0C" w14:textId="77777777" w:rsidTr="00416ED9">
        <w:trPr>
          <w:tblCellSpacing w:w="15" w:type="dxa"/>
        </w:trPr>
        <w:tc>
          <w:tcPr>
            <w:tcW w:w="4000" w:type="dxa"/>
            <w:vAlign w:val="center"/>
            <w:hideMark/>
          </w:tcPr>
          <w:p w14:paraId="0B11F126" w14:textId="1D550021"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Regional business travel recovery (within </w:t>
            </w:r>
            <w:r w:rsidR="002D570C">
              <w:rPr>
                <w:rFonts w:eastAsia="Times New Roman" w:cs="Times New Roman"/>
                <w:kern w:val="0"/>
                <w:lang w:eastAsia="en-GB"/>
                <w14:ligatures w14:val="none"/>
              </w:rPr>
              <w:t xml:space="preserve">the </w:t>
            </w:r>
            <w:r w:rsidRPr="000D214E">
              <w:rPr>
                <w:rFonts w:eastAsia="Times New Roman" w:cs="Times New Roman"/>
                <w:kern w:val="0"/>
                <w:lang w:eastAsia="en-GB"/>
                <w14:ligatures w14:val="none"/>
              </w:rPr>
              <w:t>UK)</w:t>
            </w:r>
            <w:r w:rsidR="00AE5F64">
              <w:rPr>
                <w:rFonts w:eastAsia="Times New Roman" w:cs="Times New Roman"/>
                <w:kern w:val="0"/>
                <w:lang w:eastAsia="en-GB"/>
                <w14:ligatures w14:val="none"/>
              </w:rPr>
              <w:t>.</w:t>
            </w:r>
          </w:p>
        </w:tc>
        <w:tc>
          <w:tcPr>
            <w:tcW w:w="4929" w:type="dxa"/>
            <w:vAlign w:val="center"/>
            <w:hideMark/>
          </w:tcPr>
          <w:p w14:paraId="4A5D0876" w14:textId="3E93A8DA"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Lack of digital marketing innovation and poor search visibility in local markets</w:t>
            </w:r>
            <w:r w:rsidR="00EB5670">
              <w:rPr>
                <w:rFonts w:eastAsia="Times New Roman" w:cs="Times New Roman"/>
                <w:kern w:val="0"/>
                <w:lang w:eastAsia="en-GB"/>
                <w14:ligatures w14:val="none"/>
              </w:rPr>
              <w:t xml:space="preserve"> </w:t>
            </w:r>
            <w:r w:rsidR="00EB5670" w:rsidRPr="00EB5670">
              <w:rPr>
                <w:rFonts w:eastAsia="Times New Roman" w:cs="Times New Roman"/>
                <w:kern w:val="0"/>
                <w:lang w:eastAsia="en-GB"/>
                <w14:ligatures w14:val="none"/>
              </w:rPr>
              <w:t>(Buttle et al., 2016)</w:t>
            </w:r>
            <w:r w:rsidR="00AE5F64">
              <w:rPr>
                <w:rFonts w:eastAsia="Times New Roman" w:cs="Times New Roman"/>
                <w:kern w:val="0"/>
                <w:lang w:eastAsia="en-GB"/>
                <w14:ligatures w14:val="none"/>
              </w:rPr>
              <w:t>.</w:t>
            </w:r>
          </w:p>
        </w:tc>
      </w:tr>
    </w:tbl>
    <w:p w14:paraId="2B348DC2" w14:textId="77777777" w:rsidR="00F60FC8" w:rsidRDefault="00F60FC8" w:rsidP="000D214E">
      <w:pPr>
        <w:rPr>
          <w:rFonts w:eastAsia="Times New Roman" w:cs="Times New Roman"/>
          <w:kern w:val="0"/>
          <w:lang w:eastAsia="en-GB"/>
          <w14:ligatures w14:val="none"/>
        </w:rPr>
      </w:pPr>
    </w:p>
    <w:p w14:paraId="7DB6E54C" w14:textId="79B1FC93" w:rsidR="00F60FC8" w:rsidRPr="00F60FC8" w:rsidRDefault="00F60FC8" w:rsidP="00F60FC8">
      <w:pPr>
        <w:jc w:val="center"/>
        <w:rPr>
          <w:rFonts w:eastAsia="Times New Roman" w:cs="Times New Roman"/>
          <w:b/>
          <w:bCs/>
          <w:kern w:val="0"/>
          <w:lang w:eastAsia="en-GB"/>
          <w14:ligatures w14:val="none"/>
        </w:rPr>
      </w:pPr>
      <w:r w:rsidRPr="00F60FC8">
        <w:rPr>
          <w:rFonts w:eastAsia="Times New Roman" w:cs="Times New Roman"/>
          <w:b/>
          <w:bCs/>
          <w:kern w:val="0"/>
          <w:lang w:eastAsia="en-GB"/>
          <w14:ligatures w14:val="none"/>
        </w:rPr>
        <w:t>Table 2: SWOT Analysis of Hyatt Regency Birmingham</w:t>
      </w:r>
      <w:r w:rsidR="00146D56">
        <w:rPr>
          <w:rFonts w:eastAsia="Times New Roman" w:cs="Times New Roman"/>
          <w:b/>
          <w:bCs/>
          <w:kern w:val="0"/>
          <w:lang w:eastAsia="en-GB"/>
          <w14:ligatures w14:val="none"/>
        </w:rPr>
        <w:t xml:space="preserve"> (Self-developed)</w:t>
      </w:r>
    </w:p>
    <w:p w14:paraId="6812014E" w14:textId="64C1E68F"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lastRenderedPageBreak/>
        <w:t>The internal analysis reveals significant strengths that can be leveraged, including Hyatt’s brand reputation and location. However, these are offset by technical and strategic weaknesses that limit the hotel's responsiveness to the new business landscape.</w:t>
      </w:r>
    </w:p>
    <w:p w14:paraId="15C8FAE2" w14:textId="3C46F8F3" w:rsidR="00416ED9" w:rsidRPr="000D214E" w:rsidRDefault="00416ED9" w:rsidP="00921F9A">
      <w:pPr>
        <w:pStyle w:val="Heading2"/>
        <w:rPr>
          <w:rFonts w:eastAsia="Times New Roman"/>
          <w:lang w:eastAsia="en-GB"/>
        </w:rPr>
      </w:pPr>
      <w:bookmarkStart w:id="6" w:name="_Toc199940938"/>
      <w:r w:rsidRPr="000D214E">
        <w:rPr>
          <w:rFonts w:eastAsia="Times New Roman"/>
          <w:lang w:eastAsia="en-GB"/>
        </w:rPr>
        <w:t>TOWS Matrix</w:t>
      </w:r>
      <w:bookmarkEnd w:id="6"/>
    </w:p>
    <w:p w14:paraId="69281173" w14:textId="409177B2"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strategic TOWS matrix in Table 3 converts the SWOT analysis into actionable strategies.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8"/>
        <w:gridCol w:w="3893"/>
        <w:gridCol w:w="3858"/>
      </w:tblGrid>
      <w:tr w:rsidR="00416ED9" w:rsidRPr="000D214E" w14:paraId="70F89442" w14:textId="77777777" w:rsidTr="00416ED9">
        <w:trPr>
          <w:tblHeader/>
          <w:tblCellSpacing w:w="15" w:type="dxa"/>
        </w:trPr>
        <w:tc>
          <w:tcPr>
            <w:tcW w:w="0" w:type="auto"/>
            <w:vAlign w:val="center"/>
            <w:hideMark/>
          </w:tcPr>
          <w:p w14:paraId="41324CCF" w14:textId="77777777" w:rsidR="00416ED9" w:rsidRPr="000D214E" w:rsidRDefault="00416ED9" w:rsidP="000D214E">
            <w:pPr>
              <w:rPr>
                <w:rFonts w:eastAsia="Times New Roman" w:cs="Times New Roman"/>
                <w:kern w:val="0"/>
                <w:lang w:eastAsia="en-GB"/>
                <w14:ligatures w14:val="none"/>
              </w:rPr>
            </w:pPr>
          </w:p>
        </w:tc>
        <w:tc>
          <w:tcPr>
            <w:tcW w:w="0" w:type="auto"/>
            <w:vAlign w:val="center"/>
            <w:hideMark/>
          </w:tcPr>
          <w:p w14:paraId="41B9677B"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Opportunities</w:t>
            </w:r>
          </w:p>
        </w:tc>
        <w:tc>
          <w:tcPr>
            <w:tcW w:w="0" w:type="auto"/>
            <w:vAlign w:val="center"/>
            <w:hideMark/>
          </w:tcPr>
          <w:p w14:paraId="00C3C210"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Threats</w:t>
            </w:r>
          </w:p>
        </w:tc>
      </w:tr>
      <w:tr w:rsidR="00416ED9" w:rsidRPr="000D214E" w14:paraId="779460F5" w14:textId="77777777" w:rsidTr="00416ED9">
        <w:trPr>
          <w:tblCellSpacing w:w="15" w:type="dxa"/>
        </w:trPr>
        <w:tc>
          <w:tcPr>
            <w:tcW w:w="0" w:type="auto"/>
            <w:vAlign w:val="center"/>
            <w:hideMark/>
          </w:tcPr>
          <w:p w14:paraId="0B5CADE1"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Strengths</w:t>
            </w:r>
          </w:p>
        </w:tc>
        <w:tc>
          <w:tcPr>
            <w:tcW w:w="0" w:type="auto"/>
            <w:vAlign w:val="center"/>
            <w:hideMark/>
          </w:tcPr>
          <w:p w14:paraId="7D87402A"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Use brand trust and location to lead in hybrid conferencing and ethical MICE delivery.</w:t>
            </w:r>
          </w:p>
        </w:tc>
        <w:tc>
          <w:tcPr>
            <w:tcW w:w="0" w:type="auto"/>
            <w:vAlign w:val="center"/>
            <w:hideMark/>
          </w:tcPr>
          <w:p w14:paraId="48B58AA3"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Use loyalty programmes and premium services to counter boutique hotel competition.</w:t>
            </w:r>
          </w:p>
        </w:tc>
      </w:tr>
      <w:tr w:rsidR="00416ED9" w:rsidRPr="000D214E" w14:paraId="0034AD36" w14:textId="77777777" w:rsidTr="00416ED9">
        <w:trPr>
          <w:tblCellSpacing w:w="15" w:type="dxa"/>
        </w:trPr>
        <w:tc>
          <w:tcPr>
            <w:tcW w:w="0" w:type="auto"/>
            <w:vAlign w:val="center"/>
            <w:hideMark/>
          </w:tcPr>
          <w:p w14:paraId="12589DBA"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Weaknesses</w:t>
            </w:r>
          </w:p>
        </w:tc>
        <w:tc>
          <w:tcPr>
            <w:tcW w:w="0" w:type="auto"/>
            <w:vAlign w:val="center"/>
            <w:hideMark/>
          </w:tcPr>
          <w:p w14:paraId="6CA7B2D2"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Upgrade AV systems and redesign meeting rooms to attract SME bookings and hybrid events.</w:t>
            </w:r>
          </w:p>
        </w:tc>
        <w:tc>
          <w:tcPr>
            <w:tcW w:w="0" w:type="auto"/>
            <w:vAlign w:val="center"/>
            <w:hideMark/>
          </w:tcPr>
          <w:p w14:paraId="788422B7"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Upskill staff and modernise digital marketing to reduce vulnerability to tech-driven disruption.</w:t>
            </w:r>
          </w:p>
        </w:tc>
      </w:tr>
    </w:tbl>
    <w:p w14:paraId="3E8CCF9C" w14:textId="77777777" w:rsidR="00146D56" w:rsidRDefault="00146D56" w:rsidP="000D214E">
      <w:pPr>
        <w:rPr>
          <w:rFonts w:eastAsia="Times New Roman" w:cs="Times New Roman"/>
          <w:kern w:val="0"/>
          <w:lang w:eastAsia="en-GB"/>
          <w14:ligatures w14:val="none"/>
        </w:rPr>
      </w:pPr>
    </w:p>
    <w:p w14:paraId="0D8CAF95" w14:textId="40DBCAEC" w:rsidR="00146D56" w:rsidRPr="00146D56" w:rsidRDefault="00146D56" w:rsidP="00146D56">
      <w:pPr>
        <w:jc w:val="center"/>
        <w:rPr>
          <w:rFonts w:eastAsia="Times New Roman" w:cs="Times New Roman"/>
          <w:b/>
          <w:bCs/>
          <w:kern w:val="0"/>
          <w:lang w:eastAsia="en-GB"/>
          <w14:ligatures w14:val="none"/>
        </w:rPr>
      </w:pPr>
      <w:r w:rsidRPr="00146D56">
        <w:rPr>
          <w:rFonts w:eastAsia="Times New Roman" w:cs="Times New Roman"/>
          <w:b/>
          <w:bCs/>
          <w:kern w:val="0"/>
          <w:lang w:eastAsia="en-GB"/>
          <w14:ligatures w14:val="none"/>
        </w:rPr>
        <w:t xml:space="preserve">Table 3: TOWS Matrix for Hyatt Regency </w:t>
      </w:r>
      <w:r w:rsidR="00C74020" w:rsidRPr="00146D56">
        <w:rPr>
          <w:rFonts w:eastAsia="Times New Roman" w:cs="Times New Roman"/>
          <w:b/>
          <w:bCs/>
          <w:kern w:val="0"/>
          <w:lang w:eastAsia="en-GB"/>
          <w14:ligatures w14:val="none"/>
        </w:rPr>
        <w:t>Birmingham</w:t>
      </w:r>
      <w:r w:rsidR="00C74020">
        <w:rPr>
          <w:rFonts w:eastAsia="Times New Roman" w:cs="Times New Roman"/>
          <w:b/>
          <w:bCs/>
          <w:kern w:val="0"/>
          <w:lang w:eastAsia="en-GB"/>
          <w14:ligatures w14:val="none"/>
        </w:rPr>
        <w:t xml:space="preserve"> (</w:t>
      </w:r>
      <w:r w:rsidR="004B6A8E">
        <w:rPr>
          <w:rFonts w:eastAsia="Times New Roman" w:cs="Times New Roman"/>
          <w:b/>
          <w:bCs/>
          <w:kern w:val="0"/>
          <w:lang w:eastAsia="en-GB"/>
          <w14:ligatures w14:val="none"/>
        </w:rPr>
        <w:t>Self-developed)</w:t>
      </w:r>
    </w:p>
    <w:p w14:paraId="2802FC53" w14:textId="2C45D1C1"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Strategies generated from this matrix include investing in technology, forming localised partnerships, enhancing sustainability credentials, and re-engaging with new business audiences through targeted marketing.</w:t>
      </w:r>
    </w:p>
    <w:p w14:paraId="54911A7B"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To further support the analysis, it is critical to examine how </w:t>
      </w:r>
      <w:r w:rsidRPr="00903DCF">
        <w:rPr>
          <w:rFonts w:eastAsia="Times New Roman" w:cs="Times New Roman"/>
          <w:b/>
          <w:bCs/>
          <w:kern w:val="0"/>
          <w:lang w:eastAsia="en-GB"/>
          <w14:ligatures w14:val="none"/>
        </w:rPr>
        <w:t>Hyatt Regency Birmingham’s</w:t>
      </w:r>
      <w:r w:rsidRPr="000D214E">
        <w:rPr>
          <w:rFonts w:eastAsia="Times New Roman" w:cs="Times New Roman"/>
          <w:kern w:val="0"/>
          <w:lang w:eastAsia="en-GB"/>
          <w14:ligatures w14:val="none"/>
        </w:rPr>
        <w:t xml:space="preserve"> challenges reflect broader industry trends and performance indicators.</w:t>
      </w:r>
    </w:p>
    <w:p w14:paraId="5DB1CF34" w14:textId="77777777" w:rsidR="00416ED9" w:rsidRPr="000D214E" w:rsidRDefault="00416ED9"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According to the Hyatt Hotels Corporation's 2023 Annual Report, comparable system-wide RevPAR increased by 17% from the previous year, indicating a post-pandemic recovery in global business travel (Hyatt, 2024). However, the report also revealed that recovery varied significantly by market, with urban conference-driven hotels </w:t>
      </w:r>
      <w:proofErr w:type="gramStart"/>
      <w:r w:rsidRPr="000D214E">
        <w:rPr>
          <w:rFonts w:eastAsia="Times New Roman" w:cs="Times New Roman"/>
          <w:kern w:val="0"/>
          <w:lang w:eastAsia="en-GB"/>
          <w14:ligatures w14:val="none"/>
        </w:rPr>
        <w:t>lagging behind</w:t>
      </w:r>
      <w:proofErr w:type="gramEnd"/>
      <w:r w:rsidRPr="000D214E">
        <w:rPr>
          <w:rFonts w:eastAsia="Times New Roman" w:cs="Times New Roman"/>
          <w:kern w:val="0"/>
          <w:lang w:eastAsia="en-GB"/>
          <w14:ligatures w14:val="none"/>
        </w:rPr>
        <w:t xml:space="preserve"> resort and leisure-focused destinations. For Hyatt Regency Birmingham, this translates to a slower return to pre-pandemic levels of MICE business.</w:t>
      </w:r>
    </w:p>
    <w:p w14:paraId="48F917E8" w14:textId="2D8373CE" w:rsidR="00416ED9" w:rsidRPr="000D214E" w:rsidRDefault="004F7075" w:rsidP="000D214E">
      <w:pPr>
        <w:rPr>
          <w:rFonts w:eastAsia="Times New Roman" w:cs="Times New Roman"/>
          <w:kern w:val="0"/>
          <w:lang w:eastAsia="en-GB"/>
          <w14:ligatures w14:val="none"/>
        </w:rPr>
      </w:pPr>
      <w:r w:rsidRPr="000D214E">
        <w:rPr>
          <w:rFonts w:eastAsia="Times New Roman" w:cs="Times New Roman"/>
          <w:noProof/>
          <w:kern w:val="0"/>
          <w:lang w:eastAsia="en-GB"/>
          <w14:ligatures w14:val="none"/>
        </w:rPr>
        <w:lastRenderedPageBreak/>
        <w:drawing>
          <wp:anchor distT="0" distB="0" distL="114300" distR="114300" simplePos="0" relativeHeight="251658240" behindDoc="1" locked="0" layoutInCell="1" allowOverlap="1" wp14:anchorId="22440E1B" wp14:editId="227AA366">
            <wp:simplePos x="0" y="0"/>
            <wp:positionH relativeFrom="column">
              <wp:posOffset>480060</wp:posOffset>
            </wp:positionH>
            <wp:positionV relativeFrom="paragraph">
              <wp:posOffset>1675765</wp:posOffset>
            </wp:positionV>
            <wp:extent cx="4800600" cy="5991225"/>
            <wp:effectExtent l="0" t="0" r="0" b="9525"/>
            <wp:wrapTight wrapText="bothSides">
              <wp:wrapPolygon edited="0">
                <wp:start x="0" y="0"/>
                <wp:lineTo x="0" y="21566"/>
                <wp:lineTo x="21514" y="21566"/>
                <wp:lineTo x="21514" y="0"/>
                <wp:lineTo x="0" y="0"/>
              </wp:wrapPolygon>
            </wp:wrapTight>
            <wp:docPr id="765547456" name="Picture 1" descr="A website with a pool and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547456" name="Picture 1" descr="A website with a pool and a pers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800600" cy="5991225"/>
                    </a:xfrm>
                    <a:prstGeom prst="rect">
                      <a:avLst/>
                    </a:prstGeom>
                  </pic:spPr>
                </pic:pic>
              </a:graphicData>
            </a:graphic>
            <wp14:sizeRelH relativeFrom="margin">
              <wp14:pctWidth>0</wp14:pctWidth>
            </wp14:sizeRelH>
            <wp14:sizeRelV relativeFrom="margin">
              <wp14:pctHeight>0</wp14:pctHeight>
            </wp14:sizeRelV>
          </wp:anchor>
        </w:drawing>
      </w:r>
      <w:r w:rsidR="00195E36" w:rsidRPr="000D214E">
        <w:rPr>
          <w:rFonts w:eastAsia="Times New Roman" w:cs="Times New Roman"/>
          <w:kern w:val="0"/>
          <w:lang w:eastAsia="en-GB"/>
          <w14:ligatures w14:val="none"/>
        </w:rPr>
        <w:t>Hyatt’s Q4 2023 reporting showed a net income of $220 million, and Adjusted EBITDA for the full year reached approximately $1.029 billion, marking a strong performance amid ongoing global recovery</w:t>
      </w:r>
      <w:r w:rsidR="00FD1A0D">
        <w:rPr>
          <w:rFonts w:eastAsia="Times New Roman" w:cs="Times New Roman"/>
          <w:kern w:val="0"/>
          <w:lang w:eastAsia="en-GB"/>
          <w14:ligatures w14:val="none"/>
        </w:rPr>
        <w:t xml:space="preserve"> (</w:t>
      </w:r>
      <w:r w:rsidR="00FB5A8F" w:rsidRPr="000D214E">
        <w:rPr>
          <w:rFonts w:eastAsia="Times New Roman" w:cs="Times New Roman"/>
          <w:kern w:val="0"/>
          <w:lang w:eastAsia="en-GB"/>
          <w14:ligatures w14:val="none"/>
        </w:rPr>
        <w:t>Hyatt Hotels Corporation, 2024</w:t>
      </w:r>
      <w:r w:rsidR="00FB5A8F">
        <w:rPr>
          <w:rFonts w:eastAsia="Times New Roman" w:cs="Times New Roman"/>
          <w:kern w:val="0"/>
          <w:lang w:eastAsia="en-GB"/>
          <w14:ligatures w14:val="none"/>
        </w:rPr>
        <w:t>)</w:t>
      </w:r>
      <w:r w:rsidR="007C455B" w:rsidRPr="000D214E">
        <w:rPr>
          <w:rFonts w:eastAsia="Times New Roman" w:cs="Times New Roman"/>
          <w:kern w:val="0"/>
          <w:lang w:eastAsia="en-GB"/>
          <w14:ligatures w14:val="none"/>
        </w:rPr>
        <w:t xml:space="preserve">. Net </w:t>
      </w:r>
      <w:r w:rsidR="00575921">
        <w:rPr>
          <w:rFonts w:eastAsia="Times New Roman" w:cs="Times New Roman"/>
          <w:kern w:val="0"/>
          <w:lang w:eastAsia="en-GB"/>
          <w14:ligatures w14:val="none"/>
        </w:rPr>
        <w:t>room</w:t>
      </w:r>
      <w:r w:rsidR="007C455B" w:rsidRPr="000D214E">
        <w:rPr>
          <w:rFonts w:eastAsia="Times New Roman" w:cs="Times New Roman"/>
          <w:kern w:val="0"/>
          <w:lang w:eastAsia="en-GB"/>
          <w14:ligatures w14:val="none"/>
        </w:rPr>
        <w:t xml:space="preserve"> growth was 5.9% for the full year of 2023</w:t>
      </w:r>
      <w:r w:rsidR="00195E36" w:rsidRPr="000D214E">
        <w:rPr>
          <w:rFonts w:eastAsia="Times New Roman" w:cs="Times New Roman"/>
          <w:kern w:val="0"/>
          <w:lang w:eastAsia="en-GB"/>
          <w14:ligatures w14:val="none"/>
        </w:rPr>
        <w:t xml:space="preserve"> (Hyatt, 2024)</w:t>
      </w:r>
      <w:r w:rsidR="00416ED9" w:rsidRPr="000D214E">
        <w:rPr>
          <w:rFonts w:eastAsia="Times New Roman" w:cs="Times New Roman"/>
          <w:kern w:val="0"/>
          <w:lang w:eastAsia="en-GB"/>
          <w14:ligatures w14:val="none"/>
        </w:rPr>
        <w:t>. These figures are promising but do not reflect the regional constraints facing the Birmingham property, which remains under pressure due to sluggish event space demand and reduced midweek corporate travel.</w:t>
      </w:r>
    </w:p>
    <w:p w14:paraId="4BB9E74D" w14:textId="52FB1642" w:rsidR="00876BFB" w:rsidRPr="000D214E" w:rsidRDefault="00876BFB" w:rsidP="000D214E">
      <w:pPr>
        <w:rPr>
          <w:rFonts w:eastAsia="Times New Roman" w:cs="Times New Roman"/>
          <w:kern w:val="0"/>
          <w:lang w:eastAsia="en-GB"/>
          <w14:ligatures w14:val="none"/>
        </w:rPr>
      </w:pPr>
    </w:p>
    <w:p w14:paraId="210CFE49" w14:textId="77777777" w:rsidR="00876BFB" w:rsidRPr="000D214E" w:rsidRDefault="00876BFB" w:rsidP="000D214E">
      <w:pPr>
        <w:rPr>
          <w:rFonts w:eastAsia="Times New Roman" w:cs="Times New Roman"/>
          <w:kern w:val="0"/>
          <w:lang w:eastAsia="en-GB"/>
          <w14:ligatures w14:val="none"/>
        </w:rPr>
      </w:pPr>
    </w:p>
    <w:p w14:paraId="05130684" w14:textId="77777777" w:rsidR="00876BFB" w:rsidRPr="000D214E" w:rsidRDefault="00876BFB" w:rsidP="000D214E">
      <w:pPr>
        <w:rPr>
          <w:rFonts w:eastAsia="Times New Roman" w:cs="Times New Roman"/>
          <w:kern w:val="0"/>
          <w:lang w:eastAsia="en-GB"/>
          <w14:ligatures w14:val="none"/>
        </w:rPr>
      </w:pPr>
    </w:p>
    <w:p w14:paraId="482B0269" w14:textId="77777777" w:rsidR="00876BFB" w:rsidRPr="000D214E" w:rsidRDefault="00876BFB" w:rsidP="000D214E">
      <w:pPr>
        <w:rPr>
          <w:rFonts w:eastAsia="Times New Roman" w:cs="Times New Roman"/>
          <w:kern w:val="0"/>
          <w:lang w:eastAsia="en-GB"/>
          <w14:ligatures w14:val="none"/>
        </w:rPr>
      </w:pPr>
    </w:p>
    <w:p w14:paraId="738F6E0F" w14:textId="3747E4A0" w:rsidR="00A66A9B" w:rsidRPr="000D214E" w:rsidRDefault="00416ED9" w:rsidP="004B6A8E">
      <w:pPr>
        <w:jc w:val="center"/>
        <w:rPr>
          <w:rFonts w:eastAsia="Times New Roman" w:cs="Times New Roman"/>
          <w:kern w:val="0"/>
          <w:lang w:eastAsia="en-GB"/>
          <w14:ligatures w14:val="none"/>
        </w:rPr>
      </w:pPr>
      <w:r w:rsidRPr="004B6A8E">
        <w:rPr>
          <w:rFonts w:eastAsia="Times New Roman" w:cs="Times New Roman"/>
          <w:b/>
          <w:bCs/>
          <w:kern w:val="0"/>
          <w:lang w:eastAsia="en-GB"/>
          <w14:ligatures w14:val="none"/>
        </w:rPr>
        <w:t>Figure 1: RevPAR Growth by Segment (2023)</w:t>
      </w:r>
      <w:r w:rsidRPr="004B6A8E">
        <w:rPr>
          <w:rFonts w:eastAsia="Times New Roman" w:cs="Times New Roman"/>
          <w:kern w:val="0"/>
          <w:lang w:eastAsia="en-GB"/>
          <w14:ligatures w14:val="none"/>
        </w:rPr>
        <w:br/>
      </w:r>
      <w:r w:rsidRPr="000D214E">
        <w:rPr>
          <w:rFonts w:eastAsia="Times New Roman" w:cs="Times New Roman"/>
          <w:kern w:val="0"/>
          <w:lang w:eastAsia="en-GB"/>
          <w14:ligatures w14:val="none"/>
        </w:rPr>
        <w:t>(Source: Hyatt Hotels Corporation, 2024)</w:t>
      </w:r>
      <w:r w:rsidRPr="000D214E">
        <w:rPr>
          <w:rFonts w:eastAsia="Times New Roman" w:cs="Times New Roman"/>
          <w:kern w:val="0"/>
          <w:lang w:eastAsia="en-GB"/>
          <w14:ligatures w14:val="none"/>
        </w:rPr>
        <w:br/>
      </w:r>
    </w:p>
    <w:p w14:paraId="38144A84" w14:textId="47EDFC4D" w:rsidR="00A66A9B" w:rsidRPr="000D214E" w:rsidRDefault="004F7075" w:rsidP="000D214E">
      <w:pPr>
        <w:rPr>
          <w:rFonts w:eastAsia="Times New Roman" w:cs="Times New Roman"/>
          <w:kern w:val="0"/>
          <w:lang w:eastAsia="en-GB"/>
          <w14:ligatures w14:val="none"/>
        </w:rPr>
      </w:pPr>
      <w:r w:rsidRPr="000D214E">
        <w:rPr>
          <w:rFonts w:eastAsia="Times New Roman" w:cs="Times New Roman"/>
          <w:noProof/>
          <w:kern w:val="0"/>
          <w:lang w:eastAsia="en-GB"/>
          <w14:ligatures w14:val="none"/>
        </w:rPr>
        <w:lastRenderedPageBreak/>
        <w:drawing>
          <wp:anchor distT="0" distB="0" distL="114300" distR="114300" simplePos="0" relativeHeight="251659264" behindDoc="1" locked="0" layoutInCell="1" allowOverlap="1" wp14:anchorId="5BC68A4A" wp14:editId="2E2BE639">
            <wp:simplePos x="0" y="0"/>
            <wp:positionH relativeFrom="column">
              <wp:posOffset>198120</wp:posOffset>
            </wp:positionH>
            <wp:positionV relativeFrom="paragraph">
              <wp:posOffset>2400300</wp:posOffset>
            </wp:positionV>
            <wp:extent cx="5733415" cy="4451350"/>
            <wp:effectExtent l="0" t="0" r="635" b="6350"/>
            <wp:wrapTight wrapText="bothSides">
              <wp:wrapPolygon edited="0">
                <wp:start x="0" y="0"/>
                <wp:lineTo x="0" y="21538"/>
                <wp:lineTo x="21531" y="21538"/>
                <wp:lineTo x="21531" y="0"/>
                <wp:lineTo x="0" y="0"/>
              </wp:wrapPolygon>
            </wp:wrapTight>
            <wp:docPr id="652503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03370" name=""/>
                    <pic:cNvPicPr/>
                  </pic:nvPicPr>
                  <pic:blipFill>
                    <a:blip r:embed="rId10">
                      <a:extLst>
                        <a:ext uri="{28A0092B-C50C-407E-A947-70E740481C1C}">
                          <a14:useLocalDpi xmlns:a14="http://schemas.microsoft.com/office/drawing/2010/main" val="0"/>
                        </a:ext>
                      </a:extLst>
                    </a:blip>
                    <a:stretch>
                      <a:fillRect/>
                    </a:stretch>
                  </pic:blipFill>
                  <pic:spPr>
                    <a:xfrm>
                      <a:off x="0" y="0"/>
                      <a:ext cx="5733415" cy="4451350"/>
                    </a:xfrm>
                    <a:prstGeom prst="rect">
                      <a:avLst/>
                    </a:prstGeom>
                  </pic:spPr>
                </pic:pic>
              </a:graphicData>
            </a:graphic>
          </wp:anchor>
        </w:drawing>
      </w:r>
      <w:r w:rsidR="00A66A9B" w:rsidRPr="000D214E">
        <w:rPr>
          <w:rFonts w:eastAsia="Times New Roman" w:cs="Times New Roman"/>
          <w:kern w:val="0"/>
          <w:lang w:eastAsia="en-GB"/>
          <w14:ligatures w14:val="none"/>
        </w:rPr>
        <w:t>A UK-wide hospitality analysis by Knight Frank (2023) noted that while leisure-led occupancy rebounded to 74.1</w:t>
      </w:r>
      <w:r w:rsidR="00DD7D35" w:rsidRPr="000D214E">
        <w:rPr>
          <w:rFonts w:eastAsia="Times New Roman" w:cs="Times New Roman"/>
          <w:kern w:val="0"/>
          <w:lang w:eastAsia="en-GB"/>
          <w14:ligatures w14:val="none"/>
        </w:rPr>
        <w:t xml:space="preserve">% with ADR growing to £103, marking the first time in history to achieve above £100 </w:t>
      </w:r>
      <w:r w:rsidR="00A66A9B" w:rsidRPr="000D214E">
        <w:rPr>
          <w:rFonts w:eastAsia="Times New Roman" w:cs="Times New Roman"/>
          <w:kern w:val="0"/>
          <w:lang w:eastAsia="en-GB"/>
          <w14:ligatures w14:val="none"/>
        </w:rPr>
        <w:t>in regional cities, business-led urban hotels faced persistent weekday under-occupancy. This aligns with reports from Hotel Management Network (2024), which found that the average occupancy rate across the UK grew to 79.1% by the end of 2023,</w:t>
      </w:r>
      <w:r w:rsidR="00625EC7" w:rsidRPr="000D214E">
        <w:rPr>
          <w:rFonts w:eastAsia="Times New Roman" w:cs="Times New Roman"/>
          <w:kern w:val="0"/>
          <w:lang w:eastAsia="en-GB"/>
          <w14:ligatures w14:val="none"/>
        </w:rPr>
        <w:t xml:space="preserve"> Average Daily Rate (ADR) for occupied rooms across the UK increased from £143.71 to £148.46 and </w:t>
      </w:r>
      <w:r w:rsidR="00D53CFF" w:rsidRPr="000D214E">
        <w:rPr>
          <w:rFonts w:eastAsia="Times New Roman" w:cs="Times New Roman"/>
          <w:kern w:val="0"/>
          <w:lang w:eastAsia="en-GB"/>
          <w14:ligatures w14:val="none"/>
        </w:rPr>
        <w:t>Gross Operating Profit (GOP) for UK hotels improved from 35.2% to 36.6%</w:t>
      </w:r>
      <w:r w:rsidR="007E4921" w:rsidRPr="000D214E">
        <w:rPr>
          <w:rFonts w:eastAsia="Times New Roman" w:cs="Times New Roman"/>
          <w:kern w:val="0"/>
          <w:lang w:eastAsia="en-GB"/>
          <w14:ligatures w14:val="none"/>
        </w:rPr>
        <w:t>,</w:t>
      </w:r>
      <w:r w:rsidR="00D53CFF" w:rsidRPr="000D214E">
        <w:rPr>
          <w:rFonts w:eastAsia="Times New Roman" w:cs="Times New Roman"/>
          <w:kern w:val="0"/>
          <w:lang w:eastAsia="en-GB"/>
          <w14:ligatures w14:val="none"/>
        </w:rPr>
        <w:t xml:space="preserve"> </w:t>
      </w:r>
      <w:r w:rsidR="00A66A9B" w:rsidRPr="000D214E">
        <w:rPr>
          <w:rFonts w:eastAsia="Times New Roman" w:cs="Times New Roman"/>
          <w:kern w:val="0"/>
          <w:lang w:eastAsia="en-GB"/>
          <w14:ligatures w14:val="none"/>
        </w:rPr>
        <w:t>but Birmingham underperformed relative to other core cities such as Manchester and Edinburgh due to its reliance on business events.</w:t>
      </w:r>
    </w:p>
    <w:p w14:paraId="43D8AD92" w14:textId="77777777" w:rsidR="004F7075" w:rsidRDefault="004F7075" w:rsidP="00093199">
      <w:pPr>
        <w:jc w:val="center"/>
        <w:rPr>
          <w:rFonts w:eastAsia="Times New Roman" w:cs="Times New Roman"/>
          <w:b/>
          <w:bCs/>
          <w:kern w:val="0"/>
          <w:lang w:eastAsia="en-GB"/>
          <w14:ligatures w14:val="none"/>
        </w:rPr>
      </w:pPr>
    </w:p>
    <w:p w14:paraId="7B342D3C" w14:textId="0AED1203" w:rsidR="00416ED9" w:rsidRPr="000D214E" w:rsidRDefault="00416ED9" w:rsidP="00093199">
      <w:pPr>
        <w:jc w:val="center"/>
        <w:rPr>
          <w:rFonts w:eastAsia="Times New Roman" w:cs="Times New Roman"/>
          <w:kern w:val="0"/>
          <w:lang w:eastAsia="en-GB"/>
          <w14:ligatures w14:val="none"/>
        </w:rPr>
      </w:pPr>
      <w:r w:rsidRPr="00093199">
        <w:rPr>
          <w:rFonts w:eastAsia="Times New Roman" w:cs="Times New Roman"/>
          <w:b/>
          <w:bCs/>
          <w:kern w:val="0"/>
          <w:lang w:eastAsia="en-GB"/>
          <w14:ligatures w14:val="none"/>
        </w:rPr>
        <w:t>Figure 2: UK Urban Hotel Weekday Occupancy (%) – Birmingham vs National Average</w:t>
      </w:r>
      <w:r w:rsidRPr="00093199">
        <w:rPr>
          <w:rFonts w:eastAsia="Times New Roman" w:cs="Times New Roman"/>
          <w:kern w:val="0"/>
          <w:lang w:eastAsia="en-GB"/>
          <w14:ligatures w14:val="none"/>
        </w:rPr>
        <w:br/>
      </w:r>
      <w:r w:rsidRPr="000D214E">
        <w:rPr>
          <w:rFonts w:eastAsia="Times New Roman" w:cs="Times New Roman"/>
          <w:kern w:val="0"/>
          <w:lang w:eastAsia="en-GB"/>
          <w14:ligatures w14:val="none"/>
        </w:rPr>
        <w:t>(Source: Hotel Management Network, 2024)</w:t>
      </w:r>
      <w:r w:rsidRPr="000D214E">
        <w:rPr>
          <w:rFonts w:eastAsia="Times New Roman" w:cs="Times New Roman"/>
          <w:kern w:val="0"/>
          <w:lang w:eastAsia="en-GB"/>
          <w14:ligatures w14:val="none"/>
        </w:rPr>
        <w:br/>
      </w:r>
    </w:p>
    <w:p w14:paraId="2AA9F9C2" w14:textId="1C6F3D12" w:rsidR="00D14CA5" w:rsidRPr="00D14CA5" w:rsidRDefault="00CE65C5" w:rsidP="00D14CA5">
      <w:pPr>
        <w:rPr>
          <w:rFonts w:eastAsia="Times New Roman" w:cs="Times New Roman"/>
          <w:kern w:val="0"/>
          <w:lang w:eastAsia="en-GB"/>
          <w14:ligatures w14:val="none"/>
        </w:rPr>
      </w:pPr>
      <w:r w:rsidRPr="000D214E">
        <w:rPr>
          <w:rFonts w:eastAsia="Times New Roman" w:cs="Times New Roman"/>
          <w:kern w:val="0"/>
          <w:lang w:eastAsia="en-GB"/>
          <w14:ligatures w14:val="none"/>
        </w:rPr>
        <w:t>The Downtown Birmingham Economic Vitality Report for Q3 and Q4 2023 indicates that the 12-month hotel occupancy rate in downtown Birmingham stood at 65.6%</w:t>
      </w:r>
      <w:r w:rsidR="008E78AA">
        <w:rPr>
          <w:rFonts w:eastAsia="Times New Roman" w:cs="Times New Roman"/>
          <w:kern w:val="0"/>
          <w:lang w:eastAsia="en-GB"/>
          <w14:ligatures w14:val="none"/>
        </w:rPr>
        <w:t xml:space="preserve"> </w:t>
      </w:r>
      <w:r w:rsidR="00D060A6">
        <w:rPr>
          <w:rFonts w:eastAsia="Times New Roman" w:cs="Times New Roman"/>
          <w:kern w:val="0"/>
          <w:lang w:eastAsia="en-GB"/>
          <w14:ligatures w14:val="none"/>
        </w:rPr>
        <w:t>(</w:t>
      </w:r>
      <w:r w:rsidR="008E78AA" w:rsidRPr="000D214E">
        <w:rPr>
          <w:rFonts w:eastAsia="Times New Roman" w:cs="Times New Roman"/>
          <w:kern w:val="0"/>
          <w:lang w:eastAsia="en-GB"/>
          <w14:ligatures w14:val="none"/>
        </w:rPr>
        <w:t xml:space="preserve">Hotel Management </w:t>
      </w:r>
      <w:r w:rsidR="008E78AA" w:rsidRPr="000D214E">
        <w:rPr>
          <w:rFonts w:eastAsia="Times New Roman" w:cs="Times New Roman"/>
          <w:kern w:val="0"/>
          <w:lang w:eastAsia="en-GB"/>
          <w14:ligatures w14:val="none"/>
        </w:rPr>
        <w:lastRenderedPageBreak/>
        <w:t>Network, 2024</w:t>
      </w:r>
      <w:r w:rsidR="008E78AA">
        <w:rPr>
          <w:rFonts w:eastAsia="Times New Roman" w:cs="Times New Roman"/>
          <w:kern w:val="0"/>
          <w:lang w:eastAsia="en-GB"/>
          <w14:ligatures w14:val="none"/>
        </w:rPr>
        <w:t>)</w:t>
      </w:r>
      <w:r w:rsidRPr="000D214E">
        <w:rPr>
          <w:rFonts w:eastAsia="Times New Roman" w:cs="Times New Roman"/>
          <w:kern w:val="0"/>
          <w:lang w:eastAsia="en-GB"/>
          <w14:ligatures w14:val="none"/>
        </w:rPr>
        <w:t xml:space="preserve">. This figure reflects a recovery from the pandemic-induced lows but still </w:t>
      </w:r>
      <w:proofErr w:type="gramStart"/>
      <w:r w:rsidR="00D14CA5" w:rsidRPr="000D214E">
        <w:rPr>
          <w:rFonts w:eastAsia="Times New Roman" w:cs="Times New Roman"/>
          <w:kern w:val="0"/>
          <w:lang w:eastAsia="en-GB"/>
          <w14:ligatures w14:val="none"/>
        </w:rPr>
        <w:t>lags</w:t>
      </w:r>
      <w:r w:rsidRPr="000D214E">
        <w:rPr>
          <w:rFonts w:eastAsia="Times New Roman" w:cs="Times New Roman"/>
          <w:kern w:val="0"/>
          <w:lang w:eastAsia="en-GB"/>
          <w14:ligatures w14:val="none"/>
        </w:rPr>
        <w:t xml:space="preserve"> </w:t>
      </w:r>
      <w:r w:rsidR="00575921">
        <w:rPr>
          <w:rFonts w:eastAsia="Times New Roman" w:cs="Times New Roman"/>
          <w:kern w:val="0"/>
          <w:lang w:eastAsia="en-GB"/>
          <w14:ligatures w14:val="none"/>
        </w:rPr>
        <w:t>behind</w:t>
      </w:r>
      <w:proofErr w:type="gramEnd"/>
      <w:r w:rsidR="00575921">
        <w:rPr>
          <w:rFonts w:eastAsia="Times New Roman" w:cs="Times New Roman"/>
          <w:kern w:val="0"/>
          <w:lang w:eastAsia="en-GB"/>
          <w14:ligatures w14:val="none"/>
        </w:rPr>
        <w:t xml:space="preserve"> </w:t>
      </w:r>
      <w:r w:rsidRPr="000D214E">
        <w:rPr>
          <w:rFonts w:eastAsia="Times New Roman" w:cs="Times New Roman"/>
          <w:kern w:val="0"/>
          <w:lang w:eastAsia="en-GB"/>
          <w14:ligatures w14:val="none"/>
        </w:rPr>
        <w:t xml:space="preserve">the national average. </w:t>
      </w:r>
      <w:r w:rsidR="00D14CA5" w:rsidRPr="00D14CA5">
        <w:rPr>
          <w:rFonts w:eastAsia="Times New Roman" w:cs="Times New Roman"/>
          <w:kern w:val="0"/>
          <w:lang w:eastAsia="en-GB"/>
          <w14:ligatures w14:val="none"/>
        </w:rPr>
        <w:t xml:space="preserve">For example, the </w:t>
      </w:r>
      <w:r w:rsidR="00D14CA5">
        <w:rPr>
          <w:rFonts w:eastAsia="Times New Roman" w:cs="Times New Roman"/>
          <w:kern w:val="0"/>
          <w:lang w:eastAsia="en-GB"/>
          <w14:ligatures w14:val="none"/>
        </w:rPr>
        <w:t>UK's hotel occupancy rate has increased</w:t>
      </w:r>
      <w:r w:rsidR="00D14CA5" w:rsidRPr="00D14CA5">
        <w:rPr>
          <w:rFonts w:eastAsia="Times New Roman" w:cs="Times New Roman"/>
          <w:kern w:val="0"/>
          <w:lang w:eastAsia="en-GB"/>
          <w14:ligatures w14:val="none"/>
        </w:rPr>
        <w:t xml:space="preserve"> by 2.5 points YoY in November 2023, from 76.6% to 79.1%. There are several </w:t>
      </w:r>
      <w:r w:rsidR="00D14CA5">
        <w:rPr>
          <w:rFonts w:eastAsia="Times New Roman" w:cs="Times New Roman"/>
          <w:kern w:val="0"/>
          <w:lang w:eastAsia="en-GB"/>
          <w14:ligatures w14:val="none"/>
        </w:rPr>
        <w:t>reasons</w:t>
      </w:r>
      <w:r w:rsidR="00D14CA5" w:rsidRPr="00D14CA5">
        <w:rPr>
          <w:rFonts w:eastAsia="Times New Roman" w:cs="Times New Roman"/>
          <w:kern w:val="0"/>
          <w:lang w:eastAsia="en-GB"/>
          <w14:ligatures w14:val="none"/>
        </w:rPr>
        <w:t xml:space="preserve"> why occupancy rates are lower in Birmingham</w:t>
      </w:r>
      <w:r w:rsidR="00D14CA5">
        <w:rPr>
          <w:rFonts w:eastAsia="Times New Roman" w:cs="Times New Roman"/>
          <w:kern w:val="0"/>
          <w:lang w:eastAsia="en-GB"/>
          <w14:ligatures w14:val="none"/>
        </w:rPr>
        <w:t>,</w:t>
      </w:r>
      <w:r w:rsidR="00D14CA5" w:rsidRPr="00D14CA5">
        <w:rPr>
          <w:rFonts w:eastAsia="Times New Roman" w:cs="Times New Roman"/>
          <w:kern w:val="0"/>
          <w:lang w:eastAsia="en-GB"/>
          <w14:ligatures w14:val="none"/>
        </w:rPr>
        <w:t xml:space="preserve"> such as less business travel and competition from other accommodation options. Being that Hyatt Regency Birmingham is such a well-known name in the area, these trends go directly to them, and they must have a plan in place to increase occupancy rates, like targeting local events and bettering their marketing.</w:t>
      </w:r>
    </w:p>
    <w:p w14:paraId="31180F19" w14:textId="77777777" w:rsidR="00D14CA5" w:rsidRDefault="00D14CA5" w:rsidP="00D14CA5">
      <w:pPr>
        <w:rPr>
          <w:rFonts w:eastAsia="Times New Roman" w:cs="Times New Roman"/>
          <w:kern w:val="0"/>
          <w:lang w:eastAsia="en-GB"/>
          <w14:ligatures w14:val="none"/>
        </w:rPr>
      </w:pPr>
      <w:r w:rsidRPr="00D14CA5">
        <w:rPr>
          <w:rFonts w:eastAsia="Times New Roman" w:cs="Times New Roman"/>
          <w:kern w:val="0"/>
          <w:lang w:eastAsia="en-GB"/>
          <w14:ligatures w14:val="none"/>
        </w:rPr>
        <w:t>These figures back up Hyatt Regency Birmingham’s challenge</w:t>
      </w:r>
      <w:r>
        <w:rPr>
          <w:rFonts w:eastAsia="Times New Roman" w:cs="Times New Roman"/>
          <w:kern w:val="0"/>
          <w:lang w:eastAsia="en-GB"/>
          <w14:ligatures w14:val="none"/>
        </w:rPr>
        <w:t>,</w:t>
      </w:r>
      <w:r w:rsidRPr="00D14CA5">
        <w:rPr>
          <w:rFonts w:eastAsia="Times New Roman" w:cs="Times New Roman"/>
          <w:kern w:val="0"/>
          <w:lang w:eastAsia="en-GB"/>
          <w14:ligatures w14:val="none"/>
        </w:rPr>
        <w:t xml:space="preserve"> which is not an isolated issue but a key component of a long-term transition in UK business travel and events.</w:t>
      </w:r>
      <w:r>
        <w:rPr>
          <w:rFonts w:eastAsia="Times New Roman" w:cs="Times New Roman"/>
          <w:kern w:val="0"/>
          <w:lang w:eastAsia="en-GB"/>
          <w14:ligatures w14:val="none"/>
        </w:rPr>
        <w:t xml:space="preserve"> </w:t>
      </w:r>
    </w:p>
    <w:p w14:paraId="26F2C2C5" w14:textId="12C1D514" w:rsidR="00416ED9" w:rsidRPr="00903DCF" w:rsidRDefault="00416ED9" w:rsidP="00921F9A">
      <w:pPr>
        <w:pStyle w:val="Heading2"/>
        <w:rPr>
          <w:rFonts w:eastAsia="Times New Roman"/>
          <w:lang w:eastAsia="en-GB"/>
        </w:rPr>
      </w:pPr>
      <w:bookmarkStart w:id="7" w:name="_Toc199940939"/>
      <w:r w:rsidRPr="00903DCF">
        <w:rPr>
          <w:rFonts w:eastAsia="Times New Roman"/>
          <w:lang w:eastAsia="en-GB"/>
        </w:rPr>
        <w:t>Summary of Findings</w:t>
      </w:r>
      <w:bookmarkEnd w:id="7"/>
    </w:p>
    <w:p w14:paraId="2AA1905D" w14:textId="16F79D49" w:rsidR="00CF1F22" w:rsidRPr="00CF1F22" w:rsidRDefault="00CF1F22" w:rsidP="00CF1F22">
      <w:pPr>
        <w:rPr>
          <w:rFonts w:eastAsia="Times New Roman" w:cs="Times New Roman"/>
          <w:kern w:val="0"/>
          <w:lang w:eastAsia="en-GB"/>
          <w14:ligatures w14:val="none"/>
        </w:rPr>
      </w:pPr>
      <w:r w:rsidRPr="00CF1F22">
        <w:rPr>
          <w:rFonts w:eastAsia="Times New Roman" w:cs="Times New Roman"/>
          <w:kern w:val="0"/>
          <w:lang w:eastAsia="en-GB"/>
          <w14:ligatures w14:val="none"/>
        </w:rPr>
        <w:t xml:space="preserve">This report shows </w:t>
      </w:r>
      <w:r w:rsidR="00B318D9" w:rsidRPr="00CF1F22">
        <w:rPr>
          <w:rFonts w:eastAsia="Times New Roman" w:cs="Times New Roman"/>
          <w:kern w:val="0"/>
          <w:lang w:eastAsia="en-GB"/>
          <w14:ligatures w14:val="none"/>
        </w:rPr>
        <w:t xml:space="preserve">a complex interplay of external pressures and internal constraints which affect Hyatt Regency Birmingham’s ability to achieve its former status as a leading MICE and business travel destination. The hotel benefits from intrinsic advantages such as the prestigious location </w:t>
      </w:r>
      <w:r w:rsidR="00B318D9">
        <w:rPr>
          <w:rFonts w:eastAsia="Times New Roman" w:cs="Times New Roman"/>
          <w:kern w:val="0"/>
          <w:lang w:eastAsia="en-GB"/>
          <w14:ligatures w14:val="none"/>
        </w:rPr>
        <w:t>following</w:t>
      </w:r>
      <w:r w:rsidR="00B318D9" w:rsidRPr="00CF1F22">
        <w:rPr>
          <w:rFonts w:eastAsia="Times New Roman" w:cs="Times New Roman"/>
          <w:kern w:val="0"/>
          <w:lang w:eastAsia="en-GB"/>
          <w14:ligatures w14:val="none"/>
        </w:rPr>
        <w:t xml:space="preserve"> the ICC, brand equity from affiliation with Hyatt Hotels Corporation, and a well-established events operations team</w:t>
      </w:r>
      <w:r w:rsidR="00B318D9">
        <w:rPr>
          <w:rFonts w:eastAsia="Times New Roman" w:cs="Times New Roman"/>
          <w:kern w:val="0"/>
          <w:lang w:eastAsia="en-GB"/>
          <w14:ligatures w14:val="none"/>
        </w:rPr>
        <w:t>. Still, it</w:t>
      </w:r>
      <w:r w:rsidRPr="00CF1F22">
        <w:rPr>
          <w:rFonts w:eastAsia="Times New Roman" w:cs="Times New Roman"/>
          <w:kern w:val="0"/>
          <w:lang w:eastAsia="en-GB"/>
          <w14:ligatures w14:val="none"/>
        </w:rPr>
        <w:t xml:space="preserve"> has failed to quickly adapt to changes in market demands and structural shifts in the business hospitality environment.</w:t>
      </w:r>
    </w:p>
    <w:p w14:paraId="19FBCE7A" w14:textId="3414102B" w:rsidR="00CF1F22" w:rsidRDefault="00CF1F22" w:rsidP="00CF1F22">
      <w:pPr>
        <w:rPr>
          <w:rFonts w:eastAsia="Times New Roman" w:cs="Times New Roman"/>
          <w:kern w:val="0"/>
          <w:lang w:eastAsia="en-GB"/>
          <w14:ligatures w14:val="none"/>
        </w:rPr>
      </w:pPr>
      <w:r w:rsidRPr="00CF1F22">
        <w:rPr>
          <w:rFonts w:eastAsia="Times New Roman" w:cs="Times New Roman"/>
          <w:kern w:val="0"/>
          <w:lang w:eastAsia="en-GB"/>
          <w14:ligatures w14:val="none"/>
        </w:rPr>
        <w:t xml:space="preserve">Externally, the increase in people working remotely and a hybrid work form has permanently shrunk the need for typical </w:t>
      </w:r>
      <w:r w:rsidR="00B318D9">
        <w:rPr>
          <w:rFonts w:eastAsia="Times New Roman" w:cs="Times New Roman"/>
          <w:kern w:val="0"/>
          <w:lang w:eastAsia="en-GB"/>
          <w14:ligatures w14:val="none"/>
        </w:rPr>
        <w:t>in-person</w:t>
      </w:r>
      <w:r w:rsidRPr="00CF1F22">
        <w:rPr>
          <w:rFonts w:eastAsia="Times New Roman" w:cs="Times New Roman"/>
          <w:kern w:val="0"/>
          <w:lang w:eastAsia="en-GB"/>
          <w14:ligatures w14:val="none"/>
        </w:rPr>
        <w:t xml:space="preserve"> meetings, thereby shrinking demand for conference space</w:t>
      </w:r>
      <w:r w:rsidR="00881A3E">
        <w:rPr>
          <w:rFonts w:eastAsia="Times New Roman" w:cs="Times New Roman"/>
          <w:kern w:val="0"/>
          <w:lang w:eastAsia="en-GB"/>
          <w14:ligatures w14:val="none"/>
        </w:rPr>
        <w:t xml:space="preserve"> </w:t>
      </w:r>
      <w:r w:rsidR="00881A3E" w:rsidRPr="00881A3E">
        <w:rPr>
          <w:rFonts w:eastAsia="Times New Roman" w:cs="Times New Roman"/>
          <w:kern w:val="0"/>
          <w:lang w:eastAsia="en-GB"/>
          <w14:ligatures w14:val="none"/>
        </w:rPr>
        <w:t>(Durão et al., 2024)</w:t>
      </w:r>
      <w:r w:rsidRPr="00CF1F22">
        <w:rPr>
          <w:rFonts w:eastAsia="Times New Roman" w:cs="Times New Roman"/>
          <w:kern w:val="0"/>
          <w:lang w:eastAsia="en-GB"/>
          <w14:ligatures w14:val="none"/>
        </w:rPr>
        <w:t>. Digital conferencing technologies</w:t>
      </w:r>
      <w:r w:rsidR="00B318D9">
        <w:rPr>
          <w:rFonts w:eastAsia="Times New Roman" w:cs="Times New Roman"/>
          <w:kern w:val="0"/>
          <w:lang w:eastAsia="en-GB"/>
          <w14:ligatures w14:val="none"/>
        </w:rPr>
        <w:t xml:space="preserve"> and</w:t>
      </w:r>
      <w:r w:rsidRPr="00CF1F22">
        <w:rPr>
          <w:rFonts w:eastAsia="Times New Roman" w:cs="Times New Roman"/>
          <w:kern w:val="0"/>
          <w:lang w:eastAsia="en-GB"/>
          <w14:ligatures w14:val="none"/>
        </w:rPr>
        <w:t xml:space="preserve"> corporate clients' heightened cost sensitivity (due to inflation and pressures to budget cuts) changed the way business events </w:t>
      </w:r>
      <w:r w:rsidR="002D570C">
        <w:rPr>
          <w:rFonts w:eastAsia="Times New Roman" w:cs="Times New Roman"/>
          <w:kern w:val="0"/>
          <w:lang w:eastAsia="en-GB"/>
          <w14:ligatures w14:val="none"/>
        </w:rPr>
        <w:t>are</w:t>
      </w:r>
      <w:r w:rsidRPr="00CF1F22">
        <w:rPr>
          <w:rFonts w:eastAsia="Times New Roman" w:cs="Times New Roman"/>
          <w:kern w:val="0"/>
          <w:lang w:eastAsia="en-GB"/>
          <w14:ligatures w14:val="none"/>
        </w:rPr>
        <w:t xml:space="preserve"> conducted</w:t>
      </w:r>
      <w:r w:rsidR="009542CA">
        <w:rPr>
          <w:rFonts w:eastAsia="Times New Roman" w:cs="Times New Roman"/>
          <w:kern w:val="0"/>
          <w:lang w:eastAsia="en-GB"/>
          <w14:ligatures w14:val="none"/>
        </w:rPr>
        <w:t xml:space="preserve"> (</w:t>
      </w:r>
      <w:r w:rsidR="009542CA" w:rsidRPr="00726574">
        <w:rPr>
          <w:rFonts w:eastAsia="Times New Roman" w:cs="Times New Roman"/>
          <w:kern w:val="0"/>
          <w:lang w:eastAsia="en-GB"/>
          <w14:ligatures w14:val="none"/>
        </w:rPr>
        <w:t>Visit Britain, 202</w:t>
      </w:r>
      <w:r w:rsidR="00292494">
        <w:rPr>
          <w:rFonts w:eastAsia="Times New Roman" w:cs="Times New Roman"/>
          <w:kern w:val="0"/>
          <w:lang w:eastAsia="en-GB"/>
          <w14:ligatures w14:val="none"/>
        </w:rPr>
        <w:t>5</w:t>
      </w:r>
      <w:r w:rsidR="009542CA">
        <w:rPr>
          <w:rFonts w:eastAsia="Times New Roman" w:cs="Times New Roman"/>
          <w:kern w:val="0"/>
          <w:lang w:eastAsia="en-GB"/>
          <w14:ligatures w14:val="none"/>
        </w:rPr>
        <w:t>)</w:t>
      </w:r>
      <w:r w:rsidRPr="00CF1F22">
        <w:rPr>
          <w:rFonts w:eastAsia="Times New Roman" w:cs="Times New Roman"/>
          <w:kern w:val="0"/>
          <w:lang w:eastAsia="en-GB"/>
          <w14:ligatures w14:val="none"/>
        </w:rPr>
        <w:t>. At the same time, political and regulatory changes have created further layers of complexity in operations</w:t>
      </w:r>
      <w:r w:rsidR="00B318D9">
        <w:rPr>
          <w:rFonts w:eastAsia="Times New Roman" w:cs="Times New Roman"/>
          <w:kern w:val="0"/>
          <w:lang w:eastAsia="en-GB"/>
          <w14:ligatures w14:val="none"/>
        </w:rPr>
        <w:t>, including post-Brexit</w:t>
      </w:r>
      <w:r w:rsidRPr="00CF1F22">
        <w:rPr>
          <w:rFonts w:eastAsia="Times New Roman" w:cs="Times New Roman"/>
          <w:kern w:val="0"/>
          <w:lang w:eastAsia="en-GB"/>
          <w14:ligatures w14:val="none"/>
        </w:rPr>
        <w:t xml:space="preserve"> labour restrictions and changing data protection laws. Corporate clients further shaped expectations of sustainable and ethical business practices</w:t>
      </w:r>
      <w:r w:rsidR="00B318D9">
        <w:rPr>
          <w:rFonts w:eastAsia="Times New Roman" w:cs="Times New Roman"/>
          <w:kern w:val="0"/>
          <w:lang w:eastAsia="en-GB"/>
          <w14:ligatures w14:val="none"/>
        </w:rPr>
        <w:t>,</w:t>
      </w:r>
      <w:r w:rsidRPr="00CF1F22">
        <w:rPr>
          <w:rFonts w:eastAsia="Times New Roman" w:cs="Times New Roman"/>
          <w:kern w:val="0"/>
          <w:lang w:eastAsia="en-GB"/>
          <w14:ligatures w14:val="none"/>
        </w:rPr>
        <w:t xml:space="preserve"> shaping corporate </w:t>
      </w:r>
      <w:r w:rsidR="00B318D9">
        <w:rPr>
          <w:rFonts w:eastAsia="Times New Roman" w:cs="Times New Roman"/>
          <w:kern w:val="0"/>
          <w:lang w:eastAsia="en-GB"/>
          <w14:ligatures w14:val="none"/>
        </w:rPr>
        <w:t>decision-making criteria</w:t>
      </w:r>
      <w:r w:rsidRPr="00CF1F22">
        <w:rPr>
          <w:rFonts w:eastAsia="Times New Roman" w:cs="Times New Roman"/>
          <w:kern w:val="0"/>
          <w:lang w:eastAsia="en-GB"/>
          <w14:ligatures w14:val="none"/>
        </w:rPr>
        <w:t xml:space="preserve">, particularly among the younger generation of socially conscious workers </w:t>
      </w:r>
      <w:r w:rsidR="002D570C">
        <w:rPr>
          <w:rFonts w:eastAsia="Times New Roman" w:cs="Times New Roman"/>
          <w:kern w:val="0"/>
          <w:lang w:eastAsia="en-GB"/>
          <w14:ligatures w14:val="none"/>
        </w:rPr>
        <w:t>who</w:t>
      </w:r>
      <w:r w:rsidRPr="00CF1F22">
        <w:rPr>
          <w:rFonts w:eastAsia="Times New Roman" w:cs="Times New Roman"/>
          <w:kern w:val="0"/>
          <w:lang w:eastAsia="en-GB"/>
          <w14:ligatures w14:val="none"/>
        </w:rPr>
        <w:t xml:space="preserve"> now dominate the workforce.</w:t>
      </w:r>
    </w:p>
    <w:p w14:paraId="57C29BD4" w14:textId="57351DDE" w:rsidR="00D450B7" w:rsidRPr="00D450B7" w:rsidRDefault="00D450B7" w:rsidP="00D450B7">
      <w:pPr>
        <w:rPr>
          <w:rFonts w:eastAsia="Times New Roman" w:cs="Times New Roman"/>
          <w:kern w:val="0"/>
          <w:lang w:eastAsia="en-GB"/>
          <w14:ligatures w14:val="none"/>
        </w:rPr>
      </w:pPr>
      <w:r w:rsidRPr="00D450B7">
        <w:rPr>
          <w:rFonts w:eastAsia="Times New Roman" w:cs="Times New Roman"/>
          <w:kern w:val="0"/>
          <w:lang w:eastAsia="en-GB"/>
          <w14:ligatures w14:val="none"/>
        </w:rPr>
        <w:t>The hotel’s challenges are mainly internal</w:t>
      </w:r>
      <w:r w:rsidR="00716392">
        <w:rPr>
          <w:rFonts w:eastAsia="Times New Roman" w:cs="Times New Roman"/>
          <w:kern w:val="0"/>
          <w:lang w:eastAsia="en-GB"/>
          <w14:ligatures w14:val="none"/>
        </w:rPr>
        <w:t>, consisting of outdated conferencing technology, underutilised event spaces during weekdays,</w:t>
      </w:r>
      <w:r w:rsidRPr="00D450B7">
        <w:rPr>
          <w:rFonts w:eastAsia="Times New Roman" w:cs="Times New Roman"/>
          <w:kern w:val="0"/>
          <w:lang w:eastAsia="en-GB"/>
          <w14:ligatures w14:val="none"/>
        </w:rPr>
        <w:t xml:space="preserve"> and misalignment of the marketing strategy with emerging client segments. When SWOT and TOWS analysis were further conducted, it was clear that there was a strategic gap</w:t>
      </w:r>
      <w:r w:rsidR="00716392">
        <w:rPr>
          <w:rFonts w:eastAsia="Times New Roman" w:cs="Times New Roman"/>
          <w:kern w:val="0"/>
          <w:lang w:eastAsia="en-GB"/>
          <w14:ligatures w14:val="none"/>
        </w:rPr>
        <w:t>; there were opportunities in place, such as</w:t>
      </w:r>
      <w:r w:rsidRPr="00D450B7">
        <w:rPr>
          <w:rFonts w:eastAsia="Times New Roman" w:cs="Times New Roman"/>
          <w:kern w:val="0"/>
          <w:lang w:eastAsia="en-GB"/>
          <w14:ligatures w14:val="none"/>
        </w:rPr>
        <w:t xml:space="preserve"> the regional SME demand, the hybrid event formats and the sustainable conferencing, but the current service model the hotel is set up with was not aligned with these market opportunities.</w:t>
      </w:r>
    </w:p>
    <w:p w14:paraId="5FE1023C" w14:textId="308BD187" w:rsidR="00D450B7" w:rsidRPr="00D450B7" w:rsidRDefault="00D450B7" w:rsidP="00D450B7">
      <w:pPr>
        <w:rPr>
          <w:rFonts w:eastAsia="Times New Roman" w:cs="Times New Roman"/>
          <w:kern w:val="0"/>
          <w:lang w:eastAsia="en-GB"/>
          <w14:ligatures w14:val="none"/>
        </w:rPr>
      </w:pPr>
      <w:r w:rsidRPr="00D450B7">
        <w:rPr>
          <w:rFonts w:eastAsia="Times New Roman" w:cs="Times New Roman"/>
          <w:kern w:val="0"/>
          <w:lang w:eastAsia="en-GB"/>
          <w14:ligatures w14:val="none"/>
        </w:rPr>
        <w:lastRenderedPageBreak/>
        <w:t xml:space="preserve">Market data </w:t>
      </w:r>
      <w:r w:rsidR="00716392">
        <w:rPr>
          <w:rFonts w:eastAsia="Times New Roman" w:cs="Times New Roman"/>
          <w:kern w:val="0"/>
          <w:lang w:eastAsia="en-GB"/>
          <w14:ligatures w14:val="none"/>
        </w:rPr>
        <w:t xml:space="preserve">in the real world </w:t>
      </w:r>
      <w:r w:rsidR="002D570C">
        <w:rPr>
          <w:rFonts w:eastAsia="Times New Roman" w:cs="Times New Roman"/>
          <w:kern w:val="0"/>
          <w:lang w:eastAsia="en-GB"/>
          <w14:ligatures w14:val="none"/>
        </w:rPr>
        <w:t>echoes</w:t>
      </w:r>
      <w:r w:rsidR="00716392">
        <w:rPr>
          <w:rFonts w:eastAsia="Times New Roman" w:cs="Times New Roman"/>
          <w:kern w:val="0"/>
          <w:lang w:eastAsia="en-GB"/>
          <w14:ligatures w14:val="none"/>
        </w:rPr>
        <w:t xml:space="preserve"> this picture. Despite Hyatt's industry-leading performance on its global indicators, the regional variances persist. On weekdays, Birmingham lags further behind in occupancy, especially in systems such as corporate segments, which proves that properties like Hyatt Regency Birmingham need to reposition themselves in a fundamentally altered business landscape</w:t>
      </w:r>
      <w:r w:rsidRPr="00D450B7">
        <w:rPr>
          <w:rFonts w:eastAsia="Times New Roman" w:cs="Times New Roman"/>
          <w:kern w:val="0"/>
          <w:lang w:eastAsia="en-GB"/>
          <w14:ligatures w14:val="none"/>
        </w:rPr>
        <w:t>.</w:t>
      </w:r>
    </w:p>
    <w:p w14:paraId="367CFEC1" w14:textId="1DFDC582" w:rsidR="00135F44" w:rsidRPr="000D214E" w:rsidRDefault="00716392" w:rsidP="00D450B7">
      <w:pPr>
        <w:rPr>
          <w:rFonts w:eastAsia="Times New Roman" w:cs="Times New Roman"/>
          <w:kern w:val="0"/>
          <w:lang w:eastAsia="en-GB"/>
          <w14:ligatures w14:val="none"/>
        </w:rPr>
      </w:pPr>
      <w:r>
        <w:rPr>
          <w:rFonts w:eastAsia="Times New Roman" w:cs="Times New Roman"/>
          <w:kern w:val="0"/>
          <w:lang w:eastAsia="en-GB"/>
          <w14:ligatures w14:val="none"/>
        </w:rPr>
        <w:t>Thus, it can be concluded that Hyatt Regency Birmingham ought to implement a consistent strategic transformation involving infrastructure modernisation, market repositioning, digital capability,</w:t>
      </w:r>
      <w:r w:rsidR="00D450B7" w:rsidRPr="00D450B7">
        <w:rPr>
          <w:rFonts w:eastAsia="Times New Roman" w:cs="Times New Roman"/>
          <w:kern w:val="0"/>
          <w:lang w:eastAsia="en-GB"/>
          <w14:ligatures w14:val="none"/>
        </w:rPr>
        <w:t xml:space="preserve"> and stakeholder repositioning. </w:t>
      </w:r>
      <w:r w:rsidR="00C019A3" w:rsidRPr="000D214E">
        <w:rPr>
          <w:rFonts w:eastAsia="Times New Roman" w:cs="Times New Roman"/>
          <w:kern w:val="0"/>
          <w:lang w:eastAsia="en-GB"/>
          <w14:ligatures w14:val="none"/>
        </w:rPr>
        <w:t>These steps are necessary to transition from recovery to resilience and maintain long-term relevance in an increasingly competitive</w:t>
      </w:r>
      <w:r>
        <w:rPr>
          <w:rFonts w:eastAsia="Times New Roman" w:cs="Times New Roman"/>
          <w:kern w:val="0"/>
          <w:lang w:eastAsia="en-GB"/>
          <w14:ligatures w14:val="none"/>
        </w:rPr>
        <w:t>, hybrid-oriented</w:t>
      </w:r>
      <w:r w:rsidR="00C019A3" w:rsidRPr="000D214E">
        <w:rPr>
          <w:rFonts w:eastAsia="Times New Roman" w:cs="Times New Roman"/>
          <w:kern w:val="0"/>
          <w:lang w:eastAsia="en-GB"/>
          <w14:ligatures w14:val="none"/>
        </w:rPr>
        <w:t xml:space="preserve"> corporate hospitality market</w:t>
      </w:r>
      <w:r w:rsidR="00E67A47">
        <w:rPr>
          <w:rFonts w:eastAsia="Times New Roman" w:cs="Times New Roman"/>
          <w:kern w:val="0"/>
          <w:lang w:eastAsia="en-GB"/>
          <w14:ligatures w14:val="none"/>
        </w:rPr>
        <w:t xml:space="preserve"> </w:t>
      </w:r>
      <w:r w:rsidR="004F287A" w:rsidRPr="004F287A">
        <w:rPr>
          <w:rFonts w:eastAsia="Times New Roman" w:cs="Times New Roman"/>
          <w:kern w:val="0"/>
          <w:lang w:eastAsia="en-GB"/>
          <w14:ligatures w14:val="none"/>
        </w:rPr>
        <w:t>(Fauzi et al., 2025)</w:t>
      </w:r>
      <w:r w:rsidR="00C019A3" w:rsidRPr="000D214E">
        <w:rPr>
          <w:rFonts w:eastAsia="Times New Roman" w:cs="Times New Roman"/>
          <w:kern w:val="0"/>
          <w:lang w:eastAsia="en-GB"/>
          <w14:ligatures w14:val="none"/>
        </w:rPr>
        <w:t>.</w:t>
      </w:r>
    </w:p>
    <w:p w14:paraId="7CDBC67E" w14:textId="2C63CED6" w:rsidR="00A32DFD" w:rsidRPr="00921F9A" w:rsidRDefault="00A32DFD" w:rsidP="00921F9A">
      <w:pPr>
        <w:pStyle w:val="Heading1"/>
      </w:pPr>
      <w:bookmarkStart w:id="8" w:name="_Toc199940940"/>
      <w:r w:rsidRPr="00921F9A">
        <w:t>Recommendations &amp; Change Management</w:t>
      </w:r>
      <w:bookmarkEnd w:id="8"/>
    </w:p>
    <w:p w14:paraId="165AC50A" w14:textId="0AC20E21" w:rsidR="00A32DFD" w:rsidRPr="00716392" w:rsidRDefault="00A32DFD" w:rsidP="00921F9A">
      <w:pPr>
        <w:pStyle w:val="Heading2"/>
        <w:rPr>
          <w:rFonts w:eastAsia="Times New Roman"/>
          <w:lang w:eastAsia="en-GB"/>
        </w:rPr>
      </w:pPr>
      <w:bookmarkStart w:id="9" w:name="_Toc199940941"/>
      <w:r w:rsidRPr="00716392">
        <w:rPr>
          <w:rFonts w:eastAsia="Times New Roman"/>
          <w:lang w:eastAsia="en-GB"/>
        </w:rPr>
        <w:t>Introduction to Recommendations</w:t>
      </w:r>
      <w:bookmarkEnd w:id="9"/>
    </w:p>
    <w:p w14:paraId="3345CE73" w14:textId="04335172"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This section presents a comprehensive response to the key strategic and operational challenges identified at Hyatt Regency Birmingham. Rooted in the preceding analysis and aligned with the hotel’s brand identity under the Hyatt Hotels Corporation, the recommendations aim to reposition the property competitively in a reshaped business hospitality landscape. The decline in MICE and corporate travel revenue</w:t>
      </w:r>
      <w:r w:rsidR="002D570C">
        <w:rPr>
          <w:rFonts w:eastAsia="Times New Roman" w:cs="Times New Roman"/>
          <w:kern w:val="0"/>
          <w:lang w:eastAsia="en-GB"/>
          <w14:ligatures w14:val="none"/>
        </w:rPr>
        <w:t xml:space="preserve">, aggravated by shifts in work practices, rising guest expectations for sustainability, and the emergence of hybrid meeting formats, </w:t>
      </w:r>
      <w:r w:rsidRPr="000D214E">
        <w:rPr>
          <w:rFonts w:eastAsia="Times New Roman" w:cs="Times New Roman"/>
          <w:kern w:val="0"/>
          <w:lang w:eastAsia="en-GB"/>
          <w14:ligatures w14:val="none"/>
        </w:rPr>
        <w:t>requires the hotel to undertake a multi-faceted transformation strategy</w:t>
      </w:r>
      <w:r w:rsidR="00210AED">
        <w:rPr>
          <w:rFonts w:eastAsia="Times New Roman" w:cs="Times New Roman"/>
          <w:kern w:val="0"/>
          <w:lang w:eastAsia="en-GB"/>
          <w14:ligatures w14:val="none"/>
        </w:rPr>
        <w:t xml:space="preserve"> </w:t>
      </w:r>
      <w:r w:rsidR="00210AED" w:rsidRPr="00210AED">
        <w:rPr>
          <w:rFonts w:eastAsia="Times New Roman" w:cs="Times New Roman"/>
          <w:kern w:val="0"/>
          <w:lang w:eastAsia="en-GB"/>
          <w14:ligatures w14:val="none"/>
        </w:rPr>
        <w:t>(Wijesinghe, 2014)</w:t>
      </w:r>
      <w:r w:rsidRPr="000D214E">
        <w:rPr>
          <w:rFonts w:eastAsia="Times New Roman" w:cs="Times New Roman"/>
          <w:kern w:val="0"/>
          <w:lang w:eastAsia="en-GB"/>
          <w14:ligatures w14:val="none"/>
        </w:rPr>
        <w:t>. This transformation must not only address service and infrastructure gaps but also ensure long-term brand consistency, financial viability, and staff engagement</w:t>
      </w:r>
      <w:r w:rsidR="00EC22E9">
        <w:rPr>
          <w:rFonts w:eastAsia="Times New Roman" w:cs="Times New Roman"/>
          <w:kern w:val="0"/>
          <w:lang w:eastAsia="en-GB"/>
          <w14:ligatures w14:val="none"/>
        </w:rPr>
        <w:t xml:space="preserve"> </w:t>
      </w:r>
      <w:r w:rsidR="00EC22E9" w:rsidRPr="00EC22E9">
        <w:rPr>
          <w:rFonts w:eastAsia="Times New Roman" w:cs="Times New Roman"/>
          <w:kern w:val="0"/>
          <w:lang w:eastAsia="en-GB"/>
          <w14:ligatures w14:val="none"/>
        </w:rPr>
        <w:t>(Lee and Ok, 2016)</w:t>
      </w:r>
      <w:r w:rsidRPr="000D214E">
        <w:rPr>
          <w:rFonts w:eastAsia="Times New Roman" w:cs="Times New Roman"/>
          <w:kern w:val="0"/>
          <w:lang w:eastAsia="en-GB"/>
          <w14:ligatures w14:val="none"/>
        </w:rPr>
        <w:t>.</w:t>
      </w:r>
    </w:p>
    <w:p w14:paraId="683D47C5" w14:textId="2E7B36AE"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recommendations outlined here are strategic in scope and address the findings from the SWOT, STEEPLED, and TOWS analyses. These proposals are not isolated actions but are integrated within a structured change management framework to ensure that implementation is systematic and inclusive. The approach leverages Kotter’s 8-Step Model to support employee engagement, reduce resistance, and ensure sustained momentum. The rationale for each recommendation is justified with respect to feasibility, market trends, brand alignment, and the potential to deliver measurable performance gains, including higher RevPAR, improved occupancy, and more diverse revenue streams.</w:t>
      </w:r>
    </w:p>
    <w:p w14:paraId="11F72C22" w14:textId="31F6746E" w:rsidR="00A32DFD" w:rsidRPr="004C43BF" w:rsidRDefault="00A32DFD" w:rsidP="00921F9A">
      <w:pPr>
        <w:pStyle w:val="Heading2"/>
        <w:rPr>
          <w:rFonts w:eastAsia="Times New Roman"/>
          <w:lang w:eastAsia="en-GB"/>
        </w:rPr>
      </w:pPr>
      <w:bookmarkStart w:id="10" w:name="_Toc199940942"/>
      <w:r w:rsidRPr="004C43BF">
        <w:rPr>
          <w:rFonts w:eastAsia="Times New Roman"/>
          <w:lang w:eastAsia="en-GB"/>
        </w:rPr>
        <w:lastRenderedPageBreak/>
        <w:t>Strategic Recommendations Based on Analysis</w:t>
      </w:r>
      <w:bookmarkEnd w:id="10"/>
    </w:p>
    <w:p w14:paraId="5264C67A" w14:textId="77777777"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Based on the organisational and environmental analysis, the following strategic recommendations have been identified to address Hyatt Regency Birmingham’s core issue: declining business and MICE travel demand.</w:t>
      </w:r>
    </w:p>
    <w:p w14:paraId="7F1F2403" w14:textId="77777777" w:rsidR="00A32DFD" w:rsidRPr="00CF71D4" w:rsidRDefault="00A32DFD" w:rsidP="000D214E">
      <w:pPr>
        <w:rPr>
          <w:rFonts w:eastAsia="Times New Roman" w:cs="Times New Roman"/>
          <w:b/>
          <w:bCs/>
          <w:kern w:val="0"/>
          <w:lang w:eastAsia="en-GB"/>
          <w14:ligatures w14:val="none"/>
        </w:rPr>
      </w:pPr>
      <w:r w:rsidRPr="00CF71D4">
        <w:rPr>
          <w:rFonts w:eastAsia="Times New Roman" w:cs="Times New Roman"/>
          <w:b/>
          <w:bCs/>
          <w:kern w:val="0"/>
          <w:lang w:eastAsia="en-GB"/>
          <w14:ligatures w14:val="none"/>
        </w:rPr>
        <w:t>1. AV Infrastructure Upgrade and Hybrid Packages</w:t>
      </w:r>
    </w:p>
    <w:p w14:paraId="68B5844B" w14:textId="50936E6F" w:rsidR="00A32DFD" w:rsidRDefault="009079CD" w:rsidP="000D214E">
      <w:pPr>
        <w:rPr>
          <w:rFonts w:eastAsia="Times New Roman" w:cs="Times New Roman"/>
          <w:kern w:val="0"/>
          <w:lang w:eastAsia="en-GB"/>
          <w14:ligatures w14:val="none"/>
        </w:rPr>
      </w:pPr>
      <w:r>
        <w:rPr>
          <w:rFonts w:eastAsia="Times New Roman" w:cs="Times New Roman"/>
          <w:kern w:val="0"/>
          <w:lang w:eastAsia="en-GB"/>
          <w14:ligatures w14:val="none"/>
        </w:rPr>
        <w:t>The hotel must transform its MICE offering through significant investment in smart audiovisual infrastructure to accommodate changing client expectations</w:t>
      </w:r>
      <w:r w:rsidR="00617D2A">
        <w:rPr>
          <w:rFonts w:eastAsia="Times New Roman" w:cs="Times New Roman"/>
          <w:kern w:val="0"/>
          <w:lang w:eastAsia="en-GB"/>
          <w14:ligatures w14:val="none"/>
        </w:rPr>
        <w:t xml:space="preserve"> </w:t>
      </w:r>
      <w:r w:rsidR="00617D2A" w:rsidRPr="00617D2A">
        <w:rPr>
          <w:rFonts w:eastAsia="Times New Roman" w:cs="Times New Roman"/>
          <w:kern w:val="0"/>
          <w:lang w:eastAsia="en-GB"/>
          <w14:ligatures w14:val="none"/>
        </w:rPr>
        <w:t xml:space="preserve">(Patterson and </w:t>
      </w:r>
      <w:proofErr w:type="spellStart"/>
      <w:r w:rsidR="00617D2A" w:rsidRPr="00617D2A">
        <w:rPr>
          <w:rFonts w:eastAsia="Times New Roman" w:cs="Times New Roman"/>
          <w:kern w:val="0"/>
          <w:lang w:eastAsia="en-GB"/>
          <w14:ligatures w14:val="none"/>
        </w:rPr>
        <w:t>Ashrapov</w:t>
      </w:r>
      <w:proofErr w:type="spellEnd"/>
      <w:r w:rsidR="00617D2A" w:rsidRPr="00617D2A">
        <w:rPr>
          <w:rFonts w:eastAsia="Times New Roman" w:cs="Times New Roman"/>
          <w:kern w:val="0"/>
          <w:lang w:eastAsia="en-GB"/>
          <w14:ligatures w14:val="none"/>
        </w:rPr>
        <w:t>, 2022)</w:t>
      </w:r>
      <w:r w:rsidR="00A32DFD" w:rsidRPr="000D214E">
        <w:rPr>
          <w:rFonts w:eastAsia="Times New Roman" w:cs="Times New Roman"/>
          <w:kern w:val="0"/>
          <w:lang w:eastAsia="en-GB"/>
          <w14:ligatures w14:val="none"/>
        </w:rPr>
        <w:t xml:space="preserve">. Rooms should </w:t>
      </w:r>
      <w:r>
        <w:rPr>
          <w:rFonts w:eastAsia="Times New Roman" w:cs="Times New Roman"/>
          <w:kern w:val="0"/>
          <w:lang w:eastAsia="en-GB"/>
          <w14:ligatures w14:val="none"/>
        </w:rPr>
        <w:t>have</w:t>
      </w:r>
      <w:r w:rsidR="00A32DFD" w:rsidRPr="000D214E">
        <w:rPr>
          <w:rFonts w:eastAsia="Times New Roman" w:cs="Times New Roman"/>
          <w:kern w:val="0"/>
          <w:lang w:eastAsia="en-GB"/>
          <w14:ligatures w14:val="none"/>
        </w:rPr>
        <w:t xml:space="preserve"> 4K cameras, soundproofing, wireless presentation tools, and built-in integrations for Zoom, Microsoft Teams, and Cisco </w:t>
      </w:r>
      <w:proofErr w:type="spellStart"/>
      <w:r w:rsidR="00A32DFD" w:rsidRPr="000D214E">
        <w:rPr>
          <w:rFonts w:eastAsia="Times New Roman" w:cs="Times New Roman"/>
          <w:kern w:val="0"/>
          <w:lang w:eastAsia="en-GB"/>
          <w14:ligatures w14:val="none"/>
        </w:rPr>
        <w:t>WebEx</w:t>
      </w:r>
      <w:proofErr w:type="spellEnd"/>
      <w:r w:rsidR="00A32DFD" w:rsidRPr="000D214E">
        <w:rPr>
          <w:rFonts w:eastAsia="Times New Roman" w:cs="Times New Roman"/>
          <w:kern w:val="0"/>
          <w:lang w:eastAsia="en-GB"/>
          <w14:ligatures w14:val="none"/>
        </w:rPr>
        <w:t xml:space="preserve">. </w:t>
      </w:r>
      <w:r w:rsidR="00CF71D4" w:rsidRPr="00CF71D4">
        <w:rPr>
          <w:rFonts w:eastAsia="Times New Roman" w:cs="Times New Roman"/>
          <w:kern w:val="0"/>
          <w:lang w:eastAsia="en-GB"/>
          <w14:ligatures w14:val="none"/>
        </w:rPr>
        <w:t>These upgrades should be promoted as part of bespoke hybrid conferencing packages (e.g.</w:t>
      </w:r>
      <w:r w:rsidR="00992397">
        <w:rPr>
          <w:rFonts w:eastAsia="Times New Roman" w:cs="Times New Roman"/>
          <w:kern w:val="0"/>
          <w:lang w:eastAsia="en-GB"/>
          <w14:ligatures w14:val="none"/>
        </w:rPr>
        <w:t>, on-demand</w:t>
      </w:r>
      <w:r w:rsidR="00CF71D4" w:rsidRPr="00CF71D4">
        <w:rPr>
          <w:rFonts w:eastAsia="Times New Roman" w:cs="Times New Roman"/>
          <w:kern w:val="0"/>
          <w:lang w:eastAsia="en-GB"/>
          <w14:ligatures w14:val="none"/>
        </w:rPr>
        <w:t xml:space="preserve"> technical support, digital event analytics and additive services such as live polling and remote participation kits). The benefit of this strategy is that it will allow the hotel to match with boutique tech venues in terms of catering to </w:t>
      </w:r>
      <w:r w:rsidR="00CF71D4">
        <w:rPr>
          <w:rFonts w:eastAsia="Times New Roman" w:cs="Times New Roman"/>
          <w:kern w:val="0"/>
          <w:lang w:eastAsia="en-GB"/>
          <w14:ligatures w14:val="none"/>
        </w:rPr>
        <w:t>this type of customer's needs</w:t>
      </w:r>
      <w:r w:rsidR="00992397">
        <w:rPr>
          <w:rFonts w:eastAsia="Times New Roman" w:cs="Times New Roman"/>
          <w:kern w:val="0"/>
          <w:lang w:eastAsia="en-GB"/>
          <w14:ligatures w14:val="none"/>
        </w:rPr>
        <w:t>, thereby</w:t>
      </w:r>
      <w:r w:rsidR="00CF71D4">
        <w:rPr>
          <w:rFonts w:eastAsia="Times New Roman" w:cs="Times New Roman"/>
          <w:kern w:val="0"/>
          <w:lang w:eastAsia="en-GB"/>
          <w14:ligatures w14:val="none"/>
        </w:rPr>
        <w:t xml:space="preserve"> repositioning</w:t>
      </w:r>
      <w:r w:rsidR="00CF71D4" w:rsidRPr="00CF71D4">
        <w:rPr>
          <w:rFonts w:eastAsia="Times New Roman" w:cs="Times New Roman"/>
          <w:kern w:val="0"/>
          <w:lang w:eastAsia="en-GB"/>
          <w14:ligatures w14:val="none"/>
        </w:rPr>
        <w:t xml:space="preserve"> the hotel as a </w:t>
      </w:r>
      <w:r w:rsidR="00CF71D4">
        <w:rPr>
          <w:rFonts w:eastAsia="Times New Roman" w:cs="Times New Roman"/>
          <w:kern w:val="0"/>
          <w:lang w:eastAsia="en-GB"/>
          <w14:ligatures w14:val="none"/>
        </w:rPr>
        <w:t>high-value</w:t>
      </w:r>
      <w:r w:rsidR="00CF71D4" w:rsidRPr="00CF71D4">
        <w:rPr>
          <w:rFonts w:eastAsia="Times New Roman" w:cs="Times New Roman"/>
          <w:kern w:val="0"/>
          <w:lang w:eastAsia="en-GB"/>
          <w14:ligatures w14:val="none"/>
        </w:rPr>
        <w:t xml:space="preserve"> hybrid hub</w:t>
      </w:r>
      <w:r w:rsidR="00586D99">
        <w:rPr>
          <w:rFonts w:eastAsia="Times New Roman" w:cs="Times New Roman"/>
          <w:kern w:val="0"/>
          <w:lang w:eastAsia="en-GB"/>
          <w14:ligatures w14:val="none"/>
        </w:rPr>
        <w:t xml:space="preserve"> </w:t>
      </w:r>
      <w:r w:rsidR="00586D99" w:rsidRPr="00586D99">
        <w:rPr>
          <w:rFonts w:eastAsia="Times New Roman" w:cs="Times New Roman"/>
          <w:kern w:val="0"/>
          <w:lang w:eastAsia="en-GB"/>
          <w14:ligatures w14:val="none"/>
        </w:rPr>
        <w:t>(Mohamed and Saber, 2022)</w:t>
      </w:r>
      <w:r w:rsidR="00CF71D4" w:rsidRPr="00CF71D4">
        <w:rPr>
          <w:rFonts w:eastAsia="Times New Roman" w:cs="Times New Roman"/>
          <w:kern w:val="0"/>
          <w:lang w:eastAsia="en-GB"/>
          <w14:ligatures w14:val="none"/>
        </w:rPr>
        <w:t>.</w:t>
      </w:r>
    </w:p>
    <w:p w14:paraId="16A11F2B" w14:textId="77777777" w:rsidR="00A32DFD" w:rsidRPr="00CF71D4" w:rsidRDefault="00A32DFD" w:rsidP="000D214E">
      <w:pPr>
        <w:rPr>
          <w:rFonts w:eastAsia="Times New Roman" w:cs="Times New Roman"/>
          <w:b/>
          <w:bCs/>
          <w:kern w:val="0"/>
          <w:lang w:eastAsia="en-GB"/>
          <w14:ligatures w14:val="none"/>
        </w:rPr>
      </w:pPr>
      <w:r w:rsidRPr="00CF71D4">
        <w:rPr>
          <w:rFonts w:eastAsia="Times New Roman" w:cs="Times New Roman"/>
          <w:b/>
          <w:bCs/>
          <w:kern w:val="0"/>
          <w:lang w:eastAsia="en-GB"/>
          <w14:ligatures w14:val="none"/>
        </w:rPr>
        <w:t>2. Reposition Target Market: SMEs, Academia and Local Events</w:t>
      </w:r>
    </w:p>
    <w:p w14:paraId="5A5F4BE8" w14:textId="5DB30FDA" w:rsidR="008C3E69" w:rsidRDefault="008C3E69" w:rsidP="000D214E">
      <w:pPr>
        <w:rPr>
          <w:rFonts w:eastAsia="Times New Roman" w:cs="Times New Roman"/>
          <w:kern w:val="0"/>
          <w:lang w:eastAsia="en-GB"/>
          <w14:ligatures w14:val="none"/>
        </w:rPr>
      </w:pPr>
      <w:r w:rsidRPr="008C3E69">
        <w:rPr>
          <w:rFonts w:eastAsia="Times New Roman" w:cs="Times New Roman"/>
          <w:kern w:val="0"/>
          <w:lang w:eastAsia="en-GB"/>
          <w14:ligatures w14:val="none"/>
        </w:rPr>
        <w:t xml:space="preserve">It uses </w:t>
      </w:r>
      <w:r w:rsidR="00992397">
        <w:rPr>
          <w:rFonts w:eastAsia="Times New Roman" w:cs="Times New Roman"/>
          <w:kern w:val="0"/>
          <w:lang w:eastAsia="en-GB"/>
          <w14:ligatures w14:val="none"/>
        </w:rPr>
        <w:t>property resources for marketing to concentrate them on local and regional institutions, including SMEs, universities,</w:t>
      </w:r>
      <w:r w:rsidRPr="008C3E69">
        <w:rPr>
          <w:rFonts w:eastAsia="Times New Roman" w:cs="Times New Roman"/>
          <w:kern w:val="0"/>
          <w:lang w:eastAsia="en-GB"/>
          <w14:ligatures w14:val="none"/>
        </w:rPr>
        <w:t xml:space="preserve"> or governmental bodies. These types could be added or redesigned to fit this segment: </w:t>
      </w:r>
      <w:r w:rsidR="00992397">
        <w:rPr>
          <w:rFonts w:eastAsia="Times New Roman" w:cs="Times New Roman"/>
          <w:kern w:val="0"/>
          <w:lang w:eastAsia="en-GB"/>
          <w14:ligatures w14:val="none"/>
        </w:rPr>
        <w:t>co-working</w:t>
      </w:r>
      <w:r w:rsidRPr="008C3E69">
        <w:rPr>
          <w:rFonts w:eastAsia="Times New Roman" w:cs="Times New Roman"/>
          <w:kern w:val="0"/>
          <w:lang w:eastAsia="en-GB"/>
          <w14:ligatures w14:val="none"/>
        </w:rPr>
        <w:t xml:space="preserve"> spaces and informal lounges. Flexible booking options and preferential pricing </w:t>
      </w:r>
      <w:r w:rsidR="00992397">
        <w:rPr>
          <w:rFonts w:eastAsia="Times New Roman" w:cs="Times New Roman"/>
          <w:kern w:val="0"/>
          <w:lang w:eastAsia="en-GB"/>
          <w14:ligatures w14:val="none"/>
        </w:rPr>
        <w:t>benefiting</w:t>
      </w:r>
      <w:r w:rsidRPr="008C3E69">
        <w:rPr>
          <w:rFonts w:eastAsia="Times New Roman" w:cs="Times New Roman"/>
          <w:kern w:val="0"/>
          <w:lang w:eastAsia="en-GB"/>
          <w14:ligatures w14:val="none"/>
        </w:rPr>
        <w:t xml:space="preserve"> </w:t>
      </w:r>
      <w:r w:rsidR="00992397">
        <w:rPr>
          <w:rFonts w:eastAsia="Times New Roman" w:cs="Times New Roman"/>
          <w:kern w:val="0"/>
          <w:lang w:eastAsia="en-GB"/>
          <w14:ligatures w14:val="none"/>
        </w:rPr>
        <w:t>non-profit</w:t>
      </w:r>
      <w:r w:rsidRPr="008C3E69">
        <w:rPr>
          <w:rFonts w:eastAsia="Times New Roman" w:cs="Times New Roman"/>
          <w:kern w:val="0"/>
          <w:lang w:eastAsia="en-GB"/>
          <w14:ligatures w14:val="none"/>
        </w:rPr>
        <w:t xml:space="preserve"> and academic bodies will open more market access</w:t>
      </w:r>
      <w:r w:rsidR="00B54A24">
        <w:rPr>
          <w:rFonts w:eastAsia="Times New Roman" w:cs="Times New Roman"/>
          <w:kern w:val="0"/>
          <w:lang w:eastAsia="en-GB"/>
          <w14:ligatures w14:val="none"/>
        </w:rPr>
        <w:t xml:space="preserve"> </w:t>
      </w:r>
      <w:r w:rsidR="00B54A24" w:rsidRPr="00B54A24">
        <w:rPr>
          <w:rFonts w:eastAsia="Times New Roman" w:cs="Times New Roman"/>
          <w:kern w:val="0"/>
          <w:lang w:eastAsia="en-GB"/>
          <w14:ligatures w14:val="none"/>
        </w:rPr>
        <w:t>(</w:t>
      </w:r>
      <w:proofErr w:type="spellStart"/>
      <w:r w:rsidR="00B54A24" w:rsidRPr="00B54A24">
        <w:rPr>
          <w:rFonts w:eastAsia="Times New Roman" w:cs="Times New Roman"/>
          <w:kern w:val="0"/>
          <w:lang w:eastAsia="en-GB"/>
          <w14:ligatures w14:val="none"/>
        </w:rPr>
        <w:t>Tsaur</w:t>
      </w:r>
      <w:proofErr w:type="spellEnd"/>
      <w:r w:rsidR="00B54A24" w:rsidRPr="00B54A24">
        <w:rPr>
          <w:rFonts w:eastAsia="Times New Roman" w:cs="Times New Roman"/>
          <w:kern w:val="0"/>
          <w:lang w:eastAsia="en-GB"/>
          <w14:ligatures w14:val="none"/>
        </w:rPr>
        <w:t xml:space="preserve"> and Tsai, 2023)</w:t>
      </w:r>
      <w:r w:rsidRPr="008C3E69">
        <w:rPr>
          <w:rFonts w:eastAsia="Times New Roman" w:cs="Times New Roman"/>
          <w:kern w:val="0"/>
          <w:lang w:eastAsia="en-GB"/>
          <w14:ligatures w14:val="none"/>
        </w:rPr>
        <w:t>. These customer bases are less vulnerable to international disruptions and offer more consistent demand than multinational clients</w:t>
      </w:r>
      <w:r w:rsidR="00992397">
        <w:rPr>
          <w:rFonts w:eastAsia="Times New Roman" w:cs="Times New Roman"/>
          <w:kern w:val="0"/>
          <w:lang w:eastAsia="en-GB"/>
          <w14:ligatures w14:val="none"/>
        </w:rPr>
        <w:t>,</w:t>
      </w:r>
      <w:r w:rsidRPr="008C3E69">
        <w:rPr>
          <w:rFonts w:eastAsia="Times New Roman" w:cs="Times New Roman"/>
          <w:kern w:val="0"/>
          <w:lang w:eastAsia="en-GB"/>
          <w14:ligatures w14:val="none"/>
        </w:rPr>
        <w:t xml:space="preserve"> which must deal with issues that affect the entire world. </w:t>
      </w:r>
      <w:r w:rsidR="00992397">
        <w:rPr>
          <w:rFonts w:eastAsia="Times New Roman" w:cs="Times New Roman"/>
          <w:kern w:val="0"/>
          <w:lang w:eastAsia="en-GB"/>
          <w14:ligatures w14:val="none"/>
        </w:rPr>
        <w:t>Since Birmingham is increasingly</w:t>
      </w:r>
      <w:r w:rsidRPr="008C3E69">
        <w:rPr>
          <w:rFonts w:eastAsia="Times New Roman" w:cs="Times New Roman"/>
          <w:kern w:val="0"/>
          <w:lang w:eastAsia="en-GB"/>
          <w14:ligatures w14:val="none"/>
        </w:rPr>
        <w:t xml:space="preserve"> known for education and fintech, this is a viable growth strategy to tap into this market.</w:t>
      </w:r>
    </w:p>
    <w:p w14:paraId="249659D9" w14:textId="45293EE9" w:rsidR="00A32DFD" w:rsidRPr="008C3E69" w:rsidRDefault="00A32DFD" w:rsidP="000D214E">
      <w:pPr>
        <w:rPr>
          <w:rFonts w:eastAsia="Times New Roman" w:cs="Times New Roman"/>
          <w:b/>
          <w:bCs/>
          <w:kern w:val="0"/>
          <w:lang w:eastAsia="en-GB"/>
          <w14:ligatures w14:val="none"/>
        </w:rPr>
      </w:pPr>
      <w:r w:rsidRPr="008C3E69">
        <w:rPr>
          <w:rFonts w:eastAsia="Times New Roman" w:cs="Times New Roman"/>
          <w:b/>
          <w:bCs/>
          <w:kern w:val="0"/>
          <w:lang w:eastAsia="en-GB"/>
          <w14:ligatures w14:val="none"/>
        </w:rPr>
        <w:t>3. Green Conference Packages and Certification</w:t>
      </w:r>
    </w:p>
    <w:p w14:paraId="22B53800" w14:textId="34060621" w:rsidR="00992397" w:rsidRDefault="00992397" w:rsidP="000D214E">
      <w:pPr>
        <w:rPr>
          <w:rFonts w:eastAsia="Times New Roman" w:cs="Times New Roman"/>
          <w:kern w:val="0"/>
          <w:lang w:eastAsia="en-GB"/>
          <w14:ligatures w14:val="none"/>
        </w:rPr>
      </w:pPr>
      <w:r w:rsidRPr="00992397">
        <w:rPr>
          <w:rFonts w:eastAsia="Times New Roman" w:cs="Times New Roman"/>
          <w:kern w:val="0"/>
          <w:lang w:eastAsia="en-GB"/>
          <w14:ligatures w14:val="none"/>
        </w:rPr>
        <w:t xml:space="preserve">Corporate event procurement </w:t>
      </w:r>
      <w:r w:rsidR="002870BB">
        <w:rPr>
          <w:rFonts w:eastAsia="Times New Roman" w:cs="Times New Roman"/>
          <w:kern w:val="0"/>
          <w:lang w:eastAsia="en-GB"/>
          <w14:ligatures w14:val="none"/>
        </w:rPr>
        <w:t>now</w:t>
      </w:r>
      <w:r w:rsidRPr="00992397">
        <w:rPr>
          <w:rFonts w:eastAsia="Times New Roman" w:cs="Times New Roman"/>
          <w:kern w:val="0"/>
          <w:lang w:eastAsia="en-GB"/>
          <w14:ligatures w14:val="none"/>
        </w:rPr>
        <w:t xml:space="preserve"> defines environmental responsibility</w:t>
      </w:r>
      <w:r w:rsidR="002870BB">
        <w:rPr>
          <w:rFonts w:eastAsia="Times New Roman" w:cs="Times New Roman"/>
          <w:kern w:val="0"/>
          <w:lang w:eastAsia="en-GB"/>
          <w14:ligatures w14:val="none"/>
        </w:rPr>
        <w:t xml:space="preserve"> (</w:t>
      </w:r>
      <w:r w:rsidR="00FB44EB" w:rsidRPr="000D214E">
        <w:rPr>
          <w:rFonts w:eastAsia="Times New Roman" w:cs="Times New Roman"/>
          <w:kern w:val="0"/>
          <w:lang w:eastAsia="en-GB"/>
          <w14:ligatures w14:val="none"/>
        </w:rPr>
        <w:t>Green Key Global, 2024</w:t>
      </w:r>
      <w:r w:rsidR="002870BB">
        <w:rPr>
          <w:rFonts w:eastAsia="Times New Roman" w:cs="Times New Roman"/>
          <w:kern w:val="0"/>
          <w:lang w:eastAsia="en-GB"/>
          <w14:ligatures w14:val="none"/>
        </w:rPr>
        <w:t>)</w:t>
      </w:r>
      <w:r w:rsidRPr="00992397">
        <w:rPr>
          <w:rFonts w:eastAsia="Times New Roman" w:cs="Times New Roman"/>
          <w:kern w:val="0"/>
          <w:lang w:eastAsia="en-GB"/>
          <w14:ligatures w14:val="none"/>
        </w:rPr>
        <w:t xml:space="preserve">. Hyatt Regency Birmingham can create </w:t>
      </w:r>
      <w:r>
        <w:rPr>
          <w:rFonts w:eastAsia="Times New Roman" w:cs="Times New Roman"/>
          <w:kern w:val="0"/>
          <w:lang w:eastAsia="en-GB"/>
          <w14:ligatures w14:val="none"/>
        </w:rPr>
        <w:t xml:space="preserve">a </w:t>
      </w:r>
      <w:r w:rsidRPr="00992397">
        <w:rPr>
          <w:rFonts w:eastAsia="Times New Roman" w:cs="Times New Roman"/>
          <w:kern w:val="0"/>
          <w:lang w:eastAsia="en-GB"/>
          <w14:ligatures w14:val="none"/>
        </w:rPr>
        <w:t xml:space="preserve">series of green packages certified by bodies such as Green Key. </w:t>
      </w:r>
      <w:r>
        <w:rPr>
          <w:rFonts w:eastAsia="Times New Roman" w:cs="Times New Roman"/>
          <w:kern w:val="0"/>
          <w:lang w:eastAsia="en-GB"/>
          <w14:ligatures w14:val="none"/>
        </w:rPr>
        <w:t xml:space="preserve">These packages might be centred on digital-only documents, biodegradable catering supplies, </w:t>
      </w:r>
      <w:r w:rsidR="00575921">
        <w:rPr>
          <w:rFonts w:eastAsia="Times New Roman" w:cs="Times New Roman"/>
          <w:kern w:val="0"/>
          <w:lang w:eastAsia="en-GB"/>
          <w14:ligatures w14:val="none"/>
        </w:rPr>
        <w:t>carbon offset</w:t>
      </w:r>
      <w:r>
        <w:rPr>
          <w:rFonts w:eastAsia="Times New Roman" w:cs="Times New Roman"/>
          <w:kern w:val="0"/>
          <w:lang w:eastAsia="en-GB"/>
          <w14:ligatures w14:val="none"/>
        </w:rPr>
        <w:t xml:space="preserve"> options,</w:t>
      </w:r>
      <w:r w:rsidRPr="00992397">
        <w:rPr>
          <w:rFonts w:eastAsia="Times New Roman" w:cs="Times New Roman"/>
          <w:kern w:val="0"/>
          <w:lang w:eastAsia="en-GB"/>
          <w14:ligatures w14:val="none"/>
        </w:rPr>
        <w:t xml:space="preserve"> and partnerships with local zero-waste vendors</w:t>
      </w:r>
      <w:r w:rsidR="0037385B">
        <w:rPr>
          <w:rFonts w:eastAsia="Times New Roman" w:cs="Times New Roman"/>
          <w:kern w:val="0"/>
          <w:lang w:eastAsia="en-GB"/>
          <w14:ligatures w14:val="none"/>
        </w:rPr>
        <w:t xml:space="preserve"> </w:t>
      </w:r>
      <w:r w:rsidR="00503CF3" w:rsidRPr="00503CF3">
        <w:rPr>
          <w:rFonts w:eastAsia="Times New Roman" w:cs="Times New Roman"/>
          <w:kern w:val="0"/>
          <w:lang w:eastAsia="en-GB"/>
          <w14:ligatures w14:val="none"/>
        </w:rPr>
        <w:t>(Li and Liu, 2020)</w:t>
      </w:r>
      <w:r w:rsidRPr="00992397">
        <w:rPr>
          <w:rFonts w:eastAsia="Times New Roman" w:cs="Times New Roman"/>
          <w:kern w:val="0"/>
          <w:lang w:eastAsia="en-GB"/>
          <w14:ligatures w14:val="none"/>
        </w:rPr>
        <w:t xml:space="preserve">. This </w:t>
      </w:r>
      <w:r>
        <w:rPr>
          <w:rFonts w:eastAsia="Times New Roman" w:cs="Times New Roman"/>
          <w:kern w:val="0"/>
          <w:lang w:eastAsia="en-GB"/>
          <w14:ligatures w14:val="none"/>
        </w:rPr>
        <w:t xml:space="preserve">directly tackles the environment and ethics of the STEEPLED analysis </w:t>
      </w:r>
      <w:r w:rsidRPr="00992397">
        <w:rPr>
          <w:rFonts w:eastAsia="Times New Roman" w:cs="Times New Roman"/>
          <w:kern w:val="0"/>
          <w:lang w:eastAsia="en-GB"/>
          <w14:ligatures w14:val="none"/>
        </w:rPr>
        <w:t>and can be presented as a premium value proposition.</w:t>
      </w:r>
    </w:p>
    <w:p w14:paraId="5365AC8C" w14:textId="2B457564" w:rsidR="00A32DFD" w:rsidRPr="00992397" w:rsidRDefault="00A32DFD" w:rsidP="000D214E">
      <w:pPr>
        <w:rPr>
          <w:rFonts w:eastAsia="Times New Roman" w:cs="Times New Roman"/>
          <w:b/>
          <w:bCs/>
          <w:kern w:val="0"/>
          <w:lang w:eastAsia="en-GB"/>
          <w14:ligatures w14:val="none"/>
        </w:rPr>
      </w:pPr>
      <w:r w:rsidRPr="00992397">
        <w:rPr>
          <w:rFonts w:eastAsia="Times New Roman" w:cs="Times New Roman"/>
          <w:b/>
          <w:bCs/>
          <w:kern w:val="0"/>
          <w:lang w:eastAsia="en-GB"/>
          <w14:ligatures w14:val="none"/>
        </w:rPr>
        <w:lastRenderedPageBreak/>
        <w:t>4. Digital Marketing Revamp and Virtual Sales Tools</w:t>
      </w:r>
    </w:p>
    <w:p w14:paraId="7E996B4B" w14:textId="13D2200B"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Traditional channels have become less effective in attracting MICE clients. A shift toward digital-first marketing should include virtual venue tours, interactive event planners, SEO campaigns targeting Midlands-based SMEs, and LinkedIn advertising focused on business decision-makers</w:t>
      </w:r>
      <w:r w:rsidR="003935DF">
        <w:rPr>
          <w:rFonts w:eastAsia="Times New Roman" w:cs="Times New Roman"/>
          <w:kern w:val="0"/>
          <w:lang w:eastAsia="en-GB"/>
          <w14:ligatures w14:val="none"/>
        </w:rPr>
        <w:t xml:space="preserve"> (</w:t>
      </w:r>
      <w:r w:rsidR="003935DF" w:rsidRPr="00404879">
        <w:rPr>
          <w:rFonts w:eastAsia="Times New Roman" w:cs="Times New Roman"/>
          <w:kern w:val="0"/>
          <w:lang w:eastAsia="en-GB"/>
          <w14:ligatures w14:val="none"/>
        </w:rPr>
        <w:t>Sigala, 2015</w:t>
      </w:r>
      <w:r w:rsidR="003935DF">
        <w:rPr>
          <w:rFonts w:eastAsia="Times New Roman" w:cs="Times New Roman"/>
          <w:kern w:val="0"/>
          <w:lang w:eastAsia="en-GB"/>
          <w14:ligatures w14:val="none"/>
        </w:rPr>
        <w:t>)</w:t>
      </w:r>
      <w:r w:rsidRPr="000D214E">
        <w:rPr>
          <w:rFonts w:eastAsia="Times New Roman" w:cs="Times New Roman"/>
          <w:kern w:val="0"/>
          <w:lang w:eastAsia="en-GB"/>
          <w14:ligatures w14:val="none"/>
        </w:rPr>
        <w:t>. Tools such as HubSpot and Google Analytics can be used to track lead conversions and booking trends, enabling data-driven marketing</w:t>
      </w:r>
      <w:r w:rsidR="00864972">
        <w:rPr>
          <w:rFonts w:eastAsia="Times New Roman" w:cs="Times New Roman"/>
          <w:kern w:val="0"/>
          <w:lang w:eastAsia="en-GB"/>
          <w14:ligatures w14:val="none"/>
        </w:rPr>
        <w:t xml:space="preserve"> (</w:t>
      </w:r>
      <w:r w:rsidR="00864972" w:rsidRPr="000D214E">
        <w:rPr>
          <w:rFonts w:eastAsia="Times New Roman" w:cs="Times New Roman"/>
          <w:kern w:val="0"/>
          <w:lang w:eastAsia="en-GB"/>
          <w14:ligatures w14:val="none"/>
        </w:rPr>
        <w:t>Deloitte, 2023</w:t>
      </w:r>
      <w:r w:rsidR="00864972">
        <w:rPr>
          <w:rFonts w:eastAsia="Times New Roman" w:cs="Times New Roman"/>
          <w:kern w:val="0"/>
          <w:lang w:eastAsia="en-GB"/>
          <w14:ligatures w14:val="none"/>
        </w:rPr>
        <w:t>)</w:t>
      </w:r>
      <w:r w:rsidRPr="000D214E">
        <w:rPr>
          <w:rFonts w:eastAsia="Times New Roman" w:cs="Times New Roman"/>
          <w:kern w:val="0"/>
          <w:lang w:eastAsia="en-GB"/>
          <w14:ligatures w14:val="none"/>
        </w:rPr>
        <w:t>.</w:t>
      </w:r>
    </w:p>
    <w:p w14:paraId="5EB626C9" w14:textId="77777777" w:rsidR="00A32DFD" w:rsidRPr="00BC3FF8" w:rsidRDefault="00A32DFD" w:rsidP="000D214E">
      <w:pPr>
        <w:rPr>
          <w:rFonts w:eastAsia="Times New Roman" w:cs="Times New Roman"/>
          <w:b/>
          <w:bCs/>
          <w:kern w:val="0"/>
          <w:lang w:eastAsia="en-GB"/>
          <w14:ligatures w14:val="none"/>
        </w:rPr>
      </w:pPr>
      <w:r w:rsidRPr="00BC3FF8">
        <w:rPr>
          <w:rFonts w:eastAsia="Times New Roman" w:cs="Times New Roman"/>
          <w:b/>
          <w:bCs/>
          <w:kern w:val="0"/>
          <w:lang w:eastAsia="en-GB"/>
          <w14:ligatures w14:val="none"/>
        </w:rPr>
        <w:t>5. Institutional and Cultural Partnerships</w:t>
      </w:r>
    </w:p>
    <w:p w14:paraId="1096BEF4" w14:textId="6AE56398" w:rsidR="00A32DFD" w:rsidRPr="000D214E" w:rsidRDefault="00A94ACD" w:rsidP="000D214E">
      <w:pPr>
        <w:rPr>
          <w:rFonts w:eastAsia="Times New Roman" w:cs="Times New Roman"/>
          <w:kern w:val="0"/>
          <w:lang w:eastAsia="en-GB"/>
          <w14:ligatures w14:val="none"/>
        </w:rPr>
      </w:pPr>
      <w:r>
        <w:rPr>
          <w:rFonts w:eastAsia="Times New Roman" w:cs="Times New Roman"/>
          <w:kern w:val="0"/>
          <w:lang w:eastAsia="en-GB"/>
          <w14:ligatures w14:val="none"/>
        </w:rPr>
        <w:t>The hotel can embed itself into the local corporate and academic ecosystem by partnering with universities, theatres, business parks, and fintech firms</w:t>
      </w:r>
      <w:r w:rsidR="00A32DFD" w:rsidRPr="000D214E">
        <w:rPr>
          <w:rFonts w:eastAsia="Times New Roman" w:cs="Times New Roman"/>
          <w:kern w:val="0"/>
          <w:lang w:eastAsia="en-GB"/>
          <w14:ligatures w14:val="none"/>
        </w:rPr>
        <w:t>. Co-hosted events, internship placements, and shared sponsorships can build trust and brand familiarity while opening new event and lodging pipelines.</w:t>
      </w:r>
    </w:p>
    <w:p w14:paraId="022847B9" w14:textId="16B70F7C" w:rsidR="00A32DFD" w:rsidRPr="00227129" w:rsidRDefault="00A32DFD" w:rsidP="00921F9A">
      <w:pPr>
        <w:pStyle w:val="Heading2"/>
        <w:rPr>
          <w:rFonts w:eastAsia="Times New Roman"/>
          <w:lang w:eastAsia="en-GB"/>
        </w:rPr>
      </w:pPr>
      <w:bookmarkStart w:id="11" w:name="_Toc199940943"/>
      <w:r w:rsidRPr="00227129">
        <w:rPr>
          <w:rFonts w:eastAsia="Times New Roman"/>
          <w:lang w:eastAsia="en-GB"/>
        </w:rPr>
        <w:t>Change Management Strategy</w:t>
      </w:r>
      <w:bookmarkEnd w:id="11"/>
    </w:p>
    <w:p w14:paraId="5E5436B5" w14:textId="77777777"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successful implementation of the above recommendations requires a structured, human-centred change process. Kotter’s 8-Step Model provides a comprehensive framework to guide transformation while addressing staff resistance, capacity building, and continuous improvement.</w:t>
      </w:r>
    </w:p>
    <w:p w14:paraId="779EDCCB"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1: Create a Sense of Urgency</w:t>
      </w:r>
    </w:p>
    <w:p w14:paraId="5FC3A7EE" w14:textId="56EBAE59"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change process must begin with transparent communication from leadership regarding declining KPIs and emerging risks</w:t>
      </w:r>
      <w:r w:rsidR="00122506">
        <w:rPr>
          <w:rFonts w:eastAsia="Times New Roman" w:cs="Times New Roman"/>
          <w:kern w:val="0"/>
          <w:lang w:eastAsia="en-GB"/>
          <w14:ligatures w14:val="none"/>
        </w:rPr>
        <w:t xml:space="preserve"> </w:t>
      </w:r>
      <w:r w:rsidR="00122506" w:rsidRPr="00122506">
        <w:rPr>
          <w:rFonts w:eastAsia="Times New Roman" w:cs="Times New Roman"/>
          <w:kern w:val="0"/>
          <w:lang w:eastAsia="en-GB"/>
          <w14:ligatures w14:val="none"/>
        </w:rPr>
        <w:t>(Subramaniam et al., 2011)</w:t>
      </w:r>
      <w:r w:rsidRPr="000D214E">
        <w:rPr>
          <w:rFonts w:eastAsia="Times New Roman" w:cs="Times New Roman"/>
          <w:kern w:val="0"/>
          <w:lang w:eastAsia="en-GB"/>
          <w14:ligatures w14:val="none"/>
        </w:rPr>
        <w:t xml:space="preserve">. An internal communication campaign—backed by data on declining MICE bookings and competitor innovations—can be used to alert teams and trigger strategic </w:t>
      </w:r>
      <w:r w:rsidR="00575921">
        <w:rPr>
          <w:rFonts w:eastAsia="Times New Roman" w:cs="Times New Roman"/>
          <w:kern w:val="0"/>
          <w:lang w:eastAsia="en-GB"/>
          <w14:ligatures w14:val="none"/>
        </w:rPr>
        <w:t>concerns</w:t>
      </w:r>
      <w:r w:rsidRPr="000D214E">
        <w:rPr>
          <w:rFonts w:eastAsia="Times New Roman" w:cs="Times New Roman"/>
          <w:kern w:val="0"/>
          <w:lang w:eastAsia="en-GB"/>
          <w14:ligatures w14:val="none"/>
        </w:rPr>
        <w:t>.</w:t>
      </w:r>
    </w:p>
    <w:p w14:paraId="19CE22B9"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2: Build a Guiding Coalition</w:t>
      </w:r>
    </w:p>
    <w:p w14:paraId="700E2EB3" w14:textId="65F0C666"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A cross-functional transformation team should be formed, comprising leaders from marketing, operations, IT, and front-line guest services. </w:t>
      </w:r>
      <w:r w:rsidR="00575921">
        <w:rPr>
          <w:rFonts w:eastAsia="Times New Roman" w:cs="Times New Roman"/>
          <w:kern w:val="0"/>
          <w:lang w:eastAsia="en-GB"/>
          <w14:ligatures w14:val="none"/>
        </w:rPr>
        <w:t>The inclusion</w:t>
      </w:r>
      <w:r w:rsidRPr="000D214E">
        <w:rPr>
          <w:rFonts w:eastAsia="Times New Roman" w:cs="Times New Roman"/>
          <w:kern w:val="0"/>
          <w:lang w:eastAsia="en-GB"/>
          <w14:ligatures w14:val="none"/>
        </w:rPr>
        <w:t xml:space="preserve"> of junior staff ensures credibility, innovation, and broad ownership</w:t>
      </w:r>
      <w:r w:rsidR="00E97DD2">
        <w:rPr>
          <w:rFonts w:eastAsia="Times New Roman" w:cs="Times New Roman"/>
          <w:kern w:val="0"/>
          <w:lang w:eastAsia="en-GB"/>
          <w14:ligatures w14:val="none"/>
        </w:rPr>
        <w:t xml:space="preserve"> </w:t>
      </w:r>
      <w:r w:rsidR="00E97DD2" w:rsidRPr="00E97DD2">
        <w:rPr>
          <w:rFonts w:eastAsia="Times New Roman" w:cs="Times New Roman"/>
          <w:kern w:val="0"/>
          <w:lang w:eastAsia="en-GB"/>
          <w14:ligatures w14:val="none"/>
        </w:rPr>
        <w:t xml:space="preserve">(Hayes, </w:t>
      </w:r>
      <w:proofErr w:type="spellStart"/>
      <w:r w:rsidR="00E97DD2" w:rsidRPr="00E97DD2">
        <w:rPr>
          <w:rFonts w:eastAsia="Times New Roman" w:cs="Times New Roman"/>
          <w:kern w:val="0"/>
          <w:lang w:eastAsia="en-GB"/>
          <w14:ligatures w14:val="none"/>
        </w:rPr>
        <w:t>Ninemeier</w:t>
      </w:r>
      <w:proofErr w:type="spellEnd"/>
      <w:r w:rsidR="00E97DD2" w:rsidRPr="00E97DD2">
        <w:rPr>
          <w:rFonts w:eastAsia="Times New Roman" w:cs="Times New Roman"/>
          <w:kern w:val="0"/>
          <w:lang w:eastAsia="en-GB"/>
          <w14:ligatures w14:val="none"/>
        </w:rPr>
        <w:t xml:space="preserve"> and Miller, 2017)</w:t>
      </w:r>
      <w:r w:rsidRPr="000D214E">
        <w:rPr>
          <w:rFonts w:eastAsia="Times New Roman" w:cs="Times New Roman"/>
          <w:kern w:val="0"/>
          <w:lang w:eastAsia="en-GB"/>
          <w14:ligatures w14:val="none"/>
        </w:rPr>
        <w:t>.</w:t>
      </w:r>
    </w:p>
    <w:p w14:paraId="4C55B832"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3: Form a Strategic Vision and Initiatives</w:t>
      </w:r>
    </w:p>
    <w:p w14:paraId="6B226FAD" w14:textId="7D94F18F"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vision</w:t>
      </w:r>
      <w:r w:rsidR="00C74020" w:rsidRPr="000D214E">
        <w:rPr>
          <w:rFonts w:eastAsia="Times New Roman" w:cs="Times New Roman"/>
          <w:kern w:val="0"/>
          <w:lang w:eastAsia="en-GB"/>
          <w14:ligatures w14:val="none"/>
        </w:rPr>
        <w:t>— “</w:t>
      </w:r>
      <w:r w:rsidRPr="000D214E">
        <w:rPr>
          <w:rFonts w:eastAsia="Times New Roman" w:cs="Times New Roman"/>
          <w:kern w:val="0"/>
          <w:lang w:eastAsia="en-GB"/>
          <w14:ligatures w14:val="none"/>
        </w:rPr>
        <w:t xml:space="preserve">Redefining Hyatt Regency Birmingham as the Midlands’ premier hybrid and sustainable event destination”—should be consistently reinforced through signage, digital </w:t>
      </w:r>
      <w:r w:rsidRPr="000D214E">
        <w:rPr>
          <w:rFonts w:eastAsia="Times New Roman" w:cs="Times New Roman"/>
          <w:kern w:val="0"/>
          <w:lang w:eastAsia="en-GB"/>
          <w14:ligatures w14:val="none"/>
        </w:rPr>
        <w:lastRenderedPageBreak/>
        <w:t>displays, and leadership communication. Initiatives should be tied to concrete milestones such as tech upgrades, partnership announcements, or certification achievements.</w:t>
      </w:r>
    </w:p>
    <w:p w14:paraId="17AF6228"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4: Enlist a Volunteer Army</w:t>
      </w:r>
    </w:p>
    <w:p w14:paraId="23233A5C" w14:textId="37135489"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Mid-level managers and front-line staff can be empowered through formal ambassador roles. These change ambassadors can test new AV tech, host familiarisation events for SMEs, and pilot green conference packages</w:t>
      </w:r>
      <w:r w:rsidR="006823BB">
        <w:rPr>
          <w:rFonts w:eastAsia="Times New Roman" w:cs="Times New Roman"/>
          <w:kern w:val="0"/>
          <w:lang w:eastAsia="en-GB"/>
          <w14:ligatures w14:val="none"/>
        </w:rPr>
        <w:t xml:space="preserve"> </w:t>
      </w:r>
      <w:r w:rsidR="00677616">
        <w:rPr>
          <w:rFonts w:eastAsia="Times New Roman" w:cs="Times New Roman"/>
          <w:kern w:val="0"/>
          <w:lang w:eastAsia="en-GB"/>
          <w14:ligatures w14:val="none"/>
        </w:rPr>
        <w:t>(</w:t>
      </w:r>
      <w:r w:rsidR="006823BB" w:rsidRPr="006823BB">
        <w:rPr>
          <w:rFonts w:eastAsia="Times New Roman" w:cs="Times New Roman"/>
          <w:kern w:val="0"/>
          <w:lang w:eastAsia="en-GB"/>
          <w14:ligatures w14:val="none"/>
        </w:rPr>
        <w:t>SW Chan</w:t>
      </w:r>
      <w:r w:rsidR="00677616">
        <w:rPr>
          <w:rFonts w:eastAsia="Times New Roman" w:cs="Times New Roman"/>
          <w:kern w:val="0"/>
          <w:lang w:eastAsia="en-GB"/>
          <w14:ligatures w14:val="none"/>
        </w:rPr>
        <w:t xml:space="preserve">, </w:t>
      </w:r>
      <w:r w:rsidR="00677616" w:rsidRPr="00677616">
        <w:rPr>
          <w:rFonts w:eastAsia="Times New Roman" w:cs="Times New Roman"/>
          <w:kern w:val="0"/>
          <w:lang w:eastAsia="en-GB"/>
          <w14:ligatures w14:val="none"/>
        </w:rPr>
        <w:t>2013</w:t>
      </w:r>
      <w:r w:rsidR="00677616">
        <w:rPr>
          <w:rFonts w:eastAsia="Times New Roman" w:cs="Times New Roman"/>
          <w:kern w:val="0"/>
          <w:lang w:eastAsia="en-GB"/>
          <w14:ligatures w14:val="none"/>
        </w:rPr>
        <w:t>)</w:t>
      </w:r>
      <w:r w:rsidRPr="000D214E">
        <w:rPr>
          <w:rFonts w:eastAsia="Times New Roman" w:cs="Times New Roman"/>
          <w:kern w:val="0"/>
          <w:lang w:eastAsia="en-GB"/>
          <w14:ligatures w14:val="none"/>
        </w:rPr>
        <w:t>. Staff incentives might include bonuses, training certificates, or recognition awards.</w:t>
      </w:r>
    </w:p>
    <w:p w14:paraId="0AD20CD5"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5: Enable Action by Removing Barriers</w:t>
      </w:r>
    </w:p>
    <w:p w14:paraId="19828E4D" w14:textId="3742F383"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Department heads should identify procedural bottlenecks, such as rigid supplier contracts or outdated event planning systems. HR should revise training to include digital competencies, and procurement must be aligned with sustainability targets.</w:t>
      </w:r>
    </w:p>
    <w:p w14:paraId="660FA889"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6: Generate Short-Term Wins</w:t>
      </w:r>
    </w:p>
    <w:p w14:paraId="4099E043" w14:textId="471DBE4B"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Successes</w:t>
      </w:r>
      <w:r w:rsidR="00227129">
        <w:rPr>
          <w:rFonts w:eastAsia="Times New Roman" w:cs="Times New Roman"/>
          <w:kern w:val="0"/>
          <w:lang w:eastAsia="en-GB"/>
          <w14:ligatures w14:val="none"/>
        </w:rPr>
        <w:t xml:space="preserve">, such as first hybrid client booking, achieving Green Key certification, or securing a new SME account, </w:t>
      </w:r>
      <w:r w:rsidRPr="000D214E">
        <w:rPr>
          <w:rFonts w:eastAsia="Times New Roman" w:cs="Times New Roman"/>
          <w:kern w:val="0"/>
          <w:lang w:eastAsia="en-GB"/>
          <w14:ligatures w14:val="none"/>
        </w:rPr>
        <w:t>should be celebrated via staff newsletters, client press releases, and reward programs.</w:t>
      </w:r>
    </w:p>
    <w:p w14:paraId="1B4B68ED"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7: Sustain Acceleration</w:t>
      </w:r>
    </w:p>
    <w:p w14:paraId="6A3D3E55" w14:textId="11093BED"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Quarterly staff reviews, open feedback loops, and client satisfaction surveys should be used to refine implementation</w:t>
      </w:r>
      <w:r w:rsidR="00F50E96">
        <w:rPr>
          <w:rFonts w:eastAsia="Times New Roman" w:cs="Times New Roman"/>
          <w:kern w:val="0"/>
          <w:lang w:eastAsia="en-GB"/>
          <w14:ligatures w14:val="none"/>
        </w:rPr>
        <w:t xml:space="preserve"> (</w:t>
      </w:r>
      <w:r w:rsidR="00F50E96" w:rsidRPr="000D214E">
        <w:rPr>
          <w:rFonts w:eastAsia="Times New Roman" w:cs="Times New Roman"/>
          <w:kern w:val="0"/>
          <w:lang w:eastAsia="en-GB"/>
          <w14:ligatures w14:val="none"/>
        </w:rPr>
        <w:t>CIPD, 2023</w:t>
      </w:r>
      <w:r w:rsidR="00F50E96">
        <w:rPr>
          <w:rFonts w:eastAsia="Times New Roman" w:cs="Times New Roman"/>
          <w:kern w:val="0"/>
          <w:lang w:eastAsia="en-GB"/>
          <w14:ligatures w14:val="none"/>
        </w:rPr>
        <w:t>)</w:t>
      </w:r>
      <w:r w:rsidRPr="000D214E">
        <w:rPr>
          <w:rFonts w:eastAsia="Times New Roman" w:cs="Times New Roman"/>
          <w:kern w:val="0"/>
          <w:lang w:eastAsia="en-GB"/>
          <w14:ligatures w14:val="none"/>
        </w:rPr>
        <w:t>. Budget allocations for continuous improvement must be included in departmental forecasts</w:t>
      </w:r>
      <w:r w:rsidR="00912421">
        <w:rPr>
          <w:rFonts w:eastAsia="Times New Roman" w:cs="Times New Roman"/>
          <w:kern w:val="0"/>
          <w:lang w:eastAsia="en-GB"/>
          <w14:ligatures w14:val="none"/>
        </w:rPr>
        <w:t xml:space="preserve"> (</w:t>
      </w:r>
      <w:r w:rsidR="00912421" w:rsidRPr="00726574">
        <w:rPr>
          <w:rFonts w:eastAsia="Times New Roman" w:cs="Times New Roman"/>
          <w:kern w:val="0"/>
          <w:lang w:eastAsia="en-GB"/>
          <w14:ligatures w14:val="none"/>
        </w:rPr>
        <w:t>PwC, 2023</w:t>
      </w:r>
      <w:r w:rsidR="00912421">
        <w:rPr>
          <w:rFonts w:eastAsia="Times New Roman" w:cs="Times New Roman"/>
          <w:kern w:val="0"/>
          <w:lang w:eastAsia="en-GB"/>
          <w14:ligatures w14:val="none"/>
        </w:rPr>
        <w:t>)</w:t>
      </w:r>
      <w:r w:rsidRPr="000D214E">
        <w:rPr>
          <w:rFonts w:eastAsia="Times New Roman" w:cs="Times New Roman"/>
          <w:kern w:val="0"/>
          <w:lang w:eastAsia="en-GB"/>
          <w14:ligatures w14:val="none"/>
        </w:rPr>
        <w:t>.</w:t>
      </w:r>
    </w:p>
    <w:p w14:paraId="0C9DD9F9" w14:textId="77777777" w:rsidR="00227129" w:rsidRPr="004F1D85" w:rsidRDefault="00A32DFD" w:rsidP="000D214E">
      <w:pPr>
        <w:rPr>
          <w:rFonts w:eastAsia="Times New Roman" w:cs="Times New Roman"/>
          <w:b/>
          <w:bCs/>
          <w:kern w:val="0"/>
          <w:lang w:eastAsia="en-GB"/>
          <w14:ligatures w14:val="none"/>
        </w:rPr>
      </w:pPr>
      <w:r w:rsidRPr="004F1D85">
        <w:rPr>
          <w:rFonts w:eastAsia="Times New Roman" w:cs="Times New Roman"/>
          <w:b/>
          <w:bCs/>
          <w:kern w:val="0"/>
          <w:lang w:eastAsia="en-GB"/>
          <w14:ligatures w14:val="none"/>
        </w:rPr>
        <w:t>Step 8: Institute Change</w:t>
      </w:r>
    </w:p>
    <w:p w14:paraId="2622C785" w14:textId="5BFB0E50"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Cultural entrenchment requires aligning HR policies, performance KPIs, and marketing language with the transformation objectives. Roles should be redefined to reflect new hybrid and sustainability responsibilities</w:t>
      </w:r>
      <w:r w:rsidR="000E40E9">
        <w:rPr>
          <w:rFonts w:eastAsia="Times New Roman" w:cs="Times New Roman"/>
          <w:kern w:val="0"/>
          <w:lang w:eastAsia="en-GB"/>
          <w14:ligatures w14:val="none"/>
        </w:rPr>
        <w:t xml:space="preserve"> (</w:t>
      </w:r>
      <w:proofErr w:type="spellStart"/>
      <w:r w:rsidR="000E40E9" w:rsidRPr="000E40E9">
        <w:rPr>
          <w:rFonts w:eastAsia="Times New Roman" w:cs="Times New Roman"/>
          <w:kern w:val="0"/>
          <w:lang w:eastAsia="en-GB"/>
          <w14:ligatures w14:val="none"/>
        </w:rPr>
        <w:t>Kilincarslan</w:t>
      </w:r>
      <w:proofErr w:type="spellEnd"/>
      <w:r w:rsidR="000E40E9">
        <w:rPr>
          <w:rFonts w:eastAsia="Times New Roman" w:cs="Times New Roman"/>
          <w:kern w:val="0"/>
          <w:lang w:eastAsia="en-GB"/>
          <w14:ligatures w14:val="none"/>
        </w:rPr>
        <w:t xml:space="preserve"> </w:t>
      </w:r>
      <w:r w:rsidR="000E40E9" w:rsidRPr="000E40E9">
        <w:rPr>
          <w:rFonts w:eastAsia="Times New Roman" w:cs="Times New Roman"/>
          <w:kern w:val="0"/>
          <w:lang w:eastAsia="en-GB"/>
          <w14:ligatures w14:val="none"/>
        </w:rPr>
        <w:t xml:space="preserve">and </w:t>
      </w:r>
      <w:proofErr w:type="spellStart"/>
      <w:r w:rsidR="000E40E9" w:rsidRPr="000E40E9">
        <w:rPr>
          <w:rFonts w:eastAsia="Times New Roman" w:cs="Times New Roman"/>
          <w:kern w:val="0"/>
          <w:lang w:eastAsia="en-GB"/>
          <w14:ligatures w14:val="none"/>
        </w:rPr>
        <w:t>Demiralay</w:t>
      </w:r>
      <w:proofErr w:type="spellEnd"/>
      <w:r w:rsidR="000E40E9" w:rsidRPr="000E40E9">
        <w:rPr>
          <w:rFonts w:eastAsia="Times New Roman" w:cs="Times New Roman"/>
          <w:kern w:val="0"/>
          <w:lang w:eastAsia="en-GB"/>
          <w14:ligatures w14:val="none"/>
        </w:rPr>
        <w:t>, 2021</w:t>
      </w:r>
      <w:r w:rsidR="000E40E9">
        <w:rPr>
          <w:rFonts w:eastAsia="Times New Roman" w:cs="Times New Roman"/>
          <w:kern w:val="0"/>
          <w:lang w:eastAsia="en-GB"/>
          <w14:ligatures w14:val="none"/>
        </w:rPr>
        <w:t>)</w:t>
      </w:r>
      <w:r w:rsidRPr="000D214E">
        <w:rPr>
          <w:rFonts w:eastAsia="Times New Roman" w:cs="Times New Roman"/>
          <w:kern w:val="0"/>
          <w:lang w:eastAsia="en-GB"/>
          <w14:ligatures w14:val="none"/>
        </w:rPr>
        <w:t>.</w:t>
      </w:r>
    </w:p>
    <w:p w14:paraId="1F4D10AF" w14:textId="2A75A39E" w:rsidR="00A32DFD" w:rsidRPr="004F1D85" w:rsidRDefault="00A32DFD" w:rsidP="00921F9A">
      <w:pPr>
        <w:pStyle w:val="Heading2"/>
        <w:rPr>
          <w:rFonts w:eastAsia="Times New Roman"/>
          <w:lang w:eastAsia="en-GB"/>
        </w:rPr>
      </w:pPr>
      <w:bookmarkStart w:id="12" w:name="_Toc199940944"/>
      <w:r w:rsidRPr="004F1D85">
        <w:rPr>
          <w:rFonts w:eastAsia="Times New Roman"/>
          <w:lang w:eastAsia="en-GB"/>
        </w:rPr>
        <w:t>Justification of Recommendations</w:t>
      </w:r>
      <w:bookmarkEnd w:id="12"/>
      <w:r w:rsidRPr="004F1D85">
        <w:rPr>
          <w:rFonts w:eastAsia="Times New Roman"/>
          <w:lang w:eastAsia="en-GB"/>
        </w:rPr>
        <w:t xml:space="preserve"> </w:t>
      </w:r>
    </w:p>
    <w:p w14:paraId="6A85DB78" w14:textId="0F2D3ABA" w:rsidR="00A32DFD" w:rsidRPr="000D214E" w:rsidRDefault="00FA327D" w:rsidP="000D214E">
      <w:pPr>
        <w:rPr>
          <w:rFonts w:eastAsia="Times New Roman" w:cs="Times New Roman"/>
          <w:kern w:val="0"/>
          <w:lang w:eastAsia="en-GB"/>
          <w14:ligatures w14:val="none"/>
        </w:rPr>
      </w:pPr>
      <w:r w:rsidRPr="00FA327D">
        <w:rPr>
          <w:rFonts w:eastAsia="Times New Roman" w:cs="Times New Roman"/>
          <w:kern w:val="0"/>
          <w:lang w:eastAsia="en-GB"/>
          <w14:ligatures w14:val="none"/>
        </w:rPr>
        <w:t>Using structured methods of modelling, such as PLS-SEM, research validity and decision-making effectiveness in hospitality research are enhanced (Ali et al., 2018) and each recommendation presented is derived from theory and empirical insights</w:t>
      </w:r>
      <w:r>
        <w:rPr>
          <w:rFonts w:eastAsia="Times New Roman" w:cs="Times New Roman"/>
          <w:kern w:val="0"/>
          <w:lang w:eastAsia="en-GB"/>
          <w14:ligatures w14:val="none"/>
        </w:rPr>
        <w:t xml:space="preserve">. </w:t>
      </w:r>
      <w:r w:rsidR="00A32DFD" w:rsidRPr="000D214E">
        <w:rPr>
          <w:rFonts w:eastAsia="Times New Roman" w:cs="Times New Roman"/>
          <w:kern w:val="0"/>
          <w:lang w:eastAsia="en-GB"/>
          <w14:ligatures w14:val="none"/>
        </w:rPr>
        <w:t>According to Hyatt’s</w:t>
      </w:r>
      <w:r w:rsidR="006B7A09">
        <w:rPr>
          <w:rFonts w:eastAsia="Times New Roman" w:cs="Times New Roman"/>
          <w:kern w:val="0"/>
          <w:lang w:eastAsia="en-GB"/>
          <w14:ligatures w14:val="none"/>
        </w:rPr>
        <w:t xml:space="preserve"> </w:t>
      </w:r>
      <w:r w:rsidR="00A32DFD" w:rsidRPr="000D214E">
        <w:rPr>
          <w:rFonts w:eastAsia="Times New Roman" w:cs="Times New Roman"/>
          <w:kern w:val="0"/>
          <w:lang w:eastAsia="en-GB"/>
          <w14:ligatures w14:val="none"/>
        </w:rPr>
        <w:t xml:space="preserve">financial report, RevPAR in urban business hotels grew at only 13%, </w:t>
      </w:r>
      <w:proofErr w:type="gramStart"/>
      <w:r w:rsidR="00A32DFD" w:rsidRPr="000D214E">
        <w:rPr>
          <w:rFonts w:eastAsia="Times New Roman" w:cs="Times New Roman"/>
          <w:kern w:val="0"/>
          <w:lang w:eastAsia="en-GB"/>
          <w14:ligatures w14:val="none"/>
        </w:rPr>
        <w:t>lagging behind</w:t>
      </w:r>
      <w:proofErr w:type="gramEnd"/>
      <w:r w:rsidR="00A32DFD" w:rsidRPr="000D214E">
        <w:rPr>
          <w:rFonts w:eastAsia="Times New Roman" w:cs="Times New Roman"/>
          <w:kern w:val="0"/>
          <w:lang w:eastAsia="en-GB"/>
          <w14:ligatures w14:val="none"/>
        </w:rPr>
        <w:t xml:space="preserve"> resort properties (Hyatt Hotels Corporation, 2024). Similarly, the occupancy rate in Birmingham </w:t>
      </w:r>
      <w:r w:rsidR="00A32DFD" w:rsidRPr="000D214E">
        <w:rPr>
          <w:rFonts w:eastAsia="Times New Roman" w:cs="Times New Roman"/>
          <w:kern w:val="0"/>
          <w:lang w:eastAsia="en-GB"/>
          <w14:ligatures w14:val="none"/>
        </w:rPr>
        <w:lastRenderedPageBreak/>
        <w:t>remains 6–8% lower than the UK city average (REV Birmingham, 2024). These indicators confirm the need for adaptation in business-facing hospitality models.</w:t>
      </w:r>
    </w:p>
    <w:p w14:paraId="2C4178E4" w14:textId="0DDE7FD5"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Upgrading AV and offering hybrid packages addresses the long-term shift in client expectations toward flexible, tech-enabled meetings. It also reflects the “technological” and “social” forces noted in the STEEPLED analysis. Repositioning toward regional institutions, particularly SMEs and academia, reduces market dependence on international corporations and aligns with Birmingham’s economic profile</w:t>
      </w:r>
      <w:r w:rsidR="00D744B9">
        <w:rPr>
          <w:rFonts w:eastAsia="Times New Roman" w:cs="Times New Roman"/>
          <w:kern w:val="0"/>
          <w:lang w:eastAsia="en-GB"/>
          <w14:ligatures w14:val="none"/>
        </w:rPr>
        <w:t>.</w:t>
      </w:r>
    </w:p>
    <w:p w14:paraId="66C784B0" w14:textId="77777777"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Green conferencing has moved from a “nice-to-have” to a business imperative. </w:t>
      </w:r>
      <w:proofErr w:type="spellStart"/>
      <w:r w:rsidRPr="000D214E">
        <w:rPr>
          <w:rFonts w:eastAsia="Times New Roman" w:cs="Times New Roman"/>
          <w:kern w:val="0"/>
          <w:lang w:eastAsia="en-GB"/>
          <w14:ligatures w14:val="none"/>
        </w:rPr>
        <w:t>Booking.com’s</w:t>
      </w:r>
      <w:proofErr w:type="spellEnd"/>
      <w:r w:rsidRPr="000D214E">
        <w:rPr>
          <w:rFonts w:eastAsia="Times New Roman" w:cs="Times New Roman"/>
          <w:kern w:val="0"/>
          <w:lang w:eastAsia="en-GB"/>
          <w14:ligatures w14:val="none"/>
        </w:rPr>
        <w:t xml:space="preserve"> 2023 Sustainable Travel Report noted that 76% of global travellers prefer sustainable accommodation options. Hyatt’s own Global Care &amp; Sustainability commitments support this move and offer brand alignment.</w:t>
      </w:r>
    </w:p>
    <w:p w14:paraId="0F3A472E" w14:textId="60F819E2"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Digital marketing and local partnerships are low-cost, high-impact tactics that address the weaknesses identified in the SWOT analysis. Kotter’s change management model was chosen for its widespread use in service industries and </w:t>
      </w:r>
      <w:r w:rsidR="00575921">
        <w:rPr>
          <w:rFonts w:eastAsia="Times New Roman" w:cs="Times New Roman"/>
          <w:kern w:val="0"/>
          <w:lang w:eastAsia="en-GB"/>
          <w14:ligatures w14:val="none"/>
        </w:rPr>
        <w:t xml:space="preserve">its </w:t>
      </w:r>
      <w:r w:rsidRPr="000D214E">
        <w:rPr>
          <w:rFonts w:eastAsia="Times New Roman" w:cs="Times New Roman"/>
          <w:kern w:val="0"/>
          <w:lang w:eastAsia="en-GB"/>
          <w14:ligatures w14:val="none"/>
        </w:rPr>
        <w:t>ability to sequence transformation in clear, employee-led steps.</w:t>
      </w:r>
    </w:p>
    <w:p w14:paraId="5005A20E" w14:textId="22C765A0"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These combined strategies are not just relevant—they are necessary. Without decisive intervention, Hyatt Regency Birmingham risks declining relevance and underperformance relative to the UK urban hospitality market.</w:t>
      </w:r>
    </w:p>
    <w:p w14:paraId="0326CD3B" w14:textId="5B011A27" w:rsidR="00A32DFD" w:rsidRPr="004F1D85" w:rsidRDefault="00A32DFD" w:rsidP="00921F9A">
      <w:pPr>
        <w:pStyle w:val="Heading2"/>
        <w:rPr>
          <w:rFonts w:eastAsia="Times New Roman"/>
          <w:lang w:eastAsia="en-GB"/>
        </w:rPr>
      </w:pPr>
      <w:r w:rsidRPr="004F1D85">
        <w:rPr>
          <w:rFonts w:eastAsia="Times New Roman"/>
          <w:lang w:eastAsia="en-GB"/>
        </w:rPr>
        <w:t xml:space="preserve"> </w:t>
      </w:r>
      <w:bookmarkStart w:id="13" w:name="_Toc199940945"/>
      <w:r w:rsidRPr="004F1D85">
        <w:rPr>
          <w:rFonts w:eastAsia="Times New Roman"/>
          <w:lang w:eastAsia="en-GB"/>
        </w:rPr>
        <w:t>Implementation Feasibility</w:t>
      </w:r>
      <w:bookmarkEnd w:id="13"/>
    </w:p>
    <w:p w14:paraId="029BF142" w14:textId="61EF848D"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The implementation of the proposed recommendations is feasible within </w:t>
      </w:r>
      <w:r w:rsidR="00575921">
        <w:rPr>
          <w:rFonts w:eastAsia="Times New Roman" w:cs="Times New Roman"/>
          <w:kern w:val="0"/>
          <w:lang w:eastAsia="en-GB"/>
          <w14:ligatures w14:val="none"/>
        </w:rPr>
        <w:t>18 months</w:t>
      </w:r>
      <w:r w:rsidRPr="000D214E">
        <w:rPr>
          <w:rFonts w:eastAsia="Times New Roman" w:cs="Times New Roman"/>
          <w:kern w:val="0"/>
          <w:lang w:eastAsia="en-GB"/>
          <w14:ligatures w14:val="none"/>
        </w:rPr>
        <w:t xml:space="preserve"> and can be staggered to balance financial, operational, and human resource considerations. Hyatt’s existing procurement and training infrastructure supports global rollouts of initiatives like AV upgrades and digital marketing, which can be adapted to local requirements at relatively low marginal cost.</w:t>
      </w:r>
    </w:p>
    <w:p w14:paraId="33831386" w14:textId="78736521"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hotel’s decentralised departmental structure supports rapid decision-making, particularly in marketing, guest services, and events management</w:t>
      </w:r>
      <w:r w:rsidR="00C76AB0">
        <w:rPr>
          <w:rFonts w:eastAsia="Times New Roman" w:cs="Times New Roman"/>
          <w:kern w:val="0"/>
          <w:lang w:eastAsia="en-GB"/>
          <w14:ligatures w14:val="none"/>
        </w:rPr>
        <w:t xml:space="preserve"> </w:t>
      </w:r>
      <w:r w:rsidR="00C76AB0" w:rsidRPr="00C76AB0">
        <w:rPr>
          <w:rFonts w:eastAsia="Times New Roman" w:cs="Times New Roman"/>
          <w:kern w:val="0"/>
          <w:lang w:eastAsia="en-GB"/>
          <w14:ligatures w14:val="none"/>
        </w:rPr>
        <w:t>(Slack, Chambers and Johnston, 2010)</w:t>
      </w:r>
      <w:r w:rsidRPr="000D214E">
        <w:rPr>
          <w:rFonts w:eastAsia="Times New Roman" w:cs="Times New Roman"/>
          <w:kern w:val="0"/>
          <w:lang w:eastAsia="en-GB"/>
          <w14:ligatures w14:val="none"/>
        </w:rPr>
        <w:t>. Initial CAPEX for AV equipment may be in the range of £150,000–£200,000, but this can be spread over phases and offset by increasing MICE revenue. Marketing reinvestment can be drawn from underperforming international sales budgets and reallocated toward regional digital campaigns.</w:t>
      </w:r>
    </w:p>
    <w:p w14:paraId="4690BC0A" w14:textId="060AD7A2"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lastRenderedPageBreak/>
        <w:t>Partnerships with universities and SMEs require minimal financial investment and offer disproportionately high returns in terms of exposure and booking volume</w:t>
      </w:r>
      <w:r w:rsidR="00BA1953">
        <w:rPr>
          <w:rFonts w:eastAsia="Times New Roman" w:cs="Times New Roman"/>
          <w:kern w:val="0"/>
          <w:lang w:eastAsia="en-GB"/>
          <w14:ligatures w14:val="none"/>
        </w:rPr>
        <w:t xml:space="preserve"> </w:t>
      </w:r>
      <w:r w:rsidR="0051538A" w:rsidRPr="0051538A">
        <w:rPr>
          <w:rFonts w:eastAsia="Times New Roman" w:cs="Times New Roman"/>
          <w:kern w:val="0"/>
          <w:lang w:eastAsia="en-GB"/>
          <w14:ligatures w14:val="none"/>
        </w:rPr>
        <w:t>(Marshall, 2023)</w:t>
      </w:r>
      <w:r w:rsidRPr="000D214E">
        <w:rPr>
          <w:rFonts w:eastAsia="Times New Roman" w:cs="Times New Roman"/>
          <w:kern w:val="0"/>
          <w:lang w:eastAsia="en-GB"/>
          <w14:ligatures w14:val="none"/>
        </w:rPr>
        <w:t>. Sustainability certifications, while incurring minor audit and compliance costs, can lead to access to new client segments and ESG-aligned funding opportunities</w:t>
      </w:r>
      <w:r w:rsidR="006A3D6E">
        <w:rPr>
          <w:rFonts w:eastAsia="Times New Roman" w:cs="Times New Roman"/>
          <w:kern w:val="0"/>
          <w:lang w:eastAsia="en-GB"/>
          <w14:ligatures w14:val="none"/>
        </w:rPr>
        <w:t xml:space="preserve"> </w:t>
      </w:r>
      <w:r w:rsidR="00631B38">
        <w:rPr>
          <w:rFonts w:eastAsia="Times New Roman" w:cs="Times New Roman"/>
          <w:kern w:val="0"/>
          <w:lang w:eastAsia="en-GB"/>
          <w14:ligatures w14:val="none"/>
        </w:rPr>
        <w:t>(</w:t>
      </w:r>
      <w:r w:rsidR="00631B38" w:rsidRPr="00631B38">
        <w:rPr>
          <w:rFonts w:eastAsia="Times New Roman" w:cs="Times New Roman"/>
          <w:kern w:val="0"/>
          <w:lang w:eastAsia="en-GB"/>
          <w14:ligatures w14:val="none"/>
        </w:rPr>
        <w:t>Chen,</w:t>
      </w:r>
      <w:r w:rsidR="00072B86">
        <w:rPr>
          <w:rFonts w:eastAsia="Times New Roman" w:cs="Times New Roman"/>
          <w:kern w:val="0"/>
          <w:lang w:eastAsia="en-GB"/>
          <w14:ligatures w14:val="none"/>
        </w:rPr>
        <w:t xml:space="preserve"> </w:t>
      </w:r>
      <w:r w:rsidR="00631B38" w:rsidRPr="00631B38">
        <w:rPr>
          <w:rFonts w:eastAsia="Times New Roman" w:cs="Times New Roman"/>
          <w:kern w:val="0"/>
          <w:lang w:eastAsia="en-GB"/>
          <w14:ligatures w14:val="none"/>
        </w:rPr>
        <w:t>Sloan</w:t>
      </w:r>
      <w:r w:rsidR="00072B86">
        <w:rPr>
          <w:rFonts w:eastAsia="Times New Roman" w:cs="Times New Roman"/>
          <w:kern w:val="0"/>
          <w:lang w:eastAsia="en-GB"/>
          <w14:ligatures w14:val="none"/>
        </w:rPr>
        <w:t xml:space="preserve"> </w:t>
      </w:r>
      <w:r w:rsidR="00631B38" w:rsidRPr="00631B38">
        <w:rPr>
          <w:rFonts w:eastAsia="Times New Roman" w:cs="Times New Roman"/>
          <w:kern w:val="0"/>
          <w:lang w:eastAsia="en-GB"/>
          <w14:ligatures w14:val="none"/>
        </w:rPr>
        <w:t>and Legrand,</w:t>
      </w:r>
      <w:r w:rsidR="00072B86">
        <w:rPr>
          <w:rFonts w:eastAsia="Times New Roman" w:cs="Times New Roman"/>
          <w:kern w:val="0"/>
          <w:lang w:eastAsia="en-GB"/>
          <w14:ligatures w14:val="none"/>
        </w:rPr>
        <w:t xml:space="preserve"> </w:t>
      </w:r>
      <w:r w:rsidR="00631B38" w:rsidRPr="00631B38">
        <w:rPr>
          <w:rFonts w:eastAsia="Times New Roman" w:cs="Times New Roman"/>
          <w:kern w:val="0"/>
          <w:lang w:eastAsia="en-GB"/>
          <w14:ligatures w14:val="none"/>
        </w:rPr>
        <w:t>2010</w:t>
      </w:r>
      <w:r w:rsidR="00072B86">
        <w:rPr>
          <w:rFonts w:eastAsia="Times New Roman" w:cs="Times New Roman"/>
          <w:kern w:val="0"/>
          <w:lang w:eastAsia="en-GB"/>
          <w14:ligatures w14:val="none"/>
        </w:rPr>
        <w:t>)</w:t>
      </w:r>
      <w:r w:rsidRPr="000D214E">
        <w:rPr>
          <w:rFonts w:eastAsia="Times New Roman" w:cs="Times New Roman"/>
          <w:kern w:val="0"/>
          <w:lang w:eastAsia="en-GB"/>
          <w14:ligatures w14:val="none"/>
        </w:rPr>
        <w:t>.</w:t>
      </w:r>
    </w:p>
    <w:p w14:paraId="1600CFE2" w14:textId="5385A2EC"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Staffing implications are also minimal, with training integrated into existing workflows and digital resources provided by Hyatt’s global learning platform. In short, the implementation roadmap is practical, financially sustainable, and well-aligned with the operational rhythm of the business.</w:t>
      </w:r>
    </w:p>
    <w:p w14:paraId="3833D164" w14:textId="03DF2E3F" w:rsidR="00A32DFD" w:rsidRPr="004F1D85" w:rsidRDefault="00A32DFD" w:rsidP="00921F9A">
      <w:pPr>
        <w:pStyle w:val="Heading2"/>
        <w:rPr>
          <w:rFonts w:eastAsia="Times New Roman"/>
          <w:lang w:eastAsia="en-GB"/>
        </w:rPr>
      </w:pPr>
      <w:bookmarkStart w:id="14" w:name="_Toc199940946"/>
      <w:r w:rsidRPr="004F1D85">
        <w:rPr>
          <w:rFonts w:eastAsia="Times New Roman"/>
          <w:lang w:eastAsia="en-GB"/>
        </w:rPr>
        <w:t>Anticipated Benefits and Alignment with Brand</w:t>
      </w:r>
      <w:bookmarkEnd w:id="14"/>
      <w:r w:rsidRPr="004F1D85">
        <w:rPr>
          <w:rFonts w:eastAsia="Times New Roman"/>
          <w:lang w:eastAsia="en-GB"/>
        </w:rPr>
        <w:t xml:space="preserve"> </w:t>
      </w:r>
    </w:p>
    <w:p w14:paraId="36F4BD53" w14:textId="0153D895"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The anticipated benefits of the proposed strategy are multi-dimensional. Firstly, AV infrastructure and hybrid events will boost MICE revenues by attracting modernised events and regional corporate bookings</w:t>
      </w:r>
      <w:r w:rsidR="00174F8C">
        <w:rPr>
          <w:rFonts w:eastAsia="Times New Roman" w:cs="Times New Roman"/>
          <w:kern w:val="0"/>
          <w:lang w:eastAsia="en-GB"/>
          <w14:ligatures w14:val="none"/>
        </w:rPr>
        <w:t xml:space="preserve"> (</w:t>
      </w:r>
      <w:r w:rsidR="00174F8C" w:rsidRPr="00726574">
        <w:rPr>
          <w:rFonts w:eastAsia="Times New Roman" w:cs="Times New Roman"/>
          <w:kern w:val="0"/>
          <w:lang w:eastAsia="en-GB"/>
          <w14:ligatures w14:val="none"/>
        </w:rPr>
        <w:t>McKinsey &amp; Company, 2023</w:t>
      </w:r>
      <w:r w:rsidR="00174F8C">
        <w:rPr>
          <w:rFonts w:eastAsia="Times New Roman" w:cs="Times New Roman"/>
          <w:kern w:val="0"/>
          <w:lang w:eastAsia="en-GB"/>
          <w14:ligatures w14:val="none"/>
        </w:rPr>
        <w:t>)</w:t>
      </w:r>
      <w:r w:rsidRPr="000D214E">
        <w:rPr>
          <w:rFonts w:eastAsia="Times New Roman" w:cs="Times New Roman"/>
          <w:kern w:val="0"/>
          <w:lang w:eastAsia="en-GB"/>
          <w14:ligatures w14:val="none"/>
        </w:rPr>
        <w:t>. These improvements should contribute to a projected 8–12% increase in RevPAR during the first full year of implementation. Occupancy rates—particularly midweek—will increase due to diversified clientele from SMEs, universities, and local agencies.</w:t>
      </w:r>
    </w:p>
    <w:p w14:paraId="660FE461" w14:textId="4F8C7029" w:rsidR="00A32DFD"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Green conferencing packages and certification enhance the brand’s credibility with environmentally conscious organisations</w:t>
      </w:r>
      <w:r w:rsidR="00726574">
        <w:rPr>
          <w:rFonts w:eastAsia="Times New Roman" w:cs="Times New Roman"/>
          <w:kern w:val="0"/>
          <w:lang w:eastAsia="en-GB"/>
          <w14:ligatures w14:val="none"/>
        </w:rPr>
        <w:t xml:space="preserve"> (</w:t>
      </w:r>
      <w:r w:rsidR="00726574" w:rsidRPr="000D214E">
        <w:rPr>
          <w:rFonts w:eastAsia="Times New Roman" w:cs="Times New Roman"/>
          <w:kern w:val="0"/>
          <w:lang w:eastAsia="en-GB"/>
          <w14:ligatures w14:val="none"/>
        </w:rPr>
        <w:t>European Commission, 2023</w:t>
      </w:r>
      <w:r w:rsidR="00726574">
        <w:rPr>
          <w:rFonts w:eastAsia="Times New Roman" w:cs="Times New Roman"/>
          <w:kern w:val="0"/>
          <w:lang w:eastAsia="en-GB"/>
          <w14:ligatures w14:val="none"/>
        </w:rPr>
        <w:t>)</w:t>
      </w:r>
      <w:r w:rsidRPr="000D214E">
        <w:rPr>
          <w:rFonts w:eastAsia="Times New Roman" w:cs="Times New Roman"/>
          <w:kern w:val="0"/>
          <w:lang w:eastAsia="en-GB"/>
          <w14:ligatures w14:val="none"/>
        </w:rPr>
        <w:t>. This can lead to partnerships with public institutions or corporations with ESG mandates</w:t>
      </w:r>
      <w:r w:rsidR="00547D1A">
        <w:rPr>
          <w:rFonts w:eastAsia="Times New Roman" w:cs="Times New Roman"/>
          <w:kern w:val="0"/>
          <w:lang w:eastAsia="en-GB"/>
          <w14:ligatures w14:val="none"/>
        </w:rPr>
        <w:t xml:space="preserve"> (</w:t>
      </w:r>
      <w:r w:rsidR="00547D1A" w:rsidRPr="00726574">
        <w:rPr>
          <w:rFonts w:eastAsia="Times New Roman" w:cs="Times New Roman"/>
          <w:kern w:val="0"/>
          <w:lang w:eastAsia="en-GB"/>
          <w14:ligatures w14:val="none"/>
        </w:rPr>
        <w:t>Hilton, 2024</w:t>
      </w:r>
      <w:r w:rsidR="00547D1A">
        <w:rPr>
          <w:rFonts w:eastAsia="Times New Roman" w:cs="Times New Roman"/>
          <w:kern w:val="0"/>
          <w:lang w:eastAsia="en-GB"/>
          <w14:ligatures w14:val="none"/>
        </w:rPr>
        <w:t>)</w:t>
      </w:r>
      <w:r w:rsidRPr="000D214E">
        <w:rPr>
          <w:rFonts w:eastAsia="Times New Roman" w:cs="Times New Roman"/>
          <w:kern w:val="0"/>
          <w:lang w:eastAsia="en-GB"/>
          <w14:ligatures w14:val="none"/>
        </w:rPr>
        <w:t>. The sustainability upgrades also reinforce Hyatt Hotels Corporation’s global “World of Care” platform, ensuring brand consistency.</w:t>
      </w:r>
    </w:p>
    <w:p w14:paraId="6EF69984" w14:textId="4B6E0BBC" w:rsidR="00B629B2" w:rsidRPr="00B629B2" w:rsidRDefault="00A32DFD" w:rsidP="00B629B2">
      <w:pPr>
        <w:rPr>
          <w:rFonts w:eastAsia="Times New Roman" w:cs="Times New Roman"/>
          <w:kern w:val="0"/>
          <w:lang w:eastAsia="en-GB"/>
          <w14:ligatures w14:val="none"/>
        </w:rPr>
      </w:pPr>
      <w:r w:rsidRPr="000D214E">
        <w:rPr>
          <w:rFonts w:eastAsia="Times New Roman" w:cs="Times New Roman"/>
          <w:kern w:val="0"/>
          <w:lang w:eastAsia="en-GB"/>
          <w14:ligatures w14:val="none"/>
        </w:rPr>
        <w:t>Digital marketing and co-hosted events will improve community visibility, generate referral business, and extend market reach to previously untapped client groups</w:t>
      </w:r>
      <w:r w:rsidR="007B28F8">
        <w:rPr>
          <w:rFonts w:eastAsia="Times New Roman" w:cs="Times New Roman"/>
          <w:kern w:val="0"/>
          <w:lang w:eastAsia="en-GB"/>
          <w14:ligatures w14:val="none"/>
        </w:rPr>
        <w:t xml:space="preserve"> (</w:t>
      </w:r>
      <w:proofErr w:type="spellStart"/>
      <w:r w:rsidR="007B28F8" w:rsidRPr="00726574">
        <w:rPr>
          <w:rFonts w:eastAsia="Times New Roman" w:cs="Times New Roman"/>
          <w:kern w:val="0"/>
          <w:lang w:eastAsia="en-GB"/>
          <w14:ligatures w14:val="none"/>
        </w:rPr>
        <w:t>Revinate</w:t>
      </w:r>
      <w:proofErr w:type="spellEnd"/>
      <w:r w:rsidR="007B28F8" w:rsidRPr="00726574">
        <w:rPr>
          <w:rFonts w:eastAsia="Times New Roman" w:cs="Times New Roman"/>
          <w:kern w:val="0"/>
          <w:lang w:eastAsia="en-GB"/>
          <w14:ligatures w14:val="none"/>
        </w:rPr>
        <w:t>, 202</w:t>
      </w:r>
      <w:r w:rsidR="00950665">
        <w:rPr>
          <w:rFonts w:eastAsia="Times New Roman" w:cs="Times New Roman"/>
          <w:kern w:val="0"/>
          <w:lang w:eastAsia="en-GB"/>
          <w14:ligatures w14:val="none"/>
        </w:rPr>
        <w:t>5</w:t>
      </w:r>
      <w:r w:rsidR="007B28F8">
        <w:rPr>
          <w:rFonts w:eastAsia="Times New Roman" w:cs="Times New Roman"/>
          <w:kern w:val="0"/>
          <w:lang w:eastAsia="en-GB"/>
          <w14:ligatures w14:val="none"/>
        </w:rPr>
        <w:t>)</w:t>
      </w:r>
      <w:r w:rsidRPr="000D214E">
        <w:rPr>
          <w:rFonts w:eastAsia="Times New Roman" w:cs="Times New Roman"/>
          <w:kern w:val="0"/>
          <w:lang w:eastAsia="en-GB"/>
          <w14:ligatures w14:val="none"/>
        </w:rPr>
        <w:t xml:space="preserve">. </w:t>
      </w:r>
      <w:r w:rsidR="00B629B2" w:rsidRPr="00B629B2">
        <w:rPr>
          <w:rFonts w:eastAsia="Times New Roman" w:cs="Times New Roman"/>
          <w:kern w:val="0"/>
          <w:lang w:eastAsia="en-GB"/>
          <w14:ligatures w14:val="none"/>
        </w:rPr>
        <w:t>Participative change processes will allow staff to be upskilled and engaged</w:t>
      </w:r>
      <w:r w:rsidR="007B28F8">
        <w:rPr>
          <w:rFonts w:eastAsia="Times New Roman" w:cs="Times New Roman"/>
          <w:kern w:val="0"/>
          <w:lang w:eastAsia="en-GB"/>
          <w14:ligatures w14:val="none"/>
        </w:rPr>
        <w:t>.</w:t>
      </w:r>
    </w:p>
    <w:p w14:paraId="73259227" w14:textId="7ADF751F" w:rsidR="00B629B2" w:rsidRDefault="00B629B2" w:rsidP="00B629B2">
      <w:pPr>
        <w:rPr>
          <w:rFonts w:eastAsia="Times New Roman" w:cs="Times New Roman"/>
          <w:kern w:val="0"/>
          <w:lang w:eastAsia="en-GB"/>
          <w14:ligatures w14:val="none"/>
        </w:rPr>
      </w:pPr>
      <w:r w:rsidRPr="00B629B2">
        <w:rPr>
          <w:rFonts w:eastAsia="Times New Roman" w:cs="Times New Roman"/>
          <w:kern w:val="0"/>
          <w:lang w:eastAsia="en-GB"/>
          <w14:ligatures w14:val="none"/>
        </w:rPr>
        <w:t xml:space="preserve">These outcomes also </w:t>
      </w:r>
      <w:r>
        <w:rPr>
          <w:rFonts w:eastAsia="Times New Roman" w:cs="Times New Roman"/>
          <w:kern w:val="0"/>
          <w:lang w:eastAsia="en-GB"/>
          <w14:ligatures w14:val="none"/>
        </w:rPr>
        <w:t>align with Hyatt’s global goals of innovation, care for people and the planet, and meaningful connections. Locally implemented, they enhance the hotel’s brand performance and amplify its</w:t>
      </w:r>
      <w:r w:rsidRPr="00B629B2">
        <w:rPr>
          <w:rFonts w:eastAsia="Times New Roman" w:cs="Times New Roman"/>
          <w:kern w:val="0"/>
          <w:lang w:eastAsia="en-GB"/>
          <w14:ligatures w14:val="none"/>
        </w:rPr>
        <w:t xml:space="preserve"> corporate brand in the UK market.</w:t>
      </w:r>
    </w:p>
    <w:p w14:paraId="0059D51E" w14:textId="0D8064EB" w:rsidR="00A32DFD" w:rsidRPr="00D73CB2" w:rsidRDefault="00A32DFD" w:rsidP="00921F9A">
      <w:pPr>
        <w:pStyle w:val="Heading2"/>
        <w:rPr>
          <w:rFonts w:eastAsia="Times New Roman"/>
          <w:lang w:eastAsia="en-GB"/>
        </w:rPr>
      </w:pPr>
      <w:bookmarkStart w:id="15" w:name="_Toc199940947"/>
      <w:r w:rsidRPr="00D73CB2">
        <w:rPr>
          <w:rFonts w:eastAsia="Times New Roman"/>
          <w:lang w:eastAsia="en-GB"/>
        </w:rPr>
        <w:t>Summary</w:t>
      </w:r>
      <w:bookmarkEnd w:id="15"/>
      <w:r w:rsidRPr="00D73CB2">
        <w:rPr>
          <w:rFonts w:eastAsia="Times New Roman"/>
          <w:lang w:eastAsia="en-GB"/>
        </w:rPr>
        <w:t xml:space="preserve"> </w:t>
      </w:r>
    </w:p>
    <w:p w14:paraId="471E179A" w14:textId="0AAA14E8" w:rsidR="00B42F67" w:rsidRPr="00B42F67" w:rsidRDefault="00B42F67" w:rsidP="00B42F67">
      <w:pPr>
        <w:rPr>
          <w:rFonts w:eastAsia="Times New Roman" w:cs="Times New Roman"/>
          <w:kern w:val="0"/>
          <w:lang w:eastAsia="en-GB"/>
          <w14:ligatures w14:val="none"/>
        </w:rPr>
      </w:pPr>
      <w:r w:rsidRPr="00B42F67">
        <w:rPr>
          <w:rFonts w:eastAsia="Times New Roman" w:cs="Times New Roman"/>
          <w:kern w:val="0"/>
          <w:lang w:eastAsia="en-GB"/>
          <w14:ligatures w14:val="none"/>
        </w:rPr>
        <w:t xml:space="preserve">Finally, this section has presented a tailored set of recommendations and a coherent change management approach for repositioning Hyatt Regency Birmingham in a </w:t>
      </w:r>
      <w:r>
        <w:rPr>
          <w:rFonts w:eastAsia="Times New Roman" w:cs="Times New Roman"/>
          <w:kern w:val="0"/>
          <w:lang w:eastAsia="en-GB"/>
          <w14:ligatures w14:val="none"/>
        </w:rPr>
        <w:t>fast-changing</w:t>
      </w:r>
      <w:r w:rsidRPr="00B42F67">
        <w:rPr>
          <w:rFonts w:eastAsia="Times New Roman" w:cs="Times New Roman"/>
          <w:kern w:val="0"/>
          <w:lang w:eastAsia="en-GB"/>
          <w14:ligatures w14:val="none"/>
        </w:rPr>
        <w:t xml:space="preserve"> corporate hospitality market. The strategy derived </w:t>
      </w:r>
      <w:r>
        <w:rPr>
          <w:rFonts w:eastAsia="Times New Roman" w:cs="Times New Roman"/>
          <w:kern w:val="0"/>
          <w:lang w:eastAsia="en-GB"/>
          <w14:ligatures w14:val="none"/>
        </w:rPr>
        <w:t xml:space="preserve">here is based on internal analysis and </w:t>
      </w:r>
      <w:r>
        <w:rPr>
          <w:rFonts w:eastAsia="Times New Roman" w:cs="Times New Roman"/>
          <w:kern w:val="0"/>
          <w:lang w:eastAsia="en-GB"/>
          <w14:ligatures w14:val="none"/>
        </w:rPr>
        <w:lastRenderedPageBreak/>
        <w:t>external market data to upgrade conferencing infrastructure, enter new regional markets, develop sustainability-led products, improve digital marketing capabilities,</w:t>
      </w:r>
      <w:r w:rsidRPr="00B42F67">
        <w:rPr>
          <w:rFonts w:eastAsia="Times New Roman" w:cs="Times New Roman"/>
          <w:kern w:val="0"/>
          <w:lang w:eastAsia="en-GB"/>
          <w14:ligatures w14:val="none"/>
        </w:rPr>
        <w:t xml:space="preserve"> and build strategic partnerships.</w:t>
      </w:r>
    </w:p>
    <w:p w14:paraId="687C4A0E" w14:textId="6DD6998C" w:rsidR="00B42F67" w:rsidRPr="00B42F67" w:rsidRDefault="00B42F67" w:rsidP="00B42F67">
      <w:pPr>
        <w:rPr>
          <w:rFonts w:eastAsia="Times New Roman" w:cs="Times New Roman"/>
          <w:kern w:val="0"/>
          <w:lang w:eastAsia="en-GB"/>
          <w14:ligatures w14:val="none"/>
        </w:rPr>
      </w:pPr>
      <w:r w:rsidRPr="00B42F67">
        <w:rPr>
          <w:rFonts w:eastAsia="Times New Roman" w:cs="Times New Roman"/>
          <w:kern w:val="0"/>
          <w:lang w:eastAsia="en-GB"/>
          <w14:ligatures w14:val="none"/>
        </w:rPr>
        <w:t>This provides a framework structured by Kotter’s 8-Step Model</w:t>
      </w:r>
      <w:r>
        <w:rPr>
          <w:rFonts w:eastAsia="Times New Roman" w:cs="Times New Roman"/>
          <w:kern w:val="0"/>
          <w:lang w:eastAsia="en-GB"/>
          <w14:ligatures w14:val="none"/>
        </w:rPr>
        <w:t xml:space="preserve"> so that these changes are carried out inclusively, measurably, and sustainably. The hotel </w:t>
      </w:r>
      <w:r w:rsidR="00A26AC9">
        <w:rPr>
          <w:rFonts w:eastAsia="Times New Roman" w:cs="Times New Roman"/>
          <w:kern w:val="0"/>
          <w:lang w:eastAsia="en-GB"/>
          <w14:ligatures w14:val="none"/>
        </w:rPr>
        <w:t>can</w:t>
      </w:r>
      <w:r>
        <w:rPr>
          <w:rFonts w:eastAsia="Times New Roman" w:cs="Times New Roman"/>
          <w:kern w:val="0"/>
          <w:lang w:eastAsia="en-GB"/>
          <w14:ligatures w14:val="none"/>
        </w:rPr>
        <w:t xml:space="preserve"> tackle </w:t>
      </w:r>
      <w:r w:rsidR="00A26AC9">
        <w:rPr>
          <w:rFonts w:eastAsia="Times New Roman" w:cs="Times New Roman"/>
          <w:kern w:val="0"/>
          <w:lang w:eastAsia="en-GB"/>
          <w14:ligatures w14:val="none"/>
        </w:rPr>
        <w:t xml:space="preserve">short-term performance gaps and long-term strategic goals, thus positioning itself </w:t>
      </w:r>
      <w:r>
        <w:rPr>
          <w:rFonts w:eastAsia="Times New Roman" w:cs="Times New Roman"/>
          <w:kern w:val="0"/>
          <w:lang w:eastAsia="en-GB"/>
          <w14:ligatures w14:val="none"/>
        </w:rPr>
        <w:t>to recover and</w:t>
      </w:r>
      <w:r w:rsidRPr="00B42F67">
        <w:rPr>
          <w:rFonts w:eastAsia="Times New Roman" w:cs="Times New Roman"/>
          <w:kern w:val="0"/>
          <w:lang w:eastAsia="en-GB"/>
          <w14:ligatures w14:val="none"/>
        </w:rPr>
        <w:t xml:space="preserve"> lead innovation in the urban business hotel segment</w:t>
      </w:r>
      <w:r w:rsidR="00BA157F">
        <w:rPr>
          <w:rFonts w:eastAsia="Times New Roman" w:cs="Times New Roman"/>
          <w:kern w:val="0"/>
          <w:lang w:eastAsia="en-GB"/>
          <w14:ligatures w14:val="none"/>
        </w:rPr>
        <w:t xml:space="preserve"> </w:t>
      </w:r>
      <w:r w:rsidR="000033FA">
        <w:rPr>
          <w:rFonts w:eastAsia="Times New Roman" w:cs="Times New Roman"/>
          <w:kern w:val="0"/>
          <w:lang w:eastAsia="en-GB"/>
          <w14:ligatures w14:val="none"/>
        </w:rPr>
        <w:t>(</w:t>
      </w:r>
      <w:proofErr w:type="spellStart"/>
      <w:proofErr w:type="gramStart"/>
      <w:r w:rsidR="00BA157F" w:rsidRPr="00C15820">
        <w:rPr>
          <w:rFonts w:eastAsia="Times New Roman" w:cs="Times New Roman"/>
          <w:kern w:val="0"/>
          <w:lang w:eastAsia="en-GB"/>
          <w14:ligatures w14:val="none"/>
        </w:rPr>
        <w:t>mybiz.makemytrip</w:t>
      </w:r>
      <w:proofErr w:type="spellEnd"/>
      <w:proofErr w:type="gramEnd"/>
      <w:r w:rsidR="000033FA">
        <w:rPr>
          <w:rFonts w:eastAsia="Times New Roman" w:cs="Times New Roman"/>
          <w:kern w:val="0"/>
          <w:lang w:eastAsia="en-GB"/>
          <w14:ligatures w14:val="none"/>
        </w:rPr>
        <w:t xml:space="preserve">, </w:t>
      </w:r>
      <w:r w:rsidR="00BA157F" w:rsidRPr="00C15820">
        <w:rPr>
          <w:rFonts w:eastAsia="Times New Roman" w:cs="Times New Roman"/>
          <w:kern w:val="0"/>
          <w:lang w:eastAsia="en-GB"/>
          <w14:ligatures w14:val="none"/>
        </w:rPr>
        <w:t>2020)</w:t>
      </w:r>
      <w:r w:rsidRPr="00B42F67">
        <w:rPr>
          <w:rFonts w:eastAsia="Times New Roman" w:cs="Times New Roman"/>
          <w:kern w:val="0"/>
          <w:lang w:eastAsia="en-GB"/>
          <w14:ligatures w14:val="none"/>
        </w:rPr>
        <w:t>.</w:t>
      </w:r>
    </w:p>
    <w:p w14:paraId="4B5748CD" w14:textId="13C979CA" w:rsidR="00B42F67" w:rsidRDefault="00B42F67" w:rsidP="00B42F67">
      <w:pPr>
        <w:rPr>
          <w:rFonts w:eastAsia="Times New Roman" w:cs="Times New Roman"/>
          <w:kern w:val="0"/>
          <w:lang w:eastAsia="en-GB"/>
          <w14:ligatures w14:val="none"/>
        </w:rPr>
      </w:pPr>
      <w:r w:rsidRPr="00B42F67">
        <w:rPr>
          <w:rFonts w:eastAsia="Times New Roman" w:cs="Times New Roman"/>
          <w:kern w:val="0"/>
          <w:lang w:eastAsia="en-GB"/>
          <w14:ligatures w14:val="none"/>
        </w:rPr>
        <w:t>If done right (with discipline and flexibility)</w:t>
      </w:r>
      <w:r w:rsidR="00A26AC9">
        <w:rPr>
          <w:rFonts w:eastAsia="Times New Roman" w:cs="Times New Roman"/>
          <w:kern w:val="0"/>
          <w:lang w:eastAsia="en-GB"/>
          <w14:ligatures w14:val="none"/>
        </w:rPr>
        <w:t>,</w:t>
      </w:r>
      <w:r w:rsidRPr="00B42F67">
        <w:rPr>
          <w:rFonts w:eastAsia="Times New Roman" w:cs="Times New Roman"/>
          <w:kern w:val="0"/>
          <w:lang w:eastAsia="en-GB"/>
          <w14:ligatures w14:val="none"/>
        </w:rPr>
        <w:t xml:space="preserve"> this transformation can have a material impact on growing the hotel's market share, operational resilience and brand relevance for years to come</w:t>
      </w:r>
      <w:r w:rsidR="00FA79DA">
        <w:rPr>
          <w:rFonts w:eastAsia="Times New Roman" w:cs="Times New Roman"/>
          <w:kern w:val="0"/>
          <w:lang w:eastAsia="en-GB"/>
          <w14:ligatures w14:val="none"/>
        </w:rPr>
        <w:t xml:space="preserve"> </w:t>
      </w:r>
      <w:r w:rsidR="00FA79DA" w:rsidRPr="00FA79DA">
        <w:rPr>
          <w:rFonts w:eastAsia="Times New Roman" w:cs="Times New Roman"/>
          <w:kern w:val="0"/>
          <w:lang w:eastAsia="en-GB"/>
          <w14:ligatures w14:val="none"/>
        </w:rPr>
        <w:t>(Mun, Woo and Seo, 2021)</w:t>
      </w:r>
      <w:r w:rsidRPr="00B42F67">
        <w:rPr>
          <w:rFonts w:eastAsia="Times New Roman" w:cs="Times New Roman"/>
          <w:kern w:val="0"/>
          <w:lang w:eastAsia="en-GB"/>
          <w14:ligatures w14:val="none"/>
        </w:rPr>
        <w:t>.</w:t>
      </w:r>
    </w:p>
    <w:p w14:paraId="5E87091A" w14:textId="250CCDAB" w:rsidR="00A32DFD" w:rsidRPr="00FF6CA6" w:rsidRDefault="00A32DFD" w:rsidP="00921F9A">
      <w:pPr>
        <w:pStyle w:val="Heading1"/>
      </w:pPr>
      <w:bookmarkStart w:id="16" w:name="_Toc199940948"/>
      <w:r w:rsidRPr="00FF6CA6">
        <w:t>Action Plan</w:t>
      </w:r>
      <w:bookmarkEnd w:id="16"/>
    </w:p>
    <w:p w14:paraId="7E640CF8" w14:textId="6705EBE9" w:rsidR="00A32DFD" w:rsidRPr="00325469" w:rsidRDefault="0087691C" w:rsidP="000D214E">
      <w:pPr>
        <w:rPr>
          <w:rFonts w:eastAsia="Times New Roman" w:cs="Times New Roman"/>
          <w:kern w:val="0"/>
          <w:lang w:eastAsia="en-GB"/>
          <w14:ligatures w14:val="none"/>
        </w:rPr>
      </w:pPr>
      <w:r>
        <w:rPr>
          <w:rFonts w:eastAsia="Times New Roman" w:cs="Times New Roman"/>
          <w:kern w:val="0"/>
          <w:lang w:eastAsia="en-GB"/>
          <w14:ligatures w14:val="none"/>
        </w:rPr>
        <w:t>A detailed phased implementation plan follows the details of the proposed strategic changes for Hyatt Regency Birmingham</w:t>
      </w:r>
      <w:r w:rsidR="00FF6CA6">
        <w:rPr>
          <w:rFonts w:eastAsia="Times New Roman" w:cs="Times New Roman"/>
          <w:kern w:val="0"/>
          <w:lang w:eastAsia="en-GB"/>
          <w14:ligatures w14:val="none"/>
        </w:rPr>
        <w:t>. It aligns with the brand’s global priorities but is also localised for local market execution. It has costs itemised, timeframes laid out, risk management strategies,</w:t>
      </w:r>
      <w:r w:rsidR="00FF6CA6" w:rsidRPr="00FF6CA6">
        <w:rPr>
          <w:rFonts w:eastAsia="Times New Roman" w:cs="Times New Roman"/>
          <w:kern w:val="0"/>
          <w:lang w:eastAsia="en-GB"/>
          <w14:ligatures w14:val="none"/>
        </w:rPr>
        <w:t xml:space="preserve"> and a structured Action Plan table for client implementation and tracking.</w:t>
      </w:r>
    </w:p>
    <w:tbl>
      <w:tblPr>
        <w:tblW w:w="908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15"/>
        <w:gridCol w:w="1350"/>
        <w:gridCol w:w="1530"/>
        <w:gridCol w:w="1170"/>
        <w:gridCol w:w="1260"/>
        <w:gridCol w:w="803"/>
        <w:gridCol w:w="1232"/>
        <w:gridCol w:w="1025"/>
      </w:tblGrid>
      <w:tr w:rsidR="00336D08" w:rsidRPr="00C834E9" w14:paraId="2542A12E" w14:textId="77777777" w:rsidTr="00841249">
        <w:trPr>
          <w:tblHeader/>
          <w:tblCellSpacing w:w="15" w:type="dxa"/>
        </w:trPr>
        <w:tc>
          <w:tcPr>
            <w:tcW w:w="670" w:type="dxa"/>
            <w:vAlign w:val="center"/>
            <w:hideMark/>
          </w:tcPr>
          <w:p w14:paraId="69CFF0A3"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No.</w:t>
            </w:r>
          </w:p>
        </w:tc>
        <w:tc>
          <w:tcPr>
            <w:tcW w:w="1320" w:type="dxa"/>
            <w:vAlign w:val="center"/>
            <w:hideMark/>
          </w:tcPr>
          <w:p w14:paraId="694F90D4"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Problem</w:t>
            </w:r>
          </w:p>
        </w:tc>
        <w:tc>
          <w:tcPr>
            <w:tcW w:w="1500" w:type="dxa"/>
            <w:vAlign w:val="center"/>
            <w:hideMark/>
          </w:tcPr>
          <w:p w14:paraId="2C73F945"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Solution</w:t>
            </w:r>
          </w:p>
        </w:tc>
        <w:tc>
          <w:tcPr>
            <w:tcW w:w="1140" w:type="dxa"/>
            <w:vAlign w:val="center"/>
            <w:hideMark/>
          </w:tcPr>
          <w:p w14:paraId="782EA740"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Desired Outcome</w:t>
            </w:r>
          </w:p>
        </w:tc>
        <w:tc>
          <w:tcPr>
            <w:tcW w:w="1230" w:type="dxa"/>
            <w:vAlign w:val="center"/>
            <w:hideMark/>
          </w:tcPr>
          <w:p w14:paraId="30D344A0"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Start Date</w:t>
            </w:r>
          </w:p>
        </w:tc>
        <w:tc>
          <w:tcPr>
            <w:tcW w:w="773" w:type="dxa"/>
            <w:vAlign w:val="center"/>
            <w:hideMark/>
          </w:tcPr>
          <w:p w14:paraId="33FC8A10"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Time Scale</w:t>
            </w:r>
          </w:p>
        </w:tc>
        <w:tc>
          <w:tcPr>
            <w:tcW w:w="1202" w:type="dxa"/>
            <w:vAlign w:val="center"/>
            <w:hideMark/>
          </w:tcPr>
          <w:p w14:paraId="7A495CC7"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Completion Date</w:t>
            </w:r>
          </w:p>
        </w:tc>
        <w:tc>
          <w:tcPr>
            <w:tcW w:w="980" w:type="dxa"/>
            <w:vAlign w:val="center"/>
            <w:hideMark/>
          </w:tcPr>
          <w:p w14:paraId="6B793DBE" w14:textId="77777777" w:rsidR="00336D08" w:rsidRPr="00C834E9" w:rsidRDefault="00336D08" w:rsidP="00841249">
            <w:pPr>
              <w:spacing w:after="0"/>
              <w:jc w:val="center"/>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Planned Budget</w:t>
            </w:r>
          </w:p>
        </w:tc>
      </w:tr>
      <w:tr w:rsidR="00336D08" w:rsidRPr="00C834E9" w14:paraId="68B5F50B" w14:textId="77777777" w:rsidTr="00841249">
        <w:trPr>
          <w:tblCellSpacing w:w="15" w:type="dxa"/>
        </w:trPr>
        <w:tc>
          <w:tcPr>
            <w:tcW w:w="670" w:type="dxa"/>
            <w:vAlign w:val="center"/>
            <w:hideMark/>
          </w:tcPr>
          <w:p w14:paraId="082E1EA2"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1</w:t>
            </w:r>
          </w:p>
        </w:tc>
        <w:tc>
          <w:tcPr>
            <w:tcW w:w="1320" w:type="dxa"/>
            <w:vAlign w:val="center"/>
            <w:hideMark/>
          </w:tcPr>
          <w:p w14:paraId="6C59D3D0"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Outdated AV infrastructure</w:t>
            </w:r>
          </w:p>
        </w:tc>
        <w:tc>
          <w:tcPr>
            <w:tcW w:w="1500" w:type="dxa"/>
            <w:vAlign w:val="center"/>
            <w:hideMark/>
          </w:tcPr>
          <w:p w14:paraId="4D1FBDC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Upgrade meeting spaces with integrated hybrid conferencing tools</w:t>
            </w:r>
          </w:p>
        </w:tc>
        <w:tc>
          <w:tcPr>
            <w:tcW w:w="1140" w:type="dxa"/>
            <w:vAlign w:val="center"/>
            <w:hideMark/>
          </w:tcPr>
          <w:p w14:paraId="55C09F2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Increase MICE bookings by offering flexible hybrid event options</w:t>
            </w:r>
          </w:p>
        </w:tc>
        <w:tc>
          <w:tcPr>
            <w:tcW w:w="1230" w:type="dxa"/>
            <w:vAlign w:val="center"/>
            <w:hideMark/>
          </w:tcPr>
          <w:p w14:paraId="59A6CB40"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b/>
                <w:bCs/>
                <w:kern w:val="0"/>
                <w:lang w:eastAsia="en-GB"/>
                <w14:ligatures w14:val="none"/>
              </w:rPr>
              <w:t>15/07/2025</w:t>
            </w:r>
          </w:p>
        </w:tc>
        <w:tc>
          <w:tcPr>
            <w:tcW w:w="773" w:type="dxa"/>
            <w:vAlign w:val="center"/>
            <w:hideMark/>
          </w:tcPr>
          <w:p w14:paraId="6ED02A8B"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6 months</w:t>
            </w:r>
          </w:p>
        </w:tc>
        <w:tc>
          <w:tcPr>
            <w:tcW w:w="1202" w:type="dxa"/>
            <w:vAlign w:val="center"/>
            <w:hideMark/>
          </w:tcPr>
          <w:p w14:paraId="42FCFD9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15/01/2026</w:t>
            </w:r>
          </w:p>
        </w:tc>
        <w:tc>
          <w:tcPr>
            <w:tcW w:w="980" w:type="dxa"/>
            <w:vAlign w:val="center"/>
            <w:hideMark/>
          </w:tcPr>
          <w:p w14:paraId="7E99AE05"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£120,000</w:t>
            </w:r>
          </w:p>
        </w:tc>
      </w:tr>
      <w:tr w:rsidR="00336D08" w:rsidRPr="00C834E9" w14:paraId="32F81971" w14:textId="77777777" w:rsidTr="00841249">
        <w:trPr>
          <w:tblCellSpacing w:w="15" w:type="dxa"/>
        </w:trPr>
        <w:tc>
          <w:tcPr>
            <w:tcW w:w="670" w:type="dxa"/>
            <w:vAlign w:val="center"/>
            <w:hideMark/>
          </w:tcPr>
          <w:p w14:paraId="27869152"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2</w:t>
            </w:r>
          </w:p>
        </w:tc>
        <w:tc>
          <w:tcPr>
            <w:tcW w:w="1320" w:type="dxa"/>
            <w:vAlign w:val="center"/>
            <w:hideMark/>
          </w:tcPr>
          <w:p w14:paraId="7081C6F6"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Low local market engagement</w:t>
            </w:r>
          </w:p>
        </w:tc>
        <w:tc>
          <w:tcPr>
            <w:tcW w:w="1500" w:type="dxa"/>
            <w:vAlign w:val="center"/>
            <w:hideMark/>
          </w:tcPr>
          <w:p w14:paraId="3DBAB2D8"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 xml:space="preserve">Launch digital campaigns targeting SMEs, universities, </w:t>
            </w:r>
            <w:r w:rsidRPr="00C834E9">
              <w:rPr>
                <w:rFonts w:eastAsia="Times New Roman" w:cs="Times New Roman"/>
                <w:kern w:val="0"/>
                <w:lang w:eastAsia="en-GB"/>
                <w14:ligatures w14:val="none"/>
              </w:rPr>
              <w:lastRenderedPageBreak/>
              <w:t>and regional agencies</w:t>
            </w:r>
          </w:p>
        </w:tc>
        <w:tc>
          <w:tcPr>
            <w:tcW w:w="1140" w:type="dxa"/>
            <w:vAlign w:val="center"/>
            <w:hideMark/>
          </w:tcPr>
          <w:p w14:paraId="3E6BDC77"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lastRenderedPageBreak/>
              <w:t xml:space="preserve">Increase brand visibility and </w:t>
            </w:r>
            <w:r w:rsidRPr="00C834E9">
              <w:rPr>
                <w:rFonts w:eastAsia="Times New Roman" w:cs="Times New Roman"/>
                <w:kern w:val="0"/>
                <w:lang w:eastAsia="en-GB"/>
                <w14:ligatures w14:val="none"/>
              </w:rPr>
              <w:lastRenderedPageBreak/>
              <w:t>regional bookings</w:t>
            </w:r>
          </w:p>
        </w:tc>
        <w:tc>
          <w:tcPr>
            <w:tcW w:w="1230" w:type="dxa"/>
            <w:vAlign w:val="center"/>
            <w:hideMark/>
          </w:tcPr>
          <w:p w14:paraId="4AF58C75"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b/>
                <w:bCs/>
                <w:kern w:val="0"/>
                <w:lang w:eastAsia="en-GB"/>
                <w14:ligatures w14:val="none"/>
              </w:rPr>
              <w:lastRenderedPageBreak/>
              <w:t>01/09/2025</w:t>
            </w:r>
          </w:p>
        </w:tc>
        <w:tc>
          <w:tcPr>
            <w:tcW w:w="773" w:type="dxa"/>
            <w:vAlign w:val="center"/>
            <w:hideMark/>
          </w:tcPr>
          <w:p w14:paraId="491A4C6E"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3 months</w:t>
            </w:r>
          </w:p>
        </w:tc>
        <w:tc>
          <w:tcPr>
            <w:tcW w:w="1202" w:type="dxa"/>
            <w:vAlign w:val="center"/>
            <w:hideMark/>
          </w:tcPr>
          <w:p w14:paraId="10F2EF55"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30/11/2025</w:t>
            </w:r>
          </w:p>
        </w:tc>
        <w:tc>
          <w:tcPr>
            <w:tcW w:w="980" w:type="dxa"/>
            <w:vAlign w:val="center"/>
            <w:hideMark/>
          </w:tcPr>
          <w:p w14:paraId="52D43B6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£25,000</w:t>
            </w:r>
          </w:p>
        </w:tc>
      </w:tr>
      <w:tr w:rsidR="00336D08" w:rsidRPr="00C834E9" w14:paraId="1790F1D2" w14:textId="77777777" w:rsidTr="00841249">
        <w:trPr>
          <w:tblCellSpacing w:w="15" w:type="dxa"/>
        </w:trPr>
        <w:tc>
          <w:tcPr>
            <w:tcW w:w="670" w:type="dxa"/>
            <w:vAlign w:val="center"/>
            <w:hideMark/>
          </w:tcPr>
          <w:p w14:paraId="72F4C5E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3</w:t>
            </w:r>
          </w:p>
        </w:tc>
        <w:tc>
          <w:tcPr>
            <w:tcW w:w="1320" w:type="dxa"/>
            <w:vAlign w:val="center"/>
            <w:hideMark/>
          </w:tcPr>
          <w:p w14:paraId="33596EE3"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Poor sustainability profile</w:t>
            </w:r>
          </w:p>
        </w:tc>
        <w:tc>
          <w:tcPr>
            <w:tcW w:w="1500" w:type="dxa"/>
            <w:vAlign w:val="center"/>
            <w:hideMark/>
          </w:tcPr>
          <w:p w14:paraId="08FFBC08"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Introduce Green Key-certified conference packages with carbon-offsetting and eco-catering</w:t>
            </w:r>
          </w:p>
        </w:tc>
        <w:tc>
          <w:tcPr>
            <w:tcW w:w="1140" w:type="dxa"/>
            <w:vAlign w:val="center"/>
            <w:hideMark/>
          </w:tcPr>
          <w:p w14:paraId="55DD2FE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Attract ESG-focused clients and boost CSR reputation</w:t>
            </w:r>
          </w:p>
        </w:tc>
        <w:tc>
          <w:tcPr>
            <w:tcW w:w="1230" w:type="dxa"/>
            <w:vAlign w:val="center"/>
            <w:hideMark/>
          </w:tcPr>
          <w:p w14:paraId="2183CF8B"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b/>
                <w:bCs/>
                <w:kern w:val="0"/>
                <w:lang w:eastAsia="en-GB"/>
                <w14:ligatures w14:val="none"/>
              </w:rPr>
              <w:t>01/09/2025</w:t>
            </w:r>
          </w:p>
        </w:tc>
        <w:tc>
          <w:tcPr>
            <w:tcW w:w="773" w:type="dxa"/>
            <w:vAlign w:val="center"/>
            <w:hideMark/>
          </w:tcPr>
          <w:p w14:paraId="58BDCF6D"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6 months</w:t>
            </w:r>
          </w:p>
        </w:tc>
        <w:tc>
          <w:tcPr>
            <w:tcW w:w="1202" w:type="dxa"/>
            <w:vAlign w:val="center"/>
            <w:hideMark/>
          </w:tcPr>
          <w:p w14:paraId="04CB70D4"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28/02/2026</w:t>
            </w:r>
          </w:p>
        </w:tc>
        <w:tc>
          <w:tcPr>
            <w:tcW w:w="980" w:type="dxa"/>
            <w:vAlign w:val="center"/>
            <w:hideMark/>
          </w:tcPr>
          <w:p w14:paraId="0BB41B88"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£7,500</w:t>
            </w:r>
          </w:p>
        </w:tc>
      </w:tr>
      <w:tr w:rsidR="00336D08" w:rsidRPr="00C834E9" w14:paraId="395AC458" w14:textId="77777777" w:rsidTr="00841249">
        <w:trPr>
          <w:tblCellSpacing w:w="15" w:type="dxa"/>
        </w:trPr>
        <w:tc>
          <w:tcPr>
            <w:tcW w:w="670" w:type="dxa"/>
            <w:vAlign w:val="center"/>
            <w:hideMark/>
          </w:tcPr>
          <w:p w14:paraId="2E99CEB8"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4</w:t>
            </w:r>
          </w:p>
        </w:tc>
        <w:tc>
          <w:tcPr>
            <w:tcW w:w="1320" w:type="dxa"/>
            <w:vAlign w:val="center"/>
            <w:hideMark/>
          </w:tcPr>
          <w:p w14:paraId="5D9C42FB"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Skills gap in hybrid hosting</w:t>
            </w:r>
          </w:p>
        </w:tc>
        <w:tc>
          <w:tcPr>
            <w:tcW w:w="1500" w:type="dxa"/>
            <w:vAlign w:val="center"/>
            <w:hideMark/>
          </w:tcPr>
          <w:p w14:paraId="4EC284BA"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Deliver in-house and third-party staff training on hybrid tech and client service</w:t>
            </w:r>
          </w:p>
        </w:tc>
        <w:tc>
          <w:tcPr>
            <w:tcW w:w="1140" w:type="dxa"/>
            <w:vAlign w:val="center"/>
            <w:hideMark/>
          </w:tcPr>
          <w:p w14:paraId="176AC2D7"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Improve technical delivery and client satisfaction</w:t>
            </w:r>
          </w:p>
        </w:tc>
        <w:tc>
          <w:tcPr>
            <w:tcW w:w="1230" w:type="dxa"/>
            <w:vAlign w:val="center"/>
            <w:hideMark/>
          </w:tcPr>
          <w:p w14:paraId="75C181D4"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b/>
                <w:bCs/>
                <w:kern w:val="0"/>
                <w:lang w:eastAsia="en-GB"/>
                <w14:ligatures w14:val="none"/>
              </w:rPr>
              <w:t>01/10/2025</w:t>
            </w:r>
          </w:p>
        </w:tc>
        <w:tc>
          <w:tcPr>
            <w:tcW w:w="773" w:type="dxa"/>
            <w:vAlign w:val="center"/>
            <w:hideMark/>
          </w:tcPr>
          <w:p w14:paraId="1B9E860C"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3 months</w:t>
            </w:r>
          </w:p>
        </w:tc>
        <w:tc>
          <w:tcPr>
            <w:tcW w:w="1202" w:type="dxa"/>
            <w:vAlign w:val="center"/>
            <w:hideMark/>
          </w:tcPr>
          <w:p w14:paraId="2B8940B8"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31/12/2025</w:t>
            </w:r>
          </w:p>
        </w:tc>
        <w:tc>
          <w:tcPr>
            <w:tcW w:w="980" w:type="dxa"/>
            <w:vAlign w:val="center"/>
            <w:hideMark/>
          </w:tcPr>
          <w:p w14:paraId="4B849BD3"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£15,000</w:t>
            </w:r>
          </w:p>
        </w:tc>
      </w:tr>
      <w:tr w:rsidR="00336D08" w:rsidRPr="00C834E9" w14:paraId="72BF013B" w14:textId="77777777" w:rsidTr="00841249">
        <w:trPr>
          <w:tblCellSpacing w:w="15" w:type="dxa"/>
        </w:trPr>
        <w:tc>
          <w:tcPr>
            <w:tcW w:w="670" w:type="dxa"/>
            <w:vAlign w:val="center"/>
            <w:hideMark/>
          </w:tcPr>
          <w:p w14:paraId="6A2B43E0"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5</w:t>
            </w:r>
          </w:p>
        </w:tc>
        <w:tc>
          <w:tcPr>
            <w:tcW w:w="1320" w:type="dxa"/>
            <w:vAlign w:val="center"/>
            <w:hideMark/>
          </w:tcPr>
          <w:p w14:paraId="18D7D566"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Weak community/business integration</w:t>
            </w:r>
          </w:p>
        </w:tc>
        <w:tc>
          <w:tcPr>
            <w:tcW w:w="1500" w:type="dxa"/>
            <w:vAlign w:val="center"/>
            <w:hideMark/>
          </w:tcPr>
          <w:p w14:paraId="2B22688C"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Form strategic partnerships with local institutions and co-host events</w:t>
            </w:r>
          </w:p>
        </w:tc>
        <w:tc>
          <w:tcPr>
            <w:tcW w:w="1140" w:type="dxa"/>
            <w:vAlign w:val="center"/>
            <w:hideMark/>
          </w:tcPr>
          <w:p w14:paraId="62118911"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Create new booking streams and brand goodwill</w:t>
            </w:r>
          </w:p>
        </w:tc>
        <w:tc>
          <w:tcPr>
            <w:tcW w:w="1230" w:type="dxa"/>
            <w:vAlign w:val="center"/>
            <w:hideMark/>
          </w:tcPr>
          <w:p w14:paraId="55C43295"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b/>
                <w:bCs/>
                <w:kern w:val="0"/>
                <w:lang w:eastAsia="en-GB"/>
                <w14:ligatures w14:val="none"/>
              </w:rPr>
              <w:t>01/10/2025</w:t>
            </w:r>
          </w:p>
        </w:tc>
        <w:tc>
          <w:tcPr>
            <w:tcW w:w="773" w:type="dxa"/>
            <w:vAlign w:val="center"/>
            <w:hideMark/>
          </w:tcPr>
          <w:p w14:paraId="62D55D10"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4 months</w:t>
            </w:r>
          </w:p>
        </w:tc>
        <w:tc>
          <w:tcPr>
            <w:tcW w:w="1202" w:type="dxa"/>
            <w:vAlign w:val="center"/>
            <w:hideMark/>
          </w:tcPr>
          <w:p w14:paraId="2E600DF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31/01/2026</w:t>
            </w:r>
          </w:p>
        </w:tc>
        <w:tc>
          <w:tcPr>
            <w:tcW w:w="980" w:type="dxa"/>
            <w:vAlign w:val="center"/>
            <w:hideMark/>
          </w:tcPr>
          <w:p w14:paraId="3604D72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£5,000</w:t>
            </w:r>
          </w:p>
        </w:tc>
      </w:tr>
      <w:tr w:rsidR="00336D08" w:rsidRPr="00C834E9" w14:paraId="6E1702EF" w14:textId="77777777" w:rsidTr="00841249">
        <w:trPr>
          <w:tblCellSpacing w:w="15" w:type="dxa"/>
        </w:trPr>
        <w:tc>
          <w:tcPr>
            <w:tcW w:w="670" w:type="dxa"/>
            <w:vAlign w:val="center"/>
            <w:hideMark/>
          </w:tcPr>
          <w:p w14:paraId="249F1D43"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6</w:t>
            </w:r>
          </w:p>
        </w:tc>
        <w:tc>
          <w:tcPr>
            <w:tcW w:w="1320" w:type="dxa"/>
            <w:vAlign w:val="center"/>
            <w:hideMark/>
          </w:tcPr>
          <w:p w14:paraId="07324B51"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Unmonitored change outcomes</w:t>
            </w:r>
          </w:p>
        </w:tc>
        <w:tc>
          <w:tcPr>
            <w:tcW w:w="1500" w:type="dxa"/>
            <w:vAlign w:val="center"/>
            <w:hideMark/>
          </w:tcPr>
          <w:p w14:paraId="2F8009D7"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Implement KPI dashboard and client feedback analytics</w:t>
            </w:r>
          </w:p>
        </w:tc>
        <w:tc>
          <w:tcPr>
            <w:tcW w:w="1140" w:type="dxa"/>
            <w:vAlign w:val="center"/>
            <w:hideMark/>
          </w:tcPr>
          <w:p w14:paraId="5E06456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Real-time performance tracking and informed adjustment</w:t>
            </w:r>
          </w:p>
        </w:tc>
        <w:tc>
          <w:tcPr>
            <w:tcW w:w="1230" w:type="dxa"/>
            <w:vAlign w:val="center"/>
            <w:hideMark/>
          </w:tcPr>
          <w:p w14:paraId="31A1B1D9"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b/>
                <w:bCs/>
                <w:kern w:val="0"/>
                <w:lang w:eastAsia="en-GB"/>
                <w14:ligatures w14:val="none"/>
              </w:rPr>
              <w:t>01/10/2025</w:t>
            </w:r>
          </w:p>
        </w:tc>
        <w:tc>
          <w:tcPr>
            <w:tcW w:w="773" w:type="dxa"/>
            <w:vAlign w:val="center"/>
            <w:hideMark/>
          </w:tcPr>
          <w:p w14:paraId="2330B078"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2 months</w:t>
            </w:r>
          </w:p>
        </w:tc>
        <w:tc>
          <w:tcPr>
            <w:tcW w:w="1202" w:type="dxa"/>
            <w:vAlign w:val="center"/>
            <w:hideMark/>
          </w:tcPr>
          <w:p w14:paraId="1DEEAEE2"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30/11/2025</w:t>
            </w:r>
          </w:p>
        </w:tc>
        <w:tc>
          <w:tcPr>
            <w:tcW w:w="980" w:type="dxa"/>
            <w:vAlign w:val="center"/>
            <w:hideMark/>
          </w:tcPr>
          <w:p w14:paraId="68B7CBEC"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kern w:val="0"/>
                <w:lang w:eastAsia="en-GB"/>
                <w14:ligatures w14:val="none"/>
              </w:rPr>
              <w:t>£5,000</w:t>
            </w:r>
          </w:p>
        </w:tc>
      </w:tr>
      <w:tr w:rsidR="00336D08" w:rsidRPr="00C834E9" w14:paraId="3DD19EDC" w14:textId="77777777" w:rsidTr="00841249">
        <w:trPr>
          <w:tblCellSpacing w:w="15" w:type="dxa"/>
        </w:trPr>
        <w:tc>
          <w:tcPr>
            <w:tcW w:w="670" w:type="dxa"/>
            <w:vAlign w:val="center"/>
          </w:tcPr>
          <w:p w14:paraId="03D881BD" w14:textId="77777777" w:rsidR="00336D08" w:rsidRPr="00C834E9" w:rsidRDefault="00336D08" w:rsidP="00841249">
            <w:pPr>
              <w:spacing w:after="0"/>
              <w:rPr>
                <w:rFonts w:eastAsia="Times New Roman" w:cs="Times New Roman"/>
                <w:kern w:val="0"/>
                <w:lang w:eastAsia="en-GB"/>
                <w14:ligatures w14:val="none"/>
              </w:rPr>
            </w:pPr>
            <w:r w:rsidRPr="00C834E9">
              <w:rPr>
                <w:rFonts w:eastAsia="Times New Roman" w:cs="Times New Roman"/>
                <w:b/>
                <w:bCs/>
                <w:kern w:val="0"/>
                <w:lang w:eastAsia="en-GB"/>
                <w14:ligatures w14:val="none"/>
              </w:rPr>
              <w:t>Total</w:t>
            </w:r>
          </w:p>
        </w:tc>
        <w:tc>
          <w:tcPr>
            <w:tcW w:w="7315" w:type="dxa"/>
            <w:gridSpan w:val="6"/>
            <w:vAlign w:val="center"/>
          </w:tcPr>
          <w:p w14:paraId="23F5ED54" w14:textId="77777777" w:rsidR="00336D08" w:rsidRPr="00C834E9" w:rsidRDefault="00336D08" w:rsidP="00841249">
            <w:pPr>
              <w:spacing w:after="0"/>
              <w:rPr>
                <w:rFonts w:eastAsia="Times New Roman" w:cs="Times New Roman"/>
                <w:kern w:val="0"/>
                <w:lang w:eastAsia="en-GB"/>
                <w14:ligatures w14:val="none"/>
              </w:rPr>
            </w:pPr>
          </w:p>
        </w:tc>
        <w:tc>
          <w:tcPr>
            <w:tcW w:w="980" w:type="dxa"/>
            <w:vAlign w:val="center"/>
          </w:tcPr>
          <w:p w14:paraId="2C9E75CD" w14:textId="77777777" w:rsidR="00336D08" w:rsidRPr="00C834E9" w:rsidRDefault="00336D08" w:rsidP="00841249">
            <w:pPr>
              <w:spacing w:after="0"/>
              <w:rPr>
                <w:rFonts w:eastAsia="Times New Roman" w:cs="Times New Roman"/>
                <w:b/>
                <w:bCs/>
                <w:kern w:val="0"/>
                <w:lang w:eastAsia="en-GB"/>
                <w14:ligatures w14:val="none"/>
              </w:rPr>
            </w:pPr>
            <w:r w:rsidRPr="00C834E9">
              <w:rPr>
                <w:rFonts w:eastAsia="Times New Roman" w:cs="Times New Roman"/>
                <w:b/>
                <w:bCs/>
                <w:kern w:val="0"/>
                <w:lang w:eastAsia="en-GB"/>
                <w14:ligatures w14:val="none"/>
              </w:rPr>
              <w:t>£177,500</w:t>
            </w:r>
          </w:p>
          <w:p w14:paraId="5619FB7C" w14:textId="77777777" w:rsidR="00336D08" w:rsidRPr="00C834E9" w:rsidRDefault="00336D08" w:rsidP="00841249">
            <w:pPr>
              <w:spacing w:after="0"/>
              <w:rPr>
                <w:rFonts w:eastAsia="Times New Roman" w:cs="Times New Roman"/>
                <w:kern w:val="0"/>
                <w:lang w:eastAsia="en-GB"/>
                <w14:ligatures w14:val="none"/>
              </w:rPr>
            </w:pPr>
          </w:p>
        </w:tc>
      </w:tr>
    </w:tbl>
    <w:p w14:paraId="003DA2EE" w14:textId="77777777" w:rsidR="00091F7F" w:rsidRDefault="00091F7F" w:rsidP="000D214E">
      <w:pPr>
        <w:rPr>
          <w:rFonts w:eastAsia="Times New Roman" w:cs="Times New Roman"/>
          <w:i/>
          <w:iCs/>
          <w:kern w:val="0"/>
          <w:lang w:eastAsia="en-GB"/>
          <w14:ligatures w14:val="none"/>
        </w:rPr>
      </w:pPr>
    </w:p>
    <w:p w14:paraId="064CF4C6" w14:textId="47C2F94A" w:rsidR="00355AE9" w:rsidRPr="00355AE9" w:rsidRDefault="00355AE9" w:rsidP="00355AE9">
      <w:pPr>
        <w:jc w:val="center"/>
        <w:rPr>
          <w:rFonts w:eastAsia="Times New Roman" w:cs="Times New Roman"/>
          <w:b/>
          <w:bCs/>
          <w:kern w:val="0"/>
          <w:lang w:eastAsia="en-GB"/>
          <w14:ligatures w14:val="none"/>
        </w:rPr>
      </w:pPr>
      <w:r w:rsidRPr="00355AE9">
        <w:rPr>
          <w:rFonts w:eastAsia="Times New Roman" w:cs="Times New Roman"/>
          <w:b/>
          <w:bCs/>
          <w:kern w:val="0"/>
          <w:lang w:eastAsia="en-GB"/>
          <w14:ligatures w14:val="none"/>
        </w:rPr>
        <w:t>Table 4: Action Plan (Self-developed)</w:t>
      </w:r>
    </w:p>
    <w:p w14:paraId="2747DDDF" w14:textId="6A878185" w:rsidR="00325469" w:rsidRPr="004F7075" w:rsidRDefault="00A32DFD" w:rsidP="000D214E">
      <w:pPr>
        <w:rPr>
          <w:rFonts w:eastAsia="Times New Roman" w:cs="Times New Roman"/>
          <w:b/>
          <w:bCs/>
          <w:kern w:val="0"/>
          <w:lang w:eastAsia="en-GB"/>
          <w14:ligatures w14:val="none"/>
        </w:rPr>
      </w:pPr>
      <w:r w:rsidRPr="00091F7F">
        <w:rPr>
          <w:rFonts w:eastAsia="Times New Roman" w:cs="Times New Roman"/>
          <w:kern w:val="0"/>
          <w:lang w:eastAsia="en-GB"/>
          <w14:ligatures w14:val="none"/>
        </w:rPr>
        <w:t xml:space="preserve">An additional </w:t>
      </w:r>
      <w:r w:rsidRPr="00336D08">
        <w:rPr>
          <w:rFonts w:eastAsia="Times New Roman" w:cs="Times New Roman"/>
          <w:b/>
          <w:bCs/>
          <w:kern w:val="0"/>
          <w:lang w:eastAsia="en-GB"/>
          <w14:ligatures w14:val="none"/>
        </w:rPr>
        <w:t>£17,750</w:t>
      </w:r>
      <w:r w:rsidRPr="00091F7F">
        <w:rPr>
          <w:rFonts w:eastAsia="Times New Roman" w:cs="Times New Roman"/>
          <w:kern w:val="0"/>
          <w:lang w:eastAsia="en-GB"/>
          <w14:ligatures w14:val="none"/>
        </w:rPr>
        <w:t xml:space="preserve"> contingency </w:t>
      </w:r>
      <w:r w:rsidRPr="00336D08">
        <w:rPr>
          <w:rFonts w:eastAsia="Times New Roman" w:cs="Times New Roman"/>
          <w:b/>
          <w:bCs/>
          <w:kern w:val="0"/>
          <w:lang w:eastAsia="en-GB"/>
          <w14:ligatures w14:val="none"/>
        </w:rPr>
        <w:t>(10%)</w:t>
      </w:r>
      <w:r w:rsidRPr="00091F7F">
        <w:rPr>
          <w:rFonts w:eastAsia="Times New Roman" w:cs="Times New Roman"/>
          <w:kern w:val="0"/>
          <w:lang w:eastAsia="en-GB"/>
          <w14:ligatures w14:val="none"/>
        </w:rPr>
        <w:t xml:space="preserve"> brings the total estimated implementation cost to </w:t>
      </w:r>
      <w:r w:rsidRPr="00336D08">
        <w:rPr>
          <w:rFonts w:eastAsia="Times New Roman" w:cs="Times New Roman"/>
          <w:b/>
          <w:bCs/>
          <w:kern w:val="0"/>
          <w:lang w:eastAsia="en-GB"/>
          <w14:ligatures w14:val="none"/>
        </w:rPr>
        <w:t>£195,250.</w:t>
      </w:r>
    </w:p>
    <w:p w14:paraId="726BDC79" w14:textId="08184CD3" w:rsidR="00A32DFD" w:rsidRPr="000D214E" w:rsidRDefault="00A32DFD" w:rsidP="00921F9A">
      <w:pPr>
        <w:pStyle w:val="Heading2"/>
        <w:rPr>
          <w:rFonts w:eastAsia="Times New Roman"/>
          <w:lang w:eastAsia="en-GB"/>
        </w:rPr>
      </w:pPr>
      <w:bookmarkStart w:id="17" w:name="_Toc199940949"/>
      <w:r w:rsidRPr="000D214E">
        <w:rPr>
          <w:rFonts w:eastAsia="Times New Roman"/>
          <w:lang w:eastAsia="en-GB"/>
        </w:rPr>
        <w:t>Summary</w:t>
      </w:r>
      <w:bookmarkEnd w:id="17"/>
    </w:p>
    <w:p w14:paraId="714D4EAD" w14:textId="6FD42E31" w:rsidR="005A36A1" w:rsidRPr="000D214E" w:rsidRDefault="00A32DFD"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This</w:t>
      </w:r>
      <w:r w:rsidR="00E76F1B">
        <w:rPr>
          <w:rFonts w:eastAsia="Times New Roman" w:cs="Times New Roman"/>
          <w:kern w:val="0"/>
          <w:lang w:eastAsia="en-GB"/>
          <w14:ligatures w14:val="none"/>
        </w:rPr>
        <w:t xml:space="preserve"> </w:t>
      </w:r>
      <w:r w:rsidRPr="000D214E">
        <w:rPr>
          <w:rFonts w:eastAsia="Times New Roman" w:cs="Times New Roman"/>
          <w:kern w:val="0"/>
          <w:lang w:eastAsia="en-GB"/>
          <w14:ligatures w14:val="none"/>
        </w:rPr>
        <w:t xml:space="preserve">implementation plan provides a pragmatic and financially detailed roadmap for </w:t>
      </w:r>
      <w:r w:rsidRPr="00683AA1">
        <w:rPr>
          <w:rFonts w:eastAsia="Times New Roman" w:cs="Times New Roman"/>
          <w:b/>
          <w:bCs/>
          <w:kern w:val="0"/>
          <w:lang w:eastAsia="en-GB"/>
          <w14:ligatures w14:val="none"/>
        </w:rPr>
        <w:t>Hyatt Regency Birmingham’s</w:t>
      </w:r>
      <w:r w:rsidRPr="000D214E">
        <w:rPr>
          <w:rFonts w:eastAsia="Times New Roman" w:cs="Times New Roman"/>
          <w:kern w:val="0"/>
          <w:lang w:eastAsia="en-GB"/>
          <w14:ligatures w14:val="none"/>
        </w:rPr>
        <w:t xml:space="preserve"> repositioning strategy. The action plan table enables clarity for management when scheduling, budgeting, and monitoring progress</w:t>
      </w:r>
      <w:r w:rsidR="002C019F">
        <w:rPr>
          <w:rFonts w:eastAsia="Times New Roman" w:cs="Times New Roman"/>
          <w:kern w:val="0"/>
          <w:lang w:eastAsia="en-GB"/>
          <w14:ligatures w14:val="none"/>
        </w:rPr>
        <w:t xml:space="preserve"> </w:t>
      </w:r>
      <w:r w:rsidR="002C019F" w:rsidRPr="002C019F">
        <w:rPr>
          <w:rFonts w:eastAsia="Times New Roman" w:cs="Times New Roman"/>
          <w:kern w:val="0"/>
          <w:lang w:eastAsia="en-GB"/>
          <w14:ligatures w14:val="none"/>
        </w:rPr>
        <w:t>(Buttrick, 20</w:t>
      </w:r>
      <w:r w:rsidR="00712A17">
        <w:rPr>
          <w:rFonts w:eastAsia="Times New Roman" w:cs="Times New Roman"/>
          <w:kern w:val="0"/>
          <w:lang w:eastAsia="en-GB"/>
          <w14:ligatures w14:val="none"/>
        </w:rPr>
        <w:t>09</w:t>
      </w:r>
      <w:r w:rsidR="002C019F" w:rsidRPr="002C019F">
        <w:rPr>
          <w:rFonts w:eastAsia="Times New Roman" w:cs="Times New Roman"/>
          <w:kern w:val="0"/>
          <w:lang w:eastAsia="en-GB"/>
          <w14:ligatures w14:val="none"/>
        </w:rPr>
        <w:t>)</w:t>
      </w:r>
      <w:r w:rsidRPr="000D214E">
        <w:rPr>
          <w:rFonts w:eastAsia="Times New Roman" w:cs="Times New Roman"/>
          <w:kern w:val="0"/>
          <w:lang w:eastAsia="en-GB"/>
          <w14:ligatures w14:val="none"/>
        </w:rPr>
        <w:t>. When executed as proposed, this investment offers strong return potential via enhanced bookings, diversified revenue, and strengthened brand positioning in a competitive hospitality landscape.</w:t>
      </w:r>
    </w:p>
    <w:p w14:paraId="110DF777" w14:textId="72B4B233" w:rsidR="005A36A1" w:rsidRPr="009936DD" w:rsidRDefault="005A36A1" w:rsidP="00921F9A">
      <w:pPr>
        <w:pStyle w:val="Heading1"/>
      </w:pPr>
      <w:bookmarkStart w:id="18" w:name="_Toc199940950"/>
      <w:r w:rsidRPr="009936DD">
        <w:t>Conclusion</w:t>
      </w:r>
      <w:bookmarkEnd w:id="18"/>
    </w:p>
    <w:p w14:paraId="794B6DBA" w14:textId="3CBD1068" w:rsidR="005A36A1" w:rsidRPr="000D214E" w:rsidRDefault="005A36A1" w:rsidP="000D214E">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This organisational consultancy report, delivered by Heritage Hospitality Consulting, has examined the strategic challenge facing Hyatt Regency Birmingham—specifically, its declining performance in the business and MICE (Meetings, Incentives, Conferences and Exhibitions) segment. Drawing on a comprehensive situational analysis, including a STEEPLED framework, </w:t>
      </w:r>
      <w:r w:rsidR="00575921">
        <w:rPr>
          <w:rFonts w:eastAsia="Times New Roman" w:cs="Times New Roman"/>
          <w:kern w:val="0"/>
          <w:lang w:eastAsia="en-GB"/>
          <w14:ligatures w14:val="none"/>
        </w:rPr>
        <w:t xml:space="preserve">a </w:t>
      </w:r>
      <w:r w:rsidRPr="000D214E">
        <w:rPr>
          <w:rFonts w:eastAsia="Times New Roman" w:cs="Times New Roman"/>
          <w:kern w:val="0"/>
          <w:lang w:eastAsia="en-GB"/>
          <w14:ligatures w14:val="none"/>
        </w:rPr>
        <w:t xml:space="preserve">SWOT evaluation, and a TOWS matrix, the report has diagnosed both external pressures and internal inefficiencies contributing to underperformance. </w:t>
      </w:r>
      <w:proofErr w:type="gramStart"/>
      <w:r w:rsidRPr="000D214E">
        <w:rPr>
          <w:rFonts w:eastAsia="Times New Roman" w:cs="Times New Roman"/>
          <w:kern w:val="0"/>
          <w:lang w:eastAsia="en-GB"/>
          <w14:ligatures w14:val="none"/>
        </w:rPr>
        <w:t>In particular, structural</w:t>
      </w:r>
      <w:proofErr w:type="gramEnd"/>
      <w:r w:rsidRPr="000D214E">
        <w:rPr>
          <w:rFonts w:eastAsia="Times New Roman" w:cs="Times New Roman"/>
          <w:kern w:val="0"/>
          <w:lang w:eastAsia="en-GB"/>
          <w14:ligatures w14:val="none"/>
        </w:rPr>
        <w:t xml:space="preserve"> changes in corporate travel behaviour, the rise of hybrid working, and elevated guest expectations regarding sustainability and digital capabilities were identified as critical contextual shifts.</w:t>
      </w:r>
    </w:p>
    <w:p w14:paraId="7369D810" w14:textId="3C2B30EF" w:rsidR="009936DD" w:rsidRPr="009936DD" w:rsidRDefault="005A36A1" w:rsidP="009936DD">
      <w:pPr>
        <w:rPr>
          <w:rFonts w:eastAsia="Times New Roman" w:cs="Times New Roman"/>
          <w:kern w:val="0"/>
          <w:lang w:eastAsia="en-GB"/>
          <w14:ligatures w14:val="none"/>
        </w:rPr>
      </w:pPr>
      <w:r w:rsidRPr="000D214E">
        <w:rPr>
          <w:rFonts w:eastAsia="Times New Roman" w:cs="Times New Roman"/>
          <w:kern w:val="0"/>
          <w:lang w:eastAsia="en-GB"/>
          <w14:ligatures w14:val="none"/>
        </w:rPr>
        <w:t xml:space="preserve">Despite being located adjacent to the International Convention Centre and operating under the globally recognised Hyatt Hotels Corporation, the property has experienced stagnant weekday occupancy rates and underutilised event facilities. </w:t>
      </w:r>
      <w:r w:rsidR="009936DD" w:rsidRPr="009936DD">
        <w:rPr>
          <w:rFonts w:eastAsia="Times New Roman" w:cs="Times New Roman"/>
          <w:kern w:val="0"/>
          <w:lang w:eastAsia="en-GB"/>
          <w14:ligatures w14:val="none"/>
        </w:rPr>
        <w:t xml:space="preserve">It suggests that service offerings no longer meet </w:t>
      </w:r>
      <w:r w:rsidR="00575921">
        <w:rPr>
          <w:rFonts w:eastAsia="Times New Roman" w:cs="Times New Roman"/>
          <w:kern w:val="0"/>
          <w:lang w:eastAsia="en-GB"/>
          <w14:ligatures w14:val="none"/>
        </w:rPr>
        <w:t xml:space="preserve">the </w:t>
      </w:r>
      <w:r w:rsidR="009936DD" w:rsidRPr="009936DD">
        <w:rPr>
          <w:rFonts w:eastAsia="Times New Roman" w:cs="Times New Roman"/>
          <w:kern w:val="0"/>
          <w:lang w:eastAsia="en-GB"/>
          <w14:ligatures w14:val="none"/>
        </w:rPr>
        <w:t>evolving needs of corporate clients, academic institutions and local businesses. If not responded to proactively and specifically, misalignment creates a risk to revenue performance and reputation.</w:t>
      </w:r>
    </w:p>
    <w:p w14:paraId="4ED82161" w14:textId="746E3EF7" w:rsidR="009936DD" w:rsidRDefault="009936DD" w:rsidP="009936DD">
      <w:pPr>
        <w:rPr>
          <w:rFonts w:eastAsia="Times New Roman" w:cs="Times New Roman"/>
          <w:kern w:val="0"/>
          <w:lang w:eastAsia="en-GB"/>
          <w14:ligatures w14:val="none"/>
        </w:rPr>
      </w:pPr>
      <w:r w:rsidRPr="009936DD">
        <w:rPr>
          <w:rFonts w:eastAsia="Times New Roman" w:cs="Times New Roman"/>
          <w:kern w:val="0"/>
          <w:lang w:eastAsia="en-GB"/>
          <w14:ligatures w14:val="none"/>
        </w:rPr>
        <w:lastRenderedPageBreak/>
        <w:t xml:space="preserve">In response, this report has determined a </w:t>
      </w:r>
      <w:r w:rsidR="00F2641E">
        <w:rPr>
          <w:rFonts w:eastAsia="Times New Roman" w:cs="Times New Roman"/>
          <w:kern w:val="0"/>
          <w:lang w:eastAsia="en-GB"/>
          <w14:ligatures w14:val="none"/>
        </w:rPr>
        <w:t xml:space="preserve">multifaceted strategy to reposition </w:t>
      </w:r>
      <w:r w:rsidRPr="009936DD">
        <w:rPr>
          <w:rFonts w:eastAsia="Times New Roman" w:cs="Times New Roman"/>
          <w:kern w:val="0"/>
          <w:lang w:eastAsia="en-GB"/>
          <w14:ligatures w14:val="none"/>
        </w:rPr>
        <w:t xml:space="preserve">the hotel as a premier destination for hybrid and sustainable events in the Midlands. Upgrading audiovisual infrastructure to support seamless hybrid conferencing, introduction of Green Key </w:t>
      </w:r>
      <w:r w:rsidR="00F2641E">
        <w:rPr>
          <w:rFonts w:eastAsia="Times New Roman" w:cs="Times New Roman"/>
          <w:kern w:val="0"/>
          <w:lang w:eastAsia="en-GB"/>
          <w14:ligatures w14:val="none"/>
        </w:rPr>
        <w:t>Certified sustainable event packages to restructure cost heterogeneity, revamping digital marketing to entice regional clients through the city’s nurturing of hybrid skill development and forging strategic partnerships with universities, SME,</w:t>
      </w:r>
      <w:r w:rsidRPr="009936DD">
        <w:rPr>
          <w:rFonts w:eastAsia="Times New Roman" w:cs="Times New Roman"/>
          <w:kern w:val="0"/>
          <w:lang w:eastAsia="en-GB"/>
          <w14:ligatures w14:val="none"/>
        </w:rPr>
        <w:t xml:space="preserve"> and public sector institutions are recommended. These actions are taken to diversify revenue streams, reduce corporate reliance on a single corporate event client group and </w:t>
      </w:r>
      <w:r w:rsidR="00F2641E">
        <w:rPr>
          <w:rFonts w:eastAsia="Times New Roman" w:cs="Times New Roman"/>
          <w:kern w:val="0"/>
          <w:lang w:eastAsia="en-GB"/>
          <w14:ligatures w14:val="none"/>
        </w:rPr>
        <w:t>future-proof</w:t>
      </w:r>
      <w:r w:rsidRPr="009936DD">
        <w:rPr>
          <w:rFonts w:eastAsia="Times New Roman" w:cs="Times New Roman"/>
          <w:kern w:val="0"/>
          <w:lang w:eastAsia="en-GB"/>
          <w14:ligatures w14:val="none"/>
        </w:rPr>
        <w:t xml:space="preserve"> the hotel's event strategy.</w:t>
      </w:r>
    </w:p>
    <w:p w14:paraId="6EACCFF7" w14:textId="2679D125" w:rsidR="00F2641E" w:rsidRPr="00F2641E" w:rsidRDefault="007D67C5" w:rsidP="00F2641E">
      <w:pPr>
        <w:rPr>
          <w:rFonts w:eastAsia="Times New Roman" w:cs="Times New Roman"/>
          <w:kern w:val="0"/>
          <w:lang w:eastAsia="en-GB"/>
          <w14:ligatures w14:val="none"/>
        </w:rPr>
      </w:pPr>
      <w:r>
        <w:rPr>
          <w:rFonts w:eastAsia="Times New Roman" w:cs="Times New Roman"/>
          <w:kern w:val="0"/>
          <w:lang w:eastAsia="en-GB"/>
          <w14:ligatures w14:val="none"/>
        </w:rPr>
        <w:t>A structured change management framework has supported Kotter’s 8-Step Model recommendations to assure adoption and cultural integration in the long run. This framework encourages transparency, staff engagement,</w:t>
      </w:r>
      <w:r w:rsidR="00F2641E" w:rsidRPr="00F2641E">
        <w:rPr>
          <w:rFonts w:eastAsia="Times New Roman" w:cs="Times New Roman"/>
          <w:kern w:val="0"/>
          <w:lang w:eastAsia="en-GB"/>
          <w14:ligatures w14:val="none"/>
        </w:rPr>
        <w:t xml:space="preserve"> and continuous improvement</w:t>
      </w:r>
      <w:r w:rsidR="00F2641E">
        <w:rPr>
          <w:rFonts w:eastAsia="Times New Roman" w:cs="Times New Roman"/>
          <w:kern w:val="0"/>
          <w:lang w:eastAsia="en-GB"/>
          <w14:ligatures w14:val="none"/>
        </w:rPr>
        <w:t>, which are essential</w:t>
      </w:r>
      <w:r w:rsidR="00F2641E" w:rsidRPr="00F2641E">
        <w:rPr>
          <w:rFonts w:eastAsia="Times New Roman" w:cs="Times New Roman"/>
          <w:kern w:val="0"/>
          <w:lang w:eastAsia="en-GB"/>
          <w14:ligatures w14:val="none"/>
        </w:rPr>
        <w:t xml:space="preserve"> to successful organisational transformation. In addition, the </w:t>
      </w:r>
      <w:r w:rsidR="00F2641E">
        <w:rPr>
          <w:rFonts w:eastAsia="Times New Roman" w:cs="Times New Roman"/>
          <w:kern w:val="0"/>
          <w:lang w:eastAsia="en-GB"/>
          <w14:ligatures w14:val="none"/>
        </w:rPr>
        <w:t xml:space="preserve">implementation plan is an 18-month phased plan </w:t>
      </w:r>
      <w:r w:rsidR="000F35EB">
        <w:rPr>
          <w:rFonts w:eastAsia="Times New Roman" w:cs="Times New Roman"/>
          <w:kern w:val="0"/>
          <w:lang w:eastAsia="en-GB"/>
          <w14:ligatures w14:val="none"/>
        </w:rPr>
        <w:t xml:space="preserve">that is fully </w:t>
      </w:r>
      <w:r w:rsidR="00575921">
        <w:rPr>
          <w:rFonts w:eastAsia="Times New Roman" w:cs="Times New Roman"/>
          <w:kern w:val="0"/>
          <w:lang w:eastAsia="en-GB"/>
          <w14:ligatures w14:val="none"/>
        </w:rPr>
        <w:t>cost</w:t>
      </w:r>
      <w:r w:rsidR="000F35EB">
        <w:rPr>
          <w:rFonts w:eastAsia="Times New Roman" w:cs="Times New Roman"/>
          <w:kern w:val="0"/>
          <w:lang w:eastAsia="en-GB"/>
          <w14:ligatures w14:val="none"/>
        </w:rPr>
        <w:t xml:space="preserve"> and has realistic KPIs, responsibilities,</w:t>
      </w:r>
      <w:r w:rsidR="00F2641E" w:rsidRPr="00F2641E">
        <w:rPr>
          <w:rFonts w:eastAsia="Times New Roman" w:cs="Times New Roman"/>
          <w:kern w:val="0"/>
          <w:lang w:eastAsia="en-GB"/>
          <w14:ligatures w14:val="none"/>
        </w:rPr>
        <w:t xml:space="preserve"> and risk mitigation strategies. A practical action plan </w:t>
      </w:r>
      <w:r w:rsidR="000F35EB">
        <w:rPr>
          <w:rFonts w:eastAsia="Times New Roman" w:cs="Times New Roman"/>
          <w:kern w:val="0"/>
          <w:lang w:eastAsia="en-GB"/>
          <w14:ligatures w14:val="none"/>
        </w:rPr>
        <w:t>and a practical plan to support Hyatt Regency Birmingham’s management team for program scheduling and progress tracking are</w:t>
      </w:r>
      <w:r w:rsidR="00F2641E" w:rsidRPr="00F2641E">
        <w:rPr>
          <w:rFonts w:eastAsia="Times New Roman" w:cs="Times New Roman"/>
          <w:kern w:val="0"/>
          <w:lang w:eastAsia="en-GB"/>
          <w14:ligatures w14:val="none"/>
        </w:rPr>
        <w:t xml:space="preserve"> also included.</w:t>
      </w:r>
    </w:p>
    <w:p w14:paraId="29304B89" w14:textId="37503EB0" w:rsidR="007D67C5" w:rsidRPr="007D67C5" w:rsidRDefault="007D67C5" w:rsidP="007D67C5">
      <w:pPr>
        <w:rPr>
          <w:rFonts w:eastAsia="Times New Roman" w:cs="Times New Roman"/>
          <w:kern w:val="0"/>
          <w:lang w:eastAsia="en-GB"/>
          <w14:ligatures w14:val="none"/>
        </w:rPr>
      </w:pPr>
      <w:r w:rsidRPr="007D67C5">
        <w:rPr>
          <w:rFonts w:eastAsia="Times New Roman" w:cs="Times New Roman"/>
          <w:kern w:val="0"/>
          <w:lang w:eastAsia="en-GB"/>
          <w14:ligatures w14:val="none"/>
        </w:rPr>
        <w:t xml:space="preserve">This strategic shift is illustrated with </w:t>
      </w:r>
      <w:r>
        <w:rPr>
          <w:rFonts w:eastAsia="Times New Roman" w:cs="Times New Roman"/>
          <w:kern w:val="0"/>
          <w:lang w:eastAsia="en-GB"/>
          <w14:ligatures w14:val="none"/>
        </w:rPr>
        <w:t xml:space="preserve">real-world figures and market analysis of RevPAR growth across different hotel market segments (boutique, business, mid-market) </w:t>
      </w:r>
      <w:r w:rsidRPr="007D67C5">
        <w:rPr>
          <w:rFonts w:eastAsia="Times New Roman" w:cs="Times New Roman"/>
          <w:kern w:val="0"/>
          <w:lang w:eastAsia="en-GB"/>
          <w14:ligatures w14:val="none"/>
        </w:rPr>
        <w:t xml:space="preserve">and relative occupancy rate gap in the targeted market. The project has an overall estimated </w:t>
      </w:r>
      <w:r>
        <w:rPr>
          <w:rFonts w:eastAsia="Times New Roman" w:cs="Times New Roman"/>
          <w:kern w:val="0"/>
          <w:lang w:eastAsia="en-GB"/>
          <w14:ligatures w14:val="none"/>
        </w:rPr>
        <w:t xml:space="preserve">investment cost </w:t>
      </w:r>
      <w:r w:rsidRPr="007D67C5">
        <w:rPr>
          <w:rFonts w:eastAsia="Times New Roman" w:cs="Times New Roman"/>
          <w:kern w:val="0"/>
          <w:lang w:eastAsia="en-GB"/>
          <w14:ligatures w14:val="none"/>
        </w:rPr>
        <w:t xml:space="preserve">of £195,250 (with contingency), </w:t>
      </w:r>
      <w:r>
        <w:rPr>
          <w:rFonts w:eastAsia="Times New Roman" w:cs="Times New Roman"/>
          <w:kern w:val="0"/>
          <w:lang w:eastAsia="en-GB"/>
          <w14:ligatures w14:val="none"/>
        </w:rPr>
        <w:t xml:space="preserve">and </w:t>
      </w:r>
      <w:r w:rsidRPr="007D67C5">
        <w:rPr>
          <w:rFonts w:eastAsia="Times New Roman" w:cs="Times New Roman"/>
          <w:kern w:val="0"/>
          <w:lang w:eastAsia="en-GB"/>
          <w14:ligatures w14:val="none"/>
        </w:rPr>
        <w:t>the recommendations offer a realistic transformation roadmap that has a strong potential return on investment.</w:t>
      </w:r>
    </w:p>
    <w:p w14:paraId="01423A01" w14:textId="7BBFD8AA" w:rsidR="00E67A47" w:rsidRDefault="007D67C5" w:rsidP="000D214E">
      <w:pPr>
        <w:rPr>
          <w:rFonts w:eastAsia="Times New Roman" w:cs="Times New Roman"/>
          <w:kern w:val="0"/>
          <w:lang w:eastAsia="en-GB"/>
          <w14:ligatures w14:val="none"/>
        </w:rPr>
      </w:pPr>
      <w:r w:rsidRPr="007D67C5">
        <w:rPr>
          <w:rFonts w:eastAsia="Times New Roman" w:cs="Times New Roman"/>
          <w:kern w:val="0"/>
          <w:lang w:eastAsia="en-GB"/>
          <w14:ligatures w14:val="none"/>
        </w:rPr>
        <w:t>Nearly, Hyatt Regency Birmingham is at an inflexion point. Innovation, sustainability</w:t>
      </w:r>
      <w:r>
        <w:rPr>
          <w:rFonts w:eastAsia="Times New Roman" w:cs="Times New Roman"/>
          <w:kern w:val="0"/>
          <w:lang w:eastAsia="en-GB"/>
          <w14:ligatures w14:val="none"/>
        </w:rPr>
        <w:t xml:space="preserve">, and the backing of local partnerships can help the hotel </w:t>
      </w:r>
      <w:r w:rsidRPr="007D67C5">
        <w:rPr>
          <w:rFonts w:eastAsia="Times New Roman" w:cs="Times New Roman"/>
          <w:kern w:val="0"/>
          <w:lang w:eastAsia="en-GB"/>
          <w14:ligatures w14:val="none"/>
        </w:rPr>
        <w:t xml:space="preserve">fight current risks and open new frontiers in the fast-changing hospitality ecosystem. If the strategy is well implemented, the hotel will experience increased operational resilience, gain </w:t>
      </w:r>
      <w:r>
        <w:rPr>
          <w:rFonts w:eastAsia="Times New Roman" w:cs="Times New Roman"/>
          <w:kern w:val="0"/>
          <w:lang w:eastAsia="en-GB"/>
          <w14:ligatures w14:val="none"/>
        </w:rPr>
        <w:t>brand equity, and be placed</w:t>
      </w:r>
      <w:r w:rsidRPr="007D67C5">
        <w:rPr>
          <w:rFonts w:eastAsia="Times New Roman" w:cs="Times New Roman"/>
          <w:kern w:val="0"/>
          <w:lang w:eastAsia="en-GB"/>
          <w14:ligatures w14:val="none"/>
        </w:rPr>
        <w:t xml:space="preserve"> ahead of the UK urban conference and events market as a forward-thinking leader.</w:t>
      </w:r>
    </w:p>
    <w:p w14:paraId="5C85B95B" w14:textId="77777777" w:rsidR="00126BBC" w:rsidRDefault="00126BBC" w:rsidP="000D214E">
      <w:pPr>
        <w:rPr>
          <w:rFonts w:eastAsia="Times New Roman" w:cs="Times New Roman"/>
          <w:kern w:val="0"/>
          <w:lang w:eastAsia="en-GB"/>
          <w14:ligatures w14:val="none"/>
        </w:rPr>
      </w:pPr>
    </w:p>
    <w:p w14:paraId="4767DAA0" w14:textId="77777777" w:rsidR="00126BBC" w:rsidRDefault="00126BBC" w:rsidP="000D214E">
      <w:pPr>
        <w:rPr>
          <w:rFonts w:eastAsia="Times New Roman" w:cs="Times New Roman"/>
          <w:kern w:val="0"/>
          <w:lang w:eastAsia="en-GB"/>
          <w14:ligatures w14:val="none"/>
        </w:rPr>
      </w:pPr>
    </w:p>
    <w:p w14:paraId="4F4FBE33" w14:textId="77777777" w:rsidR="00126BBC" w:rsidRDefault="00126BBC" w:rsidP="000D214E">
      <w:pPr>
        <w:rPr>
          <w:rFonts w:eastAsia="Times New Roman" w:cs="Times New Roman"/>
          <w:kern w:val="0"/>
          <w:lang w:eastAsia="en-GB"/>
          <w14:ligatures w14:val="none"/>
        </w:rPr>
      </w:pPr>
    </w:p>
    <w:p w14:paraId="6C5C684A" w14:textId="77777777" w:rsidR="00126BBC" w:rsidRDefault="00126BBC" w:rsidP="000D214E">
      <w:pPr>
        <w:rPr>
          <w:rFonts w:eastAsia="Times New Roman" w:cs="Times New Roman"/>
          <w:kern w:val="0"/>
          <w:lang w:eastAsia="en-GB"/>
          <w14:ligatures w14:val="none"/>
        </w:rPr>
      </w:pPr>
    </w:p>
    <w:p w14:paraId="450EF0D4" w14:textId="77777777" w:rsidR="00325469" w:rsidRPr="000D214E" w:rsidRDefault="00325469" w:rsidP="000D214E">
      <w:pPr>
        <w:rPr>
          <w:rFonts w:eastAsia="Times New Roman" w:cs="Times New Roman"/>
          <w:kern w:val="0"/>
          <w:lang w:eastAsia="en-GB"/>
          <w14:ligatures w14:val="none"/>
        </w:rPr>
      </w:pPr>
    </w:p>
    <w:p w14:paraId="1C1DB25F" w14:textId="77777777" w:rsidR="005A36A1" w:rsidRPr="00A34972" w:rsidRDefault="005A36A1" w:rsidP="00A34972">
      <w:pPr>
        <w:pStyle w:val="Heading1"/>
        <w:rPr>
          <w:rFonts w:cs="Times New Roman"/>
        </w:rPr>
      </w:pPr>
      <w:bookmarkStart w:id="19" w:name="_Toc199940951"/>
      <w:r w:rsidRPr="00A34972">
        <w:rPr>
          <w:rFonts w:cs="Times New Roman"/>
        </w:rPr>
        <w:lastRenderedPageBreak/>
        <w:t>References</w:t>
      </w:r>
      <w:bookmarkEnd w:id="19"/>
    </w:p>
    <w:p w14:paraId="552DA07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bookmarkStart w:id="20" w:name="OLE_LINK1"/>
      <w:r w:rsidRPr="000E40E9">
        <w:rPr>
          <w:rFonts w:eastAsia="Times New Roman" w:cs="Times New Roman"/>
          <w:kern w:val="0"/>
          <w:lang w:eastAsia="en-GB"/>
          <w14:ligatures w14:val="none"/>
        </w:rPr>
        <w:t xml:space="preserve">Ali, F., </w:t>
      </w:r>
      <w:proofErr w:type="spellStart"/>
      <w:r w:rsidRPr="000E40E9">
        <w:rPr>
          <w:rFonts w:eastAsia="Times New Roman" w:cs="Times New Roman"/>
          <w:kern w:val="0"/>
          <w:lang w:eastAsia="en-GB"/>
          <w14:ligatures w14:val="none"/>
        </w:rPr>
        <w:t>Rasoolimanesh</w:t>
      </w:r>
      <w:proofErr w:type="spellEnd"/>
      <w:r w:rsidRPr="000E40E9">
        <w:rPr>
          <w:rFonts w:eastAsia="Times New Roman" w:cs="Times New Roman"/>
          <w:kern w:val="0"/>
          <w:lang w:eastAsia="en-GB"/>
          <w14:ligatures w14:val="none"/>
        </w:rPr>
        <w:t xml:space="preserve">, S.M., Sarstedt, M., Ringle, C.M. and Ryu, K., 2018. An assessment of the use of partial least squares structural equation modelling (PLS-SEM) in hospitality research. </w:t>
      </w:r>
      <w:r w:rsidRPr="000E40E9">
        <w:rPr>
          <w:rFonts w:eastAsia="Times New Roman" w:cs="Times New Roman"/>
          <w:i/>
          <w:iCs/>
          <w:kern w:val="0"/>
          <w:lang w:eastAsia="en-GB"/>
          <w14:ligatures w14:val="none"/>
        </w:rPr>
        <w:t>International Journal of Contemporary Hospitality Management</w:t>
      </w:r>
      <w:r w:rsidRPr="000E40E9">
        <w:rPr>
          <w:rFonts w:eastAsia="Times New Roman" w:cs="Times New Roman"/>
          <w:kern w:val="0"/>
          <w:lang w:eastAsia="en-GB"/>
          <w14:ligatures w14:val="none"/>
        </w:rPr>
        <w:t>, 30(1), pp.514-538.</w:t>
      </w:r>
    </w:p>
    <w:p w14:paraId="52714ABF" w14:textId="77777777" w:rsidR="000E40E9" w:rsidRPr="000E40E9" w:rsidRDefault="000E40E9" w:rsidP="000E40E9">
      <w:pPr>
        <w:pStyle w:val="ListParagraph"/>
        <w:numPr>
          <w:ilvl w:val="0"/>
          <w:numId w:val="21"/>
        </w:numPr>
        <w:rPr>
          <w:rFonts w:cs="Times New Roman"/>
          <w:lang w:eastAsia="en-GB"/>
        </w:rPr>
      </w:pPr>
      <w:r w:rsidRPr="000E40E9">
        <w:rPr>
          <w:rFonts w:cs="Times New Roman"/>
          <w:lang w:eastAsia="en-GB"/>
        </w:rPr>
        <w:t xml:space="preserve">Booking.com, 2023. </w:t>
      </w:r>
      <w:r w:rsidRPr="000E40E9">
        <w:rPr>
          <w:rFonts w:cs="Times New Roman"/>
          <w:i/>
          <w:iCs/>
          <w:lang w:eastAsia="en-GB"/>
        </w:rPr>
        <w:t>Sustainable Travel Report</w:t>
      </w:r>
      <w:r w:rsidRPr="000E40E9">
        <w:rPr>
          <w:rFonts w:cs="Times New Roman"/>
          <w:lang w:eastAsia="en-GB"/>
        </w:rPr>
        <w:t xml:space="preserve">. [online] Available at: Booking.com, 2023. Sustainable Travel Report. [online] Available at: </w:t>
      </w:r>
      <w:hyperlink r:id="rId11" w:history="1">
        <w:r w:rsidRPr="000E40E9">
          <w:rPr>
            <w:rStyle w:val="Hyperlink"/>
            <w:rFonts w:cs="Times New Roman"/>
            <w:lang w:eastAsia="en-GB"/>
          </w:rPr>
          <w:t>https://globalnews.booking.com/</w:t>
        </w:r>
      </w:hyperlink>
      <w:r w:rsidRPr="000E40E9">
        <w:rPr>
          <w:rFonts w:cs="Times New Roman"/>
          <w:lang w:eastAsia="en-GB"/>
        </w:rPr>
        <w:t xml:space="preserve"> [Accessed 31 May 2025].</w:t>
      </w:r>
    </w:p>
    <w:p w14:paraId="5F4D5B99"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proofErr w:type="spellStart"/>
      <w:r w:rsidRPr="000E40E9">
        <w:rPr>
          <w:rFonts w:eastAsia="Times New Roman" w:cs="Times New Roman"/>
          <w:kern w:val="0"/>
          <w:lang w:eastAsia="en-GB"/>
          <w14:ligatures w14:val="none"/>
        </w:rPr>
        <w:t>Buhalis</w:t>
      </w:r>
      <w:proofErr w:type="spellEnd"/>
      <w:r w:rsidRPr="000E40E9">
        <w:rPr>
          <w:rFonts w:eastAsia="Times New Roman" w:cs="Times New Roman"/>
          <w:kern w:val="0"/>
          <w:lang w:eastAsia="en-GB"/>
          <w14:ligatures w14:val="none"/>
        </w:rPr>
        <w:t>, D. and Leung, R., 2018. Smart hospitality—Interconnectivity and interoperability towards an ecosystem. </w:t>
      </w:r>
      <w:r w:rsidRPr="000E40E9">
        <w:rPr>
          <w:rFonts w:eastAsia="Times New Roman" w:cs="Times New Roman"/>
          <w:i/>
          <w:iCs/>
          <w:kern w:val="0"/>
          <w:lang w:eastAsia="en-GB"/>
          <w14:ligatures w14:val="none"/>
        </w:rPr>
        <w:t>International Journal of Hospitality Management</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71</w:t>
      </w:r>
      <w:r w:rsidRPr="000E40E9">
        <w:rPr>
          <w:rFonts w:eastAsia="Times New Roman" w:cs="Times New Roman"/>
          <w:kern w:val="0"/>
          <w:lang w:eastAsia="en-GB"/>
          <w14:ligatures w14:val="none"/>
        </w:rPr>
        <w:t>, pp.41-50.</w:t>
      </w:r>
    </w:p>
    <w:p w14:paraId="35BFF119"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Burnes, B. (2004). Managing Change: A Strategic Approach to Organizational Dynamics (4th ed.). London: Prentice Hall, Pearson Education.</w:t>
      </w:r>
    </w:p>
    <w:p w14:paraId="1F9110DE"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Buttle, F., Bowie, D., Brookes, M. and </w:t>
      </w:r>
      <w:proofErr w:type="spellStart"/>
      <w:r w:rsidRPr="000E40E9">
        <w:rPr>
          <w:rFonts w:eastAsia="Times New Roman" w:cs="Times New Roman"/>
          <w:kern w:val="0"/>
          <w:lang w:eastAsia="en-GB"/>
          <w14:ligatures w14:val="none"/>
        </w:rPr>
        <w:t>Mariussen</w:t>
      </w:r>
      <w:proofErr w:type="spellEnd"/>
      <w:r w:rsidRPr="000E40E9">
        <w:rPr>
          <w:rFonts w:eastAsia="Times New Roman" w:cs="Times New Roman"/>
          <w:kern w:val="0"/>
          <w:lang w:eastAsia="en-GB"/>
          <w14:ligatures w14:val="none"/>
        </w:rPr>
        <w:t>, A., 2016. </w:t>
      </w:r>
      <w:r w:rsidRPr="000E40E9">
        <w:rPr>
          <w:rFonts w:eastAsia="Times New Roman" w:cs="Times New Roman"/>
          <w:i/>
          <w:iCs/>
          <w:kern w:val="0"/>
          <w:lang w:eastAsia="en-GB"/>
          <w14:ligatures w14:val="none"/>
        </w:rPr>
        <w:t>Hospitality Marketing</w:t>
      </w:r>
      <w:r w:rsidRPr="000E40E9">
        <w:rPr>
          <w:rFonts w:eastAsia="Times New Roman" w:cs="Times New Roman"/>
          <w:kern w:val="0"/>
          <w:lang w:eastAsia="en-GB"/>
          <w14:ligatures w14:val="none"/>
        </w:rPr>
        <w:t>. Routledge.</w:t>
      </w:r>
    </w:p>
    <w:p w14:paraId="1B40E4C0" w14:textId="77777777" w:rsidR="000E40E9" w:rsidRPr="004F7075" w:rsidRDefault="000E40E9" w:rsidP="000E40E9">
      <w:pPr>
        <w:pStyle w:val="NormalWeb"/>
        <w:numPr>
          <w:ilvl w:val="0"/>
          <w:numId w:val="21"/>
        </w:numPr>
        <w:spacing w:line="360" w:lineRule="auto"/>
      </w:pPr>
      <w:r w:rsidRPr="004F7075">
        <w:t xml:space="preserve">Buttrick, R., 2009. </w:t>
      </w:r>
      <w:r w:rsidRPr="004F7075">
        <w:rPr>
          <w:i/>
          <w:iCs/>
        </w:rPr>
        <w:t>The Project Workout: The ultimate handbook of project and programme management</w:t>
      </w:r>
      <w:r w:rsidRPr="004F7075">
        <w:t xml:space="preserve">. Harlow, United Kingdom: Prentice Hall. </w:t>
      </w:r>
    </w:p>
    <w:p w14:paraId="239453E5"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Chen, J., Sloan, P. and Legrand, W., 2010. </w:t>
      </w:r>
      <w:r w:rsidRPr="000E40E9">
        <w:rPr>
          <w:rFonts w:eastAsia="Times New Roman" w:cs="Times New Roman"/>
          <w:i/>
          <w:iCs/>
          <w:kern w:val="0"/>
          <w:lang w:eastAsia="en-GB"/>
          <w14:ligatures w14:val="none"/>
        </w:rPr>
        <w:t>Sustainability in the hospitality industry</w:t>
      </w:r>
      <w:r w:rsidRPr="000E40E9">
        <w:rPr>
          <w:rFonts w:eastAsia="Times New Roman" w:cs="Times New Roman"/>
          <w:kern w:val="0"/>
          <w:lang w:eastAsia="en-GB"/>
          <w14:ligatures w14:val="none"/>
        </w:rPr>
        <w:t>. Routledge.</w:t>
      </w:r>
    </w:p>
    <w:p w14:paraId="0C63503C"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Chopra, L., Verma, R.S. and Mandal, P.C. (2021) ‘Pricing strategies for companies during the COVID-19 pandemic’, International Journal of Business Strategy and Automation, 2(4), pp. 1–19. doi:10.4018/ijbsa.287111. </w:t>
      </w:r>
    </w:p>
    <w:p w14:paraId="5909D1AE"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CIPD, 2023. </w:t>
      </w:r>
      <w:r w:rsidRPr="000E40E9">
        <w:rPr>
          <w:rFonts w:eastAsia="Times New Roman" w:cs="Times New Roman"/>
          <w:i/>
          <w:iCs/>
          <w:kern w:val="0"/>
          <w:lang w:eastAsia="en-GB"/>
          <w14:ligatures w14:val="none"/>
        </w:rPr>
        <w:t>Resourcing and Talent Planning Survey</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CIPD</w:t>
      </w:r>
      <w:r w:rsidRPr="000E40E9">
        <w:rPr>
          <w:rFonts w:eastAsia="Times New Roman" w:cs="Times New Roman"/>
          <w:kern w:val="0"/>
          <w:lang w:eastAsia="en-GB"/>
          <w14:ligatures w14:val="none"/>
        </w:rPr>
        <w:t xml:space="preserve">. Available at: </w:t>
      </w:r>
      <w:hyperlink r:id="rId12" w:history="1">
        <w:r w:rsidRPr="000E40E9">
          <w:rPr>
            <w:rStyle w:val="Hyperlink"/>
            <w:rFonts w:eastAsia="Times New Roman" w:cs="Times New Roman"/>
            <w:kern w:val="0"/>
            <w:lang w:eastAsia="en-GB"/>
            <w14:ligatures w14:val="none"/>
          </w:rPr>
          <w:t>https://www.cipd.org/en/knowledge/reports/resourcing-surveys/</w:t>
        </w:r>
      </w:hyperlink>
      <w:r w:rsidRPr="000E40E9">
        <w:rPr>
          <w:rFonts w:eastAsia="Times New Roman" w:cs="Times New Roman"/>
          <w:kern w:val="0"/>
          <w:lang w:eastAsia="en-GB"/>
          <w14:ligatures w14:val="none"/>
        </w:rPr>
        <w:t xml:space="preserve">  (Accessed: 04 June 2025).</w:t>
      </w:r>
    </w:p>
    <w:p w14:paraId="68BDEFC7"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Deloitte, 2023. </w:t>
      </w:r>
      <w:r w:rsidRPr="000E40E9">
        <w:rPr>
          <w:rFonts w:eastAsia="Times New Roman" w:cs="Times New Roman"/>
          <w:i/>
          <w:iCs/>
          <w:kern w:val="0"/>
          <w:lang w:eastAsia="en-GB"/>
          <w14:ligatures w14:val="none"/>
        </w:rPr>
        <w:t>Marketing &amp; Commerce</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Deloitte</w:t>
      </w:r>
      <w:r w:rsidRPr="000E40E9">
        <w:rPr>
          <w:rFonts w:eastAsia="Times New Roman" w:cs="Times New Roman"/>
          <w:kern w:val="0"/>
          <w:lang w:eastAsia="en-GB"/>
          <w14:ligatures w14:val="none"/>
        </w:rPr>
        <w:t xml:space="preserve">. Available at: </w:t>
      </w:r>
      <w:hyperlink r:id="rId13" w:history="1">
        <w:r w:rsidRPr="000E40E9">
          <w:rPr>
            <w:rStyle w:val="Hyperlink"/>
            <w:rFonts w:eastAsia="Times New Roman" w:cs="Times New Roman"/>
            <w:kern w:val="0"/>
            <w:lang w:eastAsia="en-GB"/>
            <w14:ligatures w14:val="none"/>
          </w:rPr>
          <w:t>https://www.deloitte.com/bd/en/services/consulting/services/advertising-marketing-and-commerce.html</w:t>
        </w:r>
      </w:hyperlink>
      <w:r w:rsidRPr="000E40E9">
        <w:rPr>
          <w:rFonts w:eastAsia="Times New Roman" w:cs="Times New Roman"/>
          <w:kern w:val="0"/>
          <w:lang w:eastAsia="en-GB"/>
          <w14:ligatures w14:val="none"/>
        </w:rPr>
        <w:t xml:space="preserve">  (Accessed: 04 June 2025). </w:t>
      </w:r>
    </w:p>
    <w:p w14:paraId="59A490E4"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Durão, M., Costa, C., Carneiro, M.J. and Segovia-Pérez, M., 2024. Perceptions of Quality of Work Life in Hospitality Jobs: The Role of Interpersonal and Supportive Relations at Work. </w:t>
      </w:r>
      <w:r w:rsidRPr="000E40E9">
        <w:rPr>
          <w:rFonts w:eastAsia="Times New Roman" w:cs="Times New Roman"/>
          <w:i/>
          <w:iCs/>
          <w:kern w:val="0"/>
          <w:lang w:eastAsia="en-GB"/>
          <w14:ligatures w14:val="none"/>
        </w:rPr>
        <w:t>Journal of Tourism, Sustainability and Well-being</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12</w:t>
      </w:r>
      <w:r w:rsidRPr="000E40E9">
        <w:rPr>
          <w:rFonts w:eastAsia="Times New Roman" w:cs="Times New Roman"/>
          <w:kern w:val="0"/>
          <w:lang w:eastAsia="en-GB"/>
          <w14:ligatures w14:val="none"/>
        </w:rPr>
        <w:t>(2), pp.146-166.</w:t>
      </w:r>
    </w:p>
    <w:p w14:paraId="19574E60"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lastRenderedPageBreak/>
        <w:t xml:space="preserve">European Commission, 2023. </w:t>
      </w:r>
      <w:r w:rsidRPr="000E40E9">
        <w:rPr>
          <w:rFonts w:eastAsia="Times New Roman" w:cs="Times New Roman"/>
          <w:i/>
          <w:iCs/>
          <w:kern w:val="0"/>
          <w:lang w:eastAsia="en-GB"/>
          <w14:ligatures w14:val="none"/>
        </w:rPr>
        <w:t>Environmental impact assessment</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Environment</w:t>
      </w:r>
      <w:r w:rsidRPr="000E40E9">
        <w:rPr>
          <w:rFonts w:eastAsia="Times New Roman" w:cs="Times New Roman"/>
          <w:kern w:val="0"/>
          <w:lang w:eastAsia="en-GB"/>
          <w14:ligatures w14:val="none"/>
        </w:rPr>
        <w:t xml:space="preserve">. Available at: </w:t>
      </w:r>
      <w:hyperlink r:id="rId14" w:history="1">
        <w:r w:rsidRPr="000E40E9">
          <w:rPr>
            <w:rStyle w:val="Hyperlink"/>
            <w:rFonts w:eastAsia="Times New Roman" w:cs="Times New Roman"/>
            <w:kern w:val="0"/>
            <w:lang w:eastAsia="en-GB"/>
            <w14:ligatures w14:val="none"/>
          </w:rPr>
          <w:t>https://environment.ec.europa.eu/law-and-governance/environmental-assessments/environmental-impact-assessment_en</w:t>
        </w:r>
      </w:hyperlink>
      <w:r w:rsidRPr="000E40E9">
        <w:rPr>
          <w:rFonts w:eastAsia="Times New Roman" w:cs="Times New Roman"/>
          <w:kern w:val="0"/>
          <w:lang w:eastAsia="en-GB"/>
          <w14:ligatures w14:val="none"/>
        </w:rPr>
        <w:t xml:space="preserve">  (Accessed: 04 June 2025). </w:t>
      </w:r>
    </w:p>
    <w:p w14:paraId="456680A8"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Evans, N., Stonehouse, G. and Campbell, D., 2012. </w:t>
      </w:r>
      <w:r w:rsidRPr="000E40E9">
        <w:rPr>
          <w:rFonts w:eastAsia="Times New Roman" w:cs="Times New Roman"/>
          <w:i/>
          <w:iCs/>
          <w:kern w:val="0"/>
          <w:lang w:eastAsia="en-GB"/>
          <w14:ligatures w14:val="none"/>
        </w:rPr>
        <w:t>Strategic management for travel and tourism</w:t>
      </w:r>
      <w:r w:rsidRPr="000E40E9">
        <w:rPr>
          <w:rFonts w:eastAsia="Times New Roman" w:cs="Times New Roman"/>
          <w:kern w:val="0"/>
          <w:lang w:eastAsia="en-GB"/>
          <w14:ligatures w14:val="none"/>
        </w:rPr>
        <w:t>. Taylor &amp; Francis.</w:t>
      </w:r>
    </w:p>
    <w:p w14:paraId="0862875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Fauzi, M.A., Han, H., Loureiro, S.M.C., Ariza-Montes, A. and Wider, W., 2025. Bibliometric analysis on green hotels: past, present and future trends. </w:t>
      </w:r>
      <w:r w:rsidRPr="000E40E9">
        <w:rPr>
          <w:rFonts w:eastAsia="Times New Roman" w:cs="Times New Roman"/>
          <w:i/>
          <w:iCs/>
          <w:kern w:val="0"/>
          <w:lang w:eastAsia="en-GB"/>
          <w14:ligatures w14:val="none"/>
        </w:rPr>
        <w:t>Journal of Hospitality and Tourism Insights</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8</w:t>
      </w:r>
      <w:r w:rsidRPr="000E40E9">
        <w:rPr>
          <w:rFonts w:eastAsia="Times New Roman" w:cs="Times New Roman"/>
          <w:kern w:val="0"/>
          <w:lang w:eastAsia="en-GB"/>
          <w14:ligatures w14:val="none"/>
        </w:rPr>
        <w:t>(1), pp.241-262.</w:t>
      </w:r>
    </w:p>
    <w:p w14:paraId="46EE29E8"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Fletcher, J., Fyall, A., Gilbert, D. and </w:t>
      </w:r>
      <w:proofErr w:type="spellStart"/>
      <w:r w:rsidRPr="000E40E9">
        <w:rPr>
          <w:rFonts w:eastAsia="Times New Roman" w:cs="Times New Roman"/>
          <w:kern w:val="0"/>
          <w:lang w:eastAsia="en-GB"/>
          <w14:ligatures w14:val="none"/>
        </w:rPr>
        <w:t>Wanhill</w:t>
      </w:r>
      <w:proofErr w:type="spellEnd"/>
      <w:r w:rsidRPr="000E40E9">
        <w:rPr>
          <w:rFonts w:eastAsia="Times New Roman" w:cs="Times New Roman"/>
          <w:kern w:val="0"/>
          <w:lang w:eastAsia="en-GB"/>
          <w14:ligatures w14:val="none"/>
        </w:rPr>
        <w:t>, S., 2018. Tourism: principles and practice.</w:t>
      </w:r>
    </w:p>
    <w:p w14:paraId="39CA904F"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proofErr w:type="spellStart"/>
      <w:r w:rsidRPr="000E40E9">
        <w:rPr>
          <w:rFonts w:eastAsia="Times New Roman" w:cs="Times New Roman"/>
          <w:kern w:val="0"/>
          <w:lang w:eastAsia="en-GB"/>
          <w14:ligatures w14:val="none"/>
        </w:rPr>
        <w:t>Gebbels</w:t>
      </w:r>
      <w:proofErr w:type="spellEnd"/>
      <w:r w:rsidRPr="000E40E9">
        <w:rPr>
          <w:rFonts w:eastAsia="Times New Roman" w:cs="Times New Roman"/>
          <w:kern w:val="0"/>
          <w:lang w:eastAsia="en-GB"/>
          <w14:ligatures w14:val="none"/>
        </w:rPr>
        <w:t xml:space="preserve">, M., Pantelidis, I.S. and Goss-Turner, S., 2019. Towards a </w:t>
      </w:r>
      <w:proofErr w:type="spellStart"/>
      <w:r w:rsidRPr="000E40E9">
        <w:rPr>
          <w:rFonts w:eastAsia="Times New Roman" w:cs="Times New Roman"/>
          <w:kern w:val="0"/>
          <w:lang w:eastAsia="en-GB"/>
          <w14:ligatures w14:val="none"/>
        </w:rPr>
        <w:t>personology</w:t>
      </w:r>
      <w:proofErr w:type="spellEnd"/>
      <w:r w:rsidRPr="000E40E9">
        <w:rPr>
          <w:rFonts w:eastAsia="Times New Roman" w:cs="Times New Roman"/>
          <w:kern w:val="0"/>
          <w:lang w:eastAsia="en-GB"/>
          <w14:ligatures w14:val="none"/>
        </w:rPr>
        <w:t xml:space="preserve"> of a hospitality professional. </w:t>
      </w:r>
      <w:r w:rsidRPr="000E40E9">
        <w:rPr>
          <w:rFonts w:eastAsia="Times New Roman" w:cs="Times New Roman"/>
          <w:i/>
          <w:iCs/>
          <w:kern w:val="0"/>
          <w:lang w:eastAsia="en-GB"/>
          <w14:ligatures w14:val="none"/>
        </w:rPr>
        <w:t>Hospitality &amp; Society</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9</w:t>
      </w:r>
      <w:r w:rsidRPr="000E40E9">
        <w:rPr>
          <w:rFonts w:eastAsia="Times New Roman" w:cs="Times New Roman"/>
          <w:kern w:val="0"/>
          <w:lang w:eastAsia="en-GB"/>
          <w14:ligatures w14:val="none"/>
        </w:rPr>
        <w:t>(2), pp.215-236.</w:t>
      </w:r>
    </w:p>
    <w:p w14:paraId="2B0EF72C"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Green Key Global, 2024. </w:t>
      </w:r>
      <w:r w:rsidRPr="000E40E9">
        <w:rPr>
          <w:rFonts w:eastAsia="Times New Roman" w:cs="Times New Roman"/>
          <w:i/>
          <w:iCs/>
          <w:kern w:val="0"/>
          <w:lang w:eastAsia="en-GB"/>
          <w14:ligatures w14:val="none"/>
        </w:rPr>
        <w:t>Certification Standards</w:t>
      </w:r>
      <w:r w:rsidRPr="000E40E9">
        <w:rPr>
          <w:rFonts w:eastAsia="Times New Roman" w:cs="Times New Roman"/>
          <w:kern w:val="0"/>
          <w:lang w:eastAsia="en-GB"/>
          <w14:ligatures w14:val="none"/>
        </w:rPr>
        <w:t xml:space="preserve">. [online] Available at: </w:t>
      </w:r>
      <w:hyperlink r:id="rId15" w:history="1">
        <w:r w:rsidRPr="000E40E9">
          <w:rPr>
            <w:rStyle w:val="Hyperlink"/>
            <w:rFonts w:eastAsia="Times New Roman" w:cs="Times New Roman"/>
            <w:kern w:val="0"/>
            <w:lang w:eastAsia="en-GB"/>
            <w14:ligatures w14:val="none"/>
          </w:rPr>
          <w:t>https://www.greenkey.global/criteria</w:t>
        </w:r>
      </w:hyperlink>
      <w:r w:rsidRPr="000E40E9">
        <w:rPr>
          <w:rFonts w:eastAsia="Times New Roman" w:cs="Times New Roman"/>
          <w:kern w:val="0"/>
          <w:lang w:eastAsia="en-GB"/>
          <w14:ligatures w14:val="none"/>
        </w:rPr>
        <w:t xml:space="preserve"> [Accessed 31 May 2025].</w:t>
      </w:r>
    </w:p>
    <w:p w14:paraId="782D2FF8"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Harvard Business Review, 2025. </w:t>
      </w:r>
      <w:r w:rsidRPr="000E40E9">
        <w:rPr>
          <w:rFonts w:eastAsia="Times New Roman" w:cs="Times New Roman"/>
          <w:i/>
          <w:iCs/>
          <w:kern w:val="0"/>
          <w:lang w:eastAsia="en-GB"/>
          <w14:ligatures w14:val="none"/>
        </w:rPr>
        <w:t>Navigating the hybrid work dilemma</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Harvard Business Review</w:t>
      </w:r>
      <w:r w:rsidRPr="000E40E9">
        <w:rPr>
          <w:rFonts w:eastAsia="Times New Roman" w:cs="Times New Roman"/>
          <w:kern w:val="0"/>
          <w:lang w:eastAsia="en-GB"/>
          <w14:ligatures w14:val="none"/>
        </w:rPr>
        <w:t xml:space="preserve">. Available at: </w:t>
      </w:r>
      <w:hyperlink r:id="rId16" w:history="1">
        <w:r w:rsidRPr="000E40E9">
          <w:rPr>
            <w:rStyle w:val="Hyperlink"/>
            <w:rFonts w:eastAsia="Times New Roman" w:cs="Times New Roman"/>
            <w:kern w:val="0"/>
            <w:lang w:eastAsia="en-GB"/>
            <w14:ligatures w14:val="none"/>
          </w:rPr>
          <w:t>https://hbr.org/podcast/2025/04/navigating-the-hybrid-work-dilemma</w:t>
        </w:r>
      </w:hyperlink>
      <w:r w:rsidRPr="000E40E9">
        <w:rPr>
          <w:rFonts w:eastAsia="Times New Roman" w:cs="Times New Roman"/>
          <w:kern w:val="0"/>
          <w:lang w:eastAsia="en-GB"/>
          <w14:ligatures w14:val="none"/>
        </w:rPr>
        <w:t xml:space="preserve">  (Accessed: 04 June 2025). </w:t>
      </w:r>
    </w:p>
    <w:p w14:paraId="789626E4"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Hayes, D.K., </w:t>
      </w:r>
      <w:proofErr w:type="spellStart"/>
      <w:r w:rsidRPr="000E40E9">
        <w:rPr>
          <w:rFonts w:eastAsia="Times New Roman" w:cs="Times New Roman"/>
          <w:kern w:val="0"/>
          <w:lang w:eastAsia="en-GB"/>
          <w14:ligatures w14:val="none"/>
        </w:rPr>
        <w:t>Ninemeier</w:t>
      </w:r>
      <w:proofErr w:type="spellEnd"/>
      <w:r w:rsidRPr="000E40E9">
        <w:rPr>
          <w:rFonts w:eastAsia="Times New Roman" w:cs="Times New Roman"/>
          <w:kern w:val="0"/>
          <w:lang w:eastAsia="en-GB"/>
          <w14:ligatures w14:val="none"/>
        </w:rPr>
        <w:t>, J.D. and Miller, A.A., 2017. </w:t>
      </w:r>
      <w:r w:rsidRPr="000E40E9">
        <w:rPr>
          <w:rFonts w:eastAsia="Times New Roman" w:cs="Times New Roman"/>
          <w:i/>
          <w:iCs/>
          <w:kern w:val="0"/>
          <w:lang w:eastAsia="en-GB"/>
          <w14:ligatures w14:val="none"/>
        </w:rPr>
        <w:t>Hotel operations management</w:t>
      </w:r>
      <w:r w:rsidRPr="000E40E9">
        <w:rPr>
          <w:rFonts w:eastAsia="Times New Roman" w:cs="Times New Roman"/>
          <w:kern w:val="0"/>
          <w:lang w:eastAsia="en-GB"/>
          <w14:ligatures w14:val="none"/>
        </w:rPr>
        <w:t>. Pearson.</w:t>
      </w:r>
    </w:p>
    <w:p w14:paraId="335EE4F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Hilton, 2024. </w:t>
      </w:r>
      <w:r w:rsidRPr="000E40E9">
        <w:rPr>
          <w:rFonts w:eastAsia="Times New Roman" w:cs="Times New Roman"/>
          <w:i/>
          <w:iCs/>
          <w:kern w:val="0"/>
          <w:lang w:eastAsia="en-GB"/>
          <w14:ligatures w14:val="none"/>
        </w:rPr>
        <w:t>2023 Travel with Purpose Report.</w:t>
      </w:r>
      <w:r w:rsidRPr="000E40E9">
        <w:rPr>
          <w:rFonts w:eastAsia="Times New Roman" w:cs="Times New Roman"/>
          <w:kern w:val="0"/>
          <w:lang w:eastAsia="en-GB"/>
          <w14:ligatures w14:val="none"/>
        </w:rPr>
        <w:t xml:space="preserve"> Hilton Worldwide Holdings Inc. Available at: </w:t>
      </w:r>
      <w:hyperlink r:id="rId17" w:history="1">
        <w:r w:rsidRPr="000E40E9">
          <w:rPr>
            <w:rStyle w:val="Hyperlink"/>
            <w:rFonts w:eastAsia="Times New Roman" w:cs="Times New Roman"/>
            <w:kern w:val="0"/>
            <w:lang w:eastAsia="en-GB"/>
            <w14:ligatures w14:val="none"/>
          </w:rPr>
          <w:t>https://esg.hilton.com/wp-content/uploads/sites/4/2024/05/2023-Travel-with-Purpose-Report-ADA-final.pdf</w:t>
        </w:r>
      </w:hyperlink>
      <w:r w:rsidRPr="000E40E9">
        <w:rPr>
          <w:rFonts w:eastAsia="Times New Roman" w:cs="Times New Roman"/>
          <w:kern w:val="0"/>
          <w:lang w:eastAsia="en-GB"/>
          <w14:ligatures w14:val="none"/>
        </w:rPr>
        <w:t xml:space="preserve"> (Accessed: 4 June 2025).</w:t>
      </w:r>
    </w:p>
    <w:p w14:paraId="5A821C50"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Holloway, J.C. and Humphreys, C., 2022. </w:t>
      </w:r>
      <w:r w:rsidRPr="000E40E9">
        <w:rPr>
          <w:rFonts w:eastAsia="Times New Roman" w:cs="Times New Roman"/>
          <w:i/>
          <w:iCs/>
          <w:kern w:val="0"/>
          <w:lang w:eastAsia="en-GB"/>
          <w14:ligatures w14:val="none"/>
        </w:rPr>
        <w:t>The Business of Tourism</w:t>
      </w:r>
      <w:r w:rsidRPr="000E40E9">
        <w:rPr>
          <w:rFonts w:eastAsia="Times New Roman" w:cs="Times New Roman"/>
          <w:kern w:val="0"/>
          <w:lang w:eastAsia="en-GB"/>
          <w14:ligatures w14:val="none"/>
        </w:rPr>
        <w:t>. SAGE.</w:t>
      </w:r>
    </w:p>
    <w:p w14:paraId="4C850154"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Hotel Management Network, 2024. </w:t>
      </w:r>
      <w:r w:rsidRPr="000E40E9">
        <w:rPr>
          <w:rFonts w:eastAsia="Times New Roman" w:cs="Times New Roman"/>
          <w:i/>
          <w:iCs/>
          <w:kern w:val="0"/>
          <w:lang w:eastAsia="en-GB"/>
          <w14:ligatures w14:val="none"/>
        </w:rPr>
        <w:t>Hotel occupancy levels rise across the UK</w:t>
      </w:r>
      <w:r w:rsidRPr="000E40E9">
        <w:rPr>
          <w:rFonts w:eastAsia="Times New Roman" w:cs="Times New Roman"/>
          <w:kern w:val="0"/>
          <w:lang w:eastAsia="en-GB"/>
          <w14:ligatures w14:val="none"/>
        </w:rPr>
        <w:t xml:space="preserve">. [online] Available at: </w:t>
      </w:r>
      <w:hyperlink r:id="rId18" w:history="1">
        <w:r w:rsidRPr="000E40E9">
          <w:rPr>
            <w:rStyle w:val="Hyperlink"/>
            <w:rFonts w:eastAsia="Times New Roman" w:cs="Times New Roman"/>
            <w:kern w:val="0"/>
            <w:lang w:eastAsia="en-GB"/>
            <w14:ligatures w14:val="none"/>
          </w:rPr>
          <w:t>https://www.hotelmanagement-network.com</w:t>
        </w:r>
      </w:hyperlink>
      <w:r w:rsidRPr="000E40E9">
        <w:rPr>
          <w:rFonts w:eastAsia="Times New Roman" w:cs="Times New Roman"/>
          <w:kern w:val="0"/>
          <w:lang w:eastAsia="en-GB"/>
          <w14:ligatures w14:val="none"/>
        </w:rPr>
        <w:t xml:space="preserve"> [Accessed 1 Jun 2025].</w:t>
      </w:r>
    </w:p>
    <w:p w14:paraId="2590CC4F"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Hvs, 2025. </w:t>
      </w:r>
      <w:r w:rsidRPr="000E40E9">
        <w:rPr>
          <w:rFonts w:eastAsia="Times New Roman" w:cs="Times New Roman"/>
          <w:i/>
          <w:iCs/>
          <w:kern w:val="0"/>
          <w:lang w:eastAsia="en-GB"/>
          <w14:ligatures w14:val="none"/>
        </w:rPr>
        <w:t>Albuquerque hotels bolstered by market expansion and Urban Development</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Hospitality Net</w:t>
      </w:r>
      <w:r w:rsidRPr="000E40E9">
        <w:rPr>
          <w:rFonts w:eastAsia="Times New Roman" w:cs="Times New Roman"/>
          <w:kern w:val="0"/>
          <w:lang w:eastAsia="en-GB"/>
          <w14:ligatures w14:val="none"/>
        </w:rPr>
        <w:t xml:space="preserve">. Available at: </w:t>
      </w:r>
      <w:hyperlink r:id="rId19" w:history="1">
        <w:r w:rsidRPr="000E40E9">
          <w:rPr>
            <w:rStyle w:val="Hyperlink"/>
            <w:rFonts w:eastAsia="Times New Roman" w:cs="Times New Roman"/>
            <w:kern w:val="0"/>
            <w:lang w:eastAsia="en-GB"/>
            <w14:ligatures w14:val="none"/>
          </w:rPr>
          <w:t>https://www.hospitalitynet.org/news/4126774.html</w:t>
        </w:r>
      </w:hyperlink>
      <w:r w:rsidRPr="000E40E9">
        <w:rPr>
          <w:rFonts w:eastAsia="Times New Roman" w:cs="Times New Roman"/>
          <w:kern w:val="0"/>
          <w:lang w:eastAsia="en-GB"/>
          <w14:ligatures w14:val="none"/>
        </w:rPr>
        <w:t xml:space="preserve">  (Accessed: 04 June 2025).</w:t>
      </w:r>
    </w:p>
    <w:p w14:paraId="3EFAAF8B"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Hyatt Hotels Corporation, 2024. </w:t>
      </w:r>
      <w:r w:rsidRPr="000E40E9">
        <w:rPr>
          <w:rFonts w:eastAsia="Times New Roman" w:cs="Times New Roman"/>
          <w:i/>
          <w:iCs/>
          <w:kern w:val="0"/>
          <w:lang w:eastAsia="en-GB"/>
          <w14:ligatures w14:val="none"/>
        </w:rPr>
        <w:t>Hyatt Reports Fourth Quarter and Full Year 2023 Results</w:t>
      </w:r>
      <w:r w:rsidRPr="000E40E9">
        <w:rPr>
          <w:rFonts w:eastAsia="Times New Roman" w:cs="Times New Roman"/>
          <w:kern w:val="0"/>
          <w:lang w:eastAsia="en-GB"/>
          <w14:ligatures w14:val="none"/>
        </w:rPr>
        <w:t xml:space="preserve">. [online] Available at: </w:t>
      </w:r>
      <w:hyperlink r:id="rId20" w:history="1">
        <w:r w:rsidRPr="000E40E9">
          <w:rPr>
            <w:rStyle w:val="Hyperlink"/>
            <w:rFonts w:eastAsia="Times New Roman" w:cs="Times New Roman"/>
            <w:kern w:val="0"/>
            <w:lang w:eastAsia="en-GB"/>
            <w14:ligatures w14:val="none"/>
          </w:rPr>
          <w:t>https://investors.hyatt.com</w:t>
        </w:r>
      </w:hyperlink>
      <w:r w:rsidRPr="000E40E9">
        <w:rPr>
          <w:rFonts w:eastAsia="Times New Roman" w:cs="Times New Roman"/>
          <w:kern w:val="0"/>
          <w:lang w:eastAsia="en-GB"/>
          <w14:ligatures w14:val="none"/>
        </w:rPr>
        <w:t xml:space="preserve"> [Accessed 1 Jun 2025].</w:t>
      </w:r>
    </w:p>
    <w:p w14:paraId="322D2DDB" w14:textId="77777777" w:rsidR="000E40E9" w:rsidRPr="000E40E9" w:rsidRDefault="000E40E9" w:rsidP="000E40E9">
      <w:pPr>
        <w:pStyle w:val="ListParagraph"/>
        <w:numPr>
          <w:ilvl w:val="0"/>
          <w:numId w:val="21"/>
        </w:numPr>
        <w:rPr>
          <w:rFonts w:cs="Times New Roman"/>
        </w:rPr>
      </w:pPr>
      <w:r w:rsidRPr="000E40E9">
        <w:rPr>
          <w:rFonts w:cs="Times New Roman"/>
        </w:rPr>
        <w:t xml:space="preserve">Hyatt, 2024. </w:t>
      </w:r>
      <w:r w:rsidRPr="000E40E9">
        <w:rPr>
          <w:rFonts w:cs="Times New Roman"/>
          <w:i/>
          <w:iCs/>
        </w:rPr>
        <w:t>Hyatt reports fourth quarter and full year 2023 results</w:t>
      </w:r>
      <w:r w:rsidRPr="000E40E9">
        <w:rPr>
          <w:rFonts w:cs="Times New Roman"/>
        </w:rPr>
        <w:t xml:space="preserve">, </w:t>
      </w:r>
      <w:r w:rsidRPr="000E40E9">
        <w:rPr>
          <w:rFonts w:cs="Times New Roman"/>
          <w:i/>
          <w:iCs/>
        </w:rPr>
        <w:t>Hyatt Newsroom</w:t>
      </w:r>
      <w:r w:rsidRPr="000E40E9">
        <w:rPr>
          <w:rFonts w:cs="Times New Roman"/>
        </w:rPr>
        <w:t xml:space="preserve">. Available at: </w:t>
      </w:r>
      <w:hyperlink r:id="rId21" w:anchor=":~:text=net%20rooms%20growth.-,Comparable%20system%2Dwide%20RevPAR%20increased%209.1%25%20in%20the%20fourth%20quarter,demand%20in%20the%20United%20States" w:history="1">
        <w:r w:rsidRPr="000E40E9">
          <w:rPr>
            <w:rStyle w:val="Hyperlink"/>
            <w:rFonts w:cs="Times New Roman"/>
          </w:rPr>
          <w:t>https://newsroom.hyatt.com/2023-fourth-quarter-and-full-year-earnings#:~:text=net%20rooms%20growth.-,Comparable%20system%2Dwide%20RevPAR%20increased%209.1%25%20in%20t</w:t>
        </w:r>
        <w:r w:rsidRPr="000E40E9">
          <w:rPr>
            <w:rStyle w:val="Hyperlink"/>
            <w:rFonts w:cs="Times New Roman"/>
          </w:rPr>
          <w:lastRenderedPageBreak/>
          <w:t>he%20fourth%20quarter,demand%20in%20the%20United%20States</w:t>
        </w:r>
      </w:hyperlink>
      <w:r w:rsidRPr="000E40E9">
        <w:rPr>
          <w:rFonts w:cs="Times New Roman"/>
        </w:rPr>
        <w:t xml:space="preserve">.  (Accessed: 04 June 2025). </w:t>
      </w:r>
    </w:p>
    <w:p w14:paraId="0A44F38B"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Johnson, M., 2005. </w:t>
      </w:r>
      <w:r w:rsidRPr="000E40E9">
        <w:rPr>
          <w:rFonts w:eastAsia="Times New Roman" w:cs="Times New Roman"/>
          <w:i/>
          <w:iCs/>
          <w:kern w:val="0"/>
          <w:lang w:eastAsia="en-GB"/>
          <w14:ligatures w14:val="none"/>
        </w:rPr>
        <w:t>The independent consultant's survival guide: Starting up and succeeding as a self-employed consultant</w:t>
      </w:r>
      <w:r w:rsidRPr="000E40E9">
        <w:rPr>
          <w:rFonts w:eastAsia="Times New Roman" w:cs="Times New Roman"/>
          <w:kern w:val="0"/>
          <w:lang w:eastAsia="en-GB"/>
          <w14:ligatures w14:val="none"/>
        </w:rPr>
        <w:t>. CIPD-Kogan Page.</w:t>
      </w:r>
    </w:p>
    <w:p w14:paraId="123FCBD4"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proofErr w:type="spellStart"/>
      <w:r w:rsidRPr="000E40E9">
        <w:rPr>
          <w:rFonts w:eastAsia="Times New Roman" w:cs="Times New Roman"/>
          <w:kern w:val="0"/>
          <w:lang w:eastAsia="en-GB"/>
          <w14:ligatures w14:val="none"/>
        </w:rPr>
        <w:t>Kilincarslan</w:t>
      </w:r>
      <w:proofErr w:type="spellEnd"/>
      <w:r w:rsidRPr="000E40E9">
        <w:rPr>
          <w:rFonts w:eastAsia="Times New Roman" w:cs="Times New Roman"/>
          <w:kern w:val="0"/>
          <w:lang w:eastAsia="en-GB"/>
          <w14:ligatures w14:val="none"/>
        </w:rPr>
        <w:t xml:space="preserve">, E. and </w:t>
      </w:r>
      <w:proofErr w:type="spellStart"/>
      <w:r w:rsidRPr="000E40E9">
        <w:rPr>
          <w:rFonts w:eastAsia="Times New Roman" w:cs="Times New Roman"/>
          <w:kern w:val="0"/>
          <w:lang w:eastAsia="en-GB"/>
          <w14:ligatures w14:val="none"/>
        </w:rPr>
        <w:t>Demiralay</w:t>
      </w:r>
      <w:proofErr w:type="spellEnd"/>
      <w:r w:rsidRPr="000E40E9">
        <w:rPr>
          <w:rFonts w:eastAsia="Times New Roman" w:cs="Times New Roman"/>
          <w:kern w:val="0"/>
          <w:lang w:eastAsia="en-GB"/>
          <w14:ligatures w14:val="none"/>
        </w:rPr>
        <w:t>, S., 2021. Dividend policies of travel and leisure firms in the UK. International Journal of Accounting &amp; Information Management, 29(2), pp.324-344.</w:t>
      </w:r>
    </w:p>
    <w:p w14:paraId="347B3D90"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Kipping, M. and Clark, T. eds., 2012. </w:t>
      </w:r>
      <w:r w:rsidRPr="000E40E9">
        <w:rPr>
          <w:rFonts w:eastAsia="Times New Roman" w:cs="Times New Roman"/>
          <w:i/>
          <w:iCs/>
          <w:kern w:val="0"/>
          <w:lang w:eastAsia="en-GB"/>
          <w14:ligatures w14:val="none"/>
        </w:rPr>
        <w:t>The Oxford handbook of management consulting</w:t>
      </w:r>
      <w:r w:rsidRPr="000E40E9">
        <w:rPr>
          <w:rFonts w:eastAsia="Times New Roman" w:cs="Times New Roman"/>
          <w:kern w:val="0"/>
          <w:lang w:eastAsia="en-GB"/>
          <w14:ligatures w14:val="none"/>
        </w:rPr>
        <w:t>. OUP Oxford.</w:t>
      </w:r>
    </w:p>
    <w:p w14:paraId="76F583F8"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Knight Frank. (2023). </w:t>
      </w:r>
      <w:r w:rsidRPr="000E40E9">
        <w:rPr>
          <w:rFonts w:eastAsia="Times New Roman" w:cs="Times New Roman"/>
          <w:i/>
          <w:iCs/>
          <w:kern w:val="0"/>
          <w:lang w:eastAsia="en-GB"/>
          <w14:ligatures w14:val="none"/>
        </w:rPr>
        <w:t>UK Hotel Trading Performance Review 2023</w:t>
      </w:r>
      <w:r w:rsidRPr="000E40E9">
        <w:rPr>
          <w:rFonts w:eastAsia="Times New Roman" w:cs="Times New Roman"/>
          <w:kern w:val="0"/>
          <w:lang w:eastAsia="en-GB"/>
          <w14:ligatures w14:val="none"/>
        </w:rPr>
        <w:t xml:space="preserve">. [online] Available at: </w:t>
      </w:r>
      <w:hyperlink r:id="rId22" w:history="1">
        <w:r w:rsidRPr="000E40E9">
          <w:rPr>
            <w:rStyle w:val="Hyperlink"/>
            <w:rFonts w:eastAsia="Times New Roman" w:cs="Times New Roman"/>
            <w:kern w:val="0"/>
            <w:lang w:eastAsia="en-GB"/>
            <w14:ligatures w14:val="none"/>
          </w:rPr>
          <w:t>https://www.knightfrank.com</w:t>
        </w:r>
      </w:hyperlink>
      <w:r w:rsidRPr="000E40E9">
        <w:rPr>
          <w:rFonts w:eastAsia="Times New Roman" w:cs="Times New Roman"/>
          <w:kern w:val="0"/>
          <w:lang w:eastAsia="en-GB"/>
          <w14:ligatures w14:val="none"/>
        </w:rPr>
        <w:t xml:space="preserve"> [Accessed 1 Jun 2025].</w:t>
      </w:r>
    </w:p>
    <w:p w14:paraId="43D4A5F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Laig, R.B.D. and </w:t>
      </w:r>
      <w:proofErr w:type="spellStart"/>
      <w:r w:rsidRPr="000E40E9">
        <w:rPr>
          <w:rFonts w:eastAsia="Times New Roman" w:cs="Times New Roman"/>
          <w:kern w:val="0"/>
          <w:lang w:eastAsia="en-GB"/>
          <w14:ligatures w14:val="none"/>
        </w:rPr>
        <w:t>Abocejo</w:t>
      </w:r>
      <w:proofErr w:type="spellEnd"/>
      <w:r w:rsidRPr="000E40E9">
        <w:rPr>
          <w:rFonts w:eastAsia="Times New Roman" w:cs="Times New Roman"/>
          <w:kern w:val="0"/>
          <w:lang w:eastAsia="en-GB"/>
          <w14:ligatures w14:val="none"/>
        </w:rPr>
        <w:t>, F.T., 2021. Change management process in a mining company: Kotter’s 8-step change model. </w:t>
      </w:r>
      <w:r w:rsidRPr="000E40E9">
        <w:rPr>
          <w:rFonts w:eastAsia="Times New Roman" w:cs="Times New Roman"/>
          <w:i/>
          <w:iCs/>
          <w:kern w:val="0"/>
          <w:lang w:eastAsia="en-GB"/>
          <w14:ligatures w14:val="none"/>
        </w:rPr>
        <w:t>Journal of Management, Economics, and Industrial Organization</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5</w:t>
      </w:r>
      <w:r w:rsidRPr="000E40E9">
        <w:rPr>
          <w:rFonts w:eastAsia="Times New Roman" w:cs="Times New Roman"/>
          <w:kern w:val="0"/>
          <w:lang w:eastAsia="en-GB"/>
          <w14:ligatures w14:val="none"/>
        </w:rPr>
        <w:t>(3), pp.31-50.</w:t>
      </w:r>
    </w:p>
    <w:p w14:paraId="4FEF217C"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Lee, J. and Ok, C.M., 2016. Hotel employee work engagement and its consequences. </w:t>
      </w:r>
      <w:r w:rsidRPr="000E40E9">
        <w:rPr>
          <w:rFonts w:eastAsia="Times New Roman" w:cs="Times New Roman"/>
          <w:i/>
          <w:iCs/>
          <w:kern w:val="0"/>
          <w:lang w:eastAsia="en-GB"/>
          <w14:ligatures w14:val="none"/>
        </w:rPr>
        <w:t>Journal of Hospitality Marketing &amp; Management</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25</w:t>
      </w:r>
      <w:r w:rsidRPr="000E40E9">
        <w:rPr>
          <w:rFonts w:eastAsia="Times New Roman" w:cs="Times New Roman"/>
          <w:kern w:val="0"/>
          <w:lang w:eastAsia="en-GB"/>
          <w14:ligatures w14:val="none"/>
        </w:rPr>
        <w:t>(2), pp.133-166.</w:t>
      </w:r>
    </w:p>
    <w:p w14:paraId="23E47375"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Li, X. and Liu, T., 2020. Drivers and barriers of event greening–an Asian perspective. </w:t>
      </w:r>
      <w:r w:rsidRPr="000E40E9">
        <w:rPr>
          <w:rFonts w:eastAsia="Times New Roman" w:cs="Times New Roman"/>
          <w:i/>
          <w:iCs/>
          <w:kern w:val="0"/>
          <w:lang w:eastAsia="en-GB"/>
          <w14:ligatures w14:val="none"/>
        </w:rPr>
        <w:t>Current Issues in Tourism</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23</w:t>
      </w:r>
      <w:r w:rsidRPr="000E40E9">
        <w:rPr>
          <w:rFonts w:eastAsia="Times New Roman" w:cs="Times New Roman"/>
          <w:kern w:val="0"/>
          <w:lang w:eastAsia="en-GB"/>
          <w14:ligatures w14:val="none"/>
        </w:rPr>
        <w:t>(15), pp.1933-1947.</w:t>
      </w:r>
    </w:p>
    <w:p w14:paraId="0E2E0814"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Lockwood, A. ed., 2007. </w:t>
      </w:r>
      <w:r w:rsidRPr="000E40E9">
        <w:rPr>
          <w:rFonts w:eastAsia="Times New Roman" w:cs="Times New Roman"/>
          <w:i/>
          <w:iCs/>
          <w:kern w:val="0"/>
          <w:lang w:eastAsia="en-GB"/>
          <w14:ligatures w14:val="none"/>
        </w:rPr>
        <w:t>Tourism and Hospitality in the 21st Century</w:t>
      </w:r>
      <w:r w:rsidRPr="000E40E9">
        <w:rPr>
          <w:rFonts w:eastAsia="Times New Roman" w:cs="Times New Roman"/>
          <w:kern w:val="0"/>
          <w:lang w:eastAsia="en-GB"/>
          <w14:ligatures w14:val="none"/>
        </w:rPr>
        <w:t>. Routledge.</w:t>
      </w:r>
    </w:p>
    <w:p w14:paraId="16F8A010"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Marshall, K., 2023. </w:t>
      </w:r>
      <w:r w:rsidRPr="000E40E9">
        <w:rPr>
          <w:rFonts w:eastAsia="Times New Roman" w:cs="Times New Roman"/>
          <w:i/>
          <w:iCs/>
          <w:kern w:val="0"/>
          <w:lang w:eastAsia="en-GB"/>
          <w14:ligatures w14:val="none"/>
        </w:rPr>
        <w:t>Most recent grads would reconsider what they studied for Better Roi</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Investopedia</w:t>
      </w:r>
      <w:r w:rsidRPr="000E40E9">
        <w:rPr>
          <w:rFonts w:eastAsia="Times New Roman" w:cs="Times New Roman"/>
          <w:kern w:val="0"/>
          <w:lang w:eastAsia="en-GB"/>
          <w14:ligatures w14:val="none"/>
        </w:rPr>
        <w:t xml:space="preserve">. Available at: </w:t>
      </w:r>
      <w:hyperlink r:id="rId23" w:history="1">
        <w:r w:rsidRPr="000E40E9">
          <w:rPr>
            <w:rStyle w:val="Hyperlink"/>
            <w:rFonts w:eastAsia="Times New Roman" w:cs="Times New Roman"/>
            <w:kern w:val="0"/>
            <w:lang w:eastAsia="en-GB"/>
            <w14:ligatures w14:val="none"/>
          </w:rPr>
          <w:t>https://www.investopedia.com/most-recent-grads-would-reconsider-what-they-studied-for-better-roi-7570453</w:t>
        </w:r>
      </w:hyperlink>
      <w:r w:rsidRPr="000E40E9">
        <w:rPr>
          <w:rFonts w:eastAsia="Times New Roman" w:cs="Times New Roman"/>
          <w:kern w:val="0"/>
          <w:lang w:eastAsia="en-GB"/>
          <w14:ligatures w14:val="none"/>
        </w:rPr>
        <w:t xml:space="preserve">  (Accessed: 04 June 2025).</w:t>
      </w:r>
    </w:p>
    <w:p w14:paraId="5B21538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McKinsey &amp; Company, 2023. </w:t>
      </w:r>
      <w:r w:rsidRPr="000E40E9">
        <w:rPr>
          <w:rFonts w:eastAsia="Times New Roman" w:cs="Times New Roman"/>
          <w:i/>
          <w:iCs/>
          <w:kern w:val="0"/>
          <w:lang w:eastAsia="en-GB"/>
          <w14:ligatures w14:val="none"/>
        </w:rPr>
        <w:t xml:space="preserve">Tourism in the metaverse: Can travel go </w:t>
      </w:r>
      <w:proofErr w:type="gramStart"/>
      <w:r w:rsidRPr="000E40E9">
        <w:rPr>
          <w:rFonts w:eastAsia="Times New Roman" w:cs="Times New Roman"/>
          <w:i/>
          <w:iCs/>
          <w:kern w:val="0"/>
          <w:lang w:eastAsia="en-GB"/>
          <w14:ligatures w14:val="none"/>
        </w:rPr>
        <w:t>virtual?</w:t>
      </w:r>
      <w:r w:rsidRPr="000E40E9">
        <w:rPr>
          <w:rFonts w:eastAsia="Times New Roman" w:cs="Times New Roman"/>
          <w:kern w:val="0"/>
          <w:lang w:eastAsia="en-GB"/>
          <w14:ligatures w14:val="none"/>
        </w:rPr>
        <w:t>,</w:t>
      </w:r>
      <w:proofErr w:type="gramEnd"/>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McKinsey &amp; Company</w:t>
      </w:r>
      <w:r w:rsidRPr="000E40E9">
        <w:rPr>
          <w:rFonts w:eastAsia="Times New Roman" w:cs="Times New Roman"/>
          <w:kern w:val="0"/>
          <w:lang w:eastAsia="en-GB"/>
          <w14:ligatures w14:val="none"/>
        </w:rPr>
        <w:t xml:space="preserve">. Available at: </w:t>
      </w:r>
      <w:hyperlink r:id="rId24" w:history="1">
        <w:r w:rsidRPr="000E40E9">
          <w:rPr>
            <w:rStyle w:val="Hyperlink"/>
            <w:rFonts w:eastAsia="Times New Roman" w:cs="Times New Roman"/>
            <w:kern w:val="0"/>
            <w:lang w:eastAsia="en-GB"/>
            <w14:ligatures w14:val="none"/>
          </w:rPr>
          <w:t>https://www.mckinsey.com/industries/travel/our-insights/tourism-in-the-metaverse-can-travel-go-virtual</w:t>
        </w:r>
      </w:hyperlink>
      <w:r w:rsidRPr="000E40E9">
        <w:rPr>
          <w:rFonts w:eastAsia="Times New Roman" w:cs="Times New Roman"/>
          <w:kern w:val="0"/>
          <w:lang w:eastAsia="en-GB"/>
          <w14:ligatures w14:val="none"/>
        </w:rPr>
        <w:t xml:space="preserve">  (Accessed: 04 June 2025). </w:t>
      </w:r>
    </w:p>
    <w:p w14:paraId="288DB04B"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Mohamed, R. and Saber, S., 2022. Technological Innovation in Tourism and Events industry: A hybrid future of Events. </w:t>
      </w:r>
      <w:r w:rsidRPr="000E40E9">
        <w:rPr>
          <w:rFonts w:eastAsia="Times New Roman" w:cs="Times New Roman"/>
          <w:i/>
          <w:iCs/>
          <w:kern w:val="0"/>
          <w:lang w:eastAsia="en-GB"/>
          <w14:ligatures w14:val="none"/>
        </w:rPr>
        <w:t>International Journal of Tourism, Archaeology and Hospitality</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2</w:t>
      </w:r>
      <w:r w:rsidRPr="000E40E9">
        <w:rPr>
          <w:rFonts w:eastAsia="Times New Roman" w:cs="Times New Roman"/>
          <w:kern w:val="0"/>
          <w:lang w:eastAsia="en-GB"/>
          <w14:ligatures w14:val="none"/>
        </w:rPr>
        <w:t>(3), pp.271-286.</w:t>
      </w:r>
    </w:p>
    <w:p w14:paraId="5EB0EFB5"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Morrison, A.M., 2022. </w:t>
      </w:r>
      <w:r w:rsidRPr="000E40E9">
        <w:rPr>
          <w:rFonts w:eastAsia="Times New Roman" w:cs="Times New Roman"/>
          <w:i/>
          <w:iCs/>
          <w:kern w:val="0"/>
          <w:lang w:eastAsia="en-GB"/>
          <w14:ligatures w14:val="none"/>
        </w:rPr>
        <w:t>Hospitality and travel marketing</w:t>
      </w:r>
      <w:r w:rsidRPr="000E40E9">
        <w:rPr>
          <w:rFonts w:eastAsia="Times New Roman" w:cs="Times New Roman"/>
          <w:kern w:val="0"/>
          <w:lang w:eastAsia="en-GB"/>
          <w14:ligatures w14:val="none"/>
        </w:rPr>
        <w:t>. Routledge.</w:t>
      </w:r>
    </w:p>
    <w:p w14:paraId="44E8D104"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Mun, S.G., Woo, L. and Seo, K., 2021. Importance of F&amp;B operation in luxury hotels: the case of Asia versus the US. </w:t>
      </w:r>
      <w:r w:rsidRPr="000E40E9">
        <w:rPr>
          <w:rFonts w:eastAsia="Times New Roman" w:cs="Times New Roman"/>
          <w:i/>
          <w:iCs/>
          <w:kern w:val="0"/>
          <w:lang w:eastAsia="en-GB"/>
          <w14:ligatures w14:val="none"/>
        </w:rPr>
        <w:t>International Journal of Contemporary Hospitality Management</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33</w:t>
      </w:r>
      <w:r w:rsidRPr="000E40E9">
        <w:rPr>
          <w:rFonts w:eastAsia="Times New Roman" w:cs="Times New Roman"/>
          <w:kern w:val="0"/>
          <w:lang w:eastAsia="en-GB"/>
          <w14:ligatures w14:val="none"/>
        </w:rPr>
        <w:t>(1), pp.125-144.</w:t>
      </w:r>
    </w:p>
    <w:p w14:paraId="32A74D4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proofErr w:type="spellStart"/>
      <w:proofErr w:type="gramStart"/>
      <w:r w:rsidRPr="000E40E9">
        <w:rPr>
          <w:rFonts w:eastAsia="Times New Roman" w:cs="Times New Roman"/>
          <w:kern w:val="0"/>
          <w:lang w:eastAsia="en-GB"/>
          <w14:ligatures w14:val="none"/>
        </w:rPr>
        <w:lastRenderedPageBreak/>
        <w:t>mybiz.makemytrip</w:t>
      </w:r>
      <w:proofErr w:type="spellEnd"/>
      <w:proofErr w:type="gramEnd"/>
      <w:r w:rsidRPr="000E40E9">
        <w:rPr>
          <w:rFonts w:eastAsia="Times New Roman" w:cs="Times New Roman"/>
          <w:kern w:val="0"/>
          <w:lang w:eastAsia="en-GB"/>
          <w14:ligatures w14:val="none"/>
        </w:rPr>
        <w:t xml:space="preserve"> (2020) Business Travel vs. Leisure Travel: </w:t>
      </w:r>
      <w:proofErr w:type="gramStart"/>
      <w:r w:rsidRPr="000E40E9">
        <w:rPr>
          <w:rFonts w:eastAsia="Times New Roman" w:cs="Times New Roman"/>
          <w:kern w:val="0"/>
          <w:lang w:eastAsia="en-GB"/>
          <w14:ligatures w14:val="none"/>
        </w:rPr>
        <w:t>What’s</w:t>
      </w:r>
      <w:proofErr w:type="gramEnd"/>
      <w:r w:rsidRPr="000E40E9">
        <w:rPr>
          <w:rFonts w:eastAsia="Times New Roman" w:cs="Times New Roman"/>
          <w:kern w:val="0"/>
          <w:lang w:eastAsia="en-GB"/>
          <w14:ligatures w14:val="none"/>
        </w:rPr>
        <w:t xml:space="preserve"> the difference? Available at: </w:t>
      </w:r>
      <w:hyperlink r:id="rId25" w:history="1">
        <w:r w:rsidRPr="000E40E9">
          <w:rPr>
            <w:rStyle w:val="Hyperlink"/>
            <w:rFonts w:eastAsia="Times New Roman" w:cs="Times New Roman"/>
            <w:kern w:val="0"/>
            <w:lang w:eastAsia="en-GB"/>
            <w14:ligatures w14:val="none"/>
          </w:rPr>
          <w:t>https://mybiz.makemytrip.com/corporate/business-vs-leisure-travel.html</w:t>
        </w:r>
      </w:hyperlink>
      <w:r w:rsidRPr="000E40E9">
        <w:rPr>
          <w:rFonts w:eastAsia="Times New Roman" w:cs="Times New Roman"/>
          <w:kern w:val="0"/>
          <w:lang w:eastAsia="en-GB"/>
          <w14:ligatures w14:val="none"/>
        </w:rPr>
        <w:t xml:space="preserve">  (Accessed: 02 June 2025). </w:t>
      </w:r>
    </w:p>
    <w:p w14:paraId="574BCFC4" w14:textId="77777777" w:rsidR="000E40E9" w:rsidRPr="004F7075" w:rsidRDefault="000E40E9" w:rsidP="000E40E9">
      <w:pPr>
        <w:pStyle w:val="NormalWeb"/>
        <w:numPr>
          <w:ilvl w:val="0"/>
          <w:numId w:val="21"/>
        </w:numPr>
        <w:spacing w:line="360" w:lineRule="auto"/>
      </w:pPr>
      <w:r w:rsidRPr="004F7075">
        <w:t xml:space="preserve">Noordzij, G. (2014) </w:t>
      </w:r>
      <w:r w:rsidRPr="004F7075">
        <w:rPr>
          <w:i/>
          <w:iCs/>
        </w:rPr>
        <w:t>Project management of Hotel Opening Processes: Exploring Better Ways to open new hotels</w:t>
      </w:r>
      <w:r w:rsidRPr="004F7075">
        <w:t xml:space="preserve">. North Charleston: CreateSpace </w:t>
      </w:r>
      <w:proofErr w:type="spellStart"/>
      <w:r w:rsidRPr="004F7075">
        <w:t>Independant</w:t>
      </w:r>
      <w:proofErr w:type="spellEnd"/>
      <w:r w:rsidRPr="004F7075">
        <w:t xml:space="preserve"> Publishing Platform. </w:t>
      </w:r>
    </w:p>
    <w:p w14:paraId="126E7689"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O'Mahoney, J., 2021. How small consultancies grow: Challenging problem-based theorising. </w:t>
      </w:r>
      <w:r w:rsidRPr="000E40E9">
        <w:rPr>
          <w:rFonts w:eastAsia="Times New Roman" w:cs="Times New Roman"/>
          <w:i/>
          <w:iCs/>
          <w:kern w:val="0"/>
          <w:lang w:eastAsia="en-GB"/>
          <w14:ligatures w14:val="none"/>
        </w:rPr>
        <w:t>Management Consulting Journal</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4</w:t>
      </w:r>
      <w:r w:rsidRPr="000E40E9">
        <w:rPr>
          <w:rFonts w:eastAsia="Times New Roman" w:cs="Times New Roman"/>
          <w:kern w:val="0"/>
          <w:lang w:eastAsia="en-GB"/>
          <w14:ligatures w14:val="none"/>
        </w:rPr>
        <w:t>(1), pp.5-20.</w:t>
      </w:r>
    </w:p>
    <w:p w14:paraId="32C62190"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Odor, H.O., 2018. Organisational change and development. </w:t>
      </w:r>
      <w:r w:rsidRPr="000E40E9">
        <w:rPr>
          <w:rFonts w:eastAsia="Times New Roman" w:cs="Times New Roman"/>
          <w:i/>
          <w:iCs/>
          <w:kern w:val="0"/>
          <w:lang w:eastAsia="en-GB"/>
          <w14:ligatures w14:val="none"/>
        </w:rPr>
        <w:t>European Journal of Business and Management</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10</w:t>
      </w:r>
      <w:r w:rsidRPr="000E40E9">
        <w:rPr>
          <w:rFonts w:eastAsia="Times New Roman" w:cs="Times New Roman"/>
          <w:kern w:val="0"/>
          <w:lang w:eastAsia="en-GB"/>
          <w14:ligatures w14:val="none"/>
        </w:rPr>
        <w:t>(7), pp.58-66.</w:t>
      </w:r>
    </w:p>
    <w:p w14:paraId="7602693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Office for National Statistics (2023) </w:t>
      </w:r>
      <w:r w:rsidRPr="000E40E9">
        <w:rPr>
          <w:rFonts w:eastAsia="Times New Roman" w:cs="Times New Roman"/>
          <w:i/>
          <w:iCs/>
          <w:kern w:val="0"/>
          <w:lang w:eastAsia="en-GB"/>
          <w14:ligatures w14:val="none"/>
        </w:rPr>
        <w:t>UK labour market: February 2023.</w:t>
      </w:r>
      <w:r w:rsidRPr="000E40E9">
        <w:rPr>
          <w:rFonts w:eastAsia="Times New Roman" w:cs="Times New Roman"/>
          <w:kern w:val="0"/>
          <w:lang w:eastAsia="en-GB"/>
          <w14:ligatures w14:val="none"/>
        </w:rPr>
        <w:t xml:space="preserve"> Office for National Statistics. Available at: </w:t>
      </w:r>
      <w:hyperlink r:id="rId26" w:history="1">
        <w:r w:rsidRPr="000E40E9">
          <w:rPr>
            <w:rStyle w:val="Hyperlink"/>
            <w:rFonts w:eastAsia="Times New Roman" w:cs="Times New Roman"/>
            <w:kern w:val="0"/>
            <w:lang w:eastAsia="en-GB"/>
            <w14:ligatures w14:val="none"/>
          </w:rPr>
          <w:t>https://www.ons.gov.uk/releases/uklabourmarketfebruary2023</w:t>
        </w:r>
      </w:hyperlink>
      <w:r w:rsidRPr="000E40E9">
        <w:rPr>
          <w:rFonts w:eastAsia="Times New Roman" w:cs="Times New Roman"/>
          <w:kern w:val="0"/>
          <w:lang w:eastAsia="en-GB"/>
          <w14:ligatures w14:val="none"/>
        </w:rPr>
        <w:t xml:space="preserve"> (Accessed: 4 June 2025). </w:t>
      </w:r>
    </w:p>
    <w:p w14:paraId="558ACC34"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Oxford Economics, 2022. </w:t>
      </w:r>
      <w:r w:rsidRPr="000E40E9">
        <w:rPr>
          <w:rFonts w:eastAsia="Times New Roman" w:cs="Times New Roman"/>
          <w:i/>
          <w:iCs/>
          <w:kern w:val="0"/>
          <w:lang w:eastAsia="en-GB"/>
          <w14:ligatures w14:val="none"/>
        </w:rPr>
        <w:t>European Tourism 2022 – Trends &amp; Prospects (Q3/2022)</w:t>
      </w:r>
      <w:r w:rsidRPr="000E40E9">
        <w:rPr>
          <w:rFonts w:eastAsia="Times New Roman" w:cs="Times New Roman"/>
          <w:kern w:val="0"/>
          <w:lang w:eastAsia="en-GB"/>
          <w14:ligatures w14:val="none"/>
        </w:rPr>
        <w:t xml:space="preserve">. [online] Available at: </w:t>
      </w:r>
      <w:hyperlink r:id="rId27" w:history="1">
        <w:r w:rsidRPr="000E40E9">
          <w:rPr>
            <w:rStyle w:val="Hyperlink"/>
            <w:rFonts w:eastAsia="Times New Roman" w:cs="Times New Roman"/>
            <w:kern w:val="0"/>
            <w:lang w:eastAsia="en-GB"/>
            <w14:ligatures w14:val="none"/>
          </w:rPr>
          <w:t>https://www.oxfordeconomics.com/resource/european-tourism-2022-trends-amp-prospects-q3-2022/</w:t>
        </w:r>
      </w:hyperlink>
      <w:r w:rsidRPr="000E40E9">
        <w:rPr>
          <w:rFonts w:eastAsia="Times New Roman" w:cs="Times New Roman"/>
          <w:kern w:val="0"/>
          <w:lang w:eastAsia="en-GB"/>
          <w14:ligatures w14:val="none"/>
        </w:rPr>
        <w:t xml:space="preserve"> [Accessed 31 May 2025].</w:t>
      </w:r>
    </w:p>
    <w:p w14:paraId="48C8B856"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Patterson, I. and </w:t>
      </w:r>
      <w:proofErr w:type="spellStart"/>
      <w:r w:rsidRPr="000E40E9">
        <w:rPr>
          <w:rFonts w:eastAsia="Times New Roman" w:cs="Times New Roman"/>
          <w:kern w:val="0"/>
          <w:lang w:eastAsia="en-GB"/>
          <w14:ligatures w14:val="none"/>
        </w:rPr>
        <w:t>Ashrapov</w:t>
      </w:r>
      <w:proofErr w:type="spellEnd"/>
      <w:r w:rsidRPr="000E40E9">
        <w:rPr>
          <w:rFonts w:eastAsia="Times New Roman" w:cs="Times New Roman"/>
          <w:kern w:val="0"/>
          <w:lang w:eastAsia="en-GB"/>
          <w14:ligatures w14:val="none"/>
        </w:rPr>
        <w:t>, D. (2022) ‘The importance of mice services to the hotel industry and their value during the tourist low season’, International Journal of Hospitality and Event Management, 2(3/4), p. 1. doi:10.1504/ijhem.2022.10055233.</w:t>
      </w:r>
    </w:p>
    <w:p w14:paraId="5754A617"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PwC, 2023. </w:t>
      </w:r>
      <w:r w:rsidRPr="000E40E9">
        <w:rPr>
          <w:rFonts w:eastAsia="Times New Roman" w:cs="Times New Roman"/>
          <w:i/>
          <w:iCs/>
          <w:kern w:val="0"/>
          <w:lang w:eastAsia="en-GB"/>
          <w14:ligatures w14:val="none"/>
        </w:rPr>
        <w:t>Hotels Forecast 2023 - 2024: Growth in demand to stall across the UK</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PwC</w:t>
      </w:r>
      <w:r w:rsidRPr="000E40E9">
        <w:rPr>
          <w:rFonts w:eastAsia="Times New Roman" w:cs="Times New Roman"/>
          <w:kern w:val="0"/>
          <w:lang w:eastAsia="en-GB"/>
          <w14:ligatures w14:val="none"/>
        </w:rPr>
        <w:t xml:space="preserve">. Available at: </w:t>
      </w:r>
      <w:hyperlink r:id="rId28" w:history="1">
        <w:r w:rsidRPr="000E40E9">
          <w:rPr>
            <w:rStyle w:val="Hyperlink"/>
            <w:rFonts w:eastAsia="Times New Roman" w:cs="Times New Roman"/>
            <w:kern w:val="0"/>
            <w:lang w:eastAsia="en-GB"/>
            <w14:ligatures w14:val="none"/>
          </w:rPr>
          <w:t>https://www.pwc.co.uk/industries/hospitality-leisure/insights/uk-hotels-forecast-2023.html</w:t>
        </w:r>
      </w:hyperlink>
      <w:r w:rsidRPr="000E40E9">
        <w:rPr>
          <w:rFonts w:eastAsia="Times New Roman" w:cs="Times New Roman"/>
          <w:kern w:val="0"/>
          <w:lang w:eastAsia="en-GB"/>
          <w14:ligatures w14:val="none"/>
        </w:rPr>
        <w:t xml:space="preserve">  (Accessed: 04 June 2025). </w:t>
      </w:r>
    </w:p>
    <w:p w14:paraId="65749AF1"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REV Birmingham, 2024. Q3–Q4 Downtown Hotel Report. [online] Available at: </w:t>
      </w:r>
      <w:hyperlink r:id="rId29" w:history="1">
        <w:r w:rsidRPr="000E40E9">
          <w:rPr>
            <w:rStyle w:val="Hyperlink"/>
            <w:rFonts w:eastAsia="Times New Roman" w:cs="Times New Roman"/>
            <w:kern w:val="0"/>
            <w:lang w:eastAsia="en-GB"/>
            <w14:ligatures w14:val="none"/>
          </w:rPr>
          <w:t>https://downtownbhm.com/</w:t>
        </w:r>
      </w:hyperlink>
      <w:r w:rsidRPr="000E40E9">
        <w:rPr>
          <w:rFonts w:eastAsia="Times New Roman" w:cs="Times New Roman"/>
          <w:kern w:val="0"/>
          <w:lang w:eastAsia="en-GB"/>
          <w14:ligatures w14:val="none"/>
        </w:rPr>
        <w:t xml:space="preserve">  [Accessed 30 May 2025].</w:t>
      </w:r>
    </w:p>
    <w:p w14:paraId="4569008B"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proofErr w:type="spellStart"/>
      <w:r w:rsidRPr="000E40E9">
        <w:rPr>
          <w:rFonts w:eastAsia="Times New Roman" w:cs="Times New Roman"/>
          <w:kern w:val="0"/>
          <w:lang w:eastAsia="en-GB"/>
          <w14:ligatures w14:val="none"/>
        </w:rPr>
        <w:t>Revinate</w:t>
      </w:r>
      <w:proofErr w:type="spellEnd"/>
      <w:r w:rsidRPr="000E40E9">
        <w:rPr>
          <w:rFonts w:eastAsia="Times New Roman" w:cs="Times New Roman"/>
          <w:kern w:val="0"/>
          <w:lang w:eastAsia="en-GB"/>
          <w14:ligatures w14:val="none"/>
        </w:rPr>
        <w:t xml:space="preserve">, 2025. </w:t>
      </w:r>
      <w:r w:rsidRPr="000E40E9">
        <w:rPr>
          <w:rFonts w:eastAsia="Times New Roman" w:cs="Times New Roman"/>
          <w:i/>
          <w:iCs/>
          <w:kern w:val="0"/>
          <w:lang w:eastAsia="en-GB"/>
          <w14:ligatures w14:val="none"/>
        </w:rPr>
        <w:t>Hotel Data Solutions</w:t>
      </w:r>
      <w:r w:rsidRPr="000E40E9">
        <w:rPr>
          <w:rFonts w:eastAsia="Times New Roman" w:cs="Times New Roman"/>
          <w:kern w:val="0"/>
          <w:lang w:eastAsia="en-GB"/>
          <w14:ligatures w14:val="none"/>
        </w:rPr>
        <w:t xml:space="preserve">. Available at: </w:t>
      </w:r>
      <w:hyperlink r:id="rId30" w:history="1">
        <w:r w:rsidRPr="000E40E9">
          <w:rPr>
            <w:rStyle w:val="Hyperlink"/>
            <w:rFonts w:eastAsia="Times New Roman" w:cs="Times New Roman"/>
            <w:kern w:val="0"/>
            <w:lang w:eastAsia="en-GB"/>
            <w14:ligatures w14:val="none"/>
          </w:rPr>
          <w:t>https://www.revinate.com/hotel-data-solutions/</w:t>
        </w:r>
      </w:hyperlink>
      <w:r w:rsidRPr="000E40E9">
        <w:rPr>
          <w:rFonts w:eastAsia="Times New Roman" w:cs="Times New Roman"/>
          <w:kern w:val="0"/>
          <w:lang w:eastAsia="en-GB"/>
          <w14:ligatures w14:val="none"/>
        </w:rPr>
        <w:t xml:space="preserve">  (Accessed: 04 June 2025). </w:t>
      </w:r>
    </w:p>
    <w:p w14:paraId="6846AB09"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Rogers, T. and Wynn-Moylan, P., 2022. </w:t>
      </w:r>
      <w:r w:rsidRPr="000E40E9">
        <w:rPr>
          <w:rFonts w:eastAsia="Times New Roman" w:cs="Times New Roman"/>
          <w:i/>
          <w:iCs/>
          <w:kern w:val="0"/>
          <w:lang w:eastAsia="en-GB"/>
          <w14:ligatures w14:val="none"/>
        </w:rPr>
        <w:t>Conferences and conventions: A global industry</w:t>
      </w:r>
      <w:r w:rsidRPr="000E40E9">
        <w:rPr>
          <w:rFonts w:eastAsia="Times New Roman" w:cs="Times New Roman"/>
          <w:kern w:val="0"/>
          <w:lang w:eastAsia="en-GB"/>
          <w14:ligatures w14:val="none"/>
        </w:rPr>
        <w:t>. Routledge.</w:t>
      </w:r>
    </w:p>
    <w:p w14:paraId="7A1C709A"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Sigala, M., 2015. Social media marketing in tourism and hospitality.</w:t>
      </w:r>
    </w:p>
    <w:p w14:paraId="3018B936"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Slack, N., Chambers, S. and Johnston, R., 2010. </w:t>
      </w:r>
      <w:r w:rsidRPr="000E40E9">
        <w:rPr>
          <w:rFonts w:eastAsia="Times New Roman" w:cs="Times New Roman"/>
          <w:i/>
          <w:iCs/>
          <w:kern w:val="0"/>
          <w:lang w:eastAsia="en-GB"/>
          <w14:ligatures w14:val="none"/>
        </w:rPr>
        <w:t>Operations management</w:t>
      </w:r>
      <w:r w:rsidRPr="000E40E9">
        <w:rPr>
          <w:rFonts w:eastAsia="Times New Roman" w:cs="Times New Roman"/>
          <w:kern w:val="0"/>
          <w:lang w:eastAsia="en-GB"/>
          <w14:ligatures w14:val="none"/>
        </w:rPr>
        <w:t>. Pearson education.</w:t>
      </w:r>
    </w:p>
    <w:p w14:paraId="3F860A6F"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lastRenderedPageBreak/>
        <w:t xml:space="preserve">Statista, 2024. </w:t>
      </w:r>
      <w:r w:rsidRPr="000E40E9">
        <w:rPr>
          <w:rFonts w:eastAsia="Times New Roman" w:cs="Times New Roman"/>
          <w:i/>
          <w:iCs/>
          <w:kern w:val="0"/>
          <w:lang w:eastAsia="en-GB"/>
          <w14:ligatures w14:val="none"/>
        </w:rPr>
        <w:t>UK Hotel Industry in the UK- statistics and facts</w:t>
      </w:r>
      <w:r w:rsidRPr="000E40E9">
        <w:rPr>
          <w:rFonts w:eastAsia="Times New Roman" w:cs="Times New Roman"/>
          <w:kern w:val="0"/>
          <w:lang w:eastAsia="en-GB"/>
          <w14:ligatures w14:val="none"/>
        </w:rPr>
        <w:t xml:space="preserve">. [online] Available at: </w:t>
      </w:r>
      <w:hyperlink r:id="rId31" w:history="1">
        <w:r w:rsidRPr="000E40E9">
          <w:rPr>
            <w:rStyle w:val="Hyperlink"/>
            <w:rFonts w:cs="Times New Roman"/>
          </w:rPr>
          <w:t>https://www.statista.com/topics/3146/hotel-industry-in-the-united-kingdom-uk/</w:t>
        </w:r>
      </w:hyperlink>
      <w:r w:rsidRPr="000E40E9">
        <w:rPr>
          <w:rFonts w:cs="Times New Roman"/>
        </w:rPr>
        <w:t xml:space="preserve"> </w:t>
      </w:r>
      <w:r w:rsidRPr="000E40E9">
        <w:rPr>
          <w:rFonts w:eastAsia="Times New Roman" w:cs="Times New Roman"/>
          <w:kern w:val="0"/>
          <w:lang w:eastAsia="en-GB"/>
          <w14:ligatures w14:val="none"/>
        </w:rPr>
        <w:t>[Accessed 31 May 2025].</w:t>
      </w:r>
    </w:p>
    <w:p w14:paraId="144B188C"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Subramaniam, N., Collier, P., Phang, M. and Burke, G., 2011. The effects of perceived business uncertainty, external consultants and risk management on organisational outcomes. </w:t>
      </w:r>
      <w:r w:rsidRPr="000E40E9">
        <w:rPr>
          <w:rFonts w:eastAsia="Times New Roman" w:cs="Times New Roman"/>
          <w:i/>
          <w:iCs/>
          <w:kern w:val="0"/>
          <w:lang w:eastAsia="en-GB"/>
          <w14:ligatures w14:val="none"/>
        </w:rPr>
        <w:t>Journal of Accounting &amp; Organizational Change</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7</w:t>
      </w:r>
      <w:r w:rsidRPr="000E40E9">
        <w:rPr>
          <w:rFonts w:eastAsia="Times New Roman" w:cs="Times New Roman"/>
          <w:kern w:val="0"/>
          <w:lang w:eastAsia="en-GB"/>
          <w14:ligatures w14:val="none"/>
        </w:rPr>
        <w:t>(2), pp.132-157.</w:t>
      </w:r>
    </w:p>
    <w:p w14:paraId="1FF96CA2"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SW Chan, E., 2013. Gap analysis of green hotel marketing. </w:t>
      </w:r>
      <w:r w:rsidRPr="000E40E9">
        <w:rPr>
          <w:rFonts w:eastAsia="Times New Roman" w:cs="Times New Roman"/>
          <w:i/>
          <w:iCs/>
          <w:kern w:val="0"/>
          <w:lang w:eastAsia="en-GB"/>
          <w14:ligatures w14:val="none"/>
        </w:rPr>
        <w:t>International journal of contemporary hospitality management</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25</w:t>
      </w:r>
      <w:r w:rsidRPr="000E40E9">
        <w:rPr>
          <w:rFonts w:eastAsia="Times New Roman" w:cs="Times New Roman"/>
          <w:kern w:val="0"/>
          <w:lang w:eastAsia="en-GB"/>
          <w14:ligatures w14:val="none"/>
        </w:rPr>
        <w:t>(7), pp.1017-1048.</w:t>
      </w:r>
    </w:p>
    <w:p w14:paraId="3EC9380D"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Tsaur, S.H. and Tsai, C.H., 2023. </w:t>
      </w:r>
      <w:proofErr w:type="spellStart"/>
      <w:r w:rsidRPr="000E40E9">
        <w:rPr>
          <w:rFonts w:eastAsia="Times New Roman" w:cs="Times New Roman"/>
          <w:kern w:val="0"/>
          <w:lang w:eastAsia="en-GB"/>
          <w14:ligatures w14:val="none"/>
        </w:rPr>
        <w:t>Bleisure</w:t>
      </w:r>
      <w:proofErr w:type="spellEnd"/>
      <w:r w:rsidRPr="000E40E9">
        <w:rPr>
          <w:rFonts w:eastAsia="Times New Roman" w:cs="Times New Roman"/>
          <w:kern w:val="0"/>
          <w:lang w:eastAsia="en-GB"/>
          <w14:ligatures w14:val="none"/>
        </w:rPr>
        <w:t xml:space="preserve"> travel experience: Scale development and validation. </w:t>
      </w:r>
      <w:r w:rsidRPr="000E40E9">
        <w:rPr>
          <w:rFonts w:eastAsia="Times New Roman" w:cs="Times New Roman"/>
          <w:i/>
          <w:iCs/>
          <w:kern w:val="0"/>
          <w:lang w:eastAsia="en-GB"/>
          <w14:ligatures w14:val="none"/>
        </w:rPr>
        <w:t>Journal of Travel &amp; Tourism Marketing</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40</w:t>
      </w:r>
      <w:r w:rsidRPr="000E40E9">
        <w:rPr>
          <w:rFonts w:eastAsia="Times New Roman" w:cs="Times New Roman"/>
          <w:kern w:val="0"/>
          <w:lang w:eastAsia="en-GB"/>
          <w14:ligatures w14:val="none"/>
        </w:rPr>
        <w:t>(1), pp.21-37.</w:t>
      </w:r>
    </w:p>
    <w:p w14:paraId="48782336"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UNWTO, 2023. </w:t>
      </w:r>
      <w:r w:rsidRPr="000E40E9">
        <w:rPr>
          <w:rFonts w:eastAsia="Times New Roman" w:cs="Times New Roman"/>
          <w:i/>
          <w:iCs/>
          <w:kern w:val="0"/>
          <w:lang w:eastAsia="en-GB"/>
          <w14:ligatures w14:val="none"/>
        </w:rPr>
        <w:t xml:space="preserve">‘Words Alone Will Not Save Jobs’: UNWTO Leads Call </w:t>
      </w:r>
      <w:proofErr w:type="gramStart"/>
      <w:r w:rsidRPr="000E40E9">
        <w:rPr>
          <w:rFonts w:eastAsia="Times New Roman" w:cs="Times New Roman"/>
          <w:i/>
          <w:iCs/>
          <w:kern w:val="0"/>
          <w:lang w:eastAsia="en-GB"/>
          <w14:ligatures w14:val="none"/>
        </w:rPr>
        <w:t>For</w:t>
      </w:r>
      <w:proofErr w:type="gramEnd"/>
      <w:r w:rsidRPr="000E40E9">
        <w:rPr>
          <w:rFonts w:eastAsia="Times New Roman" w:cs="Times New Roman"/>
          <w:i/>
          <w:iCs/>
          <w:kern w:val="0"/>
          <w:lang w:eastAsia="en-GB"/>
          <w14:ligatures w14:val="none"/>
        </w:rPr>
        <w:t xml:space="preserve"> Firm Action </w:t>
      </w:r>
      <w:proofErr w:type="gramStart"/>
      <w:r w:rsidRPr="000E40E9">
        <w:rPr>
          <w:rFonts w:eastAsia="Times New Roman" w:cs="Times New Roman"/>
          <w:i/>
          <w:iCs/>
          <w:kern w:val="0"/>
          <w:lang w:eastAsia="en-GB"/>
          <w14:ligatures w14:val="none"/>
        </w:rPr>
        <w:t>By</w:t>
      </w:r>
      <w:proofErr w:type="gramEnd"/>
      <w:r w:rsidRPr="000E40E9">
        <w:rPr>
          <w:rFonts w:eastAsia="Times New Roman" w:cs="Times New Roman"/>
          <w:i/>
          <w:iCs/>
          <w:kern w:val="0"/>
          <w:lang w:eastAsia="en-GB"/>
          <w14:ligatures w14:val="none"/>
        </w:rPr>
        <w:t xml:space="preserve"> Governments to Support Tourism Recovery | UN Tourism</w:t>
      </w:r>
      <w:r w:rsidRPr="000E40E9">
        <w:rPr>
          <w:rFonts w:eastAsia="Times New Roman" w:cs="Times New Roman"/>
          <w:kern w:val="0"/>
          <w:lang w:eastAsia="en-GB"/>
          <w14:ligatures w14:val="none"/>
        </w:rPr>
        <w:t xml:space="preserve">. Available at: </w:t>
      </w:r>
      <w:hyperlink r:id="rId32" w:history="1">
        <w:r w:rsidRPr="000E40E9">
          <w:rPr>
            <w:rStyle w:val="Hyperlink"/>
            <w:rFonts w:eastAsia="Times New Roman" w:cs="Times New Roman"/>
            <w:kern w:val="0"/>
            <w:lang w:eastAsia="en-GB"/>
            <w14:ligatures w14:val="none"/>
          </w:rPr>
          <w:t>https://www.unwto.org/news/firm-action-by-governments-to-support-tourism-recovery-covid-19</w:t>
        </w:r>
      </w:hyperlink>
      <w:r w:rsidRPr="000E40E9">
        <w:rPr>
          <w:rFonts w:eastAsia="Times New Roman" w:cs="Times New Roman"/>
          <w:kern w:val="0"/>
          <w:lang w:eastAsia="en-GB"/>
          <w14:ligatures w14:val="none"/>
        </w:rPr>
        <w:t xml:space="preserve">  (Accessed: 04 June 2025). </w:t>
      </w:r>
    </w:p>
    <w:p w14:paraId="43EBBC50"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Visit Britain, 2025. </w:t>
      </w:r>
      <w:r w:rsidRPr="000E40E9">
        <w:rPr>
          <w:rFonts w:eastAsia="Times New Roman" w:cs="Times New Roman"/>
          <w:i/>
          <w:iCs/>
          <w:kern w:val="0"/>
          <w:lang w:eastAsia="en-GB"/>
          <w14:ligatures w14:val="none"/>
        </w:rPr>
        <w:t>Business Events Activities</w:t>
      </w:r>
      <w:r w:rsidRPr="000E40E9">
        <w:rPr>
          <w:rFonts w:eastAsia="Times New Roman" w:cs="Times New Roman"/>
          <w:kern w:val="0"/>
          <w:lang w:eastAsia="en-GB"/>
          <w14:ligatures w14:val="none"/>
        </w:rPr>
        <w:t xml:space="preserve">, </w:t>
      </w:r>
      <w:r w:rsidRPr="000E40E9">
        <w:rPr>
          <w:rFonts w:eastAsia="Times New Roman" w:cs="Times New Roman"/>
          <w:i/>
          <w:iCs/>
          <w:kern w:val="0"/>
          <w:lang w:eastAsia="en-GB"/>
          <w14:ligatures w14:val="none"/>
        </w:rPr>
        <w:t>VisitBritain.org</w:t>
      </w:r>
      <w:r w:rsidRPr="000E40E9">
        <w:rPr>
          <w:rFonts w:eastAsia="Times New Roman" w:cs="Times New Roman"/>
          <w:kern w:val="0"/>
          <w:lang w:eastAsia="en-GB"/>
          <w14:ligatures w14:val="none"/>
        </w:rPr>
        <w:t xml:space="preserve">. Available at: </w:t>
      </w:r>
      <w:hyperlink r:id="rId33" w:history="1">
        <w:r w:rsidRPr="000E40E9">
          <w:rPr>
            <w:rStyle w:val="Hyperlink"/>
            <w:rFonts w:eastAsia="Times New Roman" w:cs="Times New Roman"/>
            <w:kern w:val="0"/>
            <w:lang w:eastAsia="en-GB"/>
            <w14:ligatures w14:val="none"/>
          </w:rPr>
          <w:t>https://www.visitbritain.org/resources-business-events-partners/business-events-activities</w:t>
        </w:r>
      </w:hyperlink>
      <w:r w:rsidRPr="000E40E9">
        <w:rPr>
          <w:rFonts w:eastAsia="Times New Roman" w:cs="Times New Roman"/>
          <w:kern w:val="0"/>
          <w:lang w:eastAsia="en-GB"/>
          <w14:ligatures w14:val="none"/>
        </w:rPr>
        <w:t xml:space="preserve">  (Accessed: 04 June 2025). </w:t>
      </w:r>
    </w:p>
    <w:p w14:paraId="45A41FE8"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Whittington, R., Johnson, G., Scholes, K., Angwin, D. and </w:t>
      </w:r>
      <w:proofErr w:type="spellStart"/>
      <w:r w:rsidRPr="000E40E9">
        <w:rPr>
          <w:rFonts w:eastAsia="Times New Roman" w:cs="Times New Roman"/>
          <w:kern w:val="0"/>
          <w:lang w:eastAsia="en-GB"/>
          <w14:ligatures w14:val="none"/>
        </w:rPr>
        <w:t>Regnér</w:t>
      </w:r>
      <w:proofErr w:type="spellEnd"/>
      <w:r w:rsidRPr="000E40E9">
        <w:rPr>
          <w:rFonts w:eastAsia="Times New Roman" w:cs="Times New Roman"/>
          <w:kern w:val="0"/>
          <w:lang w:eastAsia="en-GB"/>
          <w14:ligatures w14:val="none"/>
        </w:rPr>
        <w:t>, P., 2020. Exploring strategy. Harlow.</w:t>
      </w:r>
    </w:p>
    <w:p w14:paraId="4468CEC3"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Wijesinghe, G., 2014. Reimagining the application of sustainability to the hospitality industry through a virtue ethics framework. </w:t>
      </w:r>
      <w:r w:rsidRPr="000E40E9">
        <w:rPr>
          <w:rFonts w:eastAsia="Times New Roman" w:cs="Times New Roman"/>
          <w:i/>
          <w:iCs/>
          <w:kern w:val="0"/>
          <w:lang w:eastAsia="en-GB"/>
          <w14:ligatures w14:val="none"/>
        </w:rPr>
        <w:t>Journal of Sustainable Tourism</w:t>
      </w:r>
      <w:r w:rsidRPr="000E40E9">
        <w:rPr>
          <w:rFonts w:eastAsia="Times New Roman" w:cs="Times New Roman"/>
          <w:kern w:val="0"/>
          <w:lang w:eastAsia="en-GB"/>
          <w14:ligatures w14:val="none"/>
        </w:rPr>
        <w:t>, </w:t>
      </w:r>
      <w:r w:rsidRPr="000E40E9">
        <w:rPr>
          <w:rFonts w:eastAsia="Times New Roman" w:cs="Times New Roman"/>
          <w:i/>
          <w:iCs/>
          <w:kern w:val="0"/>
          <w:lang w:eastAsia="en-GB"/>
          <w14:ligatures w14:val="none"/>
        </w:rPr>
        <w:t>22</w:t>
      </w:r>
      <w:r w:rsidRPr="000E40E9">
        <w:rPr>
          <w:rFonts w:eastAsia="Times New Roman" w:cs="Times New Roman"/>
          <w:kern w:val="0"/>
          <w:lang w:eastAsia="en-GB"/>
          <w14:ligatures w14:val="none"/>
        </w:rPr>
        <w:t>(1), pp.31-49.</w:t>
      </w:r>
    </w:p>
    <w:p w14:paraId="03D0F39F" w14:textId="77777777" w:rsidR="000E40E9" w:rsidRPr="000E40E9" w:rsidRDefault="000E40E9" w:rsidP="000E40E9">
      <w:pPr>
        <w:pStyle w:val="ListParagraph"/>
        <w:numPr>
          <w:ilvl w:val="0"/>
          <w:numId w:val="21"/>
        </w:numPr>
        <w:rPr>
          <w:rFonts w:eastAsia="Times New Roman" w:cs="Times New Roman"/>
          <w:kern w:val="0"/>
          <w:lang w:eastAsia="en-GB"/>
          <w14:ligatures w14:val="none"/>
        </w:rPr>
      </w:pPr>
      <w:r w:rsidRPr="000E40E9">
        <w:rPr>
          <w:rFonts w:eastAsia="Times New Roman" w:cs="Times New Roman"/>
          <w:kern w:val="0"/>
          <w:lang w:eastAsia="en-GB"/>
          <w14:ligatures w14:val="none"/>
        </w:rPr>
        <w:t xml:space="preserve">WTTC, 2023. World Travel &amp; Tourism Council. Available at: </w:t>
      </w:r>
      <w:hyperlink r:id="rId34" w:history="1">
        <w:r w:rsidRPr="000E40E9">
          <w:rPr>
            <w:rStyle w:val="Hyperlink"/>
            <w:rFonts w:eastAsia="Times New Roman" w:cs="Times New Roman"/>
            <w:kern w:val="0"/>
            <w:lang w:eastAsia="en-GB"/>
            <w14:ligatures w14:val="none"/>
          </w:rPr>
          <w:t>https://wttc.org/</w:t>
        </w:r>
      </w:hyperlink>
      <w:r w:rsidRPr="000E40E9">
        <w:rPr>
          <w:rFonts w:eastAsia="Times New Roman" w:cs="Times New Roman"/>
          <w:kern w:val="0"/>
          <w:lang w:eastAsia="en-GB"/>
          <w14:ligatures w14:val="none"/>
        </w:rPr>
        <w:t xml:space="preserve"> (Accessed: 02 June 2025). </w:t>
      </w:r>
      <w:bookmarkEnd w:id="20"/>
    </w:p>
    <w:sectPr w:rsidR="000E40E9" w:rsidRPr="000E40E9" w:rsidSect="00F71C94">
      <w:footerReference w:type="default" r:id="rId35"/>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B4CA4" w14:textId="77777777" w:rsidR="00C079FD" w:rsidRDefault="00C079FD" w:rsidP="00325469">
      <w:pPr>
        <w:spacing w:after="0" w:line="240" w:lineRule="auto"/>
      </w:pPr>
      <w:r>
        <w:separator/>
      </w:r>
    </w:p>
  </w:endnote>
  <w:endnote w:type="continuationSeparator" w:id="0">
    <w:p w14:paraId="0062B09E" w14:textId="77777777" w:rsidR="00C079FD" w:rsidRDefault="00C079FD" w:rsidP="00325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661865"/>
      <w:docPartObj>
        <w:docPartGallery w:val="Page Numbers (Bottom of Page)"/>
        <w:docPartUnique/>
      </w:docPartObj>
    </w:sdtPr>
    <w:sdtContent>
      <w:p w14:paraId="71EB1FE3" w14:textId="18126477" w:rsidR="00325469" w:rsidRDefault="00325469">
        <w:pPr>
          <w:pStyle w:val="Footer"/>
          <w:jc w:val="right"/>
        </w:pPr>
        <w:r>
          <w:fldChar w:fldCharType="begin"/>
        </w:r>
        <w:r>
          <w:instrText>PAGE   \* MERGEFORMAT</w:instrText>
        </w:r>
        <w:r>
          <w:fldChar w:fldCharType="separate"/>
        </w:r>
        <w:r>
          <w:t>2</w:t>
        </w:r>
        <w:r>
          <w:fldChar w:fldCharType="end"/>
        </w:r>
      </w:p>
    </w:sdtContent>
  </w:sdt>
  <w:p w14:paraId="31551DDF" w14:textId="77777777" w:rsidR="00325469" w:rsidRDefault="00325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DB408" w14:textId="77777777" w:rsidR="00C079FD" w:rsidRDefault="00C079FD" w:rsidP="00325469">
      <w:pPr>
        <w:spacing w:after="0" w:line="240" w:lineRule="auto"/>
      </w:pPr>
      <w:r>
        <w:separator/>
      </w:r>
    </w:p>
  </w:footnote>
  <w:footnote w:type="continuationSeparator" w:id="0">
    <w:p w14:paraId="5B830943" w14:textId="77777777" w:rsidR="00C079FD" w:rsidRDefault="00C079FD" w:rsidP="003254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D710E"/>
    <w:multiLevelType w:val="multilevel"/>
    <w:tmpl w:val="F884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6620A"/>
    <w:multiLevelType w:val="multilevel"/>
    <w:tmpl w:val="BEBE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E2CB8"/>
    <w:multiLevelType w:val="multilevel"/>
    <w:tmpl w:val="9D30C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C782E"/>
    <w:multiLevelType w:val="multilevel"/>
    <w:tmpl w:val="A1C80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6E35A9"/>
    <w:multiLevelType w:val="multilevel"/>
    <w:tmpl w:val="9B3E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54DA8"/>
    <w:multiLevelType w:val="multilevel"/>
    <w:tmpl w:val="DA9E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F1C98"/>
    <w:multiLevelType w:val="multilevel"/>
    <w:tmpl w:val="3FBEE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E7947"/>
    <w:multiLevelType w:val="hybridMultilevel"/>
    <w:tmpl w:val="B2A03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4F3B68"/>
    <w:multiLevelType w:val="multilevel"/>
    <w:tmpl w:val="A316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6F6EB4"/>
    <w:multiLevelType w:val="multilevel"/>
    <w:tmpl w:val="7B10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3F5BE1"/>
    <w:multiLevelType w:val="multilevel"/>
    <w:tmpl w:val="06DA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5F4E86"/>
    <w:multiLevelType w:val="multilevel"/>
    <w:tmpl w:val="3BE2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FD05B7"/>
    <w:multiLevelType w:val="multilevel"/>
    <w:tmpl w:val="FAF2C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B116A1"/>
    <w:multiLevelType w:val="multilevel"/>
    <w:tmpl w:val="8CC26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9C3DB3"/>
    <w:multiLevelType w:val="hybridMultilevel"/>
    <w:tmpl w:val="9CC47CD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4978F7"/>
    <w:multiLevelType w:val="multilevel"/>
    <w:tmpl w:val="E20A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00263D"/>
    <w:multiLevelType w:val="multilevel"/>
    <w:tmpl w:val="5DB6A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4E4E97"/>
    <w:multiLevelType w:val="multilevel"/>
    <w:tmpl w:val="9A9E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7B47AD"/>
    <w:multiLevelType w:val="multilevel"/>
    <w:tmpl w:val="D972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327C3A"/>
    <w:multiLevelType w:val="hybridMultilevel"/>
    <w:tmpl w:val="43241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9E2A2A"/>
    <w:multiLevelType w:val="hybridMultilevel"/>
    <w:tmpl w:val="D6621FA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8024102">
    <w:abstractNumId w:val="16"/>
  </w:num>
  <w:num w:numId="2" w16cid:durableId="1693803424">
    <w:abstractNumId w:val="4"/>
  </w:num>
  <w:num w:numId="3" w16cid:durableId="946886378">
    <w:abstractNumId w:val="12"/>
  </w:num>
  <w:num w:numId="4" w16cid:durableId="1960642036">
    <w:abstractNumId w:val="2"/>
  </w:num>
  <w:num w:numId="5" w16cid:durableId="1906141512">
    <w:abstractNumId w:val="13"/>
  </w:num>
  <w:num w:numId="6" w16cid:durableId="1798646907">
    <w:abstractNumId w:val="15"/>
  </w:num>
  <w:num w:numId="7" w16cid:durableId="113064292">
    <w:abstractNumId w:val="18"/>
  </w:num>
  <w:num w:numId="8" w16cid:durableId="29965764">
    <w:abstractNumId w:val="0"/>
  </w:num>
  <w:num w:numId="9" w16cid:durableId="300305470">
    <w:abstractNumId w:val="11"/>
  </w:num>
  <w:num w:numId="10" w16cid:durableId="653920287">
    <w:abstractNumId w:val="8"/>
  </w:num>
  <w:num w:numId="11" w16cid:durableId="1806072725">
    <w:abstractNumId w:val="10"/>
  </w:num>
  <w:num w:numId="12" w16cid:durableId="31806107">
    <w:abstractNumId w:val="17"/>
  </w:num>
  <w:num w:numId="13" w16cid:durableId="1128474584">
    <w:abstractNumId w:val="9"/>
  </w:num>
  <w:num w:numId="14" w16cid:durableId="1008487162">
    <w:abstractNumId w:val="6"/>
  </w:num>
  <w:num w:numId="15" w16cid:durableId="569077237">
    <w:abstractNumId w:val="3"/>
  </w:num>
  <w:num w:numId="16" w16cid:durableId="1149201895">
    <w:abstractNumId w:val="5"/>
  </w:num>
  <w:num w:numId="17" w16cid:durableId="1237743010">
    <w:abstractNumId w:val="1"/>
  </w:num>
  <w:num w:numId="18" w16cid:durableId="945969516">
    <w:abstractNumId w:val="14"/>
  </w:num>
  <w:num w:numId="19" w16cid:durableId="407311674">
    <w:abstractNumId w:val="20"/>
  </w:num>
  <w:num w:numId="20" w16cid:durableId="2075271255">
    <w:abstractNumId w:val="19"/>
  </w:num>
  <w:num w:numId="21" w16cid:durableId="13722189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ABC"/>
    <w:rsid w:val="000033FA"/>
    <w:rsid w:val="00007FD6"/>
    <w:rsid w:val="00023024"/>
    <w:rsid w:val="00053680"/>
    <w:rsid w:val="00054268"/>
    <w:rsid w:val="00056EE4"/>
    <w:rsid w:val="00070676"/>
    <w:rsid w:val="00072B86"/>
    <w:rsid w:val="0007477B"/>
    <w:rsid w:val="00091F7F"/>
    <w:rsid w:val="0009279E"/>
    <w:rsid w:val="00093199"/>
    <w:rsid w:val="000952D9"/>
    <w:rsid w:val="000A789B"/>
    <w:rsid w:val="000C59F6"/>
    <w:rsid w:val="000D214E"/>
    <w:rsid w:val="000D2323"/>
    <w:rsid w:val="000E11B7"/>
    <w:rsid w:val="000E1B17"/>
    <w:rsid w:val="000E40E9"/>
    <w:rsid w:val="000F35EB"/>
    <w:rsid w:val="00122506"/>
    <w:rsid w:val="00123275"/>
    <w:rsid w:val="001249D7"/>
    <w:rsid w:val="00125B5E"/>
    <w:rsid w:val="00126BBC"/>
    <w:rsid w:val="001337B9"/>
    <w:rsid w:val="00135F44"/>
    <w:rsid w:val="0013731A"/>
    <w:rsid w:val="00144D4E"/>
    <w:rsid w:val="00146D56"/>
    <w:rsid w:val="00155C69"/>
    <w:rsid w:val="00170BB0"/>
    <w:rsid w:val="00174F8C"/>
    <w:rsid w:val="00191245"/>
    <w:rsid w:val="00195E36"/>
    <w:rsid w:val="001A17D1"/>
    <w:rsid w:val="001A1EE9"/>
    <w:rsid w:val="001A1FB1"/>
    <w:rsid w:val="001B0E89"/>
    <w:rsid w:val="001D3DC1"/>
    <w:rsid w:val="001D7E97"/>
    <w:rsid w:val="001E61CD"/>
    <w:rsid w:val="00205202"/>
    <w:rsid w:val="00210AED"/>
    <w:rsid w:val="00213F41"/>
    <w:rsid w:val="0022288B"/>
    <w:rsid w:val="002243AE"/>
    <w:rsid w:val="00227129"/>
    <w:rsid w:val="0025502E"/>
    <w:rsid w:val="002707E2"/>
    <w:rsid w:val="00271103"/>
    <w:rsid w:val="00271E72"/>
    <w:rsid w:val="00280189"/>
    <w:rsid w:val="00282FC6"/>
    <w:rsid w:val="002870BB"/>
    <w:rsid w:val="00292494"/>
    <w:rsid w:val="00295B19"/>
    <w:rsid w:val="002C019F"/>
    <w:rsid w:val="002C07D2"/>
    <w:rsid w:val="002D570C"/>
    <w:rsid w:val="002E505D"/>
    <w:rsid w:val="002F55B8"/>
    <w:rsid w:val="003043DA"/>
    <w:rsid w:val="0031034E"/>
    <w:rsid w:val="0031244E"/>
    <w:rsid w:val="00314E93"/>
    <w:rsid w:val="00325469"/>
    <w:rsid w:val="00336D08"/>
    <w:rsid w:val="00355AE9"/>
    <w:rsid w:val="00361AED"/>
    <w:rsid w:val="0037385B"/>
    <w:rsid w:val="003935DF"/>
    <w:rsid w:val="003A1F89"/>
    <w:rsid w:val="003B047D"/>
    <w:rsid w:val="003C1553"/>
    <w:rsid w:val="003C1805"/>
    <w:rsid w:val="003C3D28"/>
    <w:rsid w:val="003D072F"/>
    <w:rsid w:val="003D6FA9"/>
    <w:rsid w:val="003F1447"/>
    <w:rsid w:val="00404879"/>
    <w:rsid w:val="00410201"/>
    <w:rsid w:val="00416ED9"/>
    <w:rsid w:val="004205A4"/>
    <w:rsid w:val="0044390C"/>
    <w:rsid w:val="004467DC"/>
    <w:rsid w:val="004558C8"/>
    <w:rsid w:val="00461F2A"/>
    <w:rsid w:val="00463266"/>
    <w:rsid w:val="00464DD0"/>
    <w:rsid w:val="00473C51"/>
    <w:rsid w:val="004749F2"/>
    <w:rsid w:val="0047598B"/>
    <w:rsid w:val="00480048"/>
    <w:rsid w:val="0048532D"/>
    <w:rsid w:val="0049204D"/>
    <w:rsid w:val="00497508"/>
    <w:rsid w:val="004A09E5"/>
    <w:rsid w:val="004B2725"/>
    <w:rsid w:val="004B6A8E"/>
    <w:rsid w:val="004C43BF"/>
    <w:rsid w:val="004C703C"/>
    <w:rsid w:val="004D0F66"/>
    <w:rsid w:val="004D10D9"/>
    <w:rsid w:val="004D4AD0"/>
    <w:rsid w:val="004F1D85"/>
    <w:rsid w:val="004F287A"/>
    <w:rsid w:val="004F4ABC"/>
    <w:rsid w:val="004F7075"/>
    <w:rsid w:val="0050291A"/>
    <w:rsid w:val="00503CF3"/>
    <w:rsid w:val="00514DDE"/>
    <w:rsid w:val="0051538A"/>
    <w:rsid w:val="005349F3"/>
    <w:rsid w:val="00541F1F"/>
    <w:rsid w:val="00545C9B"/>
    <w:rsid w:val="00547D1A"/>
    <w:rsid w:val="00575921"/>
    <w:rsid w:val="00586D99"/>
    <w:rsid w:val="005A36A1"/>
    <w:rsid w:val="005A3823"/>
    <w:rsid w:val="005B4339"/>
    <w:rsid w:val="005C1697"/>
    <w:rsid w:val="005D4C57"/>
    <w:rsid w:val="005D56B0"/>
    <w:rsid w:val="005E5BAF"/>
    <w:rsid w:val="005E6A9A"/>
    <w:rsid w:val="005F39AD"/>
    <w:rsid w:val="005F47BD"/>
    <w:rsid w:val="0060360A"/>
    <w:rsid w:val="00617D2A"/>
    <w:rsid w:val="00625EC7"/>
    <w:rsid w:val="00631B38"/>
    <w:rsid w:val="00640E74"/>
    <w:rsid w:val="00654572"/>
    <w:rsid w:val="00654A93"/>
    <w:rsid w:val="00660F1B"/>
    <w:rsid w:val="00677616"/>
    <w:rsid w:val="006823BB"/>
    <w:rsid w:val="00683AA1"/>
    <w:rsid w:val="006A1C6E"/>
    <w:rsid w:val="006A257F"/>
    <w:rsid w:val="006A3D6E"/>
    <w:rsid w:val="006B7A09"/>
    <w:rsid w:val="006C5B96"/>
    <w:rsid w:val="006D3712"/>
    <w:rsid w:val="006E5AB0"/>
    <w:rsid w:val="006E62B5"/>
    <w:rsid w:val="00712A17"/>
    <w:rsid w:val="00716392"/>
    <w:rsid w:val="00726574"/>
    <w:rsid w:val="00742ED4"/>
    <w:rsid w:val="0077253B"/>
    <w:rsid w:val="00780F72"/>
    <w:rsid w:val="0078788D"/>
    <w:rsid w:val="007933DE"/>
    <w:rsid w:val="007B28F8"/>
    <w:rsid w:val="007C455B"/>
    <w:rsid w:val="007D3B77"/>
    <w:rsid w:val="007D67C5"/>
    <w:rsid w:val="007E4921"/>
    <w:rsid w:val="00820C13"/>
    <w:rsid w:val="00820DED"/>
    <w:rsid w:val="00821137"/>
    <w:rsid w:val="00834A3F"/>
    <w:rsid w:val="00835D1F"/>
    <w:rsid w:val="008437A4"/>
    <w:rsid w:val="00864972"/>
    <w:rsid w:val="0087691C"/>
    <w:rsid w:val="00876BFB"/>
    <w:rsid w:val="00881A3E"/>
    <w:rsid w:val="008C3E69"/>
    <w:rsid w:val="008D2CA8"/>
    <w:rsid w:val="008D78D6"/>
    <w:rsid w:val="008D7B50"/>
    <w:rsid w:val="008E78AA"/>
    <w:rsid w:val="00903DCF"/>
    <w:rsid w:val="009079CD"/>
    <w:rsid w:val="00912421"/>
    <w:rsid w:val="00921F9A"/>
    <w:rsid w:val="00925DC1"/>
    <w:rsid w:val="00927CBD"/>
    <w:rsid w:val="00950108"/>
    <w:rsid w:val="00950665"/>
    <w:rsid w:val="009542CA"/>
    <w:rsid w:val="00960F90"/>
    <w:rsid w:val="00966CC3"/>
    <w:rsid w:val="009905F8"/>
    <w:rsid w:val="00990ABC"/>
    <w:rsid w:val="00992397"/>
    <w:rsid w:val="009936DD"/>
    <w:rsid w:val="009B71AA"/>
    <w:rsid w:val="009B784A"/>
    <w:rsid w:val="009E0C95"/>
    <w:rsid w:val="009F3353"/>
    <w:rsid w:val="00A01ADA"/>
    <w:rsid w:val="00A0221D"/>
    <w:rsid w:val="00A049E4"/>
    <w:rsid w:val="00A10DC9"/>
    <w:rsid w:val="00A21D5D"/>
    <w:rsid w:val="00A241C5"/>
    <w:rsid w:val="00A258A1"/>
    <w:rsid w:val="00A26AC9"/>
    <w:rsid w:val="00A27D4C"/>
    <w:rsid w:val="00A302A5"/>
    <w:rsid w:val="00A32DFD"/>
    <w:rsid w:val="00A34972"/>
    <w:rsid w:val="00A46010"/>
    <w:rsid w:val="00A66A9B"/>
    <w:rsid w:val="00A86845"/>
    <w:rsid w:val="00A90A84"/>
    <w:rsid w:val="00A93102"/>
    <w:rsid w:val="00A94ACD"/>
    <w:rsid w:val="00A965B3"/>
    <w:rsid w:val="00A97CFC"/>
    <w:rsid w:val="00AA0F75"/>
    <w:rsid w:val="00AA42AE"/>
    <w:rsid w:val="00AA5B49"/>
    <w:rsid w:val="00AB28C8"/>
    <w:rsid w:val="00AD1301"/>
    <w:rsid w:val="00AE5F64"/>
    <w:rsid w:val="00B318D9"/>
    <w:rsid w:val="00B42F67"/>
    <w:rsid w:val="00B43565"/>
    <w:rsid w:val="00B53F9D"/>
    <w:rsid w:val="00B54A24"/>
    <w:rsid w:val="00B629B2"/>
    <w:rsid w:val="00B75C38"/>
    <w:rsid w:val="00B970DC"/>
    <w:rsid w:val="00BA157F"/>
    <w:rsid w:val="00BA1953"/>
    <w:rsid w:val="00BA37F5"/>
    <w:rsid w:val="00BC3FF8"/>
    <w:rsid w:val="00BD0319"/>
    <w:rsid w:val="00BD6DE3"/>
    <w:rsid w:val="00BE0FC9"/>
    <w:rsid w:val="00BF3C90"/>
    <w:rsid w:val="00C019A3"/>
    <w:rsid w:val="00C079FD"/>
    <w:rsid w:val="00C14F02"/>
    <w:rsid w:val="00C15820"/>
    <w:rsid w:val="00C24696"/>
    <w:rsid w:val="00C3034B"/>
    <w:rsid w:val="00C32693"/>
    <w:rsid w:val="00C44958"/>
    <w:rsid w:val="00C47BB3"/>
    <w:rsid w:val="00C50680"/>
    <w:rsid w:val="00C74020"/>
    <w:rsid w:val="00C76AB0"/>
    <w:rsid w:val="00C8423A"/>
    <w:rsid w:val="00CB04F2"/>
    <w:rsid w:val="00CB79AC"/>
    <w:rsid w:val="00CC4EA7"/>
    <w:rsid w:val="00CC7F1A"/>
    <w:rsid w:val="00CE65C5"/>
    <w:rsid w:val="00CF1C46"/>
    <w:rsid w:val="00CF1F22"/>
    <w:rsid w:val="00CF54F0"/>
    <w:rsid w:val="00CF71D4"/>
    <w:rsid w:val="00D060A6"/>
    <w:rsid w:val="00D14CA5"/>
    <w:rsid w:val="00D168DB"/>
    <w:rsid w:val="00D203AA"/>
    <w:rsid w:val="00D32946"/>
    <w:rsid w:val="00D450B7"/>
    <w:rsid w:val="00D53CFF"/>
    <w:rsid w:val="00D5659E"/>
    <w:rsid w:val="00D6193B"/>
    <w:rsid w:val="00D65504"/>
    <w:rsid w:val="00D70891"/>
    <w:rsid w:val="00D73CB2"/>
    <w:rsid w:val="00D744B9"/>
    <w:rsid w:val="00D90FF9"/>
    <w:rsid w:val="00DC1DAC"/>
    <w:rsid w:val="00DC6623"/>
    <w:rsid w:val="00DD2B4A"/>
    <w:rsid w:val="00DD3E99"/>
    <w:rsid w:val="00DD7715"/>
    <w:rsid w:val="00DD7D35"/>
    <w:rsid w:val="00E143DE"/>
    <w:rsid w:val="00E255AE"/>
    <w:rsid w:val="00E33058"/>
    <w:rsid w:val="00E40760"/>
    <w:rsid w:val="00E41E50"/>
    <w:rsid w:val="00E66020"/>
    <w:rsid w:val="00E67A47"/>
    <w:rsid w:val="00E72613"/>
    <w:rsid w:val="00E76F1B"/>
    <w:rsid w:val="00E95C81"/>
    <w:rsid w:val="00E97DD2"/>
    <w:rsid w:val="00EB5670"/>
    <w:rsid w:val="00EC22E9"/>
    <w:rsid w:val="00EC3646"/>
    <w:rsid w:val="00EC4BA8"/>
    <w:rsid w:val="00EC7179"/>
    <w:rsid w:val="00ED0671"/>
    <w:rsid w:val="00ED4387"/>
    <w:rsid w:val="00EE1FFA"/>
    <w:rsid w:val="00EF37D6"/>
    <w:rsid w:val="00EF5D80"/>
    <w:rsid w:val="00F02E50"/>
    <w:rsid w:val="00F11F2D"/>
    <w:rsid w:val="00F15A2B"/>
    <w:rsid w:val="00F1605A"/>
    <w:rsid w:val="00F2641E"/>
    <w:rsid w:val="00F30223"/>
    <w:rsid w:val="00F44301"/>
    <w:rsid w:val="00F50E96"/>
    <w:rsid w:val="00F51338"/>
    <w:rsid w:val="00F60FC8"/>
    <w:rsid w:val="00F71C94"/>
    <w:rsid w:val="00F913A8"/>
    <w:rsid w:val="00FA327D"/>
    <w:rsid w:val="00FA79DA"/>
    <w:rsid w:val="00FB3B1A"/>
    <w:rsid w:val="00FB44EB"/>
    <w:rsid w:val="00FB5A8F"/>
    <w:rsid w:val="00FD1A0D"/>
    <w:rsid w:val="00FD578D"/>
    <w:rsid w:val="00FF22DF"/>
    <w:rsid w:val="00FF34A5"/>
    <w:rsid w:val="00FF6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888E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CA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21F9A"/>
    <w:pPr>
      <w:keepNext/>
      <w:keepLines/>
      <w:spacing w:before="360" w:after="80"/>
      <w:outlineLvl w:val="0"/>
    </w:pPr>
    <w:rPr>
      <w:rFonts w:eastAsia="Times New Roman" w:cstheme="majorBidi"/>
      <w:b/>
      <w:color w:val="0F4761" w:themeColor="accent1" w:themeShade="BF"/>
      <w:sz w:val="32"/>
      <w:szCs w:val="40"/>
      <w:lang w:eastAsia="en-GB"/>
    </w:rPr>
  </w:style>
  <w:style w:type="paragraph" w:styleId="Heading2">
    <w:name w:val="heading 2"/>
    <w:basedOn w:val="Normal"/>
    <w:next w:val="Normal"/>
    <w:link w:val="Heading2Char"/>
    <w:autoRedefine/>
    <w:uiPriority w:val="9"/>
    <w:unhideWhenUsed/>
    <w:qFormat/>
    <w:rsid w:val="00921F9A"/>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semiHidden/>
    <w:unhideWhenUsed/>
    <w:qFormat/>
    <w:rsid w:val="00990A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A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A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A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A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A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A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F9A"/>
    <w:rPr>
      <w:rFonts w:ascii="Times New Roman" w:eastAsia="Times New Roman" w:hAnsi="Times New Roman" w:cstheme="majorBidi"/>
      <w:b/>
      <w:color w:val="0F4761" w:themeColor="accent1" w:themeShade="BF"/>
      <w:sz w:val="32"/>
      <w:szCs w:val="40"/>
      <w:lang w:eastAsia="en-GB"/>
    </w:rPr>
  </w:style>
  <w:style w:type="character" w:customStyle="1" w:styleId="Heading2Char">
    <w:name w:val="Heading 2 Char"/>
    <w:basedOn w:val="DefaultParagraphFont"/>
    <w:link w:val="Heading2"/>
    <w:uiPriority w:val="9"/>
    <w:rsid w:val="00921F9A"/>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semiHidden/>
    <w:rsid w:val="00990A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A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A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A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A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A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ABC"/>
    <w:rPr>
      <w:rFonts w:eastAsiaTheme="majorEastAsia" w:cstheme="majorBidi"/>
      <w:color w:val="272727" w:themeColor="text1" w:themeTint="D8"/>
    </w:rPr>
  </w:style>
  <w:style w:type="paragraph" w:styleId="Title">
    <w:name w:val="Title"/>
    <w:basedOn w:val="Normal"/>
    <w:next w:val="Normal"/>
    <w:link w:val="TitleChar"/>
    <w:uiPriority w:val="10"/>
    <w:qFormat/>
    <w:rsid w:val="00990A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A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A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ABC"/>
    <w:pPr>
      <w:spacing w:before="160"/>
      <w:jc w:val="center"/>
    </w:pPr>
    <w:rPr>
      <w:i/>
      <w:iCs/>
      <w:color w:val="404040" w:themeColor="text1" w:themeTint="BF"/>
    </w:rPr>
  </w:style>
  <w:style w:type="character" w:customStyle="1" w:styleId="QuoteChar">
    <w:name w:val="Quote Char"/>
    <w:basedOn w:val="DefaultParagraphFont"/>
    <w:link w:val="Quote"/>
    <w:uiPriority w:val="29"/>
    <w:rsid w:val="00990ABC"/>
    <w:rPr>
      <w:i/>
      <w:iCs/>
      <w:color w:val="404040" w:themeColor="text1" w:themeTint="BF"/>
    </w:rPr>
  </w:style>
  <w:style w:type="paragraph" w:styleId="ListParagraph">
    <w:name w:val="List Paragraph"/>
    <w:basedOn w:val="Normal"/>
    <w:uiPriority w:val="34"/>
    <w:qFormat/>
    <w:rsid w:val="00990ABC"/>
    <w:pPr>
      <w:ind w:left="720"/>
      <w:contextualSpacing/>
    </w:pPr>
  </w:style>
  <w:style w:type="character" w:styleId="IntenseEmphasis">
    <w:name w:val="Intense Emphasis"/>
    <w:basedOn w:val="DefaultParagraphFont"/>
    <w:uiPriority w:val="21"/>
    <w:qFormat/>
    <w:rsid w:val="00990ABC"/>
    <w:rPr>
      <w:i/>
      <w:iCs/>
      <w:color w:val="0F4761" w:themeColor="accent1" w:themeShade="BF"/>
    </w:rPr>
  </w:style>
  <w:style w:type="paragraph" w:styleId="IntenseQuote">
    <w:name w:val="Intense Quote"/>
    <w:basedOn w:val="Normal"/>
    <w:next w:val="Normal"/>
    <w:link w:val="IntenseQuoteChar"/>
    <w:uiPriority w:val="30"/>
    <w:qFormat/>
    <w:rsid w:val="00990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ABC"/>
    <w:rPr>
      <w:i/>
      <w:iCs/>
      <w:color w:val="0F4761" w:themeColor="accent1" w:themeShade="BF"/>
    </w:rPr>
  </w:style>
  <w:style w:type="character" w:styleId="IntenseReference">
    <w:name w:val="Intense Reference"/>
    <w:basedOn w:val="DefaultParagraphFont"/>
    <w:uiPriority w:val="32"/>
    <w:qFormat/>
    <w:rsid w:val="00990ABC"/>
    <w:rPr>
      <w:b/>
      <w:bCs/>
      <w:smallCaps/>
      <w:color w:val="0F4761" w:themeColor="accent1" w:themeShade="BF"/>
      <w:spacing w:val="5"/>
    </w:rPr>
  </w:style>
  <w:style w:type="character" w:styleId="Hyperlink">
    <w:name w:val="Hyperlink"/>
    <w:basedOn w:val="DefaultParagraphFont"/>
    <w:uiPriority w:val="99"/>
    <w:unhideWhenUsed/>
    <w:rsid w:val="00416ED9"/>
    <w:rPr>
      <w:color w:val="467886" w:themeColor="hyperlink"/>
      <w:u w:val="single"/>
    </w:rPr>
  </w:style>
  <w:style w:type="character" w:styleId="UnresolvedMention">
    <w:name w:val="Unresolved Mention"/>
    <w:basedOn w:val="DefaultParagraphFont"/>
    <w:uiPriority w:val="99"/>
    <w:semiHidden/>
    <w:unhideWhenUsed/>
    <w:rsid w:val="00416ED9"/>
    <w:rPr>
      <w:color w:val="605E5C"/>
      <w:shd w:val="clear" w:color="auto" w:fill="E1DFDD"/>
    </w:rPr>
  </w:style>
  <w:style w:type="paragraph" w:styleId="Header">
    <w:name w:val="header"/>
    <w:basedOn w:val="Normal"/>
    <w:link w:val="HeaderChar"/>
    <w:uiPriority w:val="99"/>
    <w:unhideWhenUsed/>
    <w:rsid w:val="003254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469"/>
  </w:style>
  <w:style w:type="paragraph" w:styleId="Footer">
    <w:name w:val="footer"/>
    <w:basedOn w:val="Normal"/>
    <w:link w:val="FooterChar"/>
    <w:uiPriority w:val="99"/>
    <w:unhideWhenUsed/>
    <w:rsid w:val="003254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469"/>
  </w:style>
  <w:style w:type="paragraph" w:styleId="TOCHeading">
    <w:name w:val="TOC Heading"/>
    <w:basedOn w:val="Heading1"/>
    <w:next w:val="Normal"/>
    <w:uiPriority w:val="39"/>
    <w:unhideWhenUsed/>
    <w:qFormat/>
    <w:rsid w:val="00325469"/>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325469"/>
    <w:pPr>
      <w:spacing w:after="100"/>
    </w:pPr>
  </w:style>
  <w:style w:type="paragraph" w:styleId="TOC2">
    <w:name w:val="toc 2"/>
    <w:basedOn w:val="Normal"/>
    <w:next w:val="Normal"/>
    <w:autoRedefine/>
    <w:uiPriority w:val="39"/>
    <w:unhideWhenUsed/>
    <w:rsid w:val="00325469"/>
    <w:pPr>
      <w:spacing w:after="100"/>
      <w:ind w:left="240"/>
    </w:pPr>
  </w:style>
  <w:style w:type="paragraph" w:styleId="NormalWeb">
    <w:name w:val="Normal (Web)"/>
    <w:basedOn w:val="Normal"/>
    <w:uiPriority w:val="99"/>
    <w:unhideWhenUsed/>
    <w:rsid w:val="00170BB0"/>
    <w:pPr>
      <w:spacing w:before="100" w:beforeAutospacing="1" w:after="100" w:afterAutospacing="1" w:line="240" w:lineRule="auto"/>
    </w:pPr>
    <w:rPr>
      <w:rFonts w:eastAsia="Times New Roman" w:cs="Times New Roman"/>
      <w:kern w:val="0"/>
      <w:lang w:eastAsia="en-GB"/>
      <w14:ligatures w14:val="none"/>
    </w:rPr>
  </w:style>
  <w:style w:type="character" w:styleId="CommentReference">
    <w:name w:val="annotation reference"/>
    <w:basedOn w:val="DefaultParagraphFont"/>
    <w:uiPriority w:val="99"/>
    <w:semiHidden/>
    <w:unhideWhenUsed/>
    <w:rsid w:val="004749F2"/>
    <w:rPr>
      <w:sz w:val="16"/>
      <w:szCs w:val="16"/>
    </w:rPr>
  </w:style>
  <w:style w:type="paragraph" w:styleId="CommentText">
    <w:name w:val="annotation text"/>
    <w:basedOn w:val="Normal"/>
    <w:link w:val="CommentTextChar"/>
    <w:uiPriority w:val="99"/>
    <w:semiHidden/>
    <w:unhideWhenUsed/>
    <w:rsid w:val="004749F2"/>
    <w:pPr>
      <w:spacing w:line="240" w:lineRule="auto"/>
    </w:pPr>
    <w:rPr>
      <w:sz w:val="20"/>
      <w:szCs w:val="20"/>
    </w:rPr>
  </w:style>
  <w:style w:type="character" w:customStyle="1" w:styleId="CommentTextChar">
    <w:name w:val="Comment Text Char"/>
    <w:basedOn w:val="DefaultParagraphFont"/>
    <w:link w:val="CommentText"/>
    <w:uiPriority w:val="99"/>
    <w:semiHidden/>
    <w:rsid w:val="004749F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749F2"/>
    <w:rPr>
      <w:b/>
      <w:bCs/>
    </w:rPr>
  </w:style>
  <w:style w:type="character" w:customStyle="1" w:styleId="CommentSubjectChar">
    <w:name w:val="Comment Subject Char"/>
    <w:basedOn w:val="CommentTextChar"/>
    <w:link w:val="CommentSubject"/>
    <w:uiPriority w:val="99"/>
    <w:semiHidden/>
    <w:rsid w:val="004749F2"/>
    <w:rPr>
      <w:rFonts w:ascii="Times New Roman" w:hAnsi="Times New Roman"/>
      <w:b/>
      <w:bCs/>
      <w:sz w:val="20"/>
      <w:szCs w:val="20"/>
    </w:rPr>
  </w:style>
  <w:style w:type="character" w:styleId="FollowedHyperlink">
    <w:name w:val="FollowedHyperlink"/>
    <w:basedOn w:val="DefaultParagraphFont"/>
    <w:uiPriority w:val="99"/>
    <w:semiHidden/>
    <w:unhideWhenUsed/>
    <w:rsid w:val="00C5068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6541">
      <w:bodyDiv w:val="1"/>
      <w:marLeft w:val="0"/>
      <w:marRight w:val="0"/>
      <w:marTop w:val="0"/>
      <w:marBottom w:val="0"/>
      <w:divBdr>
        <w:top w:val="none" w:sz="0" w:space="0" w:color="auto"/>
        <w:left w:val="none" w:sz="0" w:space="0" w:color="auto"/>
        <w:bottom w:val="none" w:sz="0" w:space="0" w:color="auto"/>
        <w:right w:val="none" w:sz="0" w:space="0" w:color="auto"/>
      </w:divBdr>
    </w:div>
    <w:div w:id="68383195">
      <w:bodyDiv w:val="1"/>
      <w:marLeft w:val="0"/>
      <w:marRight w:val="0"/>
      <w:marTop w:val="0"/>
      <w:marBottom w:val="0"/>
      <w:divBdr>
        <w:top w:val="none" w:sz="0" w:space="0" w:color="auto"/>
        <w:left w:val="none" w:sz="0" w:space="0" w:color="auto"/>
        <w:bottom w:val="none" w:sz="0" w:space="0" w:color="auto"/>
        <w:right w:val="none" w:sz="0" w:space="0" w:color="auto"/>
      </w:divBdr>
    </w:div>
    <w:div w:id="91517781">
      <w:bodyDiv w:val="1"/>
      <w:marLeft w:val="0"/>
      <w:marRight w:val="0"/>
      <w:marTop w:val="0"/>
      <w:marBottom w:val="0"/>
      <w:divBdr>
        <w:top w:val="none" w:sz="0" w:space="0" w:color="auto"/>
        <w:left w:val="none" w:sz="0" w:space="0" w:color="auto"/>
        <w:bottom w:val="none" w:sz="0" w:space="0" w:color="auto"/>
        <w:right w:val="none" w:sz="0" w:space="0" w:color="auto"/>
      </w:divBdr>
    </w:div>
    <w:div w:id="106434432">
      <w:bodyDiv w:val="1"/>
      <w:marLeft w:val="0"/>
      <w:marRight w:val="0"/>
      <w:marTop w:val="0"/>
      <w:marBottom w:val="0"/>
      <w:divBdr>
        <w:top w:val="none" w:sz="0" w:space="0" w:color="auto"/>
        <w:left w:val="none" w:sz="0" w:space="0" w:color="auto"/>
        <w:bottom w:val="none" w:sz="0" w:space="0" w:color="auto"/>
        <w:right w:val="none" w:sz="0" w:space="0" w:color="auto"/>
      </w:divBdr>
    </w:div>
    <w:div w:id="140660331">
      <w:bodyDiv w:val="1"/>
      <w:marLeft w:val="0"/>
      <w:marRight w:val="0"/>
      <w:marTop w:val="0"/>
      <w:marBottom w:val="0"/>
      <w:divBdr>
        <w:top w:val="none" w:sz="0" w:space="0" w:color="auto"/>
        <w:left w:val="none" w:sz="0" w:space="0" w:color="auto"/>
        <w:bottom w:val="none" w:sz="0" w:space="0" w:color="auto"/>
        <w:right w:val="none" w:sz="0" w:space="0" w:color="auto"/>
      </w:divBdr>
    </w:div>
    <w:div w:id="164832330">
      <w:bodyDiv w:val="1"/>
      <w:marLeft w:val="0"/>
      <w:marRight w:val="0"/>
      <w:marTop w:val="0"/>
      <w:marBottom w:val="0"/>
      <w:divBdr>
        <w:top w:val="none" w:sz="0" w:space="0" w:color="auto"/>
        <w:left w:val="none" w:sz="0" w:space="0" w:color="auto"/>
        <w:bottom w:val="none" w:sz="0" w:space="0" w:color="auto"/>
        <w:right w:val="none" w:sz="0" w:space="0" w:color="auto"/>
      </w:divBdr>
    </w:div>
    <w:div w:id="166749166">
      <w:bodyDiv w:val="1"/>
      <w:marLeft w:val="0"/>
      <w:marRight w:val="0"/>
      <w:marTop w:val="0"/>
      <w:marBottom w:val="0"/>
      <w:divBdr>
        <w:top w:val="none" w:sz="0" w:space="0" w:color="auto"/>
        <w:left w:val="none" w:sz="0" w:space="0" w:color="auto"/>
        <w:bottom w:val="none" w:sz="0" w:space="0" w:color="auto"/>
        <w:right w:val="none" w:sz="0" w:space="0" w:color="auto"/>
      </w:divBdr>
      <w:divsChild>
        <w:div w:id="377972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299668">
      <w:bodyDiv w:val="1"/>
      <w:marLeft w:val="0"/>
      <w:marRight w:val="0"/>
      <w:marTop w:val="0"/>
      <w:marBottom w:val="0"/>
      <w:divBdr>
        <w:top w:val="none" w:sz="0" w:space="0" w:color="auto"/>
        <w:left w:val="none" w:sz="0" w:space="0" w:color="auto"/>
        <w:bottom w:val="none" w:sz="0" w:space="0" w:color="auto"/>
        <w:right w:val="none" w:sz="0" w:space="0" w:color="auto"/>
      </w:divBdr>
    </w:div>
    <w:div w:id="328101538">
      <w:bodyDiv w:val="1"/>
      <w:marLeft w:val="0"/>
      <w:marRight w:val="0"/>
      <w:marTop w:val="0"/>
      <w:marBottom w:val="0"/>
      <w:divBdr>
        <w:top w:val="none" w:sz="0" w:space="0" w:color="auto"/>
        <w:left w:val="none" w:sz="0" w:space="0" w:color="auto"/>
        <w:bottom w:val="none" w:sz="0" w:space="0" w:color="auto"/>
        <w:right w:val="none" w:sz="0" w:space="0" w:color="auto"/>
      </w:divBdr>
      <w:divsChild>
        <w:div w:id="21375257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336234">
      <w:bodyDiv w:val="1"/>
      <w:marLeft w:val="0"/>
      <w:marRight w:val="0"/>
      <w:marTop w:val="0"/>
      <w:marBottom w:val="0"/>
      <w:divBdr>
        <w:top w:val="none" w:sz="0" w:space="0" w:color="auto"/>
        <w:left w:val="none" w:sz="0" w:space="0" w:color="auto"/>
        <w:bottom w:val="none" w:sz="0" w:space="0" w:color="auto"/>
        <w:right w:val="none" w:sz="0" w:space="0" w:color="auto"/>
      </w:divBdr>
    </w:div>
    <w:div w:id="498278915">
      <w:bodyDiv w:val="1"/>
      <w:marLeft w:val="0"/>
      <w:marRight w:val="0"/>
      <w:marTop w:val="0"/>
      <w:marBottom w:val="0"/>
      <w:divBdr>
        <w:top w:val="none" w:sz="0" w:space="0" w:color="auto"/>
        <w:left w:val="none" w:sz="0" w:space="0" w:color="auto"/>
        <w:bottom w:val="none" w:sz="0" w:space="0" w:color="auto"/>
        <w:right w:val="none" w:sz="0" w:space="0" w:color="auto"/>
      </w:divBdr>
    </w:div>
    <w:div w:id="513961639">
      <w:bodyDiv w:val="1"/>
      <w:marLeft w:val="0"/>
      <w:marRight w:val="0"/>
      <w:marTop w:val="0"/>
      <w:marBottom w:val="0"/>
      <w:divBdr>
        <w:top w:val="none" w:sz="0" w:space="0" w:color="auto"/>
        <w:left w:val="none" w:sz="0" w:space="0" w:color="auto"/>
        <w:bottom w:val="none" w:sz="0" w:space="0" w:color="auto"/>
        <w:right w:val="none" w:sz="0" w:space="0" w:color="auto"/>
      </w:divBdr>
    </w:div>
    <w:div w:id="515387334">
      <w:bodyDiv w:val="1"/>
      <w:marLeft w:val="0"/>
      <w:marRight w:val="0"/>
      <w:marTop w:val="0"/>
      <w:marBottom w:val="0"/>
      <w:divBdr>
        <w:top w:val="none" w:sz="0" w:space="0" w:color="auto"/>
        <w:left w:val="none" w:sz="0" w:space="0" w:color="auto"/>
        <w:bottom w:val="none" w:sz="0" w:space="0" w:color="auto"/>
        <w:right w:val="none" w:sz="0" w:space="0" w:color="auto"/>
      </w:divBdr>
    </w:div>
    <w:div w:id="530187741">
      <w:bodyDiv w:val="1"/>
      <w:marLeft w:val="0"/>
      <w:marRight w:val="0"/>
      <w:marTop w:val="0"/>
      <w:marBottom w:val="0"/>
      <w:divBdr>
        <w:top w:val="none" w:sz="0" w:space="0" w:color="auto"/>
        <w:left w:val="none" w:sz="0" w:space="0" w:color="auto"/>
        <w:bottom w:val="none" w:sz="0" w:space="0" w:color="auto"/>
        <w:right w:val="none" w:sz="0" w:space="0" w:color="auto"/>
      </w:divBdr>
    </w:div>
    <w:div w:id="772090654">
      <w:bodyDiv w:val="1"/>
      <w:marLeft w:val="0"/>
      <w:marRight w:val="0"/>
      <w:marTop w:val="0"/>
      <w:marBottom w:val="0"/>
      <w:divBdr>
        <w:top w:val="none" w:sz="0" w:space="0" w:color="auto"/>
        <w:left w:val="none" w:sz="0" w:space="0" w:color="auto"/>
        <w:bottom w:val="none" w:sz="0" w:space="0" w:color="auto"/>
        <w:right w:val="none" w:sz="0" w:space="0" w:color="auto"/>
      </w:divBdr>
    </w:div>
    <w:div w:id="772287252">
      <w:bodyDiv w:val="1"/>
      <w:marLeft w:val="0"/>
      <w:marRight w:val="0"/>
      <w:marTop w:val="0"/>
      <w:marBottom w:val="0"/>
      <w:divBdr>
        <w:top w:val="none" w:sz="0" w:space="0" w:color="auto"/>
        <w:left w:val="none" w:sz="0" w:space="0" w:color="auto"/>
        <w:bottom w:val="none" w:sz="0" w:space="0" w:color="auto"/>
        <w:right w:val="none" w:sz="0" w:space="0" w:color="auto"/>
      </w:divBdr>
    </w:div>
    <w:div w:id="780687391">
      <w:bodyDiv w:val="1"/>
      <w:marLeft w:val="0"/>
      <w:marRight w:val="0"/>
      <w:marTop w:val="0"/>
      <w:marBottom w:val="0"/>
      <w:divBdr>
        <w:top w:val="none" w:sz="0" w:space="0" w:color="auto"/>
        <w:left w:val="none" w:sz="0" w:space="0" w:color="auto"/>
        <w:bottom w:val="none" w:sz="0" w:space="0" w:color="auto"/>
        <w:right w:val="none" w:sz="0" w:space="0" w:color="auto"/>
      </w:divBdr>
    </w:div>
    <w:div w:id="794836068">
      <w:bodyDiv w:val="1"/>
      <w:marLeft w:val="0"/>
      <w:marRight w:val="0"/>
      <w:marTop w:val="0"/>
      <w:marBottom w:val="0"/>
      <w:divBdr>
        <w:top w:val="none" w:sz="0" w:space="0" w:color="auto"/>
        <w:left w:val="none" w:sz="0" w:space="0" w:color="auto"/>
        <w:bottom w:val="none" w:sz="0" w:space="0" w:color="auto"/>
        <w:right w:val="none" w:sz="0" w:space="0" w:color="auto"/>
      </w:divBdr>
    </w:div>
    <w:div w:id="1129279316">
      <w:bodyDiv w:val="1"/>
      <w:marLeft w:val="0"/>
      <w:marRight w:val="0"/>
      <w:marTop w:val="0"/>
      <w:marBottom w:val="0"/>
      <w:divBdr>
        <w:top w:val="none" w:sz="0" w:space="0" w:color="auto"/>
        <w:left w:val="none" w:sz="0" w:space="0" w:color="auto"/>
        <w:bottom w:val="none" w:sz="0" w:space="0" w:color="auto"/>
        <w:right w:val="none" w:sz="0" w:space="0" w:color="auto"/>
      </w:divBdr>
    </w:div>
    <w:div w:id="1130324061">
      <w:bodyDiv w:val="1"/>
      <w:marLeft w:val="0"/>
      <w:marRight w:val="0"/>
      <w:marTop w:val="0"/>
      <w:marBottom w:val="0"/>
      <w:divBdr>
        <w:top w:val="none" w:sz="0" w:space="0" w:color="auto"/>
        <w:left w:val="none" w:sz="0" w:space="0" w:color="auto"/>
        <w:bottom w:val="none" w:sz="0" w:space="0" w:color="auto"/>
        <w:right w:val="none" w:sz="0" w:space="0" w:color="auto"/>
      </w:divBdr>
    </w:div>
    <w:div w:id="1173565001">
      <w:bodyDiv w:val="1"/>
      <w:marLeft w:val="0"/>
      <w:marRight w:val="0"/>
      <w:marTop w:val="0"/>
      <w:marBottom w:val="0"/>
      <w:divBdr>
        <w:top w:val="none" w:sz="0" w:space="0" w:color="auto"/>
        <w:left w:val="none" w:sz="0" w:space="0" w:color="auto"/>
        <w:bottom w:val="none" w:sz="0" w:space="0" w:color="auto"/>
        <w:right w:val="none" w:sz="0" w:space="0" w:color="auto"/>
      </w:divBdr>
    </w:div>
    <w:div w:id="1202203956">
      <w:bodyDiv w:val="1"/>
      <w:marLeft w:val="0"/>
      <w:marRight w:val="0"/>
      <w:marTop w:val="0"/>
      <w:marBottom w:val="0"/>
      <w:divBdr>
        <w:top w:val="none" w:sz="0" w:space="0" w:color="auto"/>
        <w:left w:val="none" w:sz="0" w:space="0" w:color="auto"/>
        <w:bottom w:val="none" w:sz="0" w:space="0" w:color="auto"/>
        <w:right w:val="none" w:sz="0" w:space="0" w:color="auto"/>
      </w:divBdr>
    </w:div>
    <w:div w:id="1213075202">
      <w:bodyDiv w:val="1"/>
      <w:marLeft w:val="0"/>
      <w:marRight w:val="0"/>
      <w:marTop w:val="0"/>
      <w:marBottom w:val="0"/>
      <w:divBdr>
        <w:top w:val="none" w:sz="0" w:space="0" w:color="auto"/>
        <w:left w:val="none" w:sz="0" w:space="0" w:color="auto"/>
        <w:bottom w:val="none" w:sz="0" w:space="0" w:color="auto"/>
        <w:right w:val="none" w:sz="0" w:space="0" w:color="auto"/>
      </w:divBdr>
    </w:div>
    <w:div w:id="1234003975">
      <w:bodyDiv w:val="1"/>
      <w:marLeft w:val="0"/>
      <w:marRight w:val="0"/>
      <w:marTop w:val="0"/>
      <w:marBottom w:val="0"/>
      <w:divBdr>
        <w:top w:val="none" w:sz="0" w:space="0" w:color="auto"/>
        <w:left w:val="none" w:sz="0" w:space="0" w:color="auto"/>
        <w:bottom w:val="none" w:sz="0" w:space="0" w:color="auto"/>
        <w:right w:val="none" w:sz="0" w:space="0" w:color="auto"/>
      </w:divBdr>
    </w:div>
    <w:div w:id="1346127192">
      <w:bodyDiv w:val="1"/>
      <w:marLeft w:val="0"/>
      <w:marRight w:val="0"/>
      <w:marTop w:val="0"/>
      <w:marBottom w:val="0"/>
      <w:divBdr>
        <w:top w:val="none" w:sz="0" w:space="0" w:color="auto"/>
        <w:left w:val="none" w:sz="0" w:space="0" w:color="auto"/>
        <w:bottom w:val="none" w:sz="0" w:space="0" w:color="auto"/>
        <w:right w:val="none" w:sz="0" w:space="0" w:color="auto"/>
      </w:divBdr>
    </w:div>
    <w:div w:id="1478061695">
      <w:bodyDiv w:val="1"/>
      <w:marLeft w:val="0"/>
      <w:marRight w:val="0"/>
      <w:marTop w:val="0"/>
      <w:marBottom w:val="0"/>
      <w:divBdr>
        <w:top w:val="none" w:sz="0" w:space="0" w:color="auto"/>
        <w:left w:val="none" w:sz="0" w:space="0" w:color="auto"/>
        <w:bottom w:val="none" w:sz="0" w:space="0" w:color="auto"/>
        <w:right w:val="none" w:sz="0" w:space="0" w:color="auto"/>
      </w:divBdr>
    </w:div>
    <w:div w:id="1497186265">
      <w:bodyDiv w:val="1"/>
      <w:marLeft w:val="0"/>
      <w:marRight w:val="0"/>
      <w:marTop w:val="0"/>
      <w:marBottom w:val="0"/>
      <w:divBdr>
        <w:top w:val="none" w:sz="0" w:space="0" w:color="auto"/>
        <w:left w:val="none" w:sz="0" w:space="0" w:color="auto"/>
        <w:bottom w:val="none" w:sz="0" w:space="0" w:color="auto"/>
        <w:right w:val="none" w:sz="0" w:space="0" w:color="auto"/>
      </w:divBdr>
    </w:div>
    <w:div w:id="1549995104">
      <w:bodyDiv w:val="1"/>
      <w:marLeft w:val="0"/>
      <w:marRight w:val="0"/>
      <w:marTop w:val="0"/>
      <w:marBottom w:val="0"/>
      <w:divBdr>
        <w:top w:val="none" w:sz="0" w:space="0" w:color="auto"/>
        <w:left w:val="none" w:sz="0" w:space="0" w:color="auto"/>
        <w:bottom w:val="none" w:sz="0" w:space="0" w:color="auto"/>
        <w:right w:val="none" w:sz="0" w:space="0" w:color="auto"/>
      </w:divBdr>
    </w:div>
    <w:div w:id="1925918189">
      <w:bodyDiv w:val="1"/>
      <w:marLeft w:val="0"/>
      <w:marRight w:val="0"/>
      <w:marTop w:val="0"/>
      <w:marBottom w:val="0"/>
      <w:divBdr>
        <w:top w:val="none" w:sz="0" w:space="0" w:color="auto"/>
        <w:left w:val="none" w:sz="0" w:space="0" w:color="auto"/>
        <w:bottom w:val="none" w:sz="0" w:space="0" w:color="auto"/>
        <w:right w:val="none" w:sz="0" w:space="0" w:color="auto"/>
      </w:divBdr>
    </w:div>
    <w:div w:id="1973123563">
      <w:bodyDiv w:val="1"/>
      <w:marLeft w:val="0"/>
      <w:marRight w:val="0"/>
      <w:marTop w:val="0"/>
      <w:marBottom w:val="0"/>
      <w:divBdr>
        <w:top w:val="none" w:sz="0" w:space="0" w:color="auto"/>
        <w:left w:val="none" w:sz="0" w:space="0" w:color="auto"/>
        <w:bottom w:val="none" w:sz="0" w:space="0" w:color="auto"/>
        <w:right w:val="none" w:sz="0" w:space="0" w:color="auto"/>
      </w:divBdr>
    </w:div>
    <w:div w:id="1999726195">
      <w:bodyDiv w:val="1"/>
      <w:marLeft w:val="0"/>
      <w:marRight w:val="0"/>
      <w:marTop w:val="0"/>
      <w:marBottom w:val="0"/>
      <w:divBdr>
        <w:top w:val="none" w:sz="0" w:space="0" w:color="auto"/>
        <w:left w:val="none" w:sz="0" w:space="0" w:color="auto"/>
        <w:bottom w:val="none" w:sz="0" w:space="0" w:color="auto"/>
        <w:right w:val="none" w:sz="0" w:space="0" w:color="auto"/>
      </w:divBdr>
    </w:div>
    <w:div w:id="2002275002">
      <w:bodyDiv w:val="1"/>
      <w:marLeft w:val="0"/>
      <w:marRight w:val="0"/>
      <w:marTop w:val="0"/>
      <w:marBottom w:val="0"/>
      <w:divBdr>
        <w:top w:val="none" w:sz="0" w:space="0" w:color="auto"/>
        <w:left w:val="none" w:sz="0" w:space="0" w:color="auto"/>
        <w:bottom w:val="none" w:sz="0" w:space="0" w:color="auto"/>
        <w:right w:val="none" w:sz="0" w:space="0" w:color="auto"/>
      </w:divBdr>
    </w:div>
    <w:div w:id="2031253591">
      <w:bodyDiv w:val="1"/>
      <w:marLeft w:val="0"/>
      <w:marRight w:val="0"/>
      <w:marTop w:val="0"/>
      <w:marBottom w:val="0"/>
      <w:divBdr>
        <w:top w:val="none" w:sz="0" w:space="0" w:color="auto"/>
        <w:left w:val="none" w:sz="0" w:space="0" w:color="auto"/>
        <w:bottom w:val="none" w:sz="0" w:space="0" w:color="auto"/>
        <w:right w:val="none" w:sz="0" w:space="0" w:color="auto"/>
      </w:divBdr>
    </w:div>
    <w:div w:id="2119446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loitte.com/bd/en/services/consulting/services/advertising-marketing-and-commerce.html" TargetMode="External"/><Relationship Id="rId18" Type="http://schemas.openxmlformats.org/officeDocument/2006/relationships/hyperlink" Target="https://www.hotelmanagement-network.com/news/hotel-occupancy-levels-rise-across-the-uk/" TargetMode="External"/><Relationship Id="rId26" Type="http://schemas.openxmlformats.org/officeDocument/2006/relationships/hyperlink" Target="https://www.ons.gov.uk/releases/uklabourmarketfebruary2023" TargetMode="External"/><Relationship Id="rId21" Type="http://schemas.openxmlformats.org/officeDocument/2006/relationships/hyperlink" Target="https://newsroom.hyatt.com/2023-fourth-quarter-and-full-year-earnings" TargetMode="External"/><Relationship Id="rId34" Type="http://schemas.openxmlformats.org/officeDocument/2006/relationships/hyperlink" Target="https://wttc.org/" TargetMode="External"/><Relationship Id="rId7" Type="http://schemas.openxmlformats.org/officeDocument/2006/relationships/endnotes" Target="endnotes.xml"/><Relationship Id="rId12" Type="http://schemas.openxmlformats.org/officeDocument/2006/relationships/hyperlink" Target="https://www.cipd.org/en/knowledge/reports/resourcing-surveys/" TargetMode="External"/><Relationship Id="rId17" Type="http://schemas.openxmlformats.org/officeDocument/2006/relationships/hyperlink" Target="https://esg.hilton.com/wp-content/uploads/sites/4/2024/05/2023-Travel-with-Purpose-Report-ADA-final.pdf" TargetMode="External"/><Relationship Id="rId25" Type="http://schemas.openxmlformats.org/officeDocument/2006/relationships/hyperlink" Target="https://mybiz.makemytrip.com/corporate/business-vs-leisure-travel.html" TargetMode="External"/><Relationship Id="rId33" Type="http://schemas.openxmlformats.org/officeDocument/2006/relationships/hyperlink" Target="https://www.visitbritain.org/resources-business-events-partners/business-events-activities" TargetMode="External"/><Relationship Id="rId2" Type="http://schemas.openxmlformats.org/officeDocument/2006/relationships/numbering" Target="numbering.xml"/><Relationship Id="rId16" Type="http://schemas.openxmlformats.org/officeDocument/2006/relationships/hyperlink" Target="https://hbr.org/podcast/2025/04/navigating-the-hybrid-work-dilemma" TargetMode="External"/><Relationship Id="rId20" Type="http://schemas.openxmlformats.org/officeDocument/2006/relationships/hyperlink" Target="https://investors.hyatt.com/news/investor-news/news-details/2024/Hyatt-Reports-Fourth-Quarter-and-Full-Year-2023-Results/default.aspx" TargetMode="External"/><Relationship Id="rId29" Type="http://schemas.openxmlformats.org/officeDocument/2006/relationships/hyperlink" Target="https://downtownbhm.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alnews.booking.com/" TargetMode="External"/><Relationship Id="rId24" Type="http://schemas.openxmlformats.org/officeDocument/2006/relationships/hyperlink" Target="https://www.mckinsey.com/industries/travel/our-insights/tourism-in-the-metaverse-can-travel-go-virtual" TargetMode="External"/><Relationship Id="rId32" Type="http://schemas.openxmlformats.org/officeDocument/2006/relationships/hyperlink" Target="https://www.unwto.org/news/firm-action-by-governments-to-support-tourism-recovery-covid-19"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eenkey.global/criteria" TargetMode="External"/><Relationship Id="rId23" Type="http://schemas.openxmlformats.org/officeDocument/2006/relationships/hyperlink" Target="https://www.investopedia.com/most-recent-grads-would-reconsider-what-they-studied-for-better-roi-7570453" TargetMode="External"/><Relationship Id="rId28" Type="http://schemas.openxmlformats.org/officeDocument/2006/relationships/hyperlink" Target="https://www.pwc.co.uk/industries/hospitality-leisure/insights/uk-hotels-forecast-2023.html"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hospitalitynet.org/news/4126774.html" TargetMode="External"/><Relationship Id="rId31" Type="http://schemas.openxmlformats.org/officeDocument/2006/relationships/hyperlink" Target="https://www.statista.com/topics/3146/hotel-industry-in-the-united-kingdom-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vironment.ec.europa.eu/law-and-governance/environmental-assessments/environmental-impact-assessment_en" TargetMode="External"/><Relationship Id="rId22" Type="http://schemas.openxmlformats.org/officeDocument/2006/relationships/hyperlink" Target="https://www.knightfrank.com/research/article/2023-12-07-uk-hotel-trading-performance-review-2023" TargetMode="External"/><Relationship Id="rId27" Type="http://schemas.openxmlformats.org/officeDocument/2006/relationships/hyperlink" Target="https://www.oxfordeconomics.com/resource/european-tourism-2022-trends-amp-prospects-q3-2022/" TargetMode="External"/><Relationship Id="rId30" Type="http://schemas.openxmlformats.org/officeDocument/2006/relationships/hyperlink" Target="https://www.revinate.com/hotel-data-solutions/"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C2BBCF-DE49-1B44-9671-AD9606F696FA}">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6F90B-6D94-4E23-840F-8D61DEDE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7758</Words>
  <Characters>50274</Characters>
  <Application>Microsoft Office Word</Application>
  <DocSecurity>0</DocSecurity>
  <Lines>1005</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2025-06-13T10:53:00Z</dcterms:created>
  <dcterms:modified xsi:type="dcterms:W3CDTF">2025-06-18T07:58:00Z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f1c130b9-c514-4d99-81c0-57096f57c126</vt:lpwstr>
  </property>
  <property fmtid="{D5CDD505-2E9C-101B-9397-08002B2CF9AE}" pid="3" name="grammarly_documentId">
    <vt:lpwstr>documentId_6840</vt:lpwstr>
  </property>
  <property fmtid="{D5CDD505-2E9C-101B-9397-08002B2CF9AE}" pid="4" name="grammarly_documentContext">
    <vt:lpwstr>{"goals":[],"domain":"general","emotions":[],"dialect":"british"}</vt:lpwstr>
  </property>
  <property fmtid="{D5CDD505-2E9C-101B-9397-08002B2CF9AE}" pid="5" name="MSIP_Label_defa4170-0d19-0005-0004-bc88714345d2_Enabled">
    <vt:lpwstr>true</vt:lpwstr>
  </property>
  <property fmtid="{D5CDD505-2E9C-101B-9397-08002B2CF9AE}" pid="6" name="MSIP_Label_defa4170-0d19-0005-0004-bc88714345d2_SetDate">
    <vt:lpwstr>2025-06-03T15:42:13Z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bf91f015-1e12-4b04-acfe-59b2b1a184ea</vt:lpwstr>
  </property>
  <property fmtid="{D5CDD505-2E9C-101B-9397-08002B2CF9AE}" pid="10" name="MSIP_Label_defa4170-0d19-0005-0004-bc88714345d2_ActionId">
    <vt:lpwstr>0c883ebc-ce38-4a08-b9a5-2027d2c10098</vt:lpwstr>
  </property>
  <property fmtid="{D5CDD505-2E9C-101B-9397-08002B2CF9AE}" pid="11" name="MSIP_Label_defa4170-0d19-0005-0004-bc88714345d2_ContentBits">
    <vt:lpwstr>0</vt:lpwstr>
  </property>
  <property fmtid="{D5CDD505-2E9C-101B-9397-08002B2CF9AE}" pid="12" name="MSIP_Label_defa4170-0d19-0005-0004-bc88714345d2_Tag">
    <vt:lpwstr>50, 3, 0, 1</vt:lpwstr>
  </property>
</Properties>
</file>