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A6D28" w:rsidRDefault="00CA6D28" w:rsidP="00CA6D28">
      <w:pPr>
        <w:spacing w:line="360" w:lineRule="auto"/>
        <w:rPr>
          <w:rFonts w:ascii="Arial Rounded MT Bold" w:hAnsi="Arial Rounded MT Bold"/>
          <w:sz w:val="28"/>
          <w:szCs w:val="28"/>
        </w:rPr>
      </w:pPr>
    </w:p>
    <w:p w:rsidR="00CA6D28" w:rsidRDefault="00CA6D28" w:rsidP="00C059FA">
      <w:pPr>
        <w:spacing w:line="360" w:lineRule="auto"/>
        <w:jc w:val="center"/>
        <w:rPr>
          <w:rFonts w:ascii="Arial Rounded MT Bold" w:hAnsi="Arial Rounded MT Bold"/>
          <w:sz w:val="28"/>
          <w:szCs w:val="28"/>
        </w:rPr>
      </w:pPr>
    </w:p>
    <w:p w:rsidR="00CA6D28" w:rsidRDefault="00CA6D28" w:rsidP="00CA6D28">
      <w:pPr>
        <w:jc w:val="center"/>
        <w:rPr>
          <w:b/>
          <w:sz w:val="36"/>
        </w:rPr>
      </w:pPr>
      <w:r>
        <w:rPr>
          <w:noProof/>
        </w:rPr>
        <w:drawing>
          <wp:inline distT="0" distB="0" distL="0" distR="0" wp14:anchorId="763B0DE7" wp14:editId="52913BFF">
            <wp:extent cx="3040380" cy="1287780"/>
            <wp:effectExtent l="0" t="0" r="762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3040380" cy="1287780"/>
                    </a:xfrm>
                    <a:prstGeom prst="rect">
                      <a:avLst/>
                    </a:prstGeom>
                  </pic:spPr>
                </pic:pic>
              </a:graphicData>
            </a:graphic>
          </wp:inline>
        </w:drawing>
      </w:r>
    </w:p>
    <w:p w:rsidR="00CA6D28" w:rsidRPr="00C74421" w:rsidRDefault="00CA6D28" w:rsidP="00CA6D28">
      <w:pPr>
        <w:jc w:val="center"/>
        <w:rPr>
          <w:b/>
          <w:sz w:val="36"/>
        </w:rPr>
      </w:pPr>
    </w:p>
    <w:p w:rsidR="00CA6D28" w:rsidRPr="00C74421" w:rsidRDefault="00CA6D28" w:rsidP="00CA6D28">
      <w:pPr>
        <w:spacing w:before="200" w:after="200" w:line="360" w:lineRule="auto"/>
        <w:jc w:val="center"/>
        <w:rPr>
          <w:b/>
          <w:sz w:val="36"/>
        </w:rPr>
      </w:pPr>
      <w:r>
        <w:rPr>
          <w:b/>
          <w:sz w:val="36"/>
        </w:rPr>
        <w:t>LCBB5004 Managing People</w:t>
      </w:r>
    </w:p>
    <w:p w:rsidR="00CA6D28" w:rsidRPr="00C74421" w:rsidRDefault="00CA6D28" w:rsidP="00CA6D28">
      <w:pPr>
        <w:spacing w:before="200" w:after="200" w:line="360" w:lineRule="auto"/>
        <w:jc w:val="center"/>
        <w:rPr>
          <w:b/>
          <w:sz w:val="36"/>
        </w:rPr>
      </w:pPr>
      <w:r w:rsidRPr="00C74421">
        <w:rPr>
          <w:b/>
          <w:sz w:val="36"/>
        </w:rPr>
        <w:t>BA Business Management</w:t>
      </w:r>
    </w:p>
    <w:p w:rsidR="00CA6D28" w:rsidRDefault="0081687D" w:rsidP="00CA6D28">
      <w:pPr>
        <w:spacing w:before="200" w:after="200" w:line="360" w:lineRule="auto"/>
        <w:jc w:val="center"/>
        <w:rPr>
          <w:b/>
          <w:sz w:val="36"/>
        </w:rPr>
      </w:pPr>
      <w:r>
        <w:rPr>
          <w:b/>
          <w:sz w:val="36"/>
        </w:rPr>
        <w:t>Assessment 2</w:t>
      </w:r>
      <w:bookmarkStart w:id="0" w:name="_GoBack"/>
      <w:bookmarkEnd w:id="0"/>
    </w:p>
    <w:p w:rsidR="00CA6D28" w:rsidRPr="00C74421" w:rsidRDefault="00CA6D28" w:rsidP="00CA6D28">
      <w:pPr>
        <w:spacing w:before="200" w:after="200" w:line="360" w:lineRule="auto"/>
        <w:jc w:val="center"/>
        <w:rPr>
          <w:b/>
          <w:sz w:val="36"/>
        </w:rPr>
      </w:pPr>
      <w:r>
        <w:rPr>
          <w:b/>
          <w:sz w:val="36"/>
        </w:rPr>
        <w:t xml:space="preserve">Module leader: </w:t>
      </w:r>
      <w:r w:rsidR="0081687D">
        <w:rPr>
          <w:b/>
          <w:sz w:val="36"/>
        </w:rPr>
        <w:t xml:space="preserve">Charles </w:t>
      </w:r>
      <w:proofErr w:type="spellStart"/>
      <w:r w:rsidR="0081687D">
        <w:rPr>
          <w:b/>
          <w:sz w:val="36"/>
        </w:rPr>
        <w:t>Oham</w:t>
      </w:r>
      <w:proofErr w:type="spellEnd"/>
    </w:p>
    <w:p w:rsidR="00CA6D28" w:rsidRDefault="00CA6D28" w:rsidP="00CA6D28">
      <w:pPr>
        <w:spacing w:before="200" w:after="200" w:line="360" w:lineRule="auto"/>
        <w:jc w:val="center"/>
        <w:rPr>
          <w:b/>
          <w:sz w:val="36"/>
        </w:rPr>
      </w:pPr>
      <w:r w:rsidRPr="00C74421">
        <w:rPr>
          <w:b/>
          <w:sz w:val="36"/>
        </w:rPr>
        <w:t>Student ID:</w:t>
      </w:r>
      <w:r>
        <w:rPr>
          <w:b/>
          <w:sz w:val="36"/>
        </w:rPr>
        <w:t xml:space="preserve"> 201303</w:t>
      </w:r>
      <w:r w:rsidR="0081687D">
        <w:rPr>
          <w:b/>
          <w:sz w:val="36"/>
        </w:rPr>
        <w:t>7</w:t>
      </w:r>
    </w:p>
    <w:p w:rsidR="00CA6D28" w:rsidRDefault="00CA6D28" w:rsidP="00CA6D28">
      <w:pPr>
        <w:spacing w:before="100" w:beforeAutospacing="1" w:after="100" w:afterAutospacing="1"/>
        <w:ind w:left="-57" w:right="-227"/>
        <w:jc w:val="center"/>
        <w:rPr>
          <w:b/>
          <w:sz w:val="36"/>
          <w:szCs w:val="36"/>
        </w:rPr>
      </w:pPr>
      <w:r>
        <w:rPr>
          <w:b/>
          <w:sz w:val="36"/>
        </w:rPr>
        <w:t xml:space="preserve">Student Name: </w:t>
      </w:r>
      <w:r w:rsidR="0081687D">
        <w:rPr>
          <w:b/>
          <w:sz w:val="36"/>
        </w:rPr>
        <w:t>Petru Vutcarau</w:t>
      </w:r>
    </w:p>
    <w:p w:rsidR="00CA6D28" w:rsidRDefault="00CA6D28" w:rsidP="00C059FA">
      <w:pPr>
        <w:spacing w:line="360" w:lineRule="auto"/>
        <w:jc w:val="center"/>
        <w:rPr>
          <w:rFonts w:ascii="Arial Rounded MT Bold" w:hAnsi="Arial Rounded MT Bold"/>
          <w:sz w:val="28"/>
          <w:szCs w:val="28"/>
        </w:rPr>
      </w:pPr>
    </w:p>
    <w:p w:rsidR="00CA6D28" w:rsidRDefault="00CA6D28" w:rsidP="00C059FA">
      <w:pPr>
        <w:spacing w:line="360" w:lineRule="auto"/>
        <w:jc w:val="center"/>
        <w:rPr>
          <w:rFonts w:ascii="Arial Rounded MT Bold" w:hAnsi="Arial Rounded MT Bold"/>
          <w:sz w:val="28"/>
          <w:szCs w:val="28"/>
        </w:rPr>
      </w:pPr>
    </w:p>
    <w:p w:rsidR="00CA6D28" w:rsidRDefault="00CA6D28" w:rsidP="00C059FA">
      <w:pPr>
        <w:spacing w:line="360" w:lineRule="auto"/>
        <w:jc w:val="center"/>
        <w:rPr>
          <w:rFonts w:ascii="Arial Rounded MT Bold" w:hAnsi="Arial Rounded MT Bold"/>
          <w:sz w:val="28"/>
          <w:szCs w:val="28"/>
        </w:rPr>
      </w:pPr>
    </w:p>
    <w:p w:rsidR="00CA6D28" w:rsidRDefault="00CA6D28" w:rsidP="00C059FA">
      <w:pPr>
        <w:spacing w:line="360" w:lineRule="auto"/>
        <w:jc w:val="center"/>
        <w:rPr>
          <w:rFonts w:ascii="Arial Rounded MT Bold" w:hAnsi="Arial Rounded MT Bold"/>
          <w:sz w:val="28"/>
          <w:szCs w:val="28"/>
        </w:rPr>
      </w:pPr>
    </w:p>
    <w:p w:rsidR="00CA6D28" w:rsidRDefault="00CA6D28" w:rsidP="00CA6D28">
      <w:pPr>
        <w:spacing w:line="360" w:lineRule="auto"/>
        <w:rPr>
          <w:rFonts w:ascii="Arial Rounded MT Bold" w:hAnsi="Arial Rounded MT Bold"/>
          <w:sz w:val="28"/>
          <w:szCs w:val="28"/>
        </w:rPr>
      </w:pPr>
    </w:p>
    <w:p w:rsidR="00CA6D28" w:rsidRDefault="00CA6D28" w:rsidP="00CA6D28">
      <w:pPr>
        <w:spacing w:line="360" w:lineRule="auto"/>
        <w:rPr>
          <w:rFonts w:ascii="Arial Rounded MT Bold" w:hAnsi="Arial Rounded MT Bold"/>
          <w:sz w:val="28"/>
          <w:szCs w:val="28"/>
        </w:rPr>
      </w:pPr>
    </w:p>
    <w:p w:rsidR="00CA6D28" w:rsidRDefault="00CA6D28" w:rsidP="00C059FA">
      <w:pPr>
        <w:spacing w:line="360" w:lineRule="auto"/>
        <w:jc w:val="center"/>
        <w:rPr>
          <w:rFonts w:ascii="Arial Rounded MT Bold" w:hAnsi="Arial Rounded MT Bold"/>
          <w:sz w:val="28"/>
          <w:szCs w:val="28"/>
        </w:rPr>
      </w:pPr>
    </w:p>
    <w:p w:rsidR="00C059FA" w:rsidRPr="00C059FA" w:rsidRDefault="00C059FA" w:rsidP="00C059FA">
      <w:pPr>
        <w:spacing w:line="360" w:lineRule="auto"/>
        <w:jc w:val="center"/>
        <w:rPr>
          <w:rFonts w:ascii="Arial Rounded MT Bold" w:hAnsi="Arial Rounded MT Bold"/>
          <w:sz w:val="28"/>
          <w:szCs w:val="28"/>
        </w:rPr>
      </w:pPr>
      <w:r w:rsidRPr="00C059FA">
        <w:rPr>
          <w:rFonts w:ascii="Arial Rounded MT Bold" w:hAnsi="Arial Rounded MT Bold"/>
          <w:sz w:val="28"/>
          <w:szCs w:val="28"/>
        </w:rPr>
        <w:lastRenderedPageBreak/>
        <w:t>Summary</w:t>
      </w:r>
    </w:p>
    <w:p w:rsidR="00C059FA" w:rsidRDefault="00C059FA" w:rsidP="00C059FA">
      <w:pPr>
        <w:spacing w:line="360" w:lineRule="auto"/>
      </w:pPr>
    </w:p>
    <w:p w:rsidR="00CA6D28" w:rsidRDefault="00C059FA" w:rsidP="00CA6D28">
      <w:pPr>
        <w:spacing w:line="360" w:lineRule="auto"/>
        <w:jc w:val="both"/>
        <w:rPr>
          <w:rFonts w:ascii="Arial" w:hAnsi="Arial" w:cs="Arial"/>
        </w:rPr>
      </w:pPr>
      <w:r w:rsidRPr="00CA6D28">
        <w:rPr>
          <w:rFonts w:ascii="Arial" w:hAnsi="Arial" w:cs="Arial"/>
        </w:rPr>
        <w:t xml:space="preserve">People management is critical for every organisation to ensure production quality and work culture. Tesco is a well-known retail firm in the United Kingdom that focuses on employee engagement to boost productivity. This paper depicts Tesco's employee engagement principles and drives, as well as how they continue to do business via engaging them. From ensuring workplace balance to encouraging leaders to take on new responsibility. This article examines the impact of employees in expressing their thoughts and how Tesco management is assisting them in educating themselves and thinking about the future. </w:t>
      </w:r>
    </w:p>
    <w:p w:rsidR="00B26B3D" w:rsidRPr="00CA6D28" w:rsidRDefault="00C059FA" w:rsidP="00CA6D28">
      <w:pPr>
        <w:spacing w:line="360" w:lineRule="auto"/>
        <w:jc w:val="both"/>
        <w:rPr>
          <w:rFonts w:ascii="Arial" w:hAnsi="Arial" w:cs="Arial"/>
        </w:rPr>
      </w:pPr>
      <w:r w:rsidRPr="00CA6D28">
        <w:rPr>
          <w:rFonts w:ascii="Arial" w:hAnsi="Arial" w:cs="Arial"/>
        </w:rPr>
        <w:t>The research emphasises diagnostic techniques for evaluating employee engagement levels, and Tesco uses the diagnostic tools to boost corporate efficiency. This study also used numerous tactics to keep the company's potential in engaging its personnel in their jobs and duties. The application of these tactics has the potential to improve staff performance as well as Tesco's productivity rate.</w:t>
      </w:r>
    </w:p>
    <w:p w:rsidR="00D07FEC" w:rsidRDefault="00D07FEC" w:rsidP="00C059FA">
      <w:pPr>
        <w:spacing w:line="360" w:lineRule="auto"/>
      </w:pPr>
    </w:p>
    <w:p w:rsidR="00D07FEC" w:rsidRDefault="00D07FEC" w:rsidP="00C059FA">
      <w:pPr>
        <w:spacing w:line="360" w:lineRule="auto"/>
      </w:pPr>
    </w:p>
    <w:p w:rsidR="00D07FEC" w:rsidRDefault="00D07FEC" w:rsidP="00C059FA">
      <w:pPr>
        <w:spacing w:line="360" w:lineRule="auto"/>
      </w:pPr>
    </w:p>
    <w:p w:rsidR="00D07FEC" w:rsidRDefault="00D07FEC" w:rsidP="00C059FA">
      <w:pPr>
        <w:spacing w:line="360" w:lineRule="auto"/>
      </w:pPr>
    </w:p>
    <w:p w:rsidR="00D07FEC" w:rsidRDefault="00D07FEC" w:rsidP="00C059FA">
      <w:pPr>
        <w:spacing w:line="360" w:lineRule="auto"/>
      </w:pPr>
    </w:p>
    <w:p w:rsidR="00D07FEC" w:rsidRDefault="00D07FEC" w:rsidP="00C059FA">
      <w:pPr>
        <w:spacing w:line="360" w:lineRule="auto"/>
      </w:pPr>
    </w:p>
    <w:p w:rsidR="00D07FEC" w:rsidRDefault="00D07FEC" w:rsidP="00C059FA">
      <w:pPr>
        <w:spacing w:line="360" w:lineRule="auto"/>
      </w:pPr>
    </w:p>
    <w:p w:rsidR="00D07FEC" w:rsidRDefault="00D07FEC" w:rsidP="00C059FA">
      <w:pPr>
        <w:spacing w:line="360" w:lineRule="auto"/>
      </w:pPr>
    </w:p>
    <w:p w:rsidR="00D07FEC" w:rsidRDefault="00D07FEC" w:rsidP="00C059FA">
      <w:pPr>
        <w:spacing w:line="360" w:lineRule="auto"/>
      </w:pPr>
    </w:p>
    <w:p w:rsidR="00D07FEC" w:rsidRDefault="00D07FEC" w:rsidP="00C059FA">
      <w:pPr>
        <w:spacing w:line="360" w:lineRule="auto"/>
      </w:pPr>
    </w:p>
    <w:p w:rsidR="00D07FEC" w:rsidRDefault="00D07FEC" w:rsidP="00C059FA">
      <w:pPr>
        <w:spacing w:line="360" w:lineRule="auto"/>
      </w:pPr>
    </w:p>
    <w:p w:rsidR="00D07FEC" w:rsidRDefault="00D07FEC" w:rsidP="00C059FA">
      <w:pPr>
        <w:spacing w:line="360" w:lineRule="auto"/>
      </w:pPr>
    </w:p>
    <w:p w:rsidR="00D07FEC" w:rsidRDefault="00D07FEC" w:rsidP="00C059FA">
      <w:pPr>
        <w:spacing w:line="360" w:lineRule="auto"/>
      </w:pPr>
    </w:p>
    <w:p w:rsidR="00D07FEC" w:rsidRDefault="00D07FEC" w:rsidP="00C059FA">
      <w:pPr>
        <w:spacing w:line="360" w:lineRule="auto"/>
      </w:pPr>
    </w:p>
    <w:sdt>
      <w:sdtPr>
        <w:rPr>
          <w:rFonts w:ascii="Arial" w:eastAsia="Arial" w:hAnsi="Arial" w:cs="Arial"/>
          <w:color w:val="auto"/>
          <w:sz w:val="22"/>
          <w:szCs w:val="22"/>
          <w:lang w:val="en"/>
        </w:rPr>
        <w:id w:val="1363395803"/>
        <w:docPartObj>
          <w:docPartGallery w:val="Table of Contents"/>
          <w:docPartUnique/>
        </w:docPartObj>
      </w:sdtPr>
      <w:sdtEndPr>
        <w:rPr>
          <w:rFonts w:asciiTheme="minorHAnsi" w:eastAsiaTheme="minorHAnsi" w:hAnsiTheme="minorHAnsi" w:cstheme="minorBidi"/>
          <w:b/>
          <w:bCs/>
          <w:noProof/>
          <w:lang w:val="en-GB"/>
        </w:rPr>
      </w:sdtEndPr>
      <w:sdtContent>
        <w:p w:rsidR="00CA6D28" w:rsidRPr="00981733" w:rsidRDefault="00CA6D28" w:rsidP="00CA6D28">
          <w:pPr>
            <w:pStyle w:val="TOCHeading"/>
            <w:spacing w:line="480" w:lineRule="auto"/>
            <w:jc w:val="center"/>
            <w:rPr>
              <w:rFonts w:ascii="Times New Roman" w:hAnsi="Times New Roman" w:cs="Times New Roman"/>
              <w:b/>
              <w:bCs/>
              <w:color w:val="auto"/>
              <w:sz w:val="24"/>
              <w:szCs w:val="24"/>
            </w:rPr>
          </w:pPr>
          <w:r w:rsidRPr="00981733">
            <w:rPr>
              <w:rFonts w:ascii="Times New Roman" w:hAnsi="Times New Roman" w:cs="Times New Roman"/>
              <w:b/>
              <w:bCs/>
              <w:color w:val="auto"/>
              <w:sz w:val="24"/>
              <w:szCs w:val="24"/>
            </w:rPr>
            <w:t>Table of Contents</w:t>
          </w:r>
        </w:p>
        <w:p w:rsidR="00CA6D28" w:rsidRPr="00981733" w:rsidRDefault="00CA6D28" w:rsidP="00CA6D28">
          <w:pPr>
            <w:pStyle w:val="TOC1"/>
            <w:tabs>
              <w:tab w:val="right" w:leader="dot" w:pos="9350"/>
            </w:tabs>
            <w:spacing w:line="480" w:lineRule="auto"/>
            <w:jc w:val="both"/>
            <w:rPr>
              <w:rFonts w:ascii="Times New Roman" w:hAnsi="Times New Roman" w:cs="Times New Roman"/>
              <w:noProof/>
              <w:sz w:val="24"/>
              <w:szCs w:val="24"/>
            </w:rPr>
          </w:pPr>
          <w:r w:rsidRPr="00981733">
            <w:rPr>
              <w:rFonts w:ascii="Times New Roman" w:hAnsi="Times New Roman" w:cs="Times New Roman"/>
              <w:sz w:val="24"/>
              <w:szCs w:val="24"/>
            </w:rPr>
            <w:fldChar w:fldCharType="begin"/>
          </w:r>
          <w:r w:rsidRPr="00981733">
            <w:rPr>
              <w:rFonts w:ascii="Times New Roman" w:hAnsi="Times New Roman" w:cs="Times New Roman"/>
              <w:sz w:val="24"/>
              <w:szCs w:val="24"/>
            </w:rPr>
            <w:instrText xml:space="preserve"> TOC \o "1-3" \h \z \u </w:instrText>
          </w:r>
          <w:r w:rsidRPr="00981733">
            <w:rPr>
              <w:rFonts w:ascii="Times New Roman" w:hAnsi="Times New Roman" w:cs="Times New Roman"/>
              <w:sz w:val="24"/>
              <w:szCs w:val="24"/>
            </w:rPr>
            <w:fldChar w:fldCharType="separate"/>
          </w:r>
          <w:hyperlink w:anchor="_Toc102773819" w:history="1">
            <w:r w:rsidRPr="00981733">
              <w:rPr>
                <w:rStyle w:val="Hyperlink"/>
                <w:rFonts w:ascii="Times New Roman" w:hAnsi="Times New Roman" w:cs="Times New Roman"/>
                <w:noProof/>
                <w:sz w:val="24"/>
                <w:szCs w:val="24"/>
              </w:rPr>
              <w:t>1. Introduction</w:t>
            </w:r>
            <w:r w:rsidRPr="00981733">
              <w:rPr>
                <w:rFonts w:ascii="Times New Roman" w:hAnsi="Times New Roman" w:cs="Times New Roman"/>
                <w:noProof/>
                <w:webHidden/>
                <w:sz w:val="24"/>
                <w:szCs w:val="24"/>
              </w:rPr>
              <w:tab/>
            </w:r>
            <w:r w:rsidRPr="00981733">
              <w:rPr>
                <w:rFonts w:ascii="Times New Roman" w:hAnsi="Times New Roman" w:cs="Times New Roman"/>
                <w:noProof/>
                <w:webHidden/>
                <w:sz w:val="24"/>
                <w:szCs w:val="24"/>
              </w:rPr>
              <w:fldChar w:fldCharType="begin"/>
            </w:r>
            <w:r w:rsidRPr="00981733">
              <w:rPr>
                <w:rFonts w:ascii="Times New Roman" w:hAnsi="Times New Roman" w:cs="Times New Roman"/>
                <w:noProof/>
                <w:webHidden/>
                <w:sz w:val="24"/>
                <w:szCs w:val="24"/>
              </w:rPr>
              <w:instrText xml:space="preserve"> PAGEREF _Toc102773819 \h </w:instrText>
            </w:r>
            <w:r w:rsidRPr="00981733">
              <w:rPr>
                <w:rFonts w:ascii="Times New Roman" w:hAnsi="Times New Roman" w:cs="Times New Roman"/>
                <w:noProof/>
                <w:webHidden/>
                <w:sz w:val="24"/>
                <w:szCs w:val="24"/>
              </w:rPr>
            </w:r>
            <w:r w:rsidRPr="00981733">
              <w:rPr>
                <w:rFonts w:ascii="Times New Roman" w:hAnsi="Times New Roman" w:cs="Times New Roman"/>
                <w:noProof/>
                <w:webHidden/>
                <w:sz w:val="24"/>
                <w:szCs w:val="24"/>
              </w:rPr>
              <w:fldChar w:fldCharType="separate"/>
            </w:r>
            <w:r w:rsidRPr="00981733">
              <w:rPr>
                <w:rFonts w:ascii="Times New Roman" w:hAnsi="Times New Roman" w:cs="Times New Roman"/>
                <w:noProof/>
                <w:webHidden/>
                <w:sz w:val="24"/>
                <w:szCs w:val="24"/>
              </w:rPr>
              <w:t>4</w:t>
            </w:r>
            <w:r w:rsidRPr="00981733">
              <w:rPr>
                <w:rFonts w:ascii="Times New Roman" w:hAnsi="Times New Roman" w:cs="Times New Roman"/>
                <w:noProof/>
                <w:webHidden/>
                <w:sz w:val="24"/>
                <w:szCs w:val="24"/>
              </w:rPr>
              <w:fldChar w:fldCharType="end"/>
            </w:r>
          </w:hyperlink>
        </w:p>
        <w:p w:rsidR="00CA6D28" w:rsidRPr="00981733" w:rsidRDefault="00CA6D28" w:rsidP="00CA6D28">
          <w:pPr>
            <w:pStyle w:val="TOC1"/>
            <w:tabs>
              <w:tab w:val="right" w:leader="dot" w:pos="9350"/>
            </w:tabs>
            <w:spacing w:line="480" w:lineRule="auto"/>
            <w:jc w:val="both"/>
            <w:rPr>
              <w:rFonts w:ascii="Times New Roman" w:hAnsi="Times New Roman" w:cs="Times New Roman"/>
              <w:noProof/>
              <w:sz w:val="24"/>
              <w:szCs w:val="24"/>
            </w:rPr>
          </w:pPr>
          <w:hyperlink w:anchor="_Toc102773820" w:history="1">
            <w:r w:rsidRPr="00981733">
              <w:rPr>
                <w:rStyle w:val="Hyperlink"/>
                <w:rFonts w:ascii="Times New Roman" w:hAnsi="Times New Roman" w:cs="Times New Roman"/>
                <w:noProof/>
                <w:sz w:val="24"/>
                <w:szCs w:val="24"/>
              </w:rPr>
              <w:t>2. Reviews the concept and drivers of employee engagement</w:t>
            </w:r>
            <w:r w:rsidRPr="00981733">
              <w:rPr>
                <w:rFonts w:ascii="Times New Roman" w:hAnsi="Times New Roman" w:cs="Times New Roman"/>
                <w:noProof/>
                <w:webHidden/>
                <w:sz w:val="24"/>
                <w:szCs w:val="24"/>
              </w:rPr>
              <w:tab/>
            </w:r>
            <w:r w:rsidRPr="00981733">
              <w:rPr>
                <w:rFonts w:ascii="Times New Roman" w:hAnsi="Times New Roman" w:cs="Times New Roman"/>
                <w:noProof/>
                <w:webHidden/>
                <w:sz w:val="24"/>
                <w:szCs w:val="24"/>
              </w:rPr>
              <w:fldChar w:fldCharType="begin"/>
            </w:r>
            <w:r w:rsidRPr="00981733">
              <w:rPr>
                <w:rFonts w:ascii="Times New Roman" w:hAnsi="Times New Roman" w:cs="Times New Roman"/>
                <w:noProof/>
                <w:webHidden/>
                <w:sz w:val="24"/>
                <w:szCs w:val="24"/>
              </w:rPr>
              <w:instrText xml:space="preserve"> PAGEREF _Toc102773820 \h </w:instrText>
            </w:r>
            <w:r w:rsidRPr="00981733">
              <w:rPr>
                <w:rFonts w:ascii="Times New Roman" w:hAnsi="Times New Roman" w:cs="Times New Roman"/>
                <w:noProof/>
                <w:webHidden/>
                <w:sz w:val="24"/>
                <w:szCs w:val="24"/>
              </w:rPr>
            </w:r>
            <w:r w:rsidRPr="00981733">
              <w:rPr>
                <w:rFonts w:ascii="Times New Roman" w:hAnsi="Times New Roman" w:cs="Times New Roman"/>
                <w:noProof/>
                <w:webHidden/>
                <w:sz w:val="24"/>
                <w:szCs w:val="24"/>
              </w:rPr>
              <w:fldChar w:fldCharType="separate"/>
            </w:r>
            <w:r w:rsidRPr="00981733">
              <w:rPr>
                <w:rFonts w:ascii="Times New Roman" w:hAnsi="Times New Roman" w:cs="Times New Roman"/>
                <w:noProof/>
                <w:webHidden/>
                <w:sz w:val="24"/>
                <w:szCs w:val="24"/>
              </w:rPr>
              <w:t>4</w:t>
            </w:r>
            <w:r w:rsidRPr="00981733">
              <w:rPr>
                <w:rFonts w:ascii="Times New Roman" w:hAnsi="Times New Roman" w:cs="Times New Roman"/>
                <w:noProof/>
                <w:webHidden/>
                <w:sz w:val="24"/>
                <w:szCs w:val="24"/>
              </w:rPr>
              <w:fldChar w:fldCharType="end"/>
            </w:r>
          </w:hyperlink>
        </w:p>
        <w:p w:rsidR="00CA6D28" w:rsidRPr="00981733" w:rsidRDefault="00CA6D28" w:rsidP="00CA6D28">
          <w:pPr>
            <w:pStyle w:val="TOC1"/>
            <w:tabs>
              <w:tab w:val="right" w:leader="dot" w:pos="9350"/>
            </w:tabs>
            <w:spacing w:line="480" w:lineRule="auto"/>
            <w:jc w:val="both"/>
            <w:rPr>
              <w:rFonts w:ascii="Times New Roman" w:hAnsi="Times New Roman" w:cs="Times New Roman"/>
              <w:noProof/>
              <w:sz w:val="24"/>
              <w:szCs w:val="24"/>
            </w:rPr>
          </w:pPr>
          <w:hyperlink w:anchor="_Toc102773821" w:history="1">
            <w:r w:rsidRPr="00981733">
              <w:rPr>
                <w:rStyle w:val="Hyperlink"/>
                <w:rFonts w:ascii="Times New Roman" w:hAnsi="Times New Roman" w:cs="Times New Roman"/>
                <w:noProof/>
                <w:sz w:val="24"/>
                <w:szCs w:val="24"/>
              </w:rPr>
              <w:t>3. Evaluating diagnostic tools to determine engagement</w:t>
            </w:r>
            <w:r w:rsidRPr="00981733">
              <w:rPr>
                <w:rFonts w:ascii="Times New Roman" w:hAnsi="Times New Roman" w:cs="Times New Roman"/>
                <w:noProof/>
                <w:webHidden/>
                <w:sz w:val="24"/>
                <w:szCs w:val="24"/>
              </w:rPr>
              <w:tab/>
            </w:r>
            <w:r w:rsidRPr="00981733">
              <w:rPr>
                <w:rFonts w:ascii="Times New Roman" w:hAnsi="Times New Roman" w:cs="Times New Roman"/>
                <w:noProof/>
                <w:webHidden/>
                <w:sz w:val="24"/>
                <w:szCs w:val="24"/>
              </w:rPr>
              <w:fldChar w:fldCharType="begin"/>
            </w:r>
            <w:r w:rsidRPr="00981733">
              <w:rPr>
                <w:rFonts w:ascii="Times New Roman" w:hAnsi="Times New Roman" w:cs="Times New Roman"/>
                <w:noProof/>
                <w:webHidden/>
                <w:sz w:val="24"/>
                <w:szCs w:val="24"/>
              </w:rPr>
              <w:instrText xml:space="preserve"> PAGEREF _Toc102773821 \h </w:instrText>
            </w:r>
            <w:r w:rsidRPr="00981733">
              <w:rPr>
                <w:rFonts w:ascii="Times New Roman" w:hAnsi="Times New Roman" w:cs="Times New Roman"/>
                <w:noProof/>
                <w:webHidden/>
                <w:sz w:val="24"/>
                <w:szCs w:val="24"/>
              </w:rPr>
            </w:r>
            <w:r w:rsidRPr="00981733">
              <w:rPr>
                <w:rFonts w:ascii="Times New Roman" w:hAnsi="Times New Roman" w:cs="Times New Roman"/>
                <w:noProof/>
                <w:webHidden/>
                <w:sz w:val="24"/>
                <w:szCs w:val="24"/>
              </w:rPr>
              <w:fldChar w:fldCharType="separate"/>
            </w:r>
            <w:r w:rsidRPr="00981733">
              <w:rPr>
                <w:rFonts w:ascii="Times New Roman" w:hAnsi="Times New Roman" w:cs="Times New Roman"/>
                <w:noProof/>
                <w:webHidden/>
                <w:sz w:val="24"/>
                <w:szCs w:val="24"/>
              </w:rPr>
              <w:t>6</w:t>
            </w:r>
            <w:r w:rsidRPr="00981733">
              <w:rPr>
                <w:rFonts w:ascii="Times New Roman" w:hAnsi="Times New Roman" w:cs="Times New Roman"/>
                <w:noProof/>
                <w:webHidden/>
                <w:sz w:val="24"/>
                <w:szCs w:val="24"/>
              </w:rPr>
              <w:fldChar w:fldCharType="end"/>
            </w:r>
          </w:hyperlink>
        </w:p>
        <w:p w:rsidR="00CA6D28" w:rsidRPr="00981733" w:rsidRDefault="00CA6D28" w:rsidP="00CA6D28">
          <w:pPr>
            <w:pStyle w:val="TOC1"/>
            <w:tabs>
              <w:tab w:val="right" w:leader="dot" w:pos="9350"/>
            </w:tabs>
            <w:spacing w:line="480" w:lineRule="auto"/>
            <w:jc w:val="both"/>
            <w:rPr>
              <w:rFonts w:ascii="Times New Roman" w:hAnsi="Times New Roman" w:cs="Times New Roman"/>
              <w:noProof/>
              <w:sz w:val="24"/>
              <w:szCs w:val="24"/>
            </w:rPr>
          </w:pPr>
          <w:hyperlink w:anchor="_Toc102773822" w:history="1">
            <w:r w:rsidRPr="00981733">
              <w:rPr>
                <w:rStyle w:val="Hyperlink"/>
                <w:rFonts w:ascii="Times New Roman" w:hAnsi="Times New Roman" w:cs="Times New Roman"/>
                <w:noProof/>
                <w:sz w:val="24"/>
                <w:szCs w:val="24"/>
              </w:rPr>
              <w:t>4. Constructing the value proposition of the employees from the ideas and analysing strategies to raise levels of engagement</w:t>
            </w:r>
            <w:r w:rsidRPr="00981733">
              <w:rPr>
                <w:rFonts w:ascii="Times New Roman" w:hAnsi="Times New Roman" w:cs="Times New Roman"/>
                <w:noProof/>
                <w:webHidden/>
                <w:sz w:val="24"/>
                <w:szCs w:val="24"/>
              </w:rPr>
              <w:tab/>
            </w:r>
            <w:r w:rsidRPr="00981733">
              <w:rPr>
                <w:rFonts w:ascii="Times New Roman" w:hAnsi="Times New Roman" w:cs="Times New Roman"/>
                <w:noProof/>
                <w:webHidden/>
                <w:sz w:val="24"/>
                <w:szCs w:val="24"/>
              </w:rPr>
              <w:fldChar w:fldCharType="begin"/>
            </w:r>
            <w:r w:rsidRPr="00981733">
              <w:rPr>
                <w:rFonts w:ascii="Times New Roman" w:hAnsi="Times New Roman" w:cs="Times New Roman"/>
                <w:noProof/>
                <w:webHidden/>
                <w:sz w:val="24"/>
                <w:szCs w:val="24"/>
              </w:rPr>
              <w:instrText xml:space="preserve"> PAGEREF _Toc102773822 \h </w:instrText>
            </w:r>
            <w:r w:rsidRPr="00981733">
              <w:rPr>
                <w:rFonts w:ascii="Times New Roman" w:hAnsi="Times New Roman" w:cs="Times New Roman"/>
                <w:noProof/>
                <w:webHidden/>
                <w:sz w:val="24"/>
                <w:szCs w:val="24"/>
              </w:rPr>
            </w:r>
            <w:r w:rsidRPr="00981733">
              <w:rPr>
                <w:rFonts w:ascii="Times New Roman" w:hAnsi="Times New Roman" w:cs="Times New Roman"/>
                <w:noProof/>
                <w:webHidden/>
                <w:sz w:val="24"/>
                <w:szCs w:val="24"/>
              </w:rPr>
              <w:fldChar w:fldCharType="separate"/>
            </w:r>
            <w:r w:rsidRPr="00981733">
              <w:rPr>
                <w:rFonts w:ascii="Times New Roman" w:hAnsi="Times New Roman" w:cs="Times New Roman"/>
                <w:noProof/>
                <w:webHidden/>
                <w:sz w:val="24"/>
                <w:szCs w:val="24"/>
              </w:rPr>
              <w:t>8</w:t>
            </w:r>
            <w:r w:rsidRPr="00981733">
              <w:rPr>
                <w:rFonts w:ascii="Times New Roman" w:hAnsi="Times New Roman" w:cs="Times New Roman"/>
                <w:noProof/>
                <w:webHidden/>
                <w:sz w:val="24"/>
                <w:szCs w:val="24"/>
              </w:rPr>
              <w:fldChar w:fldCharType="end"/>
            </w:r>
          </w:hyperlink>
        </w:p>
        <w:p w:rsidR="00CA6D28" w:rsidRPr="00981733" w:rsidRDefault="00CA6D28" w:rsidP="00CA6D28">
          <w:pPr>
            <w:pStyle w:val="TOC1"/>
            <w:tabs>
              <w:tab w:val="right" w:leader="dot" w:pos="9350"/>
            </w:tabs>
            <w:spacing w:line="480" w:lineRule="auto"/>
            <w:jc w:val="both"/>
            <w:rPr>
              <w:rFonts w:ascii="Times New Roman" w:hAnsi="Times New Roman" w:cs="Times New Roman"/>
              <w:noProof/>
              <w:sz w:val="24"/>
              <w:szCs w:val="24"/>
            </w:rPr>
          </w:pPr>
          <w:hyperlink w:anchor="_Toc102773823" w:history="1">
            <w:r w:rsidRPr="00981733">
              <w:rPr>
                <w:rStyle w:val="Hyperlink"/>
                <w:rFonts w:ascii="Times New Roman" w:hAnsi="Times New Roman" w:cs="Times New Roman"/>
                <w:noProof/>
                <w:sz w:val="24"/>
                <w:szCs w:val="24"/>
              </w:rPr>
              <w:t>5. Conclusion</w:t>
            </w:r>
            <w:r w:rsidRPr="00981733">
              <w:rPr>
                <w:rFonts w:ascii="Times New Roman" w:hAnsi="Times New Roman" w:cs="Times New Roman"/>
                <w:noProof/>
                <w:webHidden/>
                <w:sz w:val="24"/>
                <w:szCs w:val="24"/>
              </w:rPr>
              <w:tab/>
            </w:r>
            <w:r w:rsidRPr="00981733">
              <w:rPr>
                <w:rFonts w:ascii="Times New Roman" w:hAnsi="Times New Roman" w:cs="Times New Roman"/>
                <w:noProof/>
                <w:webHidden/>
                <w:sz w:val="24"/>
                <w:szCs w:val="24"/>
              </w:rPr>
              <w:fldChar w:fldCharType="begin"/>
            </w:r>
            <w:r w:rsidRPr="00981733">
              <w:rPr>
                <w:rFonts w:ascii="Times New Roman" w:hAnsi="Times New Roman" w:cs="Times New Roman"/>
                <w:noProof/>
                <w:webHidden/>
                <w:sz w:val="24"/>
                <w:szCs w:val="24"/>
              </w:rPr>
              <w:instrText xml:space="preserve"> PAGEREF _Toc102773823 \h </w:instrText>
            </w:r>
            <w:r w:rsidRPr="00981733">
              <w:rPr>
                <w:rFonts w:ascii="Times New Roman" w:hAnsi="Times New Roman" w:cs="Times New Roman"/>
                <w:noProof/>
                <w:webHidden/>
                <w:sz w:val="24"/>
                <w:szCs w:val="24"/>
              </w:rPr>
            </w:r>
            <w:r w:rsidRPr="00981733">
              <w:rPr>
                <w:rFonts w:ascii="Times New Roman" w:hAnsi="Times New Roman" w:cs="Times New Roman"/>
                <w:noProof/>
                <w:webHidden/>
                <w:sz w:val="24"/>
                <w:szCs w:val="24"/>
              </w:rPr>
              <w:fldChar w:fldCharType="separate"/>
            </w:r>
            <w:r w:rsidRPr="00981733">
              <w:rPr>
                <w:rFonts w:ascii="Times New Roman" w:hAnsi="Times New Roman" w:cs="Times New Roman"/>
                <w:noProof/>
                <w:webHidden/>
                <w:sz w:val="24"/>
                <w:szCs w:val="24"/>
              </w:rPr>
              <w:fldChar w:fldCharType="end"/>
            </w:r>
          </w:hyperlink>
          <w:r>
            <w:rPr>
              <w:rFonts w:ascii="Times New Roman" w:hAnsi="Times New Roman" w:cs="Times New Roman"/>
              <w:noProof/>
              <w:sz w:val="24"/>
              <w:szCs w:val="24"/>
            </w:rPr>
            <w:t>9</w:t>
          </w:r>
        </w:p>
        <w:p w:rsidR="00CA6D28" w:rsidRPr="00981733" w:rsidRDefault="00CA6D28" w:rsidP="00CA6D28">
          <w:pPr>
            <w:pStyle w:val="TOC1"/>
            <w:tabs>
              <w:tab w:val="right" w:leader="dot" w:pos="9350"/>
            </w:tabs>
            <w:spacing w:line="480" w:lineRule="auto"/>
            <w:jc w:val="both"/>
            <w:rPr>
              <w:rFonts w:ascii="Times New Roman" w:hAnsi="Times New Roman" w:cs="Times New Roman"/>
              <w:noProof/>
              <w:sz w:val="24"/>
              <w:szCs w:val="24"/>
            </w:rPr>
          </w:pPr>
          <w:hyperlink w:anchor="_Toc102773824" w:history="1">
            <w:r w:rsidRPr="00981733">
              <w:rPr>
                <w:rStyle w:val="Hyperlink"/>
                <w:rFonts w:ascii="Times New Roman" w:hAnsi="Times New Roman" w:cs="Times New Roman"/>
                <w:noProof/>
                <w:sz w:val="24"/>
                <w:szCs w:val="24"/>
              </w:rPr>
              <w:t>References</w:t>
            </w:r>
            <w:r w:rsidRPr="00981733">
              <w:rPr>
                <w:rFonts w:ascii="Times New Roman" w:hAnsi="Times New Roman" w:cs="Times New Roman"/>
                <w:noProof/>
                <w:webHidden/>
                <w:sz w:val="24"/>
                <w:szCs w:val="24"/>
              </w:rPr>
              <w:tab/>
            </w:r>
            <w:r w:rsidRPr="00981733">
              <w:rPr>
                <w:rFonts w:ascii="Times New Roman" w:hAnsi="Times New Roman" w:cs="Times New Roman"/>
                <w:noProof/>
                <w:webHidden/>
                <w:sz w:val="24"/>
                <w:szCs w:val="24"/>
              </w:rPr>
              <w:fldChar w:fldCharType="begin"/>
            </w:r>
            <w:r w:rsidRPr="00981733">
              <w:rPr>
                <w:rFonts w:ascii="Times New Roman" w:hAnsi="Times New Roman" w:cs="Times New Roman"/>
                <w:noProof/>
                <w:webHidden/>
                <w:sz w:val="24"/>
                <w:szCs w:val="24"/>
              </w:rPr>
              <w:instrText xml:space="preserve"> PAGEREF _Toc102773824 \h </w:instrText>
            </w:r>
            <w:r w:rsidRPr="00981733">
              <w:rPr>
                <w:rFonts w:ascii="Times New Roman" w:hAnsi="Times New Roman" w:cs="Times New Roman"/>
                <w:noProof/>
                <w:webHidden/>
                <w:sz w:val="24"/>
                <w:szCs w:val="24"/>
              </w:rPr>
            </w:r>
            <w:r w:rsidRPr="00981733">
              <w:rPr>
                <w:rFonts w:ascii="Times New Roman" w:hAnsi="Times New Roman" w:cs="Times New Roman"/>
                <w:noProof/>
                <w:webHidden/>
                <w:sz w:val="24"/>
                <w:szCs w:val="24"/>
              </w:rPr>
              <w:fldChar w:fldCharType="separate"/>
            </w:r>
            <w:r w:rsidRPr="00981733">
              <w:rPr>
                <w:rFonts w:ascii="Times New Roman" w:hAnsi="Times New Roman" w:cs="Times New Roman"/>
                <w:noProof/>
                <w:webHidden/>
                <w:sz w:val="24"/>
                <w:szCs w:val="24"/>
              </w:rPr>
              <w:t>1</w:t>
            </w:r>
            <w:r>
              <w:rPr>
                <w:rFonts w:ascii="Times New Roman" w:hAnsi="Times New Roman" w:cs="Times New Roman"/>
                <w:noProof/>
                <w:webHidden/>
                <w:sz w:val="24"/>
                <w:szCs w:val="24"/>
              </w:rPr>
              <w:t>0</w:t>
            </w:r>
            <w:r w:rsidRPr="00981733">
              <w:rPr>
                <w:rFonts w:ascii="Times New Roman" w:hAnsi="Times New Roman" w:cs="Times New Roman"/>
                <w:noProof/>
                <w:webHidden/>
                <w:sz w:val="24"/>
                <w:szCs w:val="24"/>
              </w:rPr>
              <w:fldChar w:fldCharType="end"/>
            </w:r>
          </w:hyperlink>
        </w:p>
        <w:p w:rsidR="00CA6D28" w:rsidRDefault="00CA6D28" w:rsidP="00CA6D28">
          <w:pPr>
            <w:spacing w:after="0" w:line="480" w:lineRule="auto"/>
            <w:jc w:val="both"/>
            <w:rPr>
              <w:b/>
              <w:bCs/>
              <w:noProof/>
            </w:rPr>
          </w:pPr>
          <w:r w:rsidRPr="00981733">
            <w:rPr>
              <w:rFonts w:ascii="Times New Roman" w:hAnsi="Times New Roman" w:cs="Times New Roman"/>
              <w:b/>
              <w:bCs/>
              <w:noProof/>
              <w:sz w:val="24"/>
              <w:szCs w:val="24"/>
            </w:rPr>
            <w:fldChar w:fldCharType="end"/>
          </w:r>
        </w:p>
      </w:sdtContent>
    </w:sdt>
    <w:p w:rsidR="00D07FEC" w:rsidRDefault="00D07FEC" w:rsidP="00C059FA">
      <w:pPr>
        <w:spacing w:line="360" w:lineRule="auto"/>
      </w:pPr>
    </w:p>
    <w:p w:rsidR="00D07FEC" w:rsidRDefault="00D07FEC" w:rsidP="00C059FA">
      <w:pPr>
        <w:spacing w:line="360" w:lineRule="auto"/>
      </w:pPr>
    </w:p>
    <w:p w:rsidR="00D07FEC" w:rsidRDefault="00D07FEC" w:rsidP="00C059FA">
      <w:pPr>
        <w:spacing w:line="360" w:lineRule="auto"/>
      </w:pPr>
    </w:p>
    <w:p w:rsidR="00D07FEC" w:rsidRDefault="00D07FEC" w:rsidP="00C059FA">
      <w:pPr>
        <w:spacing w:line="360" w:lineRule="auto"/>
      </w:pPr>
    </w:p>
    <w:p w:rsidR="00D07FEC" w:rsidRPr="00CA6D28" w:rsidRDefault="00CA6D28" w:rsidP="00C059FA">
      <w:pPr>
        <w:spacing w:line="360" w:lineRule="auto"/>
        <w:rPr>
          <w:color w:val="FFFFFF" w:themeColor="background1"/>
        </w:rPr>
      </w:pPr>
      <w:proofErr w:type="spellStart"/>
      <w:r w:rsidRPr="00CA6D28">
        <w:rPr>
          <w:color w:val="FFFFFF" w:themeColor="background1"/>
        </w:rPr>
        <w:t>Vvvvv</w:t>
      </w:r>
      <w:proofErr w:type="spellEnd"/>
      <w:r w:rsidRPr="00CA6D28">
        <w:rPr>
          <w:color w:val="FFFFFF" w:themeColor="background1"/>
        </w:rPr>
        <w:t xml:space="preserve"> </w:t>
      </w:r>
      <w:proofErr w:type="spellStart"/>
      <w:r w:rsidRPr="00CA6D28">
        <w:rPr>
          <w:color w:val="FFFFFF" w:themeColor="background1"/>
        </w:rPr>
        <w:t>vv</w:t>
      </w:r>
      <w:proofErr w:type="spellEnd"/>
      <w:r w:rsidRPr="00CA6D28">
        <w:rPr>
          <w:color w:val="FFFFFF" w:themeColor="background1"/>
        </w:rPr>
        <w:t xml:space="preserve"> </w:t>
      </w:r>
      <w:proofErr w:type="spellStart"/>
      <w:r w:rsidRPr="00CA6D28">
        <w:rPr>
          <w:color w:val="FFFFFF" w:themeColor="background1"/>
        </w:rPr>
        <w:t>vvv</w:t>
      </w:r>
      <w:proofErr w:type="spellEnd"/>
      <w:r w:rsidRPr="00CA6D28">
        <w:rPr>
          <w:color w:val="FFFFFF" w:themeColor="background1"/>
        </w:rPr>
        <w:t xml:space="preserve"> </w:t>
      </w:r>
      <w:proofErr w:type="spellStart"/>
      <w:r w:rsidRPr="00CA6D28">
        <w:rPr>
          <w:color w:val="FFFFFF" w:themeColor="background1"/>
        </w:rPr>
        <w:t>vv</w:t>
      </w:r>
      <w:proofErr w:type="spellEnd"/>
      <w:r w:rsidRPr="00CA6D28">
        <w:rPr>
          <w:color w:val="FFFFFF" w:themeColor="background1"/>
        </w:rPr>
        <w:t xml:space="preserve"> </w:t>
      </w:r>
      <w:proofErr w:type="spellStart"/>
      <w:r w:rsidRPr="00CA6D28">
        <w:rPr>
          <w:color w:val="FFFFFF" w:themeColor="background1"/>
        </w:rPr>
        <w:t>vvv</w:t>
      </w:r>
      <w:proofErr w:type="spellEnd"/>
      <w:r w:rsidRPr="00CA6D28">
        <w:rPr>
          <w:color w:val="FFFFFF" w:themeColor="background1"/>
        </w:rPr>
        <w:t xml:space="preserve"> </w:t>
      </w:r>
    </w:p>
    <w:p w:rsidR="00D07FEC" w:rsidRDefault="00D07FEC" w:rsidP="00C059FA">
      <w:pPr>
        <w:spacing w:line="360" w:lineRule="auto"/>
      </w:pPr>
    </w:p>
    <w:p w:rsidR="00D07FEC" w:rsidRDefault="00D07FEC" w:rsidP="00C059FA">
      <w:pPr>
        <w:spacing w:line="360" w:lineRule="auto"/>
      </w:pPr>
    </w:p>
    <w:p w:rsidR="00D07FEC" w:rsidRDefault="00D07FEC" w:rsidP="00C059FA">
      <w:pPr>
        <w:spacing w:line="360" w:lineRule="auto"/>
      </w:pPr>
    </w:p>
    <w:p w:rsidR="00D07FEC" w:rsidRDefault="00D07FEC" w:rsidP="00C059FA">
      <w:pPr>
        <w:spacing w:line="360" w:lineRule="auto"/>
      </w:pPr>
    </w:p>
    <w:p w:rsidR="00D07FEC" w:rsidRDefault="00D07FEC" w:rsidP="00C059FA">
      <w:pPr>
        <w:spacing w:line="360" w:lineRule="auto"/>
      </w:pPr>
    </w:p>
    <w:p w:rsidR="00D07FEC" w:rsidRDefault="00D07FEC" w:rsidP="00C059FA">
      <w:pPr>
        <w:spacing w:line="360" w:lineRule="auto"/>
      </w:pPr>
    </w:p>
    <w:p w:rsidR="00D07FEC" w:rsidRDefault="00D07FEC" w:rsidP="00C059FA">
      <w:pPr>
        <w:spacing w:line="360" w:lineRule="auto"/>
      </w:pPr>
    </w:p>
    <w:p w:rsidR="00CA6D28" w:rsidRDefault="00CA6D28" w:rsidP="00C059FA">
      <w:pPr>
        <w:spacing w:line="360" w:lineRule="auto"/>
      </w:pPr>
    </w:p>
    <w:p w:rsidR="00CA6D28" w:rsidRDefault="00CA6D28" w:rsidP="00C059FA">
      <w:pPr>
        <w:spacing w:line="360" w:lineRule="auto"/>
      </w:pPr>
    </w:p>
    <w:p w:rsidR="00D07FEC" w:rsidRDefault="00D07FEC" w:rsidP="00C059FA">
      <w:pPr>
        <w:spacing w:line="360" w:lineRule="auto"/>
      </w:pPr>
    </w:p>
    <w:p w:rsidR="00D07FEC" w:rsidRPr="004675C0" w:rsidRDefault="00D07FEC" w:rsidP="004675C0">
      <w:pPr>
        <w:pStyle w:val="ListParagraph"/>
        <w:numPr>
          <w:ilvl w:val="0"/>
          <w:numId w:val="1"/>
        </w:numPr>
        <w:spacing w:line="360" w:lineRule="auto"/>
        <w:rPr>
          <w:rFonts w:ascii="Times New Roman" w:hAnsi="Times New Roman" w:cs="Times New Roman"/>
          <w:b/>
          <w:sz w:val="28"/>
          <w:szCs w:val="28"/>
        </w:rPr>
      </w:pPr>
      <w:r w:rsidRPr="004675C0">
        <w:rPr>
          <w:rFonts w:ascii="Times New Roman" w:hAnsi="Times New Roman" w:cs="Times New Roman"/>
          <w:b/>
          <w:sz w:val="28"/>
          <w:szCs w:val="28"/>
        </w:rPr>
        <w:lastRenderedPageBreak/>
        <w:t>Introduction</w:t>
      </w:r>
    </w:p>
    <w:p w:rsidR="00D07FEC" w:rsidRDefault="00D07FEC" w:rsidP="00D07FEC">
      <w:pPr>
        <w:spacing w:line="360" w:lineRule="auto"/>
        <w:jc w:val="both"/>
        <w:rPr>
          <w:rFonts w:ascii="Arial" w:hAnsi="Arial" w:cs="Arial"/>
        </w:rPr>
      </w:pPr>
      <w:r w:rsidRPr="00D07FEC">
        <w:rPr>
          <w:rFonts w:ascii="Arial" w:hAnsi="Arial" w:cs="Arial"/>
        </w:rPr>
        <w:t>The research focuses on controlling people's perceptions about Tesco, a well-known retail firm in the United Kingdom. Tesco has a 28 percent market share in the UK, and the corporation employs 367,321 people. Tesco's objective is to redefine retail purchasing and provide maximum consumer happiness. The paper provides light on the ideas and factors that promote employee engagement in order to increase productivity and market share. The testing instruments are reviewed in order to determine employee engagement. The study discusses the engaged workforce based on the concepts and analyses techniques for enhancing employee satisfaction.</w:t>
      </w:r>
    </w:p>
    <w:p w:rsidR="004675C0" w:rsidRDefault="004675C0" w:rsidP="004675C0">
      <w:pPr>
        <w:pStyle w:val="Heading1"/>
        <w:numPr>
          <w:ilvl w:val="0"/>
          <w:numId w:val="1"/>
        </w:numPr>
      </w:pPr>
      <w:r>
        <w:t xml:space="preserve">Reviews the concept and drivers of employee engagement </w:t>
      </w:r>
    </w:p>
    <w:p w:rsidR="004675C0" w:rsidRPr="004675C0" w:rsidRDefault="004675C0" w:rsidP="004675C0">
      <w:pPr>
        <w:spacing w:line="360" w:lineRule="auto"/>
        <w:jc w:val="both"/>
        <w:rPr>
          <w:rFonts w:ascii="Arial" w:hAnsi="Arial" w:cs="Arial"/>
        </w:rPr>
      </w:pPr>
      <w:r w:rsidRPr="004675C0">
        <w:rPr>
          <w:rFonts w:ascii="Arial" w:hAnsi="Arial" w:cs="Arial"/>
        </w:rPr>
        <w:t>There really is no easy method to achieve achievement in employee management. Employee management is a Human resources model that defines employees' motivation and commitment to their work. Employees who are involved in their job also consider the firm's productivity (</w:t>
      </w:r>
      <w:proofErr w:type="spellStart"/>
      <w:r w:rsidRPr="004675C0">
        <w:rPr>
          <w:rFonts w:ascii="Arial" w:hAnsi="Arial" w:cs="Arial"/>
        </w:rPr>
        <w:t>Lamberti</w:t>
      </w:r>
      <w:proofErr w:type="spellEnd"/>
      <w:r w:rsidRPr="004675C0">
        <w:rPr>
          <w:rFonts w:ascii="Arial" w:hAnsi="Arial" w:cs="Arial"/>
        </w:rPr>
        <w:t xml:space="preserve"> et al., 2020, p.1). Tesco's management takes good care of its employees in order to involve them more in their job and make them crucial in the company's success.</w:t>
      </w:r>
      <w:r w:rsidRPr="004675C0">
        <w:t xml:space="preserve"> </w:t>
      </w:r>
      <w:r w:rsidRPr="004675C0">
        <w:rPr>
          <w:rFonts w:ascii="Arial" w:hAnsi="Arial" w:cs="Arial"/>
        </w:rPr>
        <w:t>Tesco's management has witnessed an increase in employee engagement throughout the company's difficult times. Employees have left companies that were not good at sustaining strong employee management (</w:t>
      </w:r>
      <w:proofErr w:type="spellStart"/>
      <w:r w:rsidRPr="004675C0">
        <w:rPr>
          <w:rFonts w:ascii="Arial" w:hAnsi="Arial" w:cs="Arial"/>
        </w:rPr>
        <w:t>Lamberti</w:t>
      </w:r>
      <w:proofErr w:type="spellEnd"/>
      <w:r w:rsidRPr="004675C0">
        <w:rPr>
          <w:rFonts w:ascii="Arial" w:hAnsi="Arial" w:cs="Arial"/>
        </w:rPr>
        <w:t xml:space="preserve"> et al., 2020, p.1).</w:t>
      </w:r>
      <w:r w:rsidR="00CA6D28">
        <w:rPr>
          <w:rFonts w:ascii="Arial" w:hAnsi="Arial" w:cs="Arial"/>
        </w:rPr>
        <w:t xml:space="preserve"> </w:t>
      </w:r>
      <w:proofErr w:type="spellStart"/>
      <w:r w:rsidR="00CA6D28" w:rsidRPr="00CA6D28">
        <w:rPr>
          <w:rFonts w:ascii="Arial" w:hAnsi="Arial" w:cs="Arial"/>
          <w:color w:val="FFFFFF" w:themeColor="background1"/>
        </w:rPr>
        <w:t>nn</w:t>
      </w:r>
      <w:proofErr w:type="spellEnd"/>
      <w:r w:rsidR="00CA6D28" w:rsidRPr="00CA6D28">
        <w:rPr>
          <w:rFonts w:ascii="Arial" w:hAnsi="Arial" w:cs="Arial"/>
          <w:color w:val="FFFFFF" w:themeColor="background1"/>
        </w:rPr>
        <w:t xml:space="preserve"> </w:t>
      </w:r>
      <w:proofErr w:type="spellStart"/>
      <w:r w:rsidR="00CA6D28" w:rsidRPr="00CA6D28">
        <w:rPr>
          <w:rFonts w:ascii="Arial" w:hAnsi="Arial" w:cs="Arial"/>
          <w:color w:val="FFFFFF" w:themeColor="background1"/>
        </w:rPr>
        <w:t>nn</w:t>
      </w:r>
      <w:proofErr w:type="spellEnd"/>
      <w:r w:rsidR="00CA6D28" w:rsidRPr="00CA6D28">
        <w:rPr>
          <w:rFonts w:ascii="Arial" w:hAnsi="Arial" w:cs="Arial"/>
          <w:color w:val="FFFFFF" w:themeColor="background1"/>
        </w:rPr>
        <w:t xml:space="preserve"> </w:t>
      </w:r>
      <w:proofErr w:type="spellStart"/>
      <w:r w:rsidR="00CA6D28" w:rsidRPr="00CA6D28">
        <w:rPr>
          <w:rFonts w:ascii="Arial" w:hAnsi="Arial" w:cs="Arial"/>
          <w:color w:val="FFFFFF" w:themeColor="background1"/>
        </w:rPr>
        <w:t>nn</w:t>
      </w:r>
      <w:proofErr w:type="spellEnd"/>
      <w:r w:rsidR="00CA6D28" w:rsidRPr="00CA6D28">
        <w:rPr>
          <w:rFonts w:ascii="Arial" w:hAnsi="Arial" w:cs="Arial"/>
          <w:color w:val="FFFFFF" w:themeColor="background1"/>
        </w:rPr>
        <w:t xml:space="preserve"> </w:t>
      </w:r>
      <w:proofErr w:type="spellStart"/>
      <w:r w:rsidR="00CA6D28" w:rsidRPr="00CA6D28">
        <w:rPr>
          <w:rFonts w:ascii="Arial" w:hAnsi="Arial" w:cs="Arial"/>
          <w:color w:val="FFFFFF" w:themeColor="background1"/>
        </w:rPr>
        <w:t>nn</w:t>
      </w:r>
      <w:proofErr w:type="spellEnd"/>
    </w:p>
    <w:p w:rsidR="004675C0" w:rsidRDefault="004675C0" w:rsidP="004675C0">
      <w:pPr>
        <w:spacing w:line="360" w:lineRule="auto"/>
        <w:jc w:val="both"/>
        <w:rPr>
          <w:rFonts w:ascii="Arial" w:hAnsi="Arial" w:cs="Arial"/>
        </w:rPr>
      </w:pPr>
      <w:r w:rsidRPr="004675C0">
        <w:rPr>
          <w:rFonts w:ascii="Arial" w:hAnsi="Arial" w:cs="Arial"/>
        </w:rPr>
        <w:t>According to the employee engagement research, there are numerous factors of employee engagement, and Tesco's management follows five primary drivers of employee engagement, including strategic management, engaging leaders, establishing workplace connections, employee engagement, and honesty.</w:t>
      </w:r>
    </w:p>
    <w:p w:rsidR="004675C0" w:rsidRDefault="004675C0" w:rsidP="004675C0">
      <w:pPr>
        <w:spacing w:line="360" w:lineRule="auto"/>
        <w:jc w:val="both"/>
        <w:rPr>
          <w:rFonts w:ascii="Arial" w:hAnsi="Arial" w:cs="Arial"/>
        </w:rPr>
      </w:pPr>
      <w:r w:rsidRPr="004675C0">
        <w:rPr>
          <w:rFonts w:ascii="Arial" w:hAnsi="Arial" w:cs="Arial"/>
          <w:b/>
        </w:rPr>
        <w:t>Strategic Management or Leadership</w:t>
      </w:r>
      <w:r w:rsidRPr="004675C0">
        <w:rPr>
          <w:rFonts w:ascii="Arial" w:hAnsi="Arial" w:cs="Arial"/>
        </w:rPr>
        <w:t>: While the importance of leadership is well acknowledged across the world, Tesco's executives assert two things: they constantly involve the people. They are managing engagements with the goal of preserving trust, transparency, and system consistency, as well as releasing talent (</w:t>
      </w:r>
      <w:proofErr w:type="spellStart"/>
      <w:r w:rsidRPr="004675C0">
        <w:rPr>
          <w:rFonts w:ascii="Arial" w:hAnsi="Arial" w:cs="Arial"/>
        </w:rPr>
        <w:t>Alrowwad</w:t>
      </w:r>
      <w:proofErr w:type="spellEnd"/>
      <w:r w:rsidRPr="004675C0">
        <w:rPr>
          <w:rFonts w:ascii="Arial" w:hAnsi="Arial" w:cs="Arial"/>
        </w:rPr>
        <w:t xml:space="preserve"> et al., 2018, p.12). Tesco's management understand the company's history and present market position in order to communicate their information to employees. Tesco has grown its company to the point that it currently operates in 11 countries and is listed on the London Stock Exchange.</w:t>
      </w:r>
    </w:p>
    <w:p w:rsidR="004675C0" w:rsidRDefault="004675C0" w:rsidP="004675C0">
      <w:pPr>
        <w:spacing w:line="360" w:lineRule="auto"/>
        <w:jc w:val="both"/>
        <w:rPr>
          <w:rFonts w:ascii="Arial" w:hAnsi="Arial" w:cs="Arial"/>
        </w:rPr>
      </w:pPr>
      <w:r w:rsidRPr="004675C0">
        <w:rPr>
          <w:rFonts w:ascii="Arial" w:hAnsi="Arial" w:cs="Arial"/>
          <w:b/>
        </w:rPr>
        <w:t>Engaging Line Managers:</w:t>
      </w:r>
      <w:r w:rsidRPr="004675C0">
        <w:rPr>
          <w:rFonts w:ascii="Arial" w:hAnsi="Arial" w:cs="Arial"/>
        </w:rPr>
        <w:t xml:space="preserve"> The Line Manager is responsible for the majority of the variation in engagement level. Many organisations do not provide clear instructions to their staff; Tesco has stuck to the principle of providing line managers additional responsibilities. They handle employees with dignity, help them in all circumstances, and look after them (Walsh and </w:t>
      </w:r>
      <w:proofErr w:type="spellStart"/>
      <w:r w:rsidRPr="004675C0">
        <w:rPr>
          <w:rFonts w:ascii="Arial" w:hAnsi="Arial" w:cs="Arial"/>
        </w:rPr>
        <w:t>Magley</w:t>
      </w:r>
      <w:proofErr w:type="spellEnd"/>
      <w:r w:rsidRPr="004675C0">
        <w:rPr>
          <w:rFonts w:ascii="Arial" w:hAnsi="Arial" w:cs="Arial"/>
        </w:rPr>
        <w:t xml:space="preserve">, 2020, p.2165). Tesco's management interacts with their staff via messages, </w:t>
      </w:r>
      <w:r w:rsidRPr="004675C0">
        <w:rPr>
          <w:rFonts w:ascii="Arial" w:hAnsi="Arial" w:cs="Arial"/>
        </w:rPr>
        <w:lastRenderedPageBreak/>
        <w:t>voicemails, and the online, and executives occasionally answer in-store. Tesco has about 3000 stores and 200 Tesco Express locations in the UK as of 2013.</w:t>
      </w:r>
    </w:p>
    <w:p w:rsidR="004675C0" w:rsidRDefault="004675C0" w:rsidP="004675C0">
      <w:pPr>
        <w:spacing w:line="360" w:lineRule="auto"/>
        <w:jc w:val="both"/>
        <w:rPr>
          <w:rFonts w:ascii="Arial" w:hAnsi="Arial" w:cs="Arial"/>
        </w:rPr>
      </w:pPr>
      <w:r w:rsidRPr="004675C0">
        <w:rPr>
          <w:rFonts w:ascii="Arial" w:hAnsi="Arial" w:cs="Arial"/>
          <w:b/>
        </w:rPr>
        <w:t>Employee voices</w:t>
      </w:r>
      <w:r>
        <w:rPr>
          <w:rFonts w:ascii="Arial" w:hAnsi="Arial" w:cs="Arial"/>
        </w:rPr>
        <w:t xml:space="preserve">: </w:t>
      </w:r>
      <w:r w:rsidRPr="004675C0">
        <w:rPr>
          <w:rFonts w:ascii="Arial" w:hAnsi="Arial" w:cs="Arial"/>
        </w:rPr>
        <w:t>Tesco's management has educated its staff, and empowered people will constantly express their ideas and opinions. Involving them will cause them to reflect on the company's accomplishments, and Tesco has provided them with the right opportunity to express their views (</w:t>
      </w:r>
      <w:proofErr w:type="spellStart"/>
      <w:r w:rsidRPr="004675C0">
        <w:rPr>
          <w:rFonts w:ascii="Arial" w:hAnsi="Arial" w:cs="Arial"/>
        </w:rPr>
        <w:t>Kurdi</w:t>
      </w:r>
      <w:proofErr w:type="spellEnd"/>
      <w:r w:rsidRPr="004675C0">
        <w:rPr>
          <w:rFonts w:ascii="Arial" w:hAnsi="Arial" w:cs="Arial"/>
        </w:rPr>
        <w:t xml:space="preserve"> and </w:t>
      </w:r>
      <w:proofErr w:type="spellStart"/>
      <w:r w:rsidRPr="004675C0">
        <w:rPr>
          <w:rFonts w:ascii="Arial" w:hAnsi="Arial" w:cs="Arial"/>
        </w:rPr>
        <w:t>Alshurideh</w:t>
      </w:r>
      <w:proofErr w:type="spellEnd"/>
      <w:r w:rsidRPr="004675C0">
        <w:rPr>
          <w:rFonts w:ascii="Arial" w:hAnsi="Arial" w:cs="Arial"/>
        </w:rPr>
        <w:t>, 2020, p.3981). Tesco Mobile established a goal of becoming the number one provider of customer happiness in the UK, and they launched the Voice of the Employees Program to boost staff engagement.</w:t>
      </w:r>
    </w:p>
    <w:p w:rsidR="004675C0" w:rsidRDefault="004675C0" w:rsidP="004675C0">
      <w:pPr>
        <w:spacing w:line="360" w:lineRule="auto"/>
        <w:jc w:val="both"/>
        <w:rPr>
          <w:rFonts w:ascii="Arial" w:hAnsi="Arial" w:cs="Arial"/>
        </w:rPr>
      </w:pPr>
      <w:r w:rsidRPr="004675C0">
        <w:rPr>
          <w:rFonts w:ascii="Arial" w:hAnsi="Arial" w:cs="Arial"/>
          <w:b/>
        </w:rPr>
        <w:t>Integrity:</w:t>
      </w:r>
      <w:r w:rsidRPr="004675C0">
        <w:rPr>
          <w:rFonts w:ascii="Arial" w:hAnsi="Arial" w:cs="Arial"/>
        </w:rPr>
        <w:t xml:space="preserve"> Integrity is highly crucial in sustaining a positive workplace environment, and the connection between management and employees is also necessary in order to have trust. Tesco's management has always kept its ethics, workers must understand the importance of their organisation, and Tesco as an organisation is attempting to reduce the gap. In 2021, it had 367,321 workers and a revenue of 57 billion dollars. Every year, their earnings reflect how they manage their people (Tesco, 2021, p.2).</w:t>
      </w:r>
    </w:p>
    <w:p w:rsidR="004675C0" w:rsidRDefault="004675C0" w:rsidP="004675C0">
      <w:pPr>
        <w:spacing w:line="360" w:lineRule="auto"/>
        <w:jc w:val="both"/>
        <w:rPr>
          <w:rFonts w:ascii="Arial" w:hAnsi="Arial" w:cs="Arial"/>
        </w:rPr>
      </w:pPr>
      <w:r w:rsidRPr="004675C0">
        <w:rPr>
          <w:rFonts w:ascii="Arial" w:hAnsi="Arial" w:cs="Arial"/>
          <w:b/>
        </w:rPr>
        <w:t>Maintaining workplace relationships</w:t>
      </w:r>
      <w:r>
        <w:rPr>
          <w:rFonts w:ascii="Arial" w:hAnsi="Arial" w:cs="Arial"/>
        </w:rPr>
        <w:t>:</w:t>
      </w:r>
      <w:r w:rsidRPr="004675C0">
        <w:rPr>
          <w:rFonts w:ascii="Arial" w:hAnsi="Arial" w:cs="Arial"/>
        </w:rPr>
        <w:t xml:space="preserve"> Tesco gives job security to its workers by entering into a formal contract with them. Employee relationships are important in keeping employees aware about broad issues affecting their job functions (</w:t>
      </w:r>
      <w:proofErr w:type="spellStart"/>
      <w:r w:rsidRPr="004675C0">
        <w:rPr>
          <w:rFonts w:ascii="Arial" w:hAnsi="Arial" w:cs="Arial"/>
        </w:rPr>
        <w:t>Kurdi</w:t>
      </w:r>
      <w:proofErr w:type="spellEnd"/>
      <w:r w:rsidRPr="004675C0">
        <w:rPr>
          <w:rFonts w:ascii="Arial" w:hAnsi="Arial" w:cs="Arial"/>
        </w:rPr>
        <w:t xml:space="preserve"> and </w:t>
      </w:r>
      <w:proofErr w:type="spellStart"/>
      <w:r w:rsidRPr="004675C0">
        <w:rPr>
          <w:rFonts w:ascii="Arial" w:hAnsi="Arial" w:cs="Arial"/>
        </w:rPr>
        <w:t>Alshurideh</w:t>
      </w:r>
      <w:proofErr w:type="spellEnd"/>
      <w:r w:rsidRPr="004675C0">
        <w:rPr>
          <w:rFonts w:ascii="Arial" w:hAnsi="Arial" w:cs="Arial"/>
        </w:rPr>
        <w:t>, 2020, p.3981). Tesco offers its employees with incentives, medical facilities, bonuses, perks, and remuneration. It assists the firm in improving the interaction between employees and employers. Every year, Tesco management can enhance employees based on their qualities and skills. Tesco has increased its revenues by 10% in recent years as a result of a better workplace interaction with its employees (Tesco, 2021, p.2).</w:t>
      </w:r>
    </w:p>
    <w:p w:rsidR="004675C0" w:rsidRDefault="004675C0" w:rsidP="004675C0">
      <w:pPr>
        <w:spacing w:line="360" w:lineRule="auto"/>
        <w:jc w:val="both"/>
        <w:rPr>
          <w:rFonts w:ascii="Arial" w:hAnsi="Arial" w:cs="Arial"/>
        </w:rPr>
      </w:pPr>
    </w:p>
    <w:p w:rsidR="004675C0" w:rsidRDefault="004675C0" w:rsidP="004675C0">
      <w:pPr>
        <w:spacing w:line="360" w:lineRule="auto"/>
        <w:jc w:val="both"/>
        <w:rPr>
          <w:rFonts w:ascii="Arial" w:hAnsi="Arial" w:cs="Arial"/>
        </w:rPr>
      </w:pPr>
    </w:p>
    <w:p w:rsidR="004675C0" w:rsidRDefault="004675C0" w:rsidP="004675C0">
      <w:pPr>
        <w:spacing w:line="360" w:lineRule="auto"/>
        <w:jc w:val="both"/>
        <w:rPr>
          <w:rFonts w:ascii="Arial" w:hAnsi="Arial" w:cs="Arial"/>
        </w:rPr>
      </w:pPr>
    </w:p>
    <w:p w:rsidR="003C6A8D" w:rsidRDefault="003C6A8D" w:rsidP="004675C0">
      <w:pPr>
        <w:spacing w:line="360" w:lineRule="auto"/>
        <w:jc w:val="both"/>
        <w:rPr>
          <w:rFonts w:ascii="Arial" w:hAnsi="Arial" w:cs="Arial"/>
        </w:rPr>
      </w:pPr>
    </w:p>
    <w:p w:rsidR="003C6A8D" w:rsidRDefault="003C6A8D" w:rsidP="004675C0">
      <w:pPr>
        <w:spacing w:line="360" w:lineRule="auto"/>
        <w:jc w:val="both"/>
        <w:rPr>
          <w:rFonts w:ascii="Arial" w:hAnsi="Arial" w:cs="Arial"/>
        </w:rPr>
      </w:pPr>
    </w:p>
    <w:p w:rsidR="003C6A8D" w:rsidRDefault="003C6A8D" w:rsidP="004675C0">
      <w:pPr>
        <w:spacing w:line="360" w:lineRule="auto"/>
        <w:jc w:val="both"/>
        <w:rPr>
          <w:rFonts w:ascii="Arial" w:hAnsi="Arial" w:cs="Arial"/>
        </w:rPr>
      </w:pPr>
    </w:p>
    <w:p w:rsidR="003C6A8D" w:rsidRDefault="003C6A8D" w:rsidP="004675C0">
      <w:pPr>
        <w:spacing w:line="360" w:lineRule="auto"/>
        <w:jc w:val="both"/>
        <w:rPr>
          <w:rFonts w:ascii="Arial" w:hAnsi="Arial" w:cs="Arial"/>
        </w:rPr>
      </w:pPr>
    </w:p>
    <w:p w:rsidR="003C6A8D" w:rsidRDefault="003C6A8D" w:rsidP="004675C0">
      <w:pPr>
        <w:spacing w:line="360" w:lineRule="auto"/>
        <w:jc w:val="both"/>
        <w:rPr>
          <w:rFonts w:ascii="Arial" w:hAnsi="Arial" w:cs="Arial"/>
        </w:rPr>
      </w:pPr>
    </w:p>
    <w:p w:rsidR="003C6A8D" w:rsidRDefault="003C6A8D" w:rsidP="004675C0">
      <w:pPr>
        <w:spacing w:line="360" w:lineRule="auto"/>
        <w:jc w:val="both"/>
        <w:rPr>
          <w:rFonts w:ascii="Arial" w:hAnsi="Arial" w:cs="Arial"/>
        </w:rPr>
      </w:pPr>
    </w:p>
    <w:p w:rsidR="003C6A8D" w:rsidRPr="009B2432" w:rsidRDefault="003C6A8D" w:rsidP="009B2432">
      <w:pPr>
        <w:pStyle w:val="ListParagraph"/>
        <w:numPr>
          <w:ilvl w:val="0"/>
          <w:numId w:val="1"/>
        </w:numPr>
        <w:spacing w:line="360" w:lineRule="auto"/>
        <w:jc w:val="both"/>
        <w:rPr>
          <w:rFonts w:ascii="Times New Roman" w:hAnsi="Times New Roman" w:cs="Times New Roman"/>
          <w:b/>
          <w:sz w:val="28"/>
          <w:szCs w:val="28"/>
        </w:rPr>
      </w:pPr>
      <w:r w:rsidRPr="009B2432">
        <w:rPr>
          <w:rFonts w:ascii="Times New Roman" w:hAnsi="Times New Roman" w:cs="Times New Roman"/>
          <w:b/>
          <w:sz w:val="28"/>
          <w:szCs w:val="28"/>
        </w:rPr>
        <w:lastRenderedPageBreak/>
        <w:t>Evaluating diagnostic tools to determine engagement</w:t>
      </w:r>
    </w:p>
    <w:p w:rsidR="003C6A8D" w:rsidRDefault="003C6A8D" w:rsidP="004675C0">
      <w:pPr>
        <w:spacing w:line="360" w:lineRule="auto"/>
        <w:jc w:val="both"/>
        <w:rPr>
          <w:rFonts w:ascii="Arial" w:hAnsi="Arial" w:cs="Arial"/>
        </w:rPr>
      </w:pPr>
      <w:r w:rsidRPr="003C6A8D">
        <w:rPr>
          <w:rFonts w:ascii="Arial" w:hAnsi="Arial" w:cs="Arial"/>
        </w:rPr>
        <w:t>Businesses focus on how to monitor and measure employee engagement in order to achieve greater employee success. The employee engagement diagnostic tools are discussed more below.</w:t>
      </w:r>
    </w:p>
    <w:p w:rsidR="003C6A8D" w:rsidRDefault="00E73213" w:rsidP="004675C0">
      <w:pPr>
        <w:spacing w:line="360" w:lineRule="auto"/>
        <w:jc w:val="both"/>
        <w:rPr>
          <w:rFonts w:ascii="Arial" w:hAnsi="Arial" w:cs="Arial"/>
        </w:rPr>
      </w:pPr>
      <w:r w:rsidRPr="00E73213">
        <w:rPr>
          <w:rFonts w:ascii="Arial" w:hAnsi="Arial" w:cs="Arial"/>
          <w:b/>
        </w:rPr>
        <w:t>Employee surveys:</w:t>
      </w:r>
      <w:r w:rsidR="003C6A8D" w:rsidRPr="003C6A8D">
        <w:rPr>
          <w:rFonts w:ascii="Arial" w:hAnsi="Arial" w:cs="Arial"/>
        </w:rPr>
        <w:t xml:space="preserve"> The assessment report is the most effective instrument for measuring employee engagement (</w:t>
      </w:r>
      <w:proofErr w:type="spellStart"/>
      <w:r w:rsidR="003C6A8D" w:rsidRPr="003C6A8D">
        <w:rPr>
          <w:rFonts w:ascii="Arial" w:hAnsi="Arial" w:cs="Arial"/>
        </w:rPr>
        <w:t>Prasilowati</w:t>
      </w:r>
      <w:proofErr w:type="spellEnd"/>
      <w:r w:rsidR="003C6A8D" w:rsidRPr="003C6A8D">
        <w:rPr>
          <w:rFonts w:ascii="Arial" w:hAnsi="Arial" w:cs="Arial"/>
        </w:rPr>
        <w:t xml:space="preserve"> et al., 2021, p.2). Tesco relies on employee survey tools to gather input on employees' opinions and attitudes (Negros, 2022, p.67). For raising Tesco voter participation, the most successful surveys are filled out anonymously. Employees offer honest replies, allowing Tesco to better understand their requirements. Tesco often employs a third-party administrator to increase staff satisfaction and increase survey participation rates.</w:t>
      </w:r>
    </w:p>
    <w:p w:rsidR="00E73213" w:rsidRDefault="00E73213" w:rsidP="004675C0">
      <w:pPr>
        <w:spacing w:line="360" w:lineRule="auto"/>
        <w:jc w:val="both"/>
        <w:rPr>
          <w:rFonts w:ascii="Arial" w:hAnsi="Arial" w:cs="Arial"/>
        </w:rPr>
      </w:pPr>
      <w:r w:rsidRPr="00E73213">
        <w:rPr>
          <w:rFonts w:ascii="Arial" w:hAnsi="Arial" w:cs="Arial"/>
        </w:rPr>
        <w:t>Managers get a sense of how engaged the workforce is and how motivated the employees are (</w:t>
      </w:r>
      <w:proofErr w:type="spellStart"/>
      <w:r w:rsidRPr="00E73213">
        <w:rPr>
          <w:rFonts w:ascii="Arial" w:hAnsi="Arial" w:cs="Arial"/>
        </w:rPr>
        <w:t>Prasilowati</w:t>
      </w:r>
      <w:proofErr w:type="spellEnd"/>
      <w:r w:rsidRPr="00E73213">
        <w:rPr>
          <w:rFonts w:ascii="Arial" w:hAnsi="Arial" w:cs="Arial"/>
        </w:rPr>
        <w:t xml:space="preserve"> et al., 2021, p.2). Employee surveys have shown to be a helpful technique for understanding employees' issues. Employee surveys assist Tesco in identifying employee employment difficulties. The vital data is used to improve the organisational culture and motivate employees to participate more (Negros, 2022, p.67).</w:t>
      </w:r>
    </w:p>
    <w:p w:rsidR="00E73213" w:rsidRDefault="00E73213" w:rsidP="004675C0">
      <w:pPr>
        <w:spacing w:line="360" w:lineRule="auto"/>
        <w:jc w:val="both"/>
        <w:rPr>
          <w:rFonts w:ascii="Arial" w:hAnsi="Arial" w:cs="Arial"/>
        </w:rPr>
      </w:pPr>
      <w:r w:rsidRPr="00E73213">
        <w:rPr>
          <w:rFonts w:ascii="Arial" w:hAnsi="Arial" w:cs="Arial"/>
          <w:b/>
        </w:rPr>
        <w:t>HR t</w:t>
      </w:r>
      <w:r>
        <w:rPr>
          <w:rFonts w:ascii="Arial" w:hAnsi="Arial" w:cs="Arial"/>
          <w:b/>
        </w:rPr>
        <w:t>ools:</w:t>
      </w:r>
      <w:r w:rsidRPr="00E73213">
        <w:rPr>
          <w:rFonts w:ascii="Arial" w:hAnsi="Arial" w:cs="Arial"/>
        </w:rPr>
        <w:t xml:space="preserve"> An essential tool for collecting employee input and measuring </w:t>
      </w:r>
      <w:proofErr w:type="gramStart"/>
      <w:r w:rsidRPr="00E73213">
        <w:rPr>
          <w:rFonts w:ascii="Arial" w:hAnsi="Arial" w:cs="Arial"/>
        </w:rPr>
        <w:t>employees ’</w:t>
      </w:r>
      <w:proofErr w:type="gramEnd"/>
      <w:r w:rsidRPr="00E73213">
        <w:rPr>
          <w:rFonts w:ascii="Arial" w:hAnsi="Arial" w:cs="Arial"/>
        </w:rPr>
        <w:t xml:space="preserve"> satisfaction is the HR portal. Tesco may use it to handle 367,321 workers and their data (Tesco, 2021, p.2). Tesco's HR manager keeps the survey findings in a secure area in order to improve employee engagement. Modern HR solutions are most commonly used to facilitate communication between employees and management. It contributes to Tesco's varied and pleasant workplace. HR solutions are essential for increasing employee engagement and assisting the organisation in increasing productivity (Negros, 2022, p.67).</w:t>
      </w:r>
      <w:r w:rsidRPr="00E73213">
        <w:t xml:space="preserve"> </w:t>
      </w:r>
      <w:r w:rsidRPr="00E73213">
        <w:rPr>
          <w:rFonts w:ascii="Arial" w:hAnsi="Arial" w:cs="Arial"/>
        </w:rPr>
        <w:t>Tesco's HR solutions enhance the capacity of its HR managers in order to improve the employee experience. Tesco's HR management optimises legal activities in accordance to ensure data protection. Tesco uses HR management software people, procedures, and information. Tesco's management creates tools to assist employees and supervisors perform more efficiently. It assists Tesco's HR management in reducing mistakes and increasing the company's production level (</w:t>
      </w:r>
      <w:proofErr w:type="spellStart"/>
      <w:r w:rsidRPr="00E73213">
        <w:rPr>
          <w:rFonts w:ascii="Arial" w:hAnsi="Arial" w:cs="Arial"/>
        </w:rPr>
        <w:t>Siswanto</w:t>
      </w:r>
      <w:proofErr w:type="spellEnd"/>
      <w:r w:rsidRPr="00E73213">
        <w:rPr>
          <w:rFonts w:ascii="Arial" w:hAnsi="Arial" w:cs="Arial"/>
        </w:rPr>
        <w:t xml:space="preserve"> et al., 2021, p.625).</w:t>
      </w:r>
    </w:p>
    <w:p w:rsidR="00E73213" w:rsidRDefault="00E73213" w:rsidP="004675C0">
      <w:pPr>
        <w:spacing w:line="360" w:lineRule="auto"/>
        <w:jc w:val="both"/>
        <w:rPr>
          <w:rFonts w:ascii="Arial" w:hAnsi="Arial" w:cs="Arial"/>
        </w:rPr>
      </w:pPr>
      <w:r w:rsidRPr="009B2432">
        <w:rPr>
          <w:rFonts w:ascii="Arial" w:hAnsi="Arial" w:cs="Arial"/>
          <w:b/>
        </w:rPr>
        <w:t xml:space="preserve">Measuring productivity </w:t>
      </w:r>
      <w:r w:rsidR="009B2432" w:rsidRPr="009B2432">
        <w:rPr>
          <w:rFonts w:ascii="Arial" w:hAnsi="Arial" w:cs="Arial"/>
          <w:b/>
        </w:rPr>
        <w:t>measures and employee retention</w:t>
      </w:r>
      <w:r w:rsidR="009B2432">
        <w:rPr>
          <w:rFonts w:ascii="Arial" w:hAnsi="Arial" w:cs="Arial"/>
        </w:rPr>
        <w:t>:</w:t>
      </w:r>
      <w:r w:rsidRPr="00E73213">
        <w:rPr>
          <w:rFonts w:ascii="Arial" w:hAnsi="Arial" w:cs="Arial"/>
        </w:rPr>
        <w:t xml:space="preserve"> Tesco determines the level of employee engagement using productivity measurements and staff retention rates. Tesco's turnover rate has grown by 15% in recent years in order to alleviate the company's issues during Covid-19. Employee engagement has a direct impact on productivity indicators and retention rates (Ruiz-Pérez, 2020, p.2). Productivity indicators are used to monitor the efficiency of team members.</w:t>
      </w:r>
      <w:r w:rsidR="009B2432" w:rsidRPr="009B2432">
        <w:t xml:space="preserve"> </w:t>
      </w:r>
      <w:r w:rsidR="009B2432" w:rsidRPr="009B2432">
        <w:rPr>
          <w:rFonts w:ascii="Arial" w:hAnsi="Arial" w:cs="Arial"/>
        </w:rPr>
        <w:t xml:space="preserve">Tesco assesses employee productivity and identifies </w:t>
      </w:r>
      <w:r w:rsidR="009B2432" w:rsidRPr="009B2432">
        <w:rPr>
          <w:rFonts w:ascii="Arial" w:hAnsi="Arial" w:cs="Arial"/>
        </w:rPr>
        <w:lastRenderedPageBreak/>
        <w:t>opportunities for improvement. Tesco's measures and retention rate are focused on earnings and staff advancement (Ruiz-Pérez, 2020, p.2). Tesco can run more efficient operations and allocate resources more effectively with the help of productivity measurements. The productivity indicators indicate the employees' weak points, and Tesco gives training to help them improve their efficiency.</w:t>
      </w:r>
    </w:p>
    <w:p w:rsidR="009B2432" w:rsidRDefault="009B2432" w:rsidP="004675C0">
      <w:pPr>
        <w:spacing w:line="360" w:lineRule="auto"/>
        <w:jc w:val="both"/>
        <w:rPr>
          <w:rFonts w:ascii="Arial" w:hAnsi="Arial" w:cs="Arial"/>
        </w:rPr>
      </w:pPr>
      <w:r w:rsidRPr="009B2432">
        <w:rPr>
          <w:rFonts w:ascii="Arial" w:hAnsi="Arial" w:cs="Arial"/>
          <w:b/>
        </w:rPr>
        <w:t>Small focus groups:</w:t>
      </w:r>
      <w:r w:rsidRPr="009B2432">
        <w:rPr>
          <w:rFonts w:ascii="Arial" w:hAnsi="Arial" w:cs="Arial"/>
        </w:rPr>
        <w:t xml:space="preserve"> Tesco is the largest retail chain in the UK, with 4,673 shops. Tesco, being a major retail corporation, found it hard to hold one-on-one talks with its staff. The specific group is required to assist Tesco combine several varied teams (</w:t>
      </w:r>
      <w:proofErr w:type="spellStart"/>
      <w:r w:rsidRPr="009B2432">
        <w:rPr>
          <w:rFonts w:ascii="Arial" w:hAnsi="Arial" w:cs="Arial"/>
        </w:rPr>
        <w:t>Moyo</w:t>
      </w:r>
      <w:proofErr w:type="spellEnd"/>
      <w:r w:rsidRPr="009B2432">
        <w:rPr>
          <w:rFonts w:ascii="Arial" w:hAnsi="Arial" w:cs="Arial"/>
        </w:rPr>
        <w:t>, 2019, p.270). Tesco's HR managers often develop a series of 5- 8 questions dependent on the circumstance. The HR managers note the employees' involvement and participation in answering the question.</w:t>
      </w:r>
      <w:r w:rsidRPr="009B2432">
        <w:t xml:space="preserve"> </w:t>
      </w:r>
      <w:r w:rsidRPr="009B2432">
        <w:rPr>
          <w:rFonts w:ascii="Arial" w:hAnsi="Arial" w:cs="Arial"/>
        </w:rPr>
        <w:t>Tesco management monitors employee behaviour and works to increase employee involvement. Employees are taking part in a conversation to forecast their performance level (</w:t>
      </w:r>
      <w:proofErr w:type="spellStart"/>
      <w:r w:rsidRPr="009B2432">
        <w:rPr>
          <w:rFonts w:ascii="Arial" w:hAnsi="Arial" w:cs="Arial"/>
        </w:rPr>
        <w:t>Moyo</w:t>
      </w:r>
      <w:proofErr w:type="spellEnd"/>
      <w:r w:rsidRPr="009B2432">
        <w:rPr>
          <w:rFonts w:ascii="Arial" w:hAnsi="Arial" w:cs="Arial"/>
        </w:rPr>
        <w:t>, 2019, p.270). The tiny focus group understands the clients' satisfied and unmet demands. HR managers listen to employee input and learn about the company's decision-making process.</w:t>
      </w:r>
    </w:p>
    <w:p w:rsidR="009B2432" w:rsidRDefault="009B2432" w:rsidP="004675C0">
      <w:pPr>
        <w:spacing w:line="360" w:lineRule="auto"/>
        <w:jc w:val="both"/>
        <w:rPr>
          <w:rFonts w:ascii="Arial" w:hAnsi="Arial" w:cs="Arial"/>
        </w:rPr>
      </w:pPr>
    </w:p>
    <w:p w:rsidR="009B2432" w:rsidRDefault="009B2432" w:rsidP="004675C0">
      <w:pPr>
        <w:spacing w:line="360" w:lineRule="auto"/>
        <w:jc w:val="both"/>
        <w:rPr>
          <w:rFonts w:ascii="Arial" w:hAnsi="Arial" w:cs="Arial"/>
        </w:rPr>
      </w:pPr>
    </w:p>
    <w:p w:rsidR="009B2432" w:rsidRDefault="009B2432" w:rsidP="004675C0">
      <w:pPr>
        <w:spacing w:line="360" w:lineRule="auto"/>
        <w:jc w:val="both"/>
        <w:rPr>
          <w:rFonts w:ascii="Arial" w:hAnsi="Arial" w:cs="Arial"/>
        </w:rPr>
      </w:pPr>
    </w:p>
    <w:p w:rsidR="009B2432" w:rsidRDefault="009B2432" w:rsidP="004675C0">
      <w:pPr>
        <w:spacing w:line="360" w:lineRule="auto"/>
        <w:jc w:val="both"/>
        <w:rPr>
          <w:rFonts w:ascii="Arial" w:hAnsi="Arial" w:cs="Arial"/>
        </w:rPr>
      </w:pPr>
    </w:p>
    <w:p w:rsidR="009B2432" w:rsidRDefault="009B2432" w:rsidP="004675C0">
      <w:pPr>
        <w:spacing w:line="360" w:lineRule="auto"/>
        <w:jc w:val="both"/>
        <w:rPr>
          <w:rFonts w:ascii="Arial" w:hAnsi="Arial" w:cs="Arial"/>
        </w:rPr>
      </w:pPr>
    </w:p>
    <w:p w:rsidR="009B2432" w:rsidRDefault="009B2432" w:rsidP="004675C0">
      <w:pPr>
        <w:spacing w:line="360" w:lineRule="auto"/>
        <w:jc w:val="both"/>
        <w:rPr>
          <w:rFonts w:ascii="Arial" w:hAnsi="Arial" w:cs="Arial"/>
        </w:rPr>
      </w:pPr>
    </w:p>
    <w:p w:rsidR="009B2432" w:rsidRDefault="009B2432" w:rsidP="004675C0">
      <w:pPr>
        <w:spacing w:line="360" w:lineRule="auto"/>
        <w:jc w:val="both"/>
        <w:rPr>
          <w:rFonts w:ascii="Arial" w:hAnsi="Arial" w:cs="Arial"/>
        </w:rPr>
      </w:pPr>
    </w:p>
    <w:p w:rsidR="009B2432" w:rsidRDefault="009B2432" w:rsidP="004675C0">
      <w:pPr>
        <w:spacing w:line="360" w:lineRule="auto"/>
        <w:jc w:val="both"/>
        <w:rPr>
          <w:rFonts w:ascii="Arial" w:hAnsi="Arial" w:cs="Arial"/>
        </w:rPr>
      </w:pPr>
    </w:p>
    <w:p w:rsidR="009B2432" w:rsidRDefault="009B2432" w:rsidP="004675C0">
      <w:pPr>
        <w:spacing w:line="360" w:lineRule="auto"/>
        <w:jc w:val="both"/>
        <w:rPr>
          <w:rFonts w:ascii="Arial" w:hAnsi="Arial" w:cs="Arial"/>
        </w:rPr>
      </w:pPr>
    </w:p>
    <w:p w:rsidR="009B2432" w:rsidRDefault="009B2432" w:rsidP="004675C0">
      <w:pPr>
        <w:spacing w:line="360" w:lineRule="auto"/>
        <w:jc w:val="both"/>
        <w:rPr>
          <w:rFonts w:ascii="Arial" w:hAnsi="Arial" w:cs="Arial"/>
        </w:rPr>
      </w:pPr>
    </w:p>
    <w:p w:rsidR="009B2432" w:rsidRDefault="009B2432" w:rsidP="004675C0">
      <w:pPr>
        <w:spacing w:line="360" w:lineRule="auto"/>
        <w:jc w:val="both"/>
        <w:rPr>
          <w:rFonts w:ascii="Arial" w:hAnsi="Arial" w:cs="Arial"/>
        </w:rPr>
      </w:pPr>
    </w:p>
    <w:p w:rsidR="009B2432" w:rsidRDefault="009B2432" w:rsidP="004675C0">
      <w:pPr>
        <w:spacing w:line="360" w:lineRule="auto"/>
        <w:jc w:val="both"/>
        <w:rPr>
          <w:rFonts w:ascii="Arial" w:hAnsi="Arial" w:cs="Arial"/>
        </w:rPr>
      </w:pPr>
    </w:p>
    <w:p w:rsidR="009B2432" w:rsidRDefault="009B2432" w:rsidP="004675C0">
      <w:pPr>
        <w:spacing w:line="360" w:lineRule="auto"/>
        <w:jc w:val="both"/>
        <w:rPr>
          <w:rFonts w:ascii="Arial" w:hAnsi="Arial" w:cs="Arial"/>
        </w:rPr>
      </w:pPr>
    </w:p>
    <w:p w:rsidR="009B2432" w:rsidRDefault="009B2432" w:rsidP="004675C0">
      <w:pPr>
        <w:spacing w:line="360" w:lineRule="auto"/>
        <w:jc w:val="both"/>
        <w:rPr>
          <w:rFonts w:ascii="Arial" w:hAnsi="Arial" w:cs="Arial"/>
        </w:rPr>
      </w:pPr>
    </w:p>
    <w:p w:rsidR="009B2432" w:rsidRDefault="009B2432" w:rsidP="004675C0">
      <w:pPr>
        <w:spacing w:line="360" w:lineRule="auto"/>
        <w:jc w:val="both"/>
        <w:rPr>
          <w:rFonts w:ascii="Arial" w:hAnsi="Arial" w:cs="Arial"/>
        </w:rPr>
      </w:pPr>
    </w:p>
    <w:p w:rsidR="009B2432" w:rsidRDefault="009B2432" w:rsidP="009B2432">
      <w:pPr>
        <w:pStyle w:val="ListParagraph"/>
        <w:numPr>
          <w:ilvl w:val="0"/>
          <w:numId w:val="1"/>
        </w:numPr>
        <w:spacing w:line="360" w:lineRule="auto"/>
        <w:jc w:val="both"/>
        <w:rPr>
          <w:rFonts w:ascii="Times New Roman" w:hAnsi="Times New Roman" w:cs="Times New Roman"/>
          <w:b/>
          <w:sz w:val="28"/>
          <w:szCs w:val="28"/>
        </w:rPr>
      </w:pPr>
      <w:r w:rsidRPr="009B2432">
        <w:rPr>
          <w:rFonts w:ascii="Times New Roman" w:hAnsi="Times New Roman" w:cs="Times New Roman"/>
          <w:b/>
          <w:sz w:val="28"/>
          <w:szCs w:val="28"/>
        </w:rPr>
        <w:lastRenderedPageBreak/>
        <w:t>Constructing the value proposition of the employees from the ideas and analysing strategies to raise levels of engagement</w:t>
      </w:r>
    </w:p>
    <w:p w:rsidR="009B2432" w:rsidRDefault="009B2432" w:rsidP="009B2432">
      <w:pPr>
        <w:spacing w:line="360" w:lineRule="auto"/>
        <w:jc w:val="both"/>
        <w:rPr>
          <w:rFonts w:ascii="Arial" w:hAnsi="Arial" w:cs="Arial"/>
        </w:rPr>
      </w:pPr>
      <w:r w:rsidRPr="009B2432">
        <w:rPr>
          <w:rFonts w:ascii="Arial" w:hAnsi="Arial" w:cs="Arial"/>
        </w:rPr>
        <w:t>It is the company's obligation to maintain activities of an organization in a competitive market, and the deployment of successful strategies may considerably maintain organisational operations. Nevertheless, these tactics are also related with increasing the satisfaction of the company's personnel. Several tactics have been developed in order to maintain the working process and employee value inside the organisation.</w:t>
      </w:r>
    </w:p>
    <w:p w:rsidR="009B2432" w:rsidRDefault="009B2432" w:rsidP="009B2432">
      <w:pPr>
        <w:spacing w:line="360" w:lineRule="auto"/>
        <w:jc w:val="both"/>
        <w:rPr>
          <w:rFonts w:ascii="Arial" w:hAnsi="Arial" w:cs="Arial"/>
        </w:rPr>
      </w:pPr>
      <w:r w:rsidRPr="009B2432">
        <w:rPr>
          <w:rFonts w:ascii="Arial" w:hAnsi="Arial" w:cs="Arial"/>
          <w:b/>
        </w:rPr>
        <w:t>Implementation of a flexible working process:</w:t>
      </w:r>
      <w:r w:rsidRPr="009B2432">
        <w:rPr>
          <w:rFonts w:ascii="Arial" w:hAnsi="Arial" w:cs="Arial"/>
        </w:rPr>
        <w:t xml:space="preserve"> The breakout of the Covid-19 pandemic has created a number of difficult scenarios for businesses to continue operations. The pandemic scenario has increased the communication barrier among employees, and the corporation must maintain performance of the organization within the business climate. Furthermore, implementing a flexible working process within the organisation might result in a flexible working procedure within the business climate.</w:t>
      </w:r>
      <w:r w:rsidRPr="009B2432">
        <w:t xml:space="preserve"> </w:t>
      </w:r>
      <w:r w:rsidRPr="009B2432">
        <w:rPr>
          <w:rFonts w:ascii="Arial" w:hAnsi="Arial" w:cs="Arial"/>
        </w:rPr>
        <w:t>Nevertheless, the HR manager is responsible for maintaining employee happiness inside the organisational context. The flexible working procedure has enabled employees to feel more at ease in the competitive business world, as well as produce higher levels of satisfaction inside the organisation.</w:t>
      </w:r>
    </w:p>
    <w:p w:rsidR="00B37924" w:rsidRDefault="00B37924" w:rsidP="009B2432">
      <w:pPr>
        <w:spacing w:line="360" w:lineRule="auto"/>
        <w:jc w:val="both"/>
        <w:rPr>
          <w:rFonts w:ascii="Arial" w:hAnsi="Arial" w:cs="Arial"/>
        </w:rPr>
      </w:pPr>
      <w:r w:rsidRPr="00B37924">
        <w:rPr>
          <w:rFonts w:ascii="Arial" w:hAnsi="Arial" w:cs="Arial"/>
          <w:b/>
        </w:rPr>
        <w:t>Enhancement of diversity and inclusive working process:</w:t>
      </w:r>
      <w:r w:rsidRPr="00B37924">
        <w:rPr>
          <w:rFonts w:ascii="Arial" w:hAnsi="Arial" w:cs="Arial"/>
        </w:rPr>
        <w:t xml:space="preserve"> The firm hires a variety of people, resulting in a company with a diverse workplace culture. It should be noted that the creation of an inclusive working method helps foster an effective collaborative attitude inside the organisation. Tesco will be able to create a strong work culture within the organisation that allows them to embrace diversity constructively.</w:t>
      </w:r>
      <w:r w:rsidRPr="00B37924">
        <w:t xml:space="preserve"> </w:t>
      </w:r>
      <w:r w:rsidRPr="00B37924">
        <w:rPr>
          <w:rFonts w:ascii="Arial" w:hAnsi="Arial" w:cs="Arial"/>
        </w:rPr>
        <w:t>Diversity in the workplace offers various advantages, and recognising these advantages may make the working atmosphere more pleasant for all types of employees. The establishment of an inclusive working process has the potential to greatly increase employee cooperation. It will assist employees in obtaining equitable possibilities inside the organisation, and it will specifically develop responsibility recognition.</w:t>
      </w:r>
    </w:p>
    <w:p w:rsidR="00B37924" w:rsidRDefault="00B37924" w:rsidP="009B2432">
      <w:pPr>
        <w:spacing w:line="360" w:lineRule="auto"/>
        <w:jc w:val="both"/>
        <w:rPr>
          <w:rFonts w:ascii="Arial" w:hAnsi="Arial" w:cs="Arial"/>
        </w:rPr>
      </w:pPr>
      <w:r w:rsidRPr="00B37924">
        <w:rPr>
          <w:rFonts w:ascii="Arial" w:hAnsi="Arial" w:cs="Arial"/>
          <w:b/>
        </w:rPr>
        <w:t>Employee training and equal opportunities:</w:t>
      </w:r>
      <w:r w:rsidRPr="00B37924">
        <w:rPr>
          <w:rFonts w:ascii="Arial" w:hAnsi="Arial" w:cs="Arial"/>
        </w:rPr>
        <w:t xml:space="preserve"> Tesco's human resources department is responsible for maintaining the employees' continuous learning process. It should be noted here that the organisational environment is constantly changing on a regular basis, and making personnel adaptable to the changing environment is a critical aspect for the firm. However, there are several chances available in the organisational environment, and each employee must seize these opportunities in order to encourage employee competition.</w:t>
      </w:r>
      <w:r w:rsidRPr="00B37924">
        <w:t xml:space="preserve"> </w:t>
      </w:r>
      <w:r w:rsidRPr="00B37924">
        <w:rPr>
          <w:rFonts w:ascii="Arial" w:hAnsi="Arial" w:cs="Arial"/>
        </w:rPr>
        <w:t>The execution of the training and development process has the ability to improve employees' potential and understanding of their tasks. Employees can benefit from excellent skill-</w:t>
      </w:r>
      <w:r w:rsidRPr="00B37924">
        <w:rPr>
          <w:rFonts w:ascii="Arial" w:hAnsi="Arial" w:cs="Arial"/>
        </w:rPr>
        <w:lastRenderedPageBreak/>
        <w:t>development opportunities while also maintaining organisational operations. Furthermore, it should be noted that while personnel will be able to assist themselves and achieve increased advancement. Employee engagement may be increased and employee performance could be improved with the use of these chances.</w:t>
      </w:r>
    </w:p>
    <w:p w:rsidR="00B37924" w:rsidRDefault="00B37924" w:rsidP="009B2432">
      <w:pPr>
        <w:spacing w:line="360" w:lineRule="auto"/>
        <w:jc w:val="both"/>
        <w:rPr>
          <w:rFonts w:ascii="Arial" w:hAnsi="Arial" w:cs="Arial"/>
        </w:rPr>
      </w:pPr>
    </w:p>
    <w:p w:rsidR="00B37924" w:rsidRDefault="00B37924" w:rsidP="00B37924">
      <w:pPr>
        <w:pStyle w:val="ListParagraph"/>
        <w:numPr>
          <w:ilvl w:val="0"/>
          <w:numId w:val="1"/>
        </w:numPr>
        <w:spacing w:line="360" w:lineRule="auto"/>
        <w:jc w:val="both"/>
        <w:rPr>
          <w:rFonts w:ascii="Times New Roman" w:hAnsi="Times New Roman" w:cs="Times New Roman"/>
          <w:b/>
          <w:sz w:val="28"/>
          <w:szCs w:val="28"/>
        </w:rPr>
      </w:pPr>
      <w:r w:rsidRPr="00B37924">
        <w:rPr>
          <w:rFonts w:ascii="Times New Roman" w:hAnsi="Times New Roman" w:cs="Times New Roman"/>
          <w:b/>
          <w:sz w:val="28"/>
          <w:szCs w:val="28"/>
        </w:rPr>
        <w:t>Conclusion</w:t>
      </w:r>
    </w:p>
    <w:p w:rsidR="00B37924" w:rsidRDefault="00B37924" w:rsidP="00B37924">
      <w:pPr>
        <w:spacing w:line="360" w:lineRule="auto"/>
        <w:jc w:val="both"/>
        <w:rPr>
          <w:rFonts w:ascii="Arial" w:hAnsi="Arial" w:cs="Arial"/>
        </w:rPr>
      </w:pPr>
      <w:r w:rsidRPr="00B37924">
        <w:rPr>
          <w:rFonts w:ascii="Arial" w:hAnsi="Arial" w:cs="Arial"/>
        </w:rPr>
        <w:t>Based on the foregoing evaluation, it is clear that Tesco has to promote employee engagement in order to improve the overall organisational effectiveness. Tesco relies on the management of organisational people to increase employee attachment. The paper explored the notion of employee engagement as well as the factors that influence employee engagement.</w:t>
      </w:r>
      <w:r w:rsidRPr="00B37924">
        <w:t xml:space="preserve"> </w:t>
      </w:r>
      <w:r w:rsidRPr="00B37924">
        <w:rPr>
          <w:rFonts w:ascii="Arial" w:hAnsi="Arial" w:cs="Arial"/>
        </w:rPr>
        <w:t>Diagnostic tools for managing and developing employee engagement are being investigated. Tesco's major diagnostic tools for employee engagement include the employee survey, HR tools, monitoring productivity measures, and small focus groups. The study emphasised Tesco's methods for increasing staff productivity.</w:t>
      </w:r>
    </w:p>
    <w:p w:rsidR="00CA6D28" w:rsidRDefault="00CA6D28" w:rsidP="00B37924">
      <w:pPr>
        <w:spacing w:line="360" w:lineRule="auto"/>
        <w:jc w:val="both"/>
        <w:rPr>
          <w:rFonts w:ascii="Arial" w:hAnsi="Arial" w:cs="Arial"/>
        </w:rPr>
      </w:pPr>
    </w:p>
    <w:p w:rsidR="00CA6D28" w:rsidRDefault="00CA6D28" w:rsidP="00B37924">
      <w:pPr>
        <w:spacing w:line="360" w:lineRule="auto"/>
        <w:jc w:val="both"/>
        <w:rPr>
          <w:rFonts w:ascii="Arial" w:hAnsi="Arial" w:cs="Arial"/>
        </w:rPr>
      </w:pPr>
    </w:p>
    <w:p w:rsidR="00CA6D28" w:rsidRDefault="00CA6D28" w:rsidP="00B37924">
      <w:pPr>
        <w:spacing w:line="360" w:lineRule="auto"/>
        <w:jc w:val="both"/>
        <w:rPr>
          <w:rFonts w:ascii="Arial" w:hAnsi="Arial" w:cs="Arial"/>
        </w:rPr>
      </w:pPr>
    </w:p>
    <w:p w:rsidR="00CA6D28" w:rsidRDefault="00CA6D28" w:rsidP="00B37924">
      <w:pPr>
        <w:spacing w:line="360" w:lineRule="auto"/>
        <w:jc w:val="both"/>
        <w:rPr>
          <w:rFonts w:ascii="Arial" w:hAnsi="Arial" w:cs="Arial"/>
        </w:rPr>
      </w:pPr>
    </w:p>
    <w:p w:rsidR="00CA6D28" w:rsidRDefault="00CA6D28" w:rsidP="00B37924">
      <w:pPr>
        <w:spacing w:line="360" w:lineRule="auto"/>
        <w:jc w:val="both"/>
        <w:rPr>
          <w:rFonts w:ascii="Arial" w:hAnsi="Arial" w:cs="Arial"/>
        </w:rPr>
      </w:pPr>
    </w:p>
    <w:p w:rsidR="00CA6D28" w:rsidRDefault="00CA6D28" w:rsidP="00B37924">
      <w:pPr>
        <w:spacing w:line="360" w:lineRule="auto"/>
        <w:jc w:val="both"/>
        <w:rPr>
          <w:rFonts w:ascii="Arial" w:hAnsi="Arial" w:cs="Arial"/>
        </w:rPr>
      </w:pPr>
    </w:p>
    <w:p w:rsidR="00CA6D28" w:rsidRDefault="00CA6D28" w:rsidP="00B37924">
      <w:pPr>
        <w:spacing w:line="360" w:lineRule="auto"/>
        <w:jc w:val="both"/>
        <w:rPr>
          <w:rFonts w:ascii="Arial" w:hAnsi="Arial" w:cs="Arial"/>
        </w:rPr>
      </w:pPr>
    </w:p>
    <w:p w:rsidR="00CA6D28" w:rsidRDefault="00CA6D28" w:rsidP="00B37924">
      <w:pPr>
        <w:spacing w:line="360" w:lineRule="auto"/>
        <w:jc w:val="both"/>
        <w:rPr>
          <w:rFonts w:ascii="Arial" w:hAnsi="Arial" w:cs="Arial"/>
        </w:rPr>
      </w:pPr>
    </w:p>
    <w:p w:rsidR="00CA6D28" w:rsidRDefault="00CA6D28" w:rsidP="00B37924">
      <w:pPr>
        <w:spacing w:line="360" w:lineRule="auto"/>
        <w:jc w:val="both"/>
        <w:rPr>
          <w:rFonts w:ascii="Arial" w:hAnsi="Arial" w:cs="Arial"/>
        </w:rPr>
      </w:pPr>
    </w:p>
    <w:p w:rsidR="00CA6D28" w:rsidRDefault="00CA6D28" w:rsidP="00B37924">
      <w:pPr>
        <w:spacing w:line="360" w:lineRule="auto"/>
        <w:jc w:val="both"/>
        <w:rPr>
          <w:rFonts w:ascii="Arial" w:hAnsi="Arial" w:cs="Arial"/>
        </w:rPr>
      </w:pPr>
    </w:p>
    <w:p w:rsidR="00CA6D28" w:rsidRDefault="00CA6D28" w:rsidP="00B37924">
      <w:pPr>
        <w:spacing w:line="360" w:lineRule="auto"/>
        <w:jc w:val="both"/>
        <w:rPr>
          <w:rFonts w:ascii="Arial" w:hAnsi="Arial" w:cs="Arial"/>
        </w:rPr>
      </w:pPr>
    </w:p>
    <w:p w:rsidR="00CA6D28" w:rsidRDefault="00CA6D28" w:rsidP="00B37924">
      <w:pPr>
        <w:spacing w:line="360" w:lineRule="auto"/>
        <w:jc w:val="both"/>
        <w:rPr>
          <w:rFonts w:ascii="Arial" w:hAnsi="Arial" w:cs="Arial"/>
        </w:rPr>
      </w:pPr>
    </w:p>
    <w:p w:rsidR="00CA6D28" w:rsidRDefault="00CA6D28" w:rsidP="00B37924">
      <w:pPr>
        <w:spacing w:line="360" w:lineRule="auto"/>
        <w:jc w:val="both"/>
        <w:rPr>
          <w:rFonts w:ascii="Arial" w:hAnsi="Arial" w:cs="Arial"/>
        </w:rPr>
      </w:pPr>
    </w:p>
    <w:p w:rsidR="00CA6D28" w:rsidRDefault="00CA6D28" w:rsidP="00B37924">
      <w:pPr>
        <w:spacing w:line="360" w:lineRule="auto"/>
        <w:jc w:val="both"/>
        <w:rPr>
          <w:rFonts w:ascii="Arial" w:hAnsi="Arial" w:cs="Arial"/>
        </w:rPr>
      </w:pPr>
    </w:p>
    <w:p w:rsidR="00CA6D28" w:rsidRDefault="00CA6D28" w:rsidP="00B37924">
      <w:pPr>
        <w:spacing w:line="360" w:lineRule="auto"/>
        <w:jc w:val="both"/>
        <w:rPr>
          <w:rFonts w:ascii="Arial" w:hAnsi="Arial" w:cs="Arial"/>
        </w:rPr>
      </w:pPr>
    </w:p>
    <w:p w:rsidR="00CA6D28" w:rsidRDefault="00CA6D28" w:rsidP="00B37924">
      <w:pPr>
        <w:spacing w:line="360" w:lineRule="auto"/>
        <w:jc w:val="both"/>
        <w:rPr>
          <w:rFonts w:ascii="Times New Roman" w:hAnsi="Times New Roman" w:cs="Times New Roman"/>
          <w:b/>
          <w:sz w:val="28"/>
          <w:szCs w:val="28"/>
        </w:rPr>
      </w:pPr>
      <w:r w:rsidRPr="00CA6D28">
        <w:rPr>
          <w:rFonts w:ascii="Times New Roman" w:hAnsi="Times New Roman" w:cs="Times New Roman"/>
          <w:b/>
          <w:sz w:val="28"/>
          <w:szCs w:val="28"/>
        </w:rPr>
        <w:lastRenderedPageBreak/>
        <w:t>References:</w:t>
      </w:r>
    </w:p>
    <w:p w:rsidR="00CA6D28" w:rsidRDefault="00CA6D28" w:rsidP="00CA6D28">
      <w:pPr>
        <w:spacing w:line="48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Moyo</w:t>
      </w:r>
      <w:proofErr w:type="spellEnd"/>
      <w:r>
        <w:rPr>
          <w:rFonts w:ascii="Times New Roman" w:eastAsia="Times New Roman" w:hAnsi="Times New Roman" w:cs="Times New Roman"/>
          <w:color w:val="222222"/>
          <w:sz w:val="24"/>
          <w:szCs w:val="24"/>
          <w:highlight w:val="white"/>
        </w:rPr>
        <w:t xml:space="preserve">, N., (2019). Testing the Effect of Employee Engagement, Transformational Leadership and Organisational Communication on Organisational Commitment. </w:t>
      </w:r>
      <w:r>
        <w:rPr>
          <w:rFonts w:ascii="Times New Roman" w:eastAsia="Times New Roman" w:hAnsi="Times New Roman" w:cs="Times New Roman"/>
          <w:i/>
          <w:color w:val="222222"/>
          <w:sz w:val="24"/>
          <w:szCs w:val="24"/>
          <w:highlight w:val="white"/>
        </w:rPr>
        <w:t>J. Mgt. Mkt.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w:t>
      </w:r>
      <w:r>
        <w:rPr>
          <w:rFonts w:ascii="Times New Roman" w:eastAsia="Times New Roman" w:hAnsi="Times New Roman" w:cs="Times New Roman"/>
          <w:color w:val="222222"/>
          <w:sz w:val="24"/>
          <w:szCs w:val="24"/>
          <w:highlight w:val="white"/>
        </w:rPr>
        <w:t>(4), pp.270-278.</w:t>
      </w:r>
    </w:p>
    <w:p w:rsidR="00CA6D28" w:rsidRDefault="00CA6D28" w:rsidP="00CA6D28">
      <w:pPr>
        <w:spacing w:line="48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Prasilowati</w:t>
      </w:r>
      <w:proofErr w:type="spellEnd"/>
      <w:r>
        <w:rPr>
          <w:rFonts w:ascii="Times New Roman" w:eastAsia="Times New Roman" w:hAnsi="Times New Roman" w:cs="Times New Roman"/>
          <w:color w:val="222222"/>
          <w:sz w:val="24"/>
          <w:szCs w:val="24"/>
          <w:highlight w:val="white"/>
        </w:rPr>
        <w:t xml:space="preserve">, S.L., Farouk, F. and Ahmadi, S., (2021). Determination of Employee Contribution on Employee Engagement with Employee Motivation as an Intervening Variable. </w:t>
      </w:r>
      <w:r>
        <w:rPr>
          <w:rFonts w:ascii="Times New Roman" w:eastAsia="Times New Roman" w:hAnsi="Times New Roman" w:cs="Times New Roman"/>
          <w:i/>
          <w:color w:val="222222"/>
          <w:sz w:val="24"/>
          <w:szCs w:val="24"/>
          <w:highlight w:val="white"/>
        </w:rPr>
        <w:t>Journal of Hunan University Natural Sciences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48</w:t>
      </w:r>
      <w:r>
        <w:rPr>
          <w:rFonts w:ascii="Times New Roman" w:eastAsia="Times New Roman" w:hAnsi="Times New Roman" w:cs="Times New Roman"/>
          <w:color w:val="222222"/>
          <w:sz w:val="24"/>
          <w:szCs w:val="24"/>
          <w:highlight w:val="white"/>
        </w:rPr>
        <w:t>(7).</w:t>
      </w:r>
    </w:p>
    <w:p w:rsidR="00CA6D28" w:rsidRDefault="00CA6D28" w:rsidP="00CA6D28">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Ruiz-Pérez, F., </w:t>
      </w:r>
      <w:proofErr w:type="spellStart"/>
      <w:r>
        <w:rPr>
          <w:rFonts w:ascii="Times New Roman" w:eastAsia="Times New Roman" w:hAnsi="Times New Roman" w:cs="Times New Roman"/>
          <w:color w:val="222222"/>
          <w:sz w:val="24"/>
          <w:szCs w:val="24"/>
          <w:highlight w:val="white"/>
        </w:rPr>
        <w:t>Lleó</w:t>
      </w:r>
      <w:proofErr w:type="spellEnd"/>
      <w:r>
        <w:rPr>
          <w:rFonts w:ascii="Times New Roman" w:eastAsia="Times New Roman" w:hAnsi="Times New Roman" w:cs="Times New Roman"/>
          <w:color w:val="222222"/>
          <w:sz w:val="24"/>
          <w:szCs w:val="24"/>
          <w:highlight w:val="white"/>
        </w:rPr>
        <w:t xml:space="preserve">, Á., </w:t>
      </w:r>
      <w:proofErr w:type="spellStart"/>
      <w:r>
        <w:rPr>
          <w:rFonts w:ascii="Times New Roman" w:eastAsia="Times New Roman" w:hAnsi="Times New Roman" w:cs="Times New Roman"/>
          <w:color w:val="222222"/>
          <w:sz w:val="24"/>
          <w:szCs w:val="24"/>
          <w:highlight w:val="white"/>
        </w:rPr>
        <w:t>Viles</w:t>
      </w:r>
      <w:proofErr w:type="spellEnd"/>
      <w:r>
        <w:rPr>
          <w:rFonts w:ascii="Times New Roman" w:eastAsia="Times New Roman" w:hAnsi="Times New Roman" w:cs="Times New Roman"/>
          <w:color w:val="222222"/>
          <w:sz w:val="24"/>
          <w:szCs w:val="24"/>
          <w:highlight w:val="white"/>
        </w:rPr>
        <w:t xml:space="preserve">, E. and </w:t>
      </w:r>
      <w:proofErr w:type="spellStart"/>
      <w:r>
        <w:rPr>
          <w:rFonts w:ascii="Times New Roman" w:eastAsia="Times New Roman" w:hAnsi="Times New Roman" w:cs="Times New Roman"/>
          <w:color w:val="222222"/>
          <w:sz w:val="24"/>
          <w:szCs w:val="24"/>
          <w:highlight w:val="white"/>
        </w:rPr>
        <w:t>Jurburg</w:t>
      </w:r>
      <w:proofErr w:type="spellEnd"/>
      <w:r>
        <w:rPr>
          <w:rFonts w:ascii="Times New Roman" w:eastAsia="Times New Roman" w:hAnsi="Times New Roman" w:cs="Times New Roman"/>
          <w:color w:val="222222"/>
          <w:sz w:val="24"/>
          <w:szCs w:val="24"/>
          <w:highlight w:val="white"/>
        </w:rPr>
        <w:t xml:space="preserve">, D., (2020). Enhancing participation through organizational drivers. </w:t>
      </w:r>
      <w:r>
        <w:rPr>
          <w:rFonts w:ascii="Times New Roman" w:eastAsia="Times New Roman" w:hAnsi="Times New Roman" w:cs="Times New Roman"/>
          <w:i/>
          <w:color w:val="222222"/>
          <w:sz w:val="24"/>
          <w:szCs w:val="24"/>
          <w:highlight w:val="white"/>
        </w:rPr>
        <w:t>The TQM Journal</w:t>
      </w:r>
      <w:r>
        <w:rPr>
          <w:rFonts w:ascii="Times New Roman" w:eastAsia="Times New Roman" w:hAnsi="Times New Roman" w:cs="Times New Roman"/>
          <w:color w:val="222222"/>
          <w:sz w:val="24"/>
          <w:szCs w:val="24"/>
          <w:highlight w:val="white"/>
        </w:rPr>
        <w:t>.</w:t>
      </w:r>
    </w:p>
    <w:p w:rsidR="00CA6D28" w:rsidRDefault="00CA6D28" w:rsidP="00CA6D28">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Walsh, B.M. and </w:t>
      </w:r>
      <w:proofErr w:type="spellStart"/>
      <w:r>
        <w:rPr>
          <w:rFonts w:ascii="Times New Roman" w:eastAsia="Times New Roman" w:hAnsi="Times New Roman" w:cs="Times New Roman"/>
          <w:color w:val="222222"/>
          <w:sz w:val="24"/>
          <w:szCs w:val="24"/>
          <w:highlight w:val="white"/>
        </w:rPr>
        <w:t>Magley</w:t>
      </w:r>
      <w:proofErr w:type="spellEnd"/>
      <w:r>
        <w:rPr>
          <w:rFonts w:ascii="Times New Roman" w:eastAsia="Times New Roman" w:hAnsi="Times New Roman" w:cs="Times New Roman"/>
          <w:color w:val="222222"/>
          <w:sz w:val="24"/>
          <w:szCs w:val="24"/>
          <w:highlight w:val="white"/>
        </w:rPr>
        <w:t xml:space="preserve">, V.J., (2020). Workplace civility training: Understanding drivers of motivation to learn. </w:t>
      </w:r>
      <w:r>
        <w:rPr>
          <w:rFonts w:ascii="Times New Roman" w:eastAsia="Times New Roman" w:hAnsi="Times New Roman" w:cs="Times New Roman"/>
          <w:i/>
          <w:color w:val="222222"/>
          <w:sz w:val="24"/>
          <w:szCs w:val="24"/>
          <w:highlight w:val="white"/>
        </w:rPr>
        <w:t>The International Journal of Human Resource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31</w:t>
      </w:r>
      <w:r>
        <w:rPr>
          <w:rFonts w:ascii="Times New Roman" w:eastAsia="Times New Roman" w:hAnsi="Times New Roman" w:cs="Times New Roman"/>
          <w:color w:val="222222"/>
          <w:sz w:val="24"/>
          <w:szCs w:val="24"/>
          <w:highlight w:val="white"/>
        </w:rPr>
        <w:t>(17), pp.2165-2187.</w:t>
      </w:r>
    </w:p>
    <w:p w:rsidR="00CA6D28" w:rsidRDefault="00CA6D28" w:rsidP="00CA6D28">
      <w:pPr>
        <w:spacing w:line="48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Kurdi</w:t>
      </w:r>
      <w:proofErr w:type="spellEnd"/>
      <w:r>
        <w:rPr>
          <w:rFonts w:ascii="Times New Roman" w:eastAsia="Times New Roman" w:hAnsi="Times New Roman" w:cs="Times New Roman"/>
          <w:color w:val="222222"/>
          <w:sz w:val="24"/>
          <w:szCs w:val="24"/>
          <w:highlight w:val="white"/>
        </w:rPr>
        <w:t xml:space="preserve">, B. and </w:t>
      </w:r>
      <w:proofErr w:type="spellStart"/>
      <w:r>
        <w:rPr>
          <w:rFonts w:ascii="Times New Roman" w:eastAsia="Times New Roman" w:hAnsi="Times New Roman" w:cs="Times New Roman"/>
          <w:color w:val="222222"/>
          <w:sz w:val="24"/>
          <w:szCs w:val="24"/>
          <w:highlight w:val="white"/>
        </w:rPr>
        <w:t>Alshurideh</w:t>
      </w:r>
      <w:proofErr w:type="spellEnd"/>
      <w:r>
        <w:rPr>
          <w:rFonts w:ascii="Times New Roman" w:eastAsia="Times New Roman" w:hAnsi="Times New Roman" w:cs="Times New Roman"/>
          <w:color w:val="222222"/>
          <w:sz w:val="24"/>
          <w:szCs w:val="24"/>
          <w:highlight w:val="white"/>
        </w:rPr>
        <w:t xml:space="preserve">, M., (2020). Employee retention and organizational performance: Evidence from banking industry. </w:t>
      </w:r>
      <w:r>
        <w:rPr>
          <w:rFonts w:ascii="Times New Roman" w:eastAsia="Times New Roman" w:hAnsi="Times New Roman" w:cs="Times New Roman"/>
          <w:i/>
          <w:color w:val="222222"/>
          <w:sz w:val="24"/>
          <w:szCs w:val="24"/>
          <w:highlight w:val="white"/>
        </w:rPr>
        <w:t>Management Science Letters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w:t>
      </w:r>
      <w:r>
        <w:rPr>
          <w:rFonts w:ascii="Times New Roman" w:eastAsia="Times New Roman" w:hAnsi="Times New Roman" w:cs="Times New Roman"/>
          <w:color w:val="222222"/>
          <w:sz w:val="24"/>
          <w:szCs w:val="24"/>
          <w:highlight w:val="white"/>
        </w:rPr>
        <w:t>(16), pp.3981-3990.</w:t>
      </w:r>
    </w:p>
    <w:p w:rsidR="00CA6D28" w:rsidRDefault="00CA6D28" w:rsidP="00CA6D28">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Muller-</w:t>
      </w:r>
      <w:proofErr w:type="spellStart"/>
      <w:r>
        <w:rPr>
          <w:rFonts w:ascii="Times New Roman" w:eastAsia="Times New Roman" w:hAnsi="Times New Roman" w:cs="Times New Roman"/>
          <w:sz w:val="24"/>
          <w:szCs w:val="24"/>
        </w:rPr>
        <w:t>Heyndyk</w:t>
      </w:r>
      <w:proofErr w:type="spellEnd"/>
      <w:r>
        <w:rPr>
          <w:rFonts w:ascii="Times New Roman" w:eastAsia="Times New Roman" w:hAnsi="Times New Roman" w:cs="Times New Roman"/>
          <w:sz w:val="24"/>
          <w:szCs w:val="24"/>
        </w:rPr>
        <w:t xml:space="preserve">-R. (2018). </w:t>
      </w:r>
      <w:r>
        <w:rPr>
          <w:rFonts w:ascii="Times New Roman" w:eastAsia="Times New Roman" w:hAnsi="Times New Roman" w:cs="Times New Roman"/>
          <w:i/>
          <w:sz w:val="24"/>
          <w:szCs w:val="24"/>
        </w:rPr>
        <w:t xml:space="preserve">UK workers more motivated by pay </w:t>
      </w:r>
      <w:r>
        <w:rPr>
          <w:rFonts w:ascii="Times New Roman" w:eastAsia="Times New Roman" w:hAnsi="Times New Roman" w:cs="Times New Roman"/>
          <w:sz w:val="24"/>
          <w:szCs w:val="24"/>
        </w:rPr>
        <w:t xml:space="preserve">Available at: </w:t>
      </w:r>
      <w:hyperlink r:id="rId8" w:history="1">
        <w:r>
          <w:rPr>
            <w:rFonts w:ascii="Times New Roman" w:eastAsia="Times New Roman" w:hAnsi="Times New Roman" w:cs="Times New Roman"/>
            <w:color w:val="1155CC"/>
            <w:sz w:val="24"/>
            <w:szCs w:val="24"/>
            <w:u w:val="single"/>
          </w:rPr>
          <w:t>https://www.hrmagazine.co.uk/content/news/uk-workers-more-motivated-by-pay</w:t>
        </w:r>
      </w:hyperlink>
      <w:r>
        <w:rPr>
          <w:rFonts w:ascii="Times New Roman" w:eastAsia="Times New Roman" w:hAnsi="Times New Roman" w:cs="Times New Roman"/>
          <w:sz w:val="24"/>
          <w:szCs w:val="24"/>
        </w:rPr>
        <w:t xml:space="preserve"> [Accessed 06 May 2022] </w:t>
      </w:r>
    </w:p>
    <w:p w:rsidR="00CA6D28" w:rsidRDefault="00CA6D28" w:rsidP="00CA6D28">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6"/>
          <w:szCs w:val="26"/>
        </w:rPr>
        <w:t xml:space="preserve">Tesco (2021). </w:t>
      </w:r>
      <w:r>
        <w:rPr>
          <w:rFonts w:ascii="Times New Roman" w:eastAsia="Times New Roman" w:hAnsi="Times New Roman" w:cs="Times New Roman"/>
          <w:i/>
          <w:sz w:val="26"/>
          <w:szCs w:val="26"/>
        </w:rPr>
        <w:t xml:space="preserve">Tesco </w:t>
      </w:r>
      <w:r>
        <w:rPr>
          <w:rFonts w:ascii="Times New Roman" w:eastAsia="Times New Roman" w:hAnsi="Times New Roman" w:cs="Times New Roman"/>
          <w:sz w:val="26"/>
          <w:szCs w:val="26"/>
        </w:rPr>
        <w:t xml:space="preserve">Available at: </w:t>
      </w:r>
      <w:hyperlink r:id="rId9" w:history="1">
        <w:r>
          <w:rPr>
            <w:rFonts w:ascii="Times New Roman" w:eastAsia="Times New Roman" w:hAnsi="Times New Roman" w:cs="Times New Roman"/>
            <w:color w:val="1155CC"/>
            <w:sz w:val="24"/>
            <w:szCs w:val="24"/>
            <w:u w:val="single"/>
          </w:rPr>
          <w:t>https://www.tesco.com/</w:t>
        </w:r>
      </w:hyperlink>
      <w:r>
        <w:rPr>
          <w:rFonts w:ascii="Times New Roman" w:eastAsia="Times New Roman" w:hAnsi="Times New Roman" w:cs="Times New Roman"/>
          <w:sz w:val="24"/>
          <w:szCs w:val="24"/>
        </w:rPr>
        <w:t xml:space="preserve"> [Accessed 06 May 2022] </w:t>
      </w:r>
    </w:p>
    <w:p w:rsidR="00CA6D28" w:rsidRPr="00CA6D28" w:rsidRDefault="00CA6D28" w:rsidP="00B37924">
      <w:pPr>
        <w:spacing w:line="360" w:lineRule="auto"/>
        <w:jc w:val="both"/>
        <w:rPr>
          <w:rFonts w:ascii="Times New Roman" w:hAnsi="Times New Roman" w:cs="Times New Roman"/>
          <w:sz w:val="24"/>
          <w:szCs w:val="24"/>
        </w:rPr>
      </w:pPr>
    </w:p>
    <w:p w:rsidR="00CA6D28" w:rsidRPr="00B37924" w:rsidRDefault="00CA6D28" w:rsidP="00B37924">
      <w:pPr>
        <w:spacing w:line="360" w:lineRule="auto"/>
        <w:jc w:val="both"/>
        <w:rPr>
          <w:rFonts w:ascii="Arial" w:hAnsi="Arial" w:cs="Arial"/>
        </w:rPr>
      </w:pPr>
    </w:p>
    <w:p w:rsidR="00B37924" w:rsidRDefault="00B37924" w:rsidP="009B2432">
      <w:pPr>
        <w:spacing w:line="360" w:lineRule="auto"/>
        <w:jc w:val="both"/>
        <w:rPr>
          <w:rFonts w:ascii="Arial" w:hAnsi="Arial" w:cs="Arial"/>
        </w:rPr>
      </w:pPr>
    </w:p>
    <w:p w:rsidR="00B37924" w:rsidRPr="009B2432" w:rsidRDefault="00B37924" w:rsidP="009B2432">
      <w:pPr>
        <w:spacing w:line="360" w:lineRule="auto"/>
        <w:jc w:val="both"/>
        <w:rPr>
          <w:rFonts w:ascii="Arial" w:hAnsi="Arial" w:cs="Arial"/>
        </w:rPr>
      </w:pPr>
    </w:p>
    <w:p w:rsidR="003C6A8D" w:rsidRPr="004675C0" w:rsidRDefault="003C6A8D" w:rsidP="004675C0">
      <w:pPr>
        <w:spacing w:line="360" w:lineRule="auto"/>
        <w:jc w:val="both"/>
        <w:rPr>
          <w:rFonts w:ascii="Arial" w:hAnsi="Arial" w:cs="Arial"/>
        </w:rPr>
      </w:pPr>
    </w:p>
    <w:sectPr w:rsidR="003C6A8D" w:rsidRPr="004675C0">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66B08" w:rsidRDefault="00666B08" w:rsidP="00CA6D28">
      <w:pPr>
        <w:spacing w:after="0" w:line="240" w:lineRule="auto"/>
      </w:pPr>
      <w:r>
        <w:separator/>
      </w:r>
    </w:p>
  </w:endnote>
  <w:endnote w:type="continuationSeparator" w:id="0">
    <w:p w:rsidR="00666B08" w:rsidRDefault="00666B08" w:rsidP="00CA6D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32848895"/>
      <w:docPartObj>
        <w:docPartGallery w:val="Page Numbers (Bottom of Page)"/>
        <w:docPartUnique/>
      </w:docPartObj>
    </w:sdtPr>
    <w:sdtEndPr>
      <w:rPr>
        <w:noProof/>
      </w:rPr>
    </w:sdtEndPr>
    <w:sdtContent>
      <w:p w:rsidR="00CA6D28" w:rsidRDefault="00CA6D28">
        <w:pPr>
          <w:pStyle w:val="Footer"/>
          <w:jc w:val="right"/>
        </w:pPr>
        <w:r>
          <w:fldChar w:fldCharType="begin"/>
        </w:r>
        <w:r>
          <w:instrText xml:space="preserve"> PAGE   \* MERGEFORMAT </w:instrText>
        </w:r>
        <w:r>
          <w:fldChar w:fldCharType="separate"/>
        </w:r>
        <w:r w:rsidR="0081687D">
          <w:rPr>
            <w:noProof/>
          </w:rPr>
          <w:t>6</w:t>
        </w:r>
        <w:r>
          <w:rPr>
            <w:noProof/>
          </w:rPr>
          <w:fldChar w:fldCharType="end"/>
        </w:r>
      </w:p>
    </w:sdtContent>
  </w:sdt>
  <w:p w:rsidR="00CA6D28" w:rsidRDefault="00CA6D2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66B08" w:rsidRDefault="00666B08" w:rsidP="00CA6D28">
      <w:pPr>
        <w:spacing w:after="0" w:line="240" w:lineRule="auto"/>
      </w:pPr>
      <w:r>
        <w:separator/>
      </w:r>
    </w:p>
  </w:footnote>
  <w:footnote w:type="continuationSeparator" w:id="0">
    <w:p w:rsidR="00666B08" w:rsidRDefault="00666B08" w:rsidP="00CA6D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94B0775"/>
    <w:multiLevelType w:val="hybridMultilevel"/>
    <w:tmpl w:val="A67211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059FA"/>
    <w:rsid w:val="00076171"/>
    <w:rsid w:val="003C6A8D"/>
    <w:rsid w:val="004675C0"/>
    <w:rsid w:val="00666B08"/>
    <w:rsid w:val="0081687D"/>
    <w:rsid w:val="009B2432"/>
    <w:rsid w:val="00B26B3D"/>
    <w:rsid w:val="00B37924"/>
    <w:rsid w:val="00C059FA"/>
    <w:rsid w:val="00CA6D28"/>
    <w:rsid w:val="00D07FEC"/>
    <w:rsid w:val="00E732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14323A"/>
  <w15:chartTrackingRefBased/>
  <w15:docId w15:val="{00B4DB67-46C4-4142-90CF-220FE7639E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rsid w:val="004675C0"/>
    <w:pPr>
      <w:keepNext/>
      <w:keepLines/>
      <w:spacing w:after="0" w:line="480" w:lineRule="auto"/>
      <w:jc w:val="both"/>
      <w:outlineLvl w:val="0"/>
    </w:pPr>
    <w:rPr>
      <w:rFonts w:ascii="Times New Roman" w:eastAsia="Times New Roman" w:hAnsi="Times New Roman" w:cs="Times New Roman"/>
      <w:b/>
      <w:sz w:val="28"/>
      <w:szCs w:val="28"/>
      <w:lang w:val="e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4675C0"/>
    <w:rPr>
      <w:rFonts w:ascii="Times New Roman" w:eastAsia="Times New Roman" w:hAnsi="Times New Roman" w:cs="Times New Roman"/>
      <w:b/>
      <w:sz w:val="28"/>
      <w:szCs w:val="28"/>
      <w:lang w:val="en"/>
    </w:rPr>
  </w:style>
  <w:style w:type="paragraph" w:styleId="ListParagraph">
    <w:name w:val="List Paragraph"/>
    <w:basedOn w:val="Normal"/>
    <w:uiPriority w:val="34"/>
    <w:qFormat/>
    <w:rsid w:val="004675C0"/>
    <w:pPr>
      <w:ind w:left="720"/>
      <w:contextualSpacing/>
    </w:pPr>
  </w:style>
  <w:style w:type="paragraph" w:styleId="TOCHeading">
    <w:name w:val="TOC Heading"/>
    <w:basedOn w:val="Heading1"/>
    <w:next w:val="Normal"/>
    <w:uiPriority w:val="39"/>
    <w:unhideWhenUsed/>
    <w:qFormat/>
    <w:rsid w:val="00CA6D28"/>
    <w:pPr>
      <w:spacing w:before="240" w:line="259" w:lineRule="auto"/>
      <w:jc w:val="left"/>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CA6D28"/>
    <w:pPr>
      <w:spacing w:after="100" w:line="276" w:lineRule="auto"/>
    </w:pPr>
    <w:rPr>
      <w:rFonts w:ascii="Arial" w:eastAsia="Arial" w:hAnsi="Arial" w:cs="Arial"/>
      <w:lang w:val="en"/>
    </w:rPr>
  </w:style>
  <w:style w:type="paragraph" w:styleId="TOC2">
    <w:name w:val="toc 2"/>
    <w:basedOn w:val="Normal"/>
    <w:next w:val="Normal"/>
    <w:autoRedefine/>
    <w:uiPriority w:val="39"/>
    <w:unhideWhenUsed/>
    <w:rsid w:val="00CA6D28"/>
    <w:pPr>
      <w:spacing w:after="100" w:line="276" w:lineRule="auto"/>
      <w:ind w:left="220"/>
    </w:pPr>
    <w:rPr>
      <w:rFonts w:ascii="Arial" w:eastAsia="Arial" w:hAnsi="Arial" w:cs="Arial"/>
      <w:lang w:val="en"/>
    </w:rPr>
  </w:style>
  <w:style w:type="character" w:styleId="Hyperlink">
    <w:name w:val="Hyperlink"/>
    <w:basedOn w:val="DefaultParagraphFont"/>
    <w:uiPriority w:val="99"/>
    <w:unhideWhenUsed/>
    <w:rsid w:val="00CA6D28"/>
    <w:rPr>
      <w:color w:val="0563C1" w:themeColor="hyperlink"/>
      <w:u w:val="single"/>
    </w:rPr>
  </w:style>
  <w:style w:type="paragraph" w:styleId="Header">
    <w:name w:val="header"/>
    <w:basedOn w:val="Normal"/>
    <w:link w:val="HeaderChar"/>
    <w:uiPriority w:val="99"/>
    <w:unhideWhenUsed/>
    <w:rsid w:val="00CA6D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6D28"/>
  </w:style>
  <w:style w:type="paragraph" w:styleId="Footer">
    <w:name w:val="footer"/>
    <w:basedOn w:val="Normal"/>
    <w:link w:val="FooterChar"/>
    <w:uiPriority w:val="99"/>
    <w:unhideWhenUsed/>
    <w:rsid w:val="00CA6D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6D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rmagazine.co.uk/content/news/uk-workers-more-motivated-by-pay"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tesco.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TotalTime>
  <Pages>10</Pages>
  <Words>2352</Words>
  <Characters>13412</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Petru Vutcarau</dc:creator>
  <cp:keywords/>
  <dc:description/>
  <cp:lastModifiedBy>Petru Vutcarau</cp:lastModifiedBy>
  <cp:revision>1</cp:revision>
  <dcterms:created xsi:type="dcterms:W3CDTF">2022-05-09T17:35:00Z</dcterms:created>
  <dcterms:modified xsi:type="dcterms:W3CDTF">2022-05-09T19:37:00Z</dcterms:modified>
</cp:coreProperties>
</file>