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13002F" w14:textId="59EE91EB" w:rsidR="00403714" w:rsidRDefault="000E2E7E">
      <w:r>
        <w:t xml:space="preserve">                                     </w:t>
      </w:r>
      <w:r>
        <w:rPr>
          <w:noProof/>
        </w:rPr>
        <w:drawing>
          <wp:inline distT="0" distB="0" distL="0" distR="0" wp14:anchorId="2D3EAADE" wp14:editId="70C54734">
            <wp:extent cx="3523794" cy="1402201"/>
            <wp:effectExtent l="0" t="0" r="0" b="0"/>
            <wp:docPr id="1982794449" name="Picture 1982794449"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2794449" name="Picture 1982794449" descr="A close-up of black 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3523794" cy="1402201"/>
                    </a:xfrm>
                    <a:prstGeom prst="rect">
                      <a:avLst/>
                    </a:prstGeom>
                  </pic:spPr>
                </pic:pic>
              </a:graphicData>
            </a:graphic>
          </wp:inline>
        </w:drawing>
      </w:r>
    </w:p>
    <w:p w14:paraId="0E3F4352" w14:textId="77777777" w:rsidR="000E2E7E" w:rsidRDefault="000E2E7E"/>
    <w:p w14:paraId="73022E7D" w14:textId="77777777" w:rsidR="000E2E7E" w:rsidRDefault="000E2E7E">
      <w:pPr>
        <w:rPr>
          <w:sz w:val="52"/>
          <w:szCs w:val="52"/>
        </w:rPr>
      </w:pPr>
    </w:p>
    <w:p w14:paraId="0C87A799" w14:textId="2E11B833" w:rsidR="000E2E7E" w:rsidRPr="000E2E7E" w:rsidRDefault="000E2E7E">
      <w:pPr>
        <w:rPr>
          <w:b/>
          <w:bCs/>
          <w:sz w:val="52"/>
          <w:szCs w:val="52"/>
        </w:rPr>
      </w:pPr>
      <w:r w:rsidRPr="000E2E7E">
        <w:rPr>
          <w:b/>
          <w:bCs/>
          <w:sz w:val="52"/>
          <w:szCs w:val="52"/>
        </w:rPr>
        <w:t>Module Code:</w:t>
      </w:r>
      <w:r>
        <w:rPr>
          <w:b/>
          <w:bCs/>
          <w:sz w:val="52"/>
          <w:szCs w:val="52"/>
        </w:rPr>
        <w:t xml:space="preserve">  </w:t>
      </w:r>
      <w:r w:rsidRPr="000E2E7E">
        <w:rPr>
          <w:b/>
          <w:bCs/>
          <w:sz w:val="48"/>
          <w:szCs w:val="48"/>
        </w:rPr>
        <w:t>ECAD</w:t>
      </w:r>
      <w:r w:rsidR="00510D18">
        <w:rPr>
          <w:b/>
          <w:bCs/>
          <w:sz w:val="48"/>
          <w:szCs w:val="48"/>
        </w:rPr>
        <w:t>5014</w:t>
      </w:r>
    </w:p>
    <w:p w14:paraId="10FFAE95" w14:textId="77777777" w:rsidR="000E2E7E" w:rsidRPr="000E2E7E" w:rsidRDefault="000E2E7E">
      <w:pPr>
        <w:rPr>
          <w:b/>
          <w:bCs/>
          <w:sz w:val="52"/>
          <w:szCs w:val="52"/>
        </w:rPr>
      </w:pPr>
    </w:p>
    <w:p w14:paraId="12C585B1" w14:textId="77777777" w:rsidR="000E2E7E" w:rsidRDefault="000E2E7E">
      <w:pPr>
        <w:rPr>
          <w:b/>
          <w:bCs/>
          <w:sz w:val="52"/>
          <w:szCs w:val="52"/>
        </w:rPr>
      </w:pPr>
      <w:r w:rsidRPr="000E2E7E">
        <w:rPr>
          <w:b/>
          <w:bCs/>
          <w:sz w:val="52"/>
          <w:szCs w:val="52"/>
        </w:rPr>
        <w:t>Assignment Title:</w:t>
      </w:r>
      <w:r>
        <w:rPr>
          <w:b/>
          <w:bCs/>
          <w:sz w:val="52"/>
          <w:szCs w:val="52"/>
        </w:rPr>
        <w:t xml:space="preserve"> </w:t>
      </w:r>
    </w:p>
    <w:p w14:paraId="1648AA10" w14:textId="0F7AD627" w:rsidR="000E2E7E" w:rsidRPr="000E2E7E" w:rsidRDefault="00510D18">
      <w:pPr>
        <w:rPr>
          <w:b/>
          <w:bCs/>
          <w:sz w:val="52"/>
          <w:szCs w:val="52"/>
        </w:rPr>
      </w:pPr>
      <w:r>
        <w:rPr>
          <w:b/>
          <w:bCs/>
          <w:sz w:val="44"/>
          <w:szCs w:val="44"/>
        </w:rPr>
        <w:t>Design and conduct a small-scale research study, and critically evaluate the chosen research tools, and the impact of your findings on your professional practice.</w:t>
      </w:r>
    </w:p>
    <w:p w14:paraId="78DCE9B9" w14:textId="77777777" w:rsidR="000E2E7E" w:rsidRPr="000E2E7E" w:rsidRDefault="000E2E7E">
      <w:pPr>
        <w:rPr>
          <w:b/>
          <w:bCs/>
          <w:sz w:val="52"/>
          <w:szCs w:val="52"/>
        </w:rPr>
      </w:pPr>
    </w:p>
    <w:p w14:paraId="47D65DC0" w14:textId="182129EF" w:rsidR="000E2E7E" w:rsidRPr="000E2E7E" w:rsidRDefault="000E2E7E">
      <w:pPr>
        <w:rPr>
          <w:b/>
          <w:bCs/>
          <w:sz w:val="52"/>
          <w:szCs w:val="52"/>
        </w:rPr>
      </w:pPr>
      <w:r w:rsidRPr="000E2E7E">
        <w:rPr>
          <w:b/>
          <w:bCs/>
          <w:sz w:val="52"/>
          <w:szCs w:val="52"/>
        </w:rPr>
        <w:t>Student Name:</w:t>
      </w:r>
      <w:r w:rsidR="00830E49">
        <w:rPr>
          <w:b/>
          <w:bCs/>
          <w:sz w:val="52"/>
          <w:szCs w:val="52"/>
        </w:rPr>
        <w:t xml:space="preserve"> C</w:t>
      </w:r>
      <w:r w:rsidR="00C80A46">
        <w:rPr>
          <w:b/>
          <w:bCs/>
          <w:sz w:val="52"/>
          <w:szCs w:val="52"/>
        </w:rPr>
        <w:t>harlotte Howell</w:t>
      </w:r>
    </w:p>
    <w:p w14:paraId="1025240F" w14:textId="315DCBCF" w:rsidR="000E2E7E" w:rsidRPr="000E2E7E" w:rsidRDefault="000E2E7E">
      <w:pPr>
        <w:rPr>
          <w:b/>
          <w:bCs/>
          <w:sz w:val="52"/>
          <w:szCs w:val="52"/>
        </w:rPr>
      </w:pPr>
      <w:r w:rsidRPr="000E2E7E">
        <w:rPr>
          <w:b/>
          <w:bCs/>
          <w:sz w:val="52"/>
          <w:szCs w:val="52"/>
        </w:rPr>
        <w:t>Student Number:</w:t>
      </w:r>
      <w:r w:rsidR="00C80A46">
        <w:rPr>
          <w:b/>
          <w:bCs/>
          <w:sz w:val="52"/>
          <w:szCs w:val="52"/>
        </w:rPr>
        <w:t xml:space="preserve"> 230</w:t>
      </w:r>
      <w:r w:rsidR="00AB6FB0">
        <w:rPr>
          <w:b/>
          <w:bCs/>
          <w:sz w:val="52"/>
          <w:szCs w:val="52"/>
        </w:rPr>
        <w:t>8966</w:t>
      </w:r>
    </w:p>
    <w:p w14:paraId="66EB3C44" w14:textId="3EA69FAC" w:rsidR="000E2E7E" w:rsidRDefault="000E2E7E">
      <w:pPr>
        <w:rPr>
          <w:b/>
          <w:bCs/>
          <w:sz w:val="52"/>
          <w:szCs w:val="52"/>
        </w:rPr>
      </w:pPr>
      <w:r w:rsidRPr="000E2E7E">
        <w:rPr>
          <w:b/>
          <w:bCs/>
          <w:sz w:val="52"/>
          <w:szCs w:val="52"/>
        </w:rPr>
        <w:t>BA Primary Education (QTS)</w:t>
      </w:r>
    </w:p>
    <w:p w14:paraId="097A6454" w14:textId="77777777" w:rsidR="000E2E7E" w:rsidRPr="000E2E7E" w:rsidRDefault="000E2E7E">
      <w:pPr>
        <w:rPr>
          <w:b/>
          <w:bCs/>
          <w:sz w:val="52"/>
          <w:szCs w:val="52"/>
        </w:rPr>
      </w:pPr>
    </w:p>
    <w:p w14:paraId="0BE6D22C" w14:textId="77777777" w:rsidR="000E2E7E" w:rsidRPr="00E243A8" w:rsidRDefault="000E2E7E" w:rsidP="000E2E7E">
      <w:pPr>
        <w:rPr>
          <w:b/>
          <w:bCs/>
          <w:sz w:val="32"/>
          <w:szCs w:val="32"/>
          <w:u w:val="single"/>
        </w:rPr>
      </w:pPr>
      <w:r w:rsidRPr="00E243A8">
        <w:rPr>
          <w:b/>
          <w:bCs/>
          <w:sz w:val="32"/>
          <w:szCs w:val="32"/>
          <w:u w:val="single"/>
        </w:rPr>
        <w:lastRenderedPageBreak/>
        <w:t>AI Acknowledgement</w:t>
      </w:r>
    </w:p>
    <w:p w14:paraId="311990D1" w14:textId="77777777" w:rsidR="000E2E7E" w:rsidRDefault="000E2E7E" w:rsidP="000E2E7E"/>
    <w:p w14:paraId="200D2416" w14:textId="77777777" w:rsidR="009378CD" w:rsidRDefault="009378CD" w:rsidP="00351CFD">
      <w:r w:rsidRPr="00DD5969">
        <w:t xml:space="preserve">I acknowledge the use of </w:t>
      </w:r>
      <w:proofErr w:type="spellStart"/>
      <w:r>
        <w:t>Grammaly</w:t>
      </w:r>
      <w:proofErr w:type="spellEnd"/>
      <w:r w:rsidRPr="00DD5969">
        <w:t xml:space="preserve">  </w:t>
      </w:r>
      <w:hyperlink r:id="rId8" w:history="1">
        <w:r w:rsidRPr="000A6159">
          <w:rPr>
            <w:rStyle w:val="Hyperlink"/>
          </w:rPr>
          <w:t>https://www.grammarly.com/</w:t>
        </w:r>
      </w:hyperlink>
      <w:r>
        <w:t xml:space="preserve"> </w:t>
      </w:r>
      <w:r w:rsidRPr="00DD5969">
        <w:t xml:space="preserve">on </w:t>
      </w:r>
      <w:r>
        <w:t>03/03/2025 using the prompt.</w:t>
      </w:r>
    </w:p>
    <w:p w14:paraId="332E3496" w14:textId="77777777" w:rsidR="009378CD" w:rsidRPr="00067419" w:rsidRDefault="009378CD" w:rsidP="00351CFD">
      <w:pPr>
        <w:pStyle w:val="ListParagraph"/>
        <w:numPr>
          <w:ilvl w:val="0"/>
          <w:numId w:val="1"/>
        </w:numPr>
      </w:pPr>
      <w:r w:rsidRPr="00067419">
        <w:t>Please check the following text for readability, grammar and s</w:t>
      </w:r>
      <w:r>
        <w:t>pelling</w:t>
      </w:r>
      <w:r w:rsidRPr="00067419">
        <w:t>.</w:t>
      </w:r>
    </w:p>
    <w:p w14:paraId="0EA43B1B" w14:textId="77777777" w:rsidR="009378CD" w:rsidRDefault="009378CD" w:rsidP="00351CFD">
      <w:r w:rsidRPr="00DD5969">
        <w:t xml:space="preserve">I acknowledge the use of </w:t>
      </w:r>
      <w:r>
        <w:t>MyBib</w:t>
      </w:r>
      <w:r w:rsidRPr="00CE596A">
        <w:t xml:space="preserve"> </w:t>
      </w:r>
      <w:hyperlink r:id="rId9" w:history="1">
        <w:r w:rsidRPr="000A6159">
          <w:rPr>
            <w:rStyle w:val="Hyperlink"/>
          </w:rPr>
          <w:t>https://www.mybib.com/</w:t>
        </w:r>
      </w:hyperlink>
      <w:r>
        <w:t xml:space="preserve"> </w:t>
      </w:r>
      <w:r w:rsidRPr="00DD5969">
        <w:t xml:space="preserve">on </w:t>
      </w:r>
      <w:r>
        <w:t>03/03/2025 using the prompt.</w:t>
      </w:r>
    </w:p>
    <w:p w14:paraId="4D7C41C4" w14:textId="77777777" w:rsidR="009378CD" w:rsidRPr="00DD5969" w:rsidRDefault="009378CD" w:rsidP="00351CFD">
      <w:pPr>
        <w:pStyle w:val="ListParagraph"/>
        <w:numPr>
          <w:ilvl w:val="0"/>
          <w:numId w:val="2"/>
        </w:numPr>
      </w:pPr>
      <w:r>
        <w:t>Please store and</w:t>
      </w:r>
      <w:r w:rsidRPr="00DD5969">
        <w:t xml:space="preserve"> </w:t>
      </w:r>
      <w:r>
        <w:t>check my references are correct</w:t>
      </w:r>
      <w:r w:rsidRPr="00DD5969">
        <w:t xml:space="preserve">. </w:t>
      </w:r>
    </w:p>
    <w:p w14:paraId="32F3D691" w14:textId="77777777" w:rsidR="009378CD" w:rsidRPr="00DD5969" w:rsidRDefault="009378CD" w:rsidP="00351CFD"/>
    <w:p w14:paraId="4F7B54C3" w14:textId="77777777" w:rsidR="009378CD" w:rsidRDefault="009378CD" w:rsidP="00351CFD">
      <w:r w:rsidRPr="00DD5969">
        <w:t xml:space="preserve">I confirm that I have not presented any AI generated text as my own work. </w:t>
      </w:r>
    </w:p>
    <w:p w14:paraId="496F9FBF" w14:textId="77777777" w:rsidR="009378CD" w:rsidRPr="00067419" w:rsidRDefault="009378CD" w:rsidP="00351CFD">
      <w:r w:rsidRPr="00DD5969">
        <w:t xml:space="preserve">I confirm </w:t>
      </w:r>
      <w:r>
        <w:t xml:space="preserve">that </w:t>
      </w:r>
      <w:r w:rsidRPr="00DD5969">
        <w:t>I have copies of my drafts, notes, and other resources I used before and after the use of AI tools which I may be asked to provide in evidence.</w:t>
      </w:r>
    </w:p>
    <w:p w14:paraId="178FB7E5" w14:textId="77777777" w:rsidR="00830E49" w:rsidRDefault="00830E49" w:rsidP="000E2E7E">
      <w:pPr>
        <w:rPr>
          <w:sz w:val="16"/>
          <w:szCs w:val="16"/>
        </w:rPr>
      </w:pPr>
    </w:p>
    <w:p w14:paraId="6CDE5B9A" w14:textId="77777777" w:rsidR="000E2E7E" w:rsidRDefault="000E2E7E" w:rsidP="000E2E7E">
      <w:pPr>
        <w:rPr>
          <w:sz w:val="16"/>
          <w:szCs w:val="16"/>
        </w:rPr>
      </w:pPr>
    </w:p>
    <w:p w14:paraId="576F22A4" w14:textId="77777777" w:rsidR="000E2E7E" w:rsidRDefault="000E2E7E" w:rsidP="000E2E7E">
      <w:pPr>
        <w:rPr>
          <w:sz w:val="16"/>
          <w:szCs w:val="16"/>
        </w:rPr>
      </w:pPr>
    </w:p>
    <w:tbl>
      <w:tblPr>
        <w:tblStyle w:val="TableGrid"/>
        <w:tblW w:w="9282" w:type="dxa"/>
        <w:tblLook w:val="04A0" w:firstRow="1" w:lastRow="0" w:firstColumn="1" w:lastColumn="0" w:noHBand="0" w:noVBand="1"/>
      </w:tblPr>
      <w:tblGrid>
        <w:gridCol w:w="3256"/>
        <w:gridCol w:w="3118"/>
        <w:gridCol w:w="2908"/>
      </w:tblGrid>
      <w:tr w:rsidR="000E2E7E" w:rsidRPr="005E5808" w14:paraId="0ADB3F25" w14:textId="77777777" w:rsidTr="000E2E7E">
        <w:trPr>
          <w:trHeight w:val="360"/>
        </w:trPr>
        <w:tc>
          <w:tcPr>
            <w:tcW w:w="3256" w:type="dxa"/>
          </w:tcPr>
          <w:p w14:paraId="2110C93E" w14:textId="45B7432A" w:rsidR="000E2E7E" w:rsidRPr="005E5808" w:rsidRDefault="000E2E7E" w:rsidP="00AE36BB">
            <w:pPr>
              <w:rPr>
                <w:rFonts w:ascii="Arial" w:hAnsi="Arial" w:cs="Arial"/>
                <w:b/>
                <w:bCs/>
                <w:color w:val="FFFFFF"/>
                <w:sz w:val="24"/>
                <w:szCs w:val="24"/>
                <w:lang w:val="cy-GB"/>
              </w:rPr>
            </w:pPr>
            <w:r w:rsidRPr="005E5808">
              <w:rPr>
                <w:rFonts w:ascii="Arial" w:hAnsi="Arial" w:cs="Arial"/>
                <w:b/>
                <w:bCs/>
                <w:sz w:val="24"/>
                <w:szCs w:val="24"/>
                <w:lang w:val="cy-GB"/>
              </w:rPr>
              <w:t>Targets from previous module</w:t>
            </w:r>
          </w:p>
        </w:tc>
        <w:tc>
          <w:tcPr>
            <w:tcW w:w="3118" w:type="dxa"/>
          </w:tcPr>
          <w:p w14:paraId="1C0504E0" w14:textId="648CF4FC" w:rsidR="000E2E7E" w:rsidRPr="005E5808" w:rsidRDefault="000E2E7E" w:rsidP="00AE36BB">
            <w:pPr>
              <w:rPr>
                <w:rFonts w:ascii="Arial" w:hAnsi="Arial" w:cs="Arial"/>
                <w:b/>
                <w:bCs/>
                <w:color w:val="FFFFFF"/>
                <w:sz w:val="24"/>
                <w:szCs w:val="24"/>
                <w:lang w:val="cy-GB"/>
              </w:rPr>
            </w:pPr>
            <w:r w:rsidRPr="005E5808">
              <w:rPr>
                <w:rFonts w:ascii="Arial" w:hAnsi="Arial" w:cs="Arial"/>
                <w:b/>
                <w:bCs/>
                <w:sz w:val="24"/>
                <w:szCs w:val="24"/>
                <w:lang w:val="cy-GB"/>
              </w:rPr>
              <w:t>How I have worked on these?</w:t>
            </w:r>
          </w:p>
        </w:tc>
        <w:tc>
          <w:tcPr>
            <w:tcW w:w="2908" w:type="dxa"/>
          </w:tcPr>
          <w:p w14:paraId="0ED8A1ED" w14:textId="77777777" w:rsidR="000E2E7E" w:rsidRPr="005E5808" w:rsidRDefault="000E2E7E" w:rsidP="00AE36BB">
            <w:pPr>
              <w:rPr>
                <w:rFonts w:ascii="Arial" w:hAnsi="Arial" w:cs="Arial"/>
                <w:b/>
                <w:bCs/>
                <w:sz w:val="24"/>
                <w:szCs w:val="24"/>
                <w:lang w:val="cy-GB"/>
              </w:rPr>
            </w:pPr>
            <w:r w:rsidRPr="005E5808">
              <w:rPr>
                <w:rFonts w:ascii="Arial" w:hAnsi="Arial" w:cs="Arial"/>
                <w:b/>
                <w:bCs/>
                <w:sz w:val="24"/>
                <w:szCs w:val="24"/>
                <w:lang w:val="cy-GB"/>
              </w:rPr>
              <w:t>An example can be seen on…</w:t>
            </w:r>
          </w:p>
          <w:p w14:paraId="0798C571" w14:textId="146BBBF0" w:rsidR="000E2E7E" w:rsidRPr="005E5808" w:rsidRDefault="000E2E7E" w:rsidP="00AE36BB">
            <w:pPr>
              <w:rPr>
                <w:rFonts w:ascii="Arial" w:hAnsi="Arial" w:cs="Arial"/>
                <w:b/>
                <w:bCs/>
                <w:color w:val="FFFFFF"/>
                <w:sz w:val="24"/>
                <w:szCs w:val="24"/>
                <w:lang w:val="cy-GB"/>
              </w:rPr>
            </w:pPr>
          </w:p>
        </w:tc>
      </w:tr>
      <w:tr w:rsidR="000E2E7E" w:rsidRPr="005E5808" w14:paraId="0EC7171C" w14:textId="77777777" w:rsidTr="000E2E7E">
        <w:trPr>
          <w:trHeight w:val="338"/>
        </w:trPr>
        <w:tc>
          <w:tcPr>
            <w:tcW w:w="3256" w:type="dxa"/>
          </w:tcPr>
          <w:p w14:paraId="4DC5C8A2" w14:textId="64BAE570" w:rsidR="000E2E7E" w:rsidRPr="005E5808" w:rsidRDefault="00F8363F" w:rsidP="00432D2F">
            <w:pPr>
              <w:pStyle w:val="li1"/>
              <w:divId w:val="1764498260"/>
              <w:rPr>
                <w:rFonts w:ascii="Arial" w:eastAsia="Times New Roman" w:hAnsi="Arial" w:cs="Arial"/>
                <w:sz w:val="24"/>
                <w:szCs w:val="24"/>
              </w:rPr>
            </w:pPr>
            <w:r w:rsidRPr="005E5808">
              <w:rPr>
                <w:rStyle w:val="s1"/>
                <w:rFonts w:ascii="Arial" w:eastAsia="Times New Roman" w:hAnsi="Arial" w:cs="Arial"/>
                <w:sz w:val="24"/>
                <w:szCs w:val="24"/>
              </w:rPr>
              <w:t>Continue to include more critical analysis when discussing theories</w:t>
            </w:r>
          </w:p>
          <w:p w14:paraId="18121FAC" w14:textId="77777777" w:rsidR="000E2E7E" w:rsidRPr="005E5808" w:rsidRDefault="000E2E7E" w:rsidP="00AE36BB">
            <w:pPr>
              <w:rPr>
                <w:rFonts w:ascii="Arial" w:hAnsi="Arial" w:cs="Arial"/>
                <w:sz w:val="24"/>
                <w:szCs w:val="24"/>
                <w:lang w:val="cy-GB"/>
              </w:rPr>
            </w:pPr>
          </w:p>
        </w:tc>
        <w:tc>
          <w:tcPr>
            <w:tcW w:w="3118" w:type="dxa"/>
          </w:tcPr>
          <w:p w14:paraId="0A55C9ED" w14:textId="799BE180" w:rsidR="000E2E7E" w:rsidRPr="005E5808" w:rsidRDefault="00904027" w:rsidP="00AE36BB">
            <w:pPr>
              <w:rPr>
                <w:rFonts w:ascii="Arial" w:hAnsi="Arial" w:cs="Arial"/>
                <w:sz w:val="24"/>
                <w:szCs w:val="24"/>
                <w:lang w:val="cy-GB"/>
              </w:rPr>
            </w:pPr>
            <w:r w:rsidRPr="005E5808">
              <w:rPr>
                <w:rFonts w:ascii="Arial" w:eastAsia="Times New Roman" w:hAnsi="Arial" w:cs="Arial"/>
                <w:color w:val="000000"/>
                <w:sz w:val="24"/>
                <w:szCs w:val="24"/>
              </w:rPr>
              <w:t>In this module, I have made a conscious effort to engage more critically with theories, particularly in the literature review and discussion sections</w:t>
            </w:r>
            <w:r w:rsidR="005A7A24" w:rsidRPr="005E5808">
              <w:rPr>
                <w:rFonts w:ascii="Arial" w:eastAsia="Times New Roman" w:hAnsi="Arial" w:cs="Arial"/>
                <w:color w:val="000000"/>
                <w:sz w:val="24"/>
                <w:szCs w:val="24"/>
              </w:rPr>
              <w:t>.</w:t>
            </w:r>
          </w:p>
        </w:tc>
        <w:tc>
          <w:tcPr>
            <w:tcW w:w="2908" w:type="dxa"/>
          </w:tcPr>
          <w:p w14:paraId="183044AB" w14:textId="3F2E2452" w:rsidR="000E2E7E" w:rsidRPr="005E5808" w:rsidRDefault="008B4341" w:rsidP="00AE36BB">
            <w:pPr>
              <w:rPr>
                <w:rFonts w:ascii="Arial" w:hAnsi="Arial" w:cs="Arial"/>
                <w:sz w:val="24"/>
                <w:szCs w:val="24"/>
                <w:lang w:val="cy-GB"/>
              </w:rPr>
            </w:pPr>
            <w:r w:rsidRPr="005E5808">
              <w:rPr>
                <w:rFonts w:ascii="Arial" w:hAnsi="Arial" w:cs="Arial"/>
                <w:sz w:val="24"/>
                <w:szCs w:val="24"/>
                <w:lang w:val="cy-GB"/>
              </w:rPr>
              <w:t xml:space="preserve">My literate </w:t>
            </w:r>
            <w:r w:rsidR="00A144F6" w:rsidRPr="005E5808">
              <w:rPr>
                <w:rFonts w:ascii="Arial" w:hAnsi="Arial" w:cs="Arial"/>
                <w:sz w:val="24"/>
                <w:szCs w:val="24"/>
                <w:lang w:val="cy-GB"/>
              </w:rPr>
              <w:t>review</w:t>
            </w:r>
          </w:p>
        </w:tc>
      </w:tr>
      <w:tr w:rsidR="000E2E7E" w:rsidRPr="005E5808" w14:paraId="388E36FE" w14:textId="77777777" w:rsidTr="000E2E7E">
        <w:trPr>
          <w:trHeight w:val="338"/>
        </w:trPr>
        <w:tc>
          <w:tcPr>
            <w:tcW w:w="3256" w:type="dxa"/>
          </w:tcPr>
          <w:p w14:paraId="2740262D" w14:textId="7387AC83" w:rsidR="000E2E7E" w:rsidRPr="005E5808" w:rsidRDefault="007B505F" w:rsidP="007B505F">
            <w:pPr>
              <w:pStyle w:val="li1"/>
              <w:divId w:val="410195921"/>
              <w:rPr>
                <w:rFonts w:ascii="Arial" w:eastAsia="Times New Roman" w:hAnsi="Arial" w:cs="Arial"/>
                <w:sz w:val="24"/>
                <w:szCs w:val="24"/>
              </w:rPr>
            </w:pPr>
            <w:r w:rsidRPr="005E5808">
              <w:rPr>
                <w:rStyle w:val="s1"/>
                <w:rFonts w:ascii="Arial" w:eastAsia="Times New Roman" w:hAnsi="Arial" w:cs="Arial"/>
                <w:sz w:val="24"/>
                <w:szCs w:val="24"/>
              </w:rPr>
              <w:t>Endeavour to use a consistent synthesis of research to support the key discussions.</w:t>
            </w:r>
          </w:p>
          <w:p w14:paraId="06CE4F7D" w14:textId="77777777" w:rsidR="000E2E7E" w:rsidRPr="005E5808" w:rsidRDefault="000E2E7E" w:rsidP="00AE36BB">
            <w:pPr>
              <w:rPr>
                <w:rFonts w:ascii="Arial" w:hAnsi="Arial" w:cs="Arial"/>
                <w:sz w:val="24"/>
                <w:szCs w:val="24"/>
                <w:lang w:val="cy-GB"/>
              </w:rPr>
            </w:pPr>
          </w:p>
        </w:tc>
        <w:tc>
          <w:tcPr>
            <w:tcW w:w="3118" w:type="dxa"/>
          </w:tcPr>
          <w:p w14:paraId="33CC185F" w14:textId="74CEC58A" w:rsidR="000E2E7E" w:rsidRPr="005E5808" w:rsidRDefault="007F529E" w:rsidP="00AE36BB">
            <w:pPr>
              <w:rPr>
                <w:rFonts w:ascii="Arial" w:hAnsi="Arial" w:cs="Arial"/>
                <w:sz w:val="24"/>
                <w:szCs w:val="24"/>
                <w:lang w:val="cy-GB"/>
              </w:rPr>
            </w:pPr>
            <w:r w:rsidRPr="005E5808">
              <w:rPr>
                <w:rFonts w:ascii="Arial" w:eastAsia="Times New Roman" w:hAnsi="Arial" w:cs="Arial"/>
                <w:color w:val="000000"/>
                <w:sz w:val="24"/>
                <w:szCs w:val="24"/>
              </w:rPr>
              <w:t>I worked towards synthesising research more effectively in this study, ensuring that I referenced multiple sources to support key ideas.</w:t>
            </w:r>
          </w:p>
        </w:tc>
        <w:tc>
          <w:tcPr>
            <w:tcW w:w="2908" w:type="dxa"/>
          </w:tcPr>
          <w:p w14:paraId="37CFC390" w14:textId="184540CE" w:rsidR="000E2E7E" w:rsidRPr="005E5808" w:rsidRDefault="00536259" w:rsidP="00AE36BB">
            <w:pPr>
              <w:rPr>
                <w:rFonts w:ascii="Arial" w:hAnsi="Arial" w:cs="Arial"/>
                <w:sz w:val="24"/>
                <w:szCs w:val="24"/>
                <w:lang w:val="cy-GB"/>
              </w:rPr>
            </w:pPr>
            <w:r w:rsidRPr="005E5808">
              <w:rPr>
                <w:rFonts w:ascii="Arial" w:hAnsi="Arial" w:cs="Arial"/>
                <w:sz w:val="24"/>
                <w:szCs w:val="24"/>
                <w:lang w:val="cy-GB"/>
              </w:rPr>
              <w:t xml:space="preserve">In discussion and findings </w:t>
            </w:r>
          </w:p>
        </w:tc>
      </w:tr>
      <w:tr w:rsidR="000E2E7E" w:rsidRPr="005E5808" w14:paraId="05EE73CD" w14:textId="77777777" w:rsidTr="000E2E7E">
        <w:trPr>
          <w:trHeight w:val="338"/>
        </w:trPr>
        <w:tc>
          <w:tcPr>
            <w:tcW w:w="3256" w:type="dxa"/>
          </w:tcPr>
          <w:p w14:paraId="5C658833" w14:textId="019F708D" w:rsidR="000E2E7E" w:rsidRPr="005E5808" w:rsidRDefault="008B4341" w:rsidP="008B4341">
            <w:pPr>
              <w:pStyle w:val="li1"/>
              <w:divId w:val="2111580065"/>
              <w:rPr>
                <w:rFonts w:ascii="Arial" w:eastAsia="Times New Roman" w:hAnsi="Arial" w:cs="Arial"/>
                <w:sz w:val="24"/>
                <w:szCs w:val="24"/>
              </w:rPr>
            </w:pPr>
            <w:r w:rsidRPr="005E5808">
              <w:rPr>
                <w:rStyle w:val="s1"/>
                <w:rFonts w:ascii="Arial" w:eastAsia="Times New Roman" w:hAnsi="Arial" w:cs="Arial"/>
                <w:sz w:val="24"/>
                <w:szCs w:val="24"/>
              </w:rPr>
              <w:t>Offer greater originality of thought when making recommendations and exploring conclusions.</w:t>
            </w:r>
          </w:p>
          <w:p w14:paraId="42E07348" w14:textId="77777777" w:rsidR="000E2E7E" w:rsidRPr="005E5808" w:rsidRDefault="000E2E7E" w:rsidP="00AE36BB">
            <w:pPr>
              <w:rPr>
                <w:rFonts w:ascii="Arial" w:hAnsi="Arial" w:cs="Arial"/>
                <w:sz w:val="24"/>
                <w:szCs w:val="24"/>
                <w:lang w:val="cy-GB"/>
              </w:rPr>
            </w:pPr>
          </w:p>
        </w:tc>
        <w:tc>
          <w:tcPr>
            <w:tcW w:w="3118" w:type="dxa"/>
          </w:tcPr>
          <w:p w14:paraId="37B37629" w14:textId="281042A8" w:rsidR="000E2E7E" w:rsidRPr="005E5808" w:rsidRDefault="005E5808" w:rsidP="00AE36BB">
            <w:pPr>
              <w:rPr>
                <w:rFonts w:ascii="Arial" w:hAnsi="Arial" w:cs="Arial"/>
                <w:sz w:val="24"/>
                <w:szCs w:val="24"/>
                <w:lang w:val="cy-GB"/>
              </w:rPr>
            </w:pPr>
            <w:r w:rsidRPr="005E5808">
              <w:rPr>
                <w:rFonts w:ascii="Arial" w:eastAsia="Times New Roman" w:hAnsi="Arial" w:cs="Arial"/>
                <w:color w:val="000000"/>
                <w:sz w:val="24"/>
                <w:szCs w:val="24"/>
              </w:rPr>
              <w:t>I have aimed to offer more original insights in my recommendations, considering not just theoretical frameworks but also practical approaches to improve self-assessment in the classroom.</w:t>
            </w:r>
          </w:p>
        </w:tc>
        <w:tc>
          <w:tcPr>
            <w:tcW w:w="2908" w:type="dxa"/>
          </w:tcPr>
          <w:p w14:paraId="7AC8D709" w14:textId="05AC3334" w:rsidR="000E2E7E" w:rsidRPr="005E5808" w:rsidRDefault="00536259" w:rsidP="00AE36BB">
            <w:pPr>
              <w:rPr>
                <w:rFonts w:ascii="Arial" w:hAnsi="Arial" w:cs="Arial"/>
                <w:sz w:val="24"/>
                <w:szCs w:val="24"/>
                <w:lang w:val="cy-GB"/>
              </w:rPr>
            </w:pPr>
            <w:r w:rsidRPr="005E5808">
              <w:rPr>
                <w:rFonts w:ascii="Arial" w:hAnsi="Arial" w:cs="Arial"/>
                <w:sz w:val="24"/>
                <w:szCs w:val="24"/>
                <w:lang w:val="cy-GB"/>
              </w:rPr>
              <w:t>In conclusion and recommendations.</w:t>
            </w:r>
          </w:p>
        </w:tc>
      </w:tr>
    </w:tbl>
    <w:p w14:paraId="66CC6D9E" w14:textId="77777777" w:rsidR="000E2E7E" w:rsidRDefault="000E2E7E" w:rsidP="000E2E7E">
      <w:pPr>
        <w:rPr>
          <w:sz w:val="16"/>
          <w:szCs w:val="16"/>
        </w:rPr>
      </w:pPr>
    </w:p>
    <w:p w14:paraId="2AC0165E" w14:textId="56519C4F" w:rsidR="00874D04" w:rsidRPr="001C6B71" w:rsidRDefault="0007050D" w:rsidP="0007050D">
      <w:pPr>
        <w:spacing w:after="0" w:line="240" w:lineRule="auto"/>
        <w:divId w:val="1936354958"/>
        <w:rPr>
          <w:rFonts w:ascii="Arial" w:hAnsi="Arial" w:cs="Arial"/>
          <w:b/>
          <w:bCs/>
          <w:kern w:val="0"/>
          <w:sz w:val="27"/>
          <w:szCs w:val="27"/>
          <w:u w:val="single"/>
          <w:lang w:eastAsia="en-GB"/>
          <w14:ligatures w14:val="none"/>
        </w:rPr>
      </w:pPr>
      <w:r w:rsidRPr="0007050D">
        <w:rPr>
          <w:rFonts w:ascii="Arial" w:hAnsi="Arial" w:cs="Arial"/>
          <w:b/>
          <w:bCs/>
          <w:kern w:val="0"/>
          <w:sz w:val="27"/>
          <w:szCs w:val="27"/>
          <w:u w:val="single"/>
          <w:lang w:eastAsia="en-GB"/>
          <w14:ligatures w14:val="none"/>
        </w:rPr>
        <w:lastRenderedPageBreak/>
        <w:t>What are staff and Year 6 learners’ perceptions of self-assessment?</w:t>
      </w:r>
    </w:p>
    <w:p w14:paraId="0B2EF11A" w14:textId="77777777" w:rsidR="0007050D" w:rsidRPr="0007050D" w:rsidRDefault="0007050D" w:rsidP="0007050D">
      <w:pPr>
        <w:spacing w:after="0" w:line="240" w:lineRule="auto"/>
        <w:divId w:val="1936354958"/>
        <w:rPr>
          <w:rFonts w:ascii=".AppleSystemUIFont" w:hAnsi=".AppleSystemUIFont" w:cs="Times New Roman" w:hint="eastAsia"/>
          <w:kern w:val="0"/>
          <w:sz w:val="27"/>
          <w:szCs w:val="27"/>
          <w:lang w:eastAsia="en-GB"/>
          <w14:ligatures w14:val="none"/>
        </w:rPr>
      </w:pPr>
    </w:p>
    <w:p w14:paraId="4B023DB7" w14:textId="63088BB5"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Self-assessment is a widely influential form of learning assessment that enables pupils to reflect on and evaluate their learning (Roberts, 2006). Aligning with the curriculum of Wales's four purposes (Welsh Government, 2020): Ambitious, capable learners emphasise pupil autonomy and take ownership of their education.</w:t>
      </w:r>
      <w:r w:rsidR="006839A9" w:rsidRPr="007906C4">
        <w:rPr>
          <w:rFonts w:ascii="Arial" w:hAnsi="Arial" w:cs="Arial"/>
          <w:sz w:val="24"/>
          <w:szCs w:val="24"/>
        </w:rPr>
        <w:t xml:space="preserve"> </w:t>
      </w:r>
      <w:r w:rsidRPr="007906C4">
        <w:rPr>
          <w:rStyle w:val="s1"/>
          <w:rFonts w:ascii="Arial" w:hAnsi="Arial" w:cs="Arial"/>
          <w:sz w:val="24"/>
          <w:szCs w:val="24"/>
        </w:rPr>
        <w:t>Research by Black and William (1998) suggests that effective self-assessment practices by students lead to better comprehension of success criteria and improved abilities for learning autonomy. However, the effectiveness of self-assessment may vary based on teacher support, student confidence levels and classroom assessment strategies (Brown, Andrade and Chen, 2015).</w:t>
      </w:r>
    </w:p>
    <w:p w14:paraId="300667D4" w14:textId="7777777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This study aims to explore the question:</w:t>
      </w:r>
    </w:p>
    <w:p w14:paraId="00C9FB66" w14:textId="7777777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What are staff and Year 6 learners’ perceptions of self-assessment?</w:t>
      </w:r>
    </w:p>
    <w:p w14:paraId="5FBE2130" w14:textId="7777777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Understanding how learners and teachers perceive self-assessment is vital for improving professional practice (</w:t>
      </w:r>
      <w:proofErr w:type="spellStart"/>
      <w:r w:rsidRPr="007906C4">
        <w:rPr>
          <w:rStyle w:val="s1"/>
          <w:rFonts w:ascii="Arial" w:hAnsi="Arial" w:cs="Arial"/>
          <w:sz w:val="24"/>
          <w:szCs w:val="24"/>
        </w:rPr>
        <w:t>Christodoulou</w:t>
      </w:r>
      <w:proofErr w:type="spellEnd"/>
      <w:r w:rsidRPr="007906C4">
        <w:rPr>
          <w:rStyle w:val="s1"/>
          <w:rFonts w:ascii="Arial" w:hAnsi="Arial" w:cs="Arial"/>
          <w:sz w:val="24"/>
          <w:szCs w:val="24"/>
        </w:rPr>
        <w:t>, 2017). As an aspiring teacher, I will benefit from gaining insight into how assessment is currently used, how it could be improved, and what challenges it faces. This insight will, in turn, allow me to refine my teaching approach to support my learners better and improve my teaching practices.</w:t>
      </w:r>
    </w:p>
    <w:p w14:paraId="4292E57D" w14:textId="5625000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This study, conducted in a Year 6 classroom in a community school in West Wales, explores pupils' and teachers' perceptions of self-assessment, aligning with the pedagogical principle of encouraging learners to take increasing responsibility for their learning (Impact Wales, 2022). Data on self-assessment use was collected through questionnaires for teachers, and interviews were utilised with pupils to understand their experiences and thoughts with self-assessment.</w:t>
      </w:r>
    </w:p>
    <w:p w14:paraId="384DFFD9" w14:textId="6636FAB8" w:rsidR="00A13811" w:rsidRPr="007906C4" w:rsidRDefault="00A13811" w:rsidP="00073410">
      <w:pPr>
        <w:pStyle w:val="p1"/>
        <w:divId w:val="1384987848"/>
        <w:rPr>
          <w:rFonts w:ascii="Arial" w:hAnsi="Arial" w:cs="Arial"/>
          <w:sz w:val="24"/>
          <w:szCs w:val="24"/>
        </w:rPr>
      </w:pPr>
      <w:r w:rsidRPr="007906C4">
        <w:rPr>
          <w:rStyle w:val="s1"/>
          <w:rFonts w:ascii="Arial" w:hAnsi="Arial" w:cs="Arial"/>
          <w:sz w:val="24"/>
          <w:szCs w:val="24"/>
        </w:rPr>
        <w:t>Assessment for learning (AFL) is a continuous process that informs and improves student learning (Cambridge Assessment International Education, 2011). AFL differs from summative assessments as it focuses on formative feedback, which provides insight into a student's strengths and development areas while learning (Heritage and Harrison, 2020). Within assessment for learning are self-assessment, success criteria, and retrieval practices that support and encourage active student involvement in the learning process, allowing pupils to become self-aware and reflective learners (Fletcher-Wood, 2018). Self-assessment is a key AFL tool to encourage students to evaluate their work, identify areas for improvement, and take ownership of their learning (Rowland, 2024).</w:t>
      </w:r>
      <w:r w:rsidRPr="007906C4">
        <w:rPr>
          <w:rStyle w:val="apple-converted-space"/>
          <w:rFonts w:ascii="Arial" w:hAnsi="Arial" w:cs="Arial"/>
          <w:sz w:val="24"/>
          <w:szCs w:val="24"/>
        </w:rPr>
        <w:t> </w:t>
      </w:r>
    </w:p>
    <w:p w14:paraId="3EA37CDC" w14:textId="2502C929" w:rsidR="00A13811" w:rsidRPr="007906C4" w:rsidRDefault="00A13811" w:rsidP="005E02E7">
      <w:pPr>
        <w:pStyle w:val="p1"/>
        <w:divId w:val="1384987848"/>
        <w:rPr>
          <w:rFonts w:ascii="Arial" w:hAnsi="Arial" w:cs="Arial"/>
          <w:sz w:val="24"/>
          <w:szCs w:val="24"/>
        </w:rPr>
      </w:pPr>
      <w:r w:rsidRPr="007906C4">
        <w:rPr>
          <w:rStyle w:val="s1"/>
          <w:rFonts w:ascii="Arial" w:hAnsi="Arial" w:cs="Arial"/>
          <w:sz w:val="24"/>
          <w:szCs w:val="24"/>
        </w:rPr>
        <w:t xml:space="preserve">Implementing self-assessment creates opportunities for pupils to develop metacognitive skills in reflecting on their learning, identifying their strengths and areas for improvement, and adjusting their learning strategies accordingly (Chapman, 2019). This conforms to pedagogical principles of learning by encouraging learners to take increasing responsibility for their knowledge and promoting independence and self-regulation in learners (Welsh Government, 2020). Zimmerman and </w:t>
      </w:r>
      <w:proofErr w:type="spellStart"/>
      <w:r w:rsidRPr="007906C4">
        <w:rPr>
          <w:rStyle w:val="s1"/>
          <w:rFonts w:ascii="Arial" w:hAnsi="Arial" w:cs="Arial"/>
          <w:sz w:val="24"/>
          <w:szCs w:val="24"/>
        </w:rPr>
        <w:t>Schunk</w:t>
      </w:r>
      <w:proofErr w:type="spellEnd"/>
      <w:r w:rsidRPr="007906C4">
        <w:rPr>
          <w:rStyle w:val="s1"/>
          <w:rFonts w:ascii="Arial" w:hAnsi="Arial" w:cs="Arial"/>
          <w:sz w:val="24"/>
          <w:szCs w:val="24"/>
        </w:rPr>
        <w:t xml:space="preserve"> (2011) emphasise self-assessment as a key component of self-regulated learning as it enables students to monitor their progress and adjust their learning strategies for better results. Research by Tan (2012) suggests that </w:t>
      </w:r>
      <w:r w:rsidRPr="007906C4">
        <w:rPr>
          <w:rStyle w:val="s1"/>
          <w:rFonts w:ascii="Arial" w:hAnsi="Arial" w:cs="Arial"/>
          <w:sz w:val="24"/>
          <w:szCs w:val="24"/>
        </w:rPr>
        <w:lastRenderedPageBreak/>
        <w:t>students who develop these skills become more effective learners due to their ability to regulate their learning processes, leading to better academic performance.</w:t>
      </w:r>
    </w:p>
    <w:p w14:paraId="2C8C75B6" w14:textId="42268D5A" w:rsidR="00A13811" w:rsidRPr="007906C4" w:rsidRDefault="00A13811" w:rsidP="005E02E7">
      <w:pPr>
        <w:pStyle w:val="p1"/>
        <w:divId w:val="1384987848"/>
        <w:rPr>
          <w:rFonts w:ascii="Arial" w:hAnsi="Arial" w:cs="Arial"/>
          <w:sz w:val="24"/>
          <w:szCs w:val="24"/>
        </w:rPr>
      </w:pPr>
      <w:r w:rsidRPr="007906C4">
        <w:rPr>
          <w:rStyle w:val="s1"/>
          <w:rFonts w:ascii="Arial" w:hAnsi="Arial" w:cs="Arial"/>
          <w:sz w:val="24"/>
          <w:szCs w:val="24"/>
        </w:rPr>
        <w:t xml:space="preserve">However, the effectiveness of self-assessment as part of AFL is debated, with research revealing mixed findings regarding its impact on student learning. Andrade and </w:t>
      </w:r>
      <w:proofErr w:type="spellStart"/>
      <w:r w:rsidRPr="007906C4">
        <w:rPr>
          <w:rStyle w:val="s1"/>
          <w:rFonts w:ascii="Arial" w:hAnsi="Arial" w:cs="Arial"/>
          <w:sz w:val="24"/>
          <w:szCs w:val="24"/>
        </w:rPr>
        <w:t>Valtcheva</w:t>
      </w:r>
      <w:proofErr w:type="spellEnd"/>
      <w:r w:rsidRPr="007906C4">
        <w:rPr>
          <w:rStyle w:val="s1"/>
          <w:rFonts w:ascii="Arial" w:hAnsi="Arial" w:cs="Arial"/>
          <w:sz w:val="24"/>
          <w:szCs w:val="24"/>
        </w:rPr>
        <w:t xml:space="preserve"> (2009) emphasise instructing students to reflect on their work, as students may face challenges in evaluating their work correctly when they lack proper guidance, leading to shallow or incorrect assessments. This suggests that self-assessment quality depends on the teacher's ability to model and scaffold reflective practices. Additionally, Black and </w:t>
      </w:r>
      <w:proofErr w:type="spellStart"/>
      <w:r w:rsidRPr="007906C4">
        <w:rPr>
          <w:rStyle w:val="s1"/>
          <w:rFonts w:ascii="Arial" w:hAnsi="Arial" w:cs="Arial"/>
          <w:sz w:val="24"/>
          <w:szCs w:val="24"/>
        </w:rPr>
        <w:t>Wiliam</w:t>
      </w:r>
      <w:proofErr w:type="spellEnd"/>
      <w:r w:rsidRPr="007906C4">
        <w:rPr>
          <w:rStyle w:val="s1"/>
          <w:rFonts w:ascii="Arial" w:hAnsi="Arial" w:cs="Arial"/>
          <w:sz w:val="24"/>
          <w:szCs w:val="24"/>
        </w:rPr>
        <w:t xml:space="preserve"> (1998) contend that incorporating self-evaluation into formative assessment encourages students to take charge of their education and recognise misconceptions. However, Yan and Carless (2021) warn that the effectiveness of the self-assessment process depends on the teacher's assistance and direction.</w:t>
      </w:r>
    </w:p>
    <w:p w14:paraId="238C99D7" w14:textId="7777777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 xml:space="preserve">Despite its potential benefits, self-assessment presents several challenges related to bias and inaccuracy in students' work evaluations (Andrade, 2019). According to Kruger and Dunning (1999), a lack of self-awareness or confidence could lead to some students overestimating or underestimating their talents. While high-achieving students could be unduly critical of their performance, low-achieving pupils might overstate their understanding; these presumptions can undermine development and harm pupil self-esteem (Roberts, 2006). When employing self-assessment as a formative method, </w:t>
      </w:r>
      <w:proofErr w:type="spellStart"/>
      <w:r w:rsidRPr="007906C4">
        <w:rPr>
          <w:rStyle w:val="s1"/>
          <w:rFonts w:ascii="Arial" w:hAnsi="Arial" w:cs="Arial"/>
          <w:sz w:val="24"/>
          <w:szCs w:val="24"/>
        </w:rPr>
        <w:t>Boud</w:t>
      </w:r>
      <w:proofErr w:type="spellEnd"/>
      <w:r w:rsidRPr="007906C4">
        <w:rPr>
          <w:rStyle w:val="s1"/>
          <w:rFonts w:ascii="Arial" w:hAnsi="Arial" w:cs="Arial"/>
          <w:sz w:val="24"/>
          <w:szCs w:val="24"/>
        </w:rPr>
        <w:t xml:space="preserve"> and </w:t>
      </w:r>
      <w:proofErr w:type="spellStart"/>
      <w:r w:rsidRPr="007906C4">
        <w:rPr>
          <w:rStyle w:val="s1"/>
          <w:rFonts w:ascii="Arial" w:hAnsi="Arial" w:cs="Arial"/>
          <w:sz w:val="24"/>
          <w:szCs w:val="24"/>
        </w:rPr>
        <w:t>Falchikov</w:t>
      </w:r>
      <w:proofErr w:type="spellEnd"/>
      <w:r w:rsidRPr="007906C4">
        <w:rPr>
          <w:rStyle w:val="s1"/>
          <w:rFonts w:ascii="Arial" w:hAnsi="Arial" w:cs="Arial"/>
          <w:sz w:val="24"/>
          <w:szCs w:val="24"/>
        </w:rPr>
        <w:t xml:space="preserve"> (2007) emphasise the necessity of teacher moderation, as students' assessments may not always be accurate in the absence of teacher instruction. Furthermore, Clarke (2023) highlights that if self-assessment is not regularly integrated into the classroom routine, it may be perceived as a "pointless exercise" and have less of an impact on students' learning.</w:t>
      </w:r>
    </w:p>
    <w:p w14:paraId="63F694F6" w14:textId="7777777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Self-assessment offers numerous advantages for learning and development; however, it's important to note that the implementation must be carefully structured to maximise its potential (Petty, 2024). For example, students must receive specific instruction on evaluating their work, considering how they learn, and basing their assessments on success criteria (Sadler, 1989). Teachers can help this process by modelling reflective habits, establishing clear success criteria, and consistently introducing self-assessment opportunities into learning (Eagan, 2023). Students will develop the metacognitive abilities needed to evaluate their learning successfully, increasing their independence and improving their learning results (Firth, 2024).</w:t>
      </w:r>
    </w:p>
    <w:p w14:paraId="4A540FB5" w14:textId="6C5F5BF6"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Self-assessment is crucial in AFL, helping students develop metacognitive skills and practice self-regulation (Tan, 2012). Its success depends on teacher guidance, explicit instruction about reflective practices, and regular implementation in the learning process (Eagan, 2023). Students' biased evaluations during self-assessment create imprecise results, but the learning benefits from proper implementation exceed these limitations. Research should investigate the optimal classroom implementation methods for self-assessment and practical student training approaches for meaningful self-reflection (</w:t>
      </w:r>
      <w:proofErr w:type="spellStart"/>
      <w:r w:rsidRPr="007906C4">
        <w:rPr>
          <w:rStyle w:val="s1"/>
          <w:rFonts w:ascii="Arial" w:hAnsi="Arial" w:cs="Arial"/>
          <w:sz w:val="24"/>
          <w:szCs w:val="24"/>
        </w:rPr>
        <w:t>Spendlove</w:t>
      </w:r>
      <w:proofErr w:type="spellEnd"/>
      <w:r w:rsidRPr="007906C4">
        <w:rPr>
          <w:rStyle w:val="s1"/>
          <w:rFonts w:ascii="Arial" w:hAnsi="Arial" w:cs="Arial"/>
          <w:sz w:val="24"/>
          <w:szCs w:val="24"/>
        </w:rPr>
        <w:t>, 2009).</w:t>
      </w:r>
      <w:r w:rsidRPr="007906C4">
        <w:rPr>
          <w:rStyle w:val="apple-converted-space"/>
          <w:rFonts w:ascii="Arial" w:hAnsi="Arial" w:cs="Arial"/>
          <w:sz w:val="24"/>
          <w:szCs w:val="24"/>
        </w:rPr>
        <w:t> </w:t>
      </w:r>
    </w:p>
    <w:p w14:paraId="15EB8180" w14:textId="7777777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 xml:space="preserve">This study adopted a mixed-methods approach, integrating quantitative (questionnaires) and qualitative (interviews) data collection; this combination </w:t>
      </w:r>
      <w:r w:rsidRPr="007906C4">
        <w:rPr>
          <w:rStyle w:val="s1"/>
          <w:rFonts w:ascii="Arial" w:hAnsi="Arial" w:cs="Arial"/>
          <w:sz w:val="24"/>
          <w:szCs w:val="24"/>
        </w:rPr>
        <w:lastRenderedPageBreak/>
        <w:t>ensured a comprehensive understanding of self-assessment from both teacher and pupil perspectives.</w:t>
      </w:r>
    </w:p>
    <w:p w14:paraId="06FE6FB7" w14:textId="45770885"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A questionnaire is a research tool built up of a series of open and closed questions used to collect data from respondents in a particular manner (</w:t>
      </w:r>
      <w:proofErr w:type="spellStart"/>
      <w:r w:rsidRPr="007906C4">
        <w:rPr>
          <w:rStyle w:val="s1"/>
          <w:rFonts w:ascii="Arial" w:hAnsi="Arial" w:cs="Arial"/>
          <w:sz w:val="24"/>
          <w:szCs w:val="24"/>
        </w:rPr>
        <w:t>Mcleod</w:t>
      </w:r>
      <w:proofErr w:type="spellEnd"/>
      <w:r w:rsidRPr="007906C4">
        <w:rPr>
          <w:rStyle w:val="s1"/>
          <w:rFonts w:ascii="Arial" w:hAnsi="Arial" w:cs="Arial"/>
          <w:sz w:val="24"/>
          <w:szCs w:val="24"/>
        </w:rPr>
        <w:t>, 2023). In this study, a questionnaire was used to collect teachers' perceptions of self-assessment, including the level of agreement with the effectiveness of self-assessment, the challenges teachers face in implementing it, and the extent to which self-assessment is integrated into the classroom. The questionnaire consisted of closed-ended questions that could be analysed quantitatively and open-ended questions that provided qualitative data, which helped compare the participants' responses while capturing individual opinions</w:t>
      </w:r>
      <w:r w:rsidR="007121AD">
        <w:rPr>
          <w:rStyle w:val="s1"/>
          <w:rFonts w:ascii="Arial" w:hAnsi="Arial" w:cs="Arial"/>
          <w:sz w:val="24"/>
          <w:szCs w:val="24"/>
        </w:rPr>
        <w:t xml:space="preserve"> (See appendix</w:t>
      </w:r>
      <w:r w:rsidR="000C045F">
        <w:rPr>
          <w:rStyle w:val="s1"/>
          <w:rFonts w:ascii="Arial" w:hAnsi="Arial" w:cs="Arial"/>
          <w:sz w:val="24"/>
          <w:szCs w:val="24"/>
        </w:rPr>
        <w:t xml:space="preserve"> 3</w:t>
      </w:r>
      <w:r w:rsidR="007121AD">
        <w:rPr>
          <w:rStyle w:val="s1"/>
          <w:rFonts w:ascii="Arial" w:hAnsi="Arial" w:cs="Arial"/>
          <w:sz w:val="24"/>
          <w:szCs w:val="24"/>
        </w:rPr>
        <w:t>)</w:t>
      </w:r>
      <w:r w:rsidRPr="007906C4">
        <w:rPr>
          <w:rStyle w:val="s1"/>
          <w:rFonts w:ascii="Arial" w:hAnsi="Arial" w:cs="Arial"/>
          <w:sz w:val="24"/>
          <w:szCs w:val="24"/>
        </w:rPr>
        <w:t>.</w:t>
      </w:r>
      <w:r w:rsidR="005E02E7">
        <w:rPr>
          <w:rFonts w:ascii="Arial" w:hAnsi="Arial" w:cs="Arial"/>
          <w:sz w:val="24"/>
          <w:szCs w:val="24"/>
        </w:rPr>
        <w:t xml:space="preserve"> </w:t>
      </w:r>
      <w:r w:rsidRPr="007906C4">
        <w:rPr>
          <w:rStyle w:val="s1"/>
          <w:rFonts w:ascii="Arial" w:hAnsi="Arial" w:cs="Arial"/>
          <w:sz w:val="24"/>
          <w:szCs w:val="24"/>
        </w:rPr>
        <w:t>An interview is a qualitative research approach that involves direct verbal interaction between the researcher and participants to elicit detailed information about their experiences and viewpoints (</w:t>
      </w:r>
      <w:proofErr w:type="spellStart"/>
      <w:r w:rsidRPr="007906C4">
        <w:rPr>
          <w:rStyle w:val="s1"/>
          <w:rFonts w:ascii="Arial" w:hAnsi="Arial" w:cs="Arial"/>
          <w:sz w:val="24"/>
          <w:szCs w:val="24"/>
        </w:rPr>
        <w:t>Bhat</w:t>
      </w:r>
      <w:proofErr w:type="spellEnd"/>
      <w:r w:rsidRPr="007906C4">
        <w:rPr>
          <w:rStyle w:val="s1"/>
          <w:rFonts w:ascii="Arial" w:hAnsi="Arial" w:cs="Arial"/>
          <w:sz w:val="24"/>
          <w:szCs w:val="24"/>
        </w:rPr>
        <w:t>, 2018). In this study, 10 Year 6 students were interviewed in a group setting to learn about their understanding and experiences with self-assessment. The interview was semi-structured, with main questions predetermined but follow-up questions used to elicit more detailed responses. This strategy allowed for a more in-depth investigation of students' perspectives, resulting in richer qualitative data than a questionnaire alone.</w:t>
      </w:r>
    </w:p>
    <w:p w14:paraId="1683D6BF" w14:textId="4646B09C" w:rsidR="00A13811" w:rsidRPr="007906C4" w:rsidRDefault="00A13811" w:rsidP="00EC4C39">
      <w:pPr>
        <w:pStyle w:val="p1"/>
        <w:divId w:val="1384987848"/>
        <w:rPr>
          <w:rFonts w:ascii="Arial" w:hAnsi="Arial" w:cs="Arial"/>
          <w:sz w:val="24"/>
          <w:szCs w:val="24"/>
        </w:rPr>
      </w:pPr>
      <w:r w:rsidRPr="007906C4">
        <w:rPr>
          <w:rStyle w:val="s1"/>
          <w:rFonts w:ascii="Arial" w:hAnsi="Arial" w:cs="Arial"/>
          <w:sz w:val="24"/>
          <w:szCs w:val="24"/>
        </w:rPr>
        <w:t xml:space="preserve">However, blended techniques posed unique complications. Self-reported data from questionnaires and interviews posed the danger of misinterpretation or response bias, particularly regarding students' capacity to describe their self-assessment experiences. Furthermore, social desirability bias in interviews may have influenced students' responses, as they may have tailored their answers to meet perceived expectations (Cohen, </w:t>
      </w:r>
      <w:proofErr w:type="spellStart"/>
      <w:r w:rsidRPr="007906C4">
        <w:rPr>
          <w:rStyle w:val="s1"/>
          <w:rFonts w:ascii="Arial" w:hAnsi="Arial" w:cs="Arial"/>
          <w:sz w:val="24"/>
          <w:szCs w:val="24"/>
        </w:rPr>
        <w:t>Manion</w:t>
      </w:r>
      <w:proofErr w:type="spellEnd"/>
      <w:r w:rsidRPr="007906C4">
        <w:rPr>
          <w:rStyle w:val="s1"/>
          <w:rFonts w:ascii="Arial" w:hAnsi="Arial" w:cs="Arial"/>
          <w:sz w:val="24"/>
          <w:szCs w:val="24"/>
        </w:rPr>
        <w:t>, &amp; Morrison, 2018). Considering these challenges, the selected approach method for data triangulation increased the findings' reliability and depth.</w:t>
      </w:r>
    </w:p>
    <w:p w14:paraId="3ED8736C" w14:textId="1F39452A"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This study included two primary participant groups: teachers and Year 6 students. The first group comprised six teachers who voluntarily filled out a questionnaire. Their comments revealed their perspectives on self-assessment, how they use it in the classroom, and any difficulties they encounter.</w:t>
      </w:r>
      <w:r w:rsidR="009765B4">
        <w:rPr>
          <w:rFonts w:ascii="Arial" w:hAnsi="Arial" w:cs="Arial"/>
          <w:sz w:val="24"/>
          <w:szCs w:val="24"/>
        </w:rPr>
        <w:t xml:space="preserve"> </w:t>
      </w:r>
      <w:r w:rsidRPr="007906C4">
        <w:rPr>
          <w:rStyle w:val="s1"/>
          <w:rFonts w:ascii="Arial" w:hAnsi="Arial" w:cs="Arial"/>
          <w:sz w:val="24"/>
          <w:szCs w:val="24"/>
        </w:rPr>
        <w:t>The second group included ten Year 6 students who participated in a group interview. The students were chosen to represent each ability group (lower, middle and higher), ensuring a diversified collection of viewpoints on self-assessment procedures utilised in class</w:t>
      </w:r>
      <w:r w:rsidR="005E02E7">
        <w:rPr>
          <w:rStyle w:val="s1"/>
          <w:rFonts w:ascii="Arial" w:hAnsi="Arial" w:cs="Arial"/>
          <w:sz w:val="24"/>
          <w:szCs w:val="24"/>
        </w:rPr>
        <w:t xml:space="preserve">. </w:t>
      </w:r>
      <w:r w:rsidRPr="007906C4">
        <w:rPr>
          <w:rStyle w:val="s1"/>
          <w:rFonts w:ascii="Arial" w:hAnsi="Arial" w:cs="Arial"/>
          <w:sz w:val="24"/>
          <w:szCs w:val="24"/>
        </w:rPr>
        <w:t>Participation in the study was entirely optional. Teachers were asked to complete the questionnaire, and no incentives were provided to ensure fair results. Pupils were selected to represent a cross-section of abilities to capture a broad range of experiences with self-assessment. All participants were fully informed about the study's purpose and had the right to opt-out at any moment without punishment.</w:t>
      </w:r>
      <w:r w:rsidRPr="007906C4">
        <w:rPr>
          <w:rStyle w:val="apple-converted-space"/>
          <w:rFonts w:ascii="Arial" w:hAnsi="Arial" w:cs="Arial"/>
          <w:sz w:val="24"/>
          <w:szCs w:val="24"/>
        </w:rPr>
        <w:t> </w:t>
      </w:r>
    </w:p>
    <w:p w14:paraId="10D0C19E" w14:textId="58FF4165"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 xml:space="preserve">The teacher questionnaire included closed and open-ended questions to collect quantitative and qualitative data. It sought to assess teachers' perspectives on self-assessment and its application in their profession. Six teachers volunteered to complete the questionnaire, which was delivered via Microsoft Forms over an email link. The responses were automatically collated, enabling simple analysis. Closed questions yielded statistical information, whereas open-ended replies were examined for reoccurring themes. The questionnaire facilitated data collection and maintained </w:t>
      </w:r>
      <w:r w:rsidRPr="007906C4">
        <w:rPr>
          <w:rStyle w:val="s1"/>
          <w:rFonts w:ascii="Arial" w:hAnsi="Arial" w:cs="Arial"/>
          <w:sz w:val="24"/>
          <w:szCs w:val="24"/>
        </w:rPr>
        <w:lastRenderedPageBreak/>
        <w:t>anonymity, which is critical for upholding ethical standards. However, drawbacks include the limited depth of responses to closed questions, which may not wholly reflect the complexities of teacher's experiences and perspectives.</w:t>
      </w:r>
    </w:p>
    <w:p w14:paraId="33A07389" w14:textId="7777777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Ten Year 6 students participated in semi-structured group interviews to discuss their experiences and impressions of self-assessment. The interviews were held in a friendly classroom setting to promote open discourse. The responses were digitally voice-recorded and transcribed for thematic analysis. The semi-structured nature of the interviews provided greater flexibility, allowing students to elaborate on their points and provide richer, more nuanced perspectives. This adaptability was a significant feature, allowing the interviewer to delve deeper into topics of interest and clarify comments as needed. However, drawbacks include the possibility of social desirability bias, in which students gave answers they thought were anticipated rather than their true thoughts.</w:t>
      </w:r>
    </w:p>
    <w:p w14:paraId="332374FF" w14:textId="54076493"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Ethical integrity was prioritised throughout the study in line with the guidelines of the British Educational Research Association (BERA, 2024). No personal identifiers were acquired during data collection. Participants' names were changed in all transcripts and reports to maintain confidentiality. This helped to protect participants' privacy and encourage open, truthful responses (Beauchamp and Murray, 2013).</w:t>
      </w:r>
      <w:r w:rsidR="009765B4">
        <w:rPr>
          <w:rFonts w:ascii="Arial" w:hAnsi="Arial" w:cs="Arial"/>
          <w:sz w:val="24"/>
          <w:szCs w:val="24"/>
        </w:rPr>
        <w:t xml:space="preserve"> </w:t>
      </w:r>
      <w:r w:rsidRPr="007906C4">
        <w:rPr>
          <w:rStyle w:val="s1"/>
          <w:rFonts w:ascii="Arial" w:hAnsi="Arial" w:cs="Arial"/>
          <w:sz w:val="24"/>
          <w:szCs w:val="24"/>
        </w:rPr>
        <w:t>Before the research started, all participants were adequately informed about the study's goal and methods. Consent was sought verbally from both teachers and Year 6 students, and permission was obtained from the headteacher to conduct the research</w:t>
      </w:r>
      <w:r w:rsidR="00925B94">
        <w:rPr>
          <w:rStyle w:val="s1"/>
          <w:rFonts w:ascii="Arial" w:hAnsi="Arial" w:cs="Arial"/>
          <w:sz w:val="24"/>
          <w:szCs w:val="24"/>
        </w:rPr>
        <w:t xml:space="preserve"> (See appendix </w:t>
      </w:r>
      <w:r w:rsidR="005937A2">
        <w:rPr>
          <w:rStyle w:val="s1"/>
          <w:rFonts w:ascii="Arial" w:hAnsi="Arial" w:cs="Arial"/>
          <w:sz w:val="24"/>
          <w:szCs w:val="24"/>
        </w:rPr>
        <w:t>13</w:t>
      </w:r>
      <w:r w:rsidR="00925B94">
        <w:rPr>
          <w:rStyle w:val="s1"/>
          <w:rFonts w:ascii="Arial" w:hAnsi="Arial" w:cs="Arial"/>
          <w:sz w:val="24"/>
          <w:szCs w:val="24"/>
        </w:rPr>
        <w:t>)</w:t>
      </w:r>
      <w:r w:rsidRPr="007906C4">
        <w:rPr>
          <w:rStyle w:val="s1"/>
          <w:rFonts w:ascii="Arial" w:hAnsi="Arial" w:cs="Arial"/>
          <w:sz w:val="24"/>
          <w:szCs w:val="24"/>
        </w:rPr>
        <w:t>. Participants were notified that they had the right to resign from the study at any moment without incurring any negative repercussions. This ensured that participants' participation was voluntary and that they had complete control over it (BERA, 2024).</w:t>
      </w:r>
      <w:r w:rsidR="009765B4">
        <w:rPr>
          <w:rFonts w:ascii="Arial" w:hAnsi="Arial" w:cs="Arial"/>
          <w:sz w:val="24"/>
          <w:szCs w:val="24"/>
        </w:rPr>
        <w:t xml:space="preserve"> </w:t>
      </w:r>
      <w:r w:rsidRPr="007906C4">
        <w:rPr>
          <w:rStyle w:val="s1"/>
          <w:rFonts w:ascii="Arial" w:hAnsi="Arial" w:cs="Arial"/>
          <w:sz w:val="24"/>
          <w:szCs w:val="24"/>
        </w:rPr>
        <w:t>Before beginning data collection, an ethics form was submitted to the university for approval (See appendix</w:t>
      </w:r>
      <w:r w:rsidR="000332FF">
        <w:rPr>
          <w:rStyle w:val="s1"/>
          <w:rFonts w:ascii="Arial" w:hAnsi="Arial" w:cs="Arial"/>
          <w:sz w:val="24"/>
          <w:szCs w:val="24"/>
        </w:rPr>
        <w:t xml:space="preserve"> 12</w:t>
      </w:r>
      <w:r w:rsidRPr="007906C4">
        <w:rPr>
          <w:rStyle w:val="s1"/>
          <w:rFonts w:ascii="Arial" w:hAnsi="Arial" w:cs="Arial"/>
          <w:sz w:val="24"/>
          <w:szCs w:val="24"/>
        </w:rPr>
        <w:t>). This guaranteed that the survey followed ethical guidelines and respected the rights and welfare of all participants (UWTSD, 2022). From data collection to analysis, all study components followed university regulations and the participants' moral rights.</w:t>
      </w:r>
    </w:p>
    <w:p w14:paraId="10FDEE13" w14:textId="0A07AD45" w:rsidR="00A13811" w:rsidRPr="007906C4" w:rsidRDefault="00A13811" w:rsidP="00ED14C7">
      <w:pPr>
        <w:pStyle w:val="p1"/>
        <w:divId w:val="1384987848"/>
        <w:rPr>
          <w:rFonts w:ascii="Arial" w:hAnsi="Arial" w:cs="Arial"/>
          <w:sz w:val="24"/>
          <w:szCs w:val="24"/>
        </w:rPr>
      </w:pPr>
      <w:r w:rsidRPr="007906C4">
        <w:rPr>
          <w:rStyle w:val="s1"/>
          <w:rFonts w:ascii="Arial" w:hAnsi="Arial" w:cs="Arial"/>
          <w:sz w:val="24"/>
          <w:szCs w:val="24"/>
        </w:rPr>
        <w:t>The following section presents the questionnaire and interview data results, which provide insights into staff and pupil perceptions of self-assessment.</w:t>
      </w:r>
    </w:p>
    <w:p w14:paraId="1F90E112" w14:textId="1197B843"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Responses from the staff questionnaire revealed inconsistency in self-assessment application throughout the school. While 50% of the teachers indicated regular use of self-assessment, 33% acknowledged occasional use, and the remaining 17% confessed to infrequent use</w:t>
      </w:r>
      <w:r w:rsidR="00671AC9">
        <w:rPr>
          <w:rStyle w:val="s1"/>
          <w:rFonts w:ascii="Arial" w:hAnsi="Arial" w:cs="Arial"/>
          <w:sz w:val="24"/>
          <w:szCs w:val="24"/>
        </w:rPr>
        <w:t xml:space="preserve"> (See appendix 4)</w:t>
      </w:r>
      <w:r w:rsidRPr="007906C4">
        <w:rPr>
          <w:rStyle w:val="s1"/>
          <w:rFonts w:ascii="Arial" w:hAnsi="Arial" w:cs="Arial"/>
          <w:sz w:val="24"/>
          <w:szCs w:val="24"/>
        </w:rPr>
        <w:t>. This difference reveals inconsistencies in how self-assessment is integrated into classroom practice throughout the school, which could reflect differing views on teachers' effectiveness or lack of confidence in its implementation.</w:t>
      </w:r>
      <w:r w:rsidR="00792B5F">
        <w:rPr>
          <w:rFonts w:ascii="Arial" w:hAnsi="Arial" w:cs="Arial"/>
          <w:sz w:val="24"/>
          <w:szCs w:val="24"/>
        </w:rPr>
        <w:t xml:space="preserve"> </w:t>
      </w:r>
      <w:r w:rsidRPr="007906C4">
        <w:rPr>
          <w:rStyle w:val="s1"/>
          <w:rFonts w:ascii="Arial" w:hAnsi="Arial" w:cs="Arial"/>
          <w:sz w:val="24"/>
          <w:szCs w:val="24"/>
        </w:rPr>
        <w:t>Data from year 6 interviews supported this discrepancy</w:t>
      </w:r>
      <w:r w:rsidR="006D7A35">
        <w:rPr>
          <w:rStyle w:val="s1"/>
          <w:rFonts w:ascii="Arial" w:hAnsi="Arial" w:cs="Arial"/>
          <w:sz w:val="24"/>
          <w:szCs w:val="24"/>
        </w:rPr>
        <w:t xml:space="preserve"> (See appendix 2)</w:t>
      </w:r>
      <w:r w:rsidRPr="007906C4">
        <w:rPr>
          <w:rStyle w:val="s1"/>
          <w:rFonts w:ascii="Arial" w:hAnsi="Arial" w:cs="Arial"/>
          <w:sz w:val="24"/>
          <w:szCs w:val="24"/>
        </w:rPr>
        <w:t xml:space="preserve">, demonstrating that self-assessment is frequently subject-specific. Pupils often indicated that self-assessment is used consistently in mathematics and spelling. </w:t>
      </w:r>
      <w:r w:rsidR="006D7A35">
        <w:rPr>
          <w:rStyle w:val="s1"/>
          <w:rFonts w:ascii="Arial" w:hAnsi="Arial" w:cs="Arial"/>
          <w:sz w:val="24"/>
          <w:szCs w:val="24"/>
        </w:rPr>
        <w:t>Pupil B</w:t>
      </w:r>
      <w:r w:rsidRPr="007906C4">
        <w:rPr>
          <w:rStyle w:val="s1"/>
          <w:rFonts w:ascii="Arial" w:hAnsi="Arial" w:cs="Arial"/>
          <w:sz w:val="24"/>
          <w:szCs w:val="24"/>
        </w:rPr>
        <w:t xml:space="preserve"> said, "We mark our work in maths every week, but I don't remember doing it in English." This suggests that while some areas of learning and experience are easier to implement self-assessment consistently, other curriculum sections may not use the strategy consistently, limiting students' ability to acquire metacognitive skills throughout their study.</w:t>
      </w:r>
    </w:p>
    <w:p w14:paraId="57259C6F" w14:textId="68CE4DE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lastRenderedPageBreak/>
        <w:t>Staff responses revealed that they employ several strategies to support self-assessment in the classroom. The most often mentioned approaches were traffic light cups (31%), checklists (25%), and exit tickets (18%)</w:t>
      </w:r>
      <w:r w:rsidR="00ED6DC5">
        <w:rPr>
          <w:rStyle w:val="s1"/>
          <w:rFonts w:ascii="Arial" w:hAnsi="Arial" w:cs="Arial"/>
          <w:sz w:val="24"/>
          <w:szCs w:val="24"/>
        </w:rPr>
        <w:t xml:space="preserve"> (See appe</w:t>
      </w:r>
      <w:r w:rsidR="003829C8">
        <w:rPr>
          <w:rStyle w:val="s1"/>
          <w:rFonts w:ascii="Arial" w:hAnsi="Arial" w:cs="Arial"/>
          <w:sz w:val="24"/>
          <w:szCs w:val="24"/>
        </w:rPr>
        <w:t>ndix 5</w:t>
      </w:r>
      <w:r w:rsidR="00ED6DC5">
        <w:rPr>
          <w:rStyle w:val="s1"/>
          <w:rFonts w:ascii="Arial" w:hAnsi="Arial" w:cs="Arial"/>
          <w:sz w:val="24"/>
          <w:szCs w:val="24"/>
        </w:rPr>
        <w:t>)</w:t>
      </w:r>
      <w:r w:rsidRPr="007906C4">
        <w:rPr>
          <w:rStyle w:val="s1"/>
          <w:rFonts w:ascii="Arial" w:hAnsi="Arial" w:cs="Arial"/>
          <w:sz w:val="24"/>
          <w:szCs w:val="24"/>
        </w:rPr>
        <w:t>. These strategies are consistent with existing formative assessment approaches to encourage student-led learning and participation.</w:t>
      </w:r>
      <w:r w:rsidR="00792B5F">
        <w:rPr>
          <w:rFonts w:ascii="Arial" w:hAnsi="Arial" w:cs="Arial"/>
          <w:sz w:val="24"/>
          <w:szCs w:val="24"/>
        </w:rPr>
        <w:t xml:space="preserve"> </w:t>
      </w:r>
      <w:r w:rsidRPr="007906C4">
        <w:rPr>
          <w:rStyle w:val="s1"/>
          <w:rFonts w:ascii="Arial" w:hAnsi="Arial" w:cs="Arial"/>
          <w:sz w:val="24"/>
          <w:szCs w:val="24"/>
        </w:rPr>
        <w:t xml:space="preserve">However, pupil responses suggested a somewhat different viewpoint. While many students were aware of checklists and exit tickets, fewer pupils mentioned using traffic light systems. </w:t>
      </w:r>
      <w:r w:rsidR="000D066F">
        <w:rPr>
          <w:rStyle w:val="s1"/>
          <w:rFonts w:ascii="Arial" w:hAnsi="Arial" w:cs="Arial"/>
          <w:sz w:val="24"/>
          <w:szCs w:val="24"/>
        </w:rPr>
        <w:t xml:space="preserve">Pupil B </w:t>
      </w:r>
      <w:r w:rsidRPr="007906C4">
        <w:rPr>
          <w:rStyle w:val="s1"/>
          <w:rFonts w:ascii="Arial" w:hAnsi="Arial" w:cs="Arial"/>
          <w:sz w:val="24"/>
          <w:szCs w:val="24"/>
        </w:rPr>
        <w:t xml:space="preserve">stated, "We check our work with the checklist at the end of the lesson," while </w:t>
      </w:r>
      <w:r w:rsidR="00FA1BCC">
        <w:rPr>
          <w:rStyle w:val="s1"/>
          <w:rFonts w:ascii="Arial" w:hAnsi="Arial" w:cs="Arial"/>
          <w:sz w:val="24"/>
          <w:szCs w:val="24"/>
        </w:rPr>
        <w:t>pupil F</w:t>
      </w:r>
      <w:r w:rsidRPr="007906C4">
        <w:rPr>
          <w:rStyle w:val="s1"/>
          <w:rFonts w:ascii="Arial" w:hAnsi="Arial" w:cs="Arial"/>
          <w:sz w:val="24"/>
          <w:szCs w:val="24"/>
        </w:rPr>
        <w:t xml:space="preserve"> commented, "We do exit tickets in maths, where we write what we found easy or hard." Students' limited use of traffic light cups may indicate a disconnect between teacher preparation and student participation or knowledge of self-assessment strategies. This mismatch emphasises the necessity of introducing self-assessment tools and ensuring that students understand their purpose and actively participate in their use.</w:t>
      </w:r>
    </w:p>
    <w:p w14:paraId="6B65D399" w14:textId="23911FBE"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Regarding the effectiveness of self-assessment, 33% of teachers considered self-assessment "somewhat effective"</w:t>
      </w:r>
      <w:r w:rsidR="00A0781C">
        <w:rPr>
          <w:rStyle w:val="s1"/>
          <w:rFonts w:ascii="Arial" w:hAnsi="Arial" w:cs="Arial"/>
          <w:sz w:val="24"/>
          <w:szCs w:val="24"/>
        </w:rPr>
        <w:t xml:space="preserve"> (See appendix 6).</w:t>
      </w:r>
      <w:r w:rsidRPr="007906C4">
        <w:rPr>
          <w:rStyle w:val="s1"/>
          <w:rFonts w:ascii="Arial" w:hAnsi="Arial" w:cs="Arial"/>
          <w:sz w:val="24"/>
          <w:szCs w:val="24"/>
        </w:rPr>
        <w:t xml:space="preserve"> The qualitative feedback from the questionnaire revealed a repeating theme: although some students appeared to benefit from the process, others struggled with the accuracy of their assessments or had an explicit knowledge of how to reflect meaningfully on their work. This echoes potentially more significant issues in the research on the diversity of learners' metacognitive skills (Andrade &amp; </w:t>
      </w:r>
      <w:proofErr w:type="spellStart"/>
      <w:r w:rsidRPr="007906C4">
        <w:rPr>
          <w:rStyle w:val="s1"/>
          <w:rFonts w:ascii="Arial" w:hAnsi="Arial" w:cs="Arial"/>
          <w:sz w:val="24"/>
          <w:szCs w:val="24"/>
        </w:rPr>
        <w:t>Valtcheva</w:t>
      </w:r>
      <w:proofErr w:type="spellEnd"/>
      <w:r w:rsidRPr="007906C4">
        <w:rPr>
          <w:rStyle w:val="s1"/>
          <w:rFonts w:ascii="Arial" w:hAnsi="Arial" w:cs="Arial"/>
          <w:sz w:val="24"/>
          <w:szCs w:val="24"/>
        </w:rPr>
        <w:t>, 2009).</w:t>
      </w:r>
      <w:r w:rsidR="00792B5F">
        <w:rPr>
          <w:rFonts w:ascii="Arial" w:hAnsi="Arial" w:cs="Arial"/>
          <w:sz w:val="24"/>
          <w:szCs w:val="24"/>
        </w:rPr>
        <w:t xml:space="preserve"> </w:t>
      </w:r>
      <w:r w:rsidRPr="007906C4">
        <w:rPr>
          <w:rStyle w:val="s1"/>
          <w:rFonts w:ascii="Arial" w:hAnsi="Arial" w:cs="Arial"/>
          <w:sz w:val="24"/>
          <w:szCs w:val="24"/>
        </w:rPr>
        <w:t xml:space="preserve">Pupil viewpoints backed this mixed viewpoint, with several students stating that self-assessment helped them detect errors and improve their work. </w:t>
      </w:r>
      <w:r w:rsidR="00A834A1">
        <w:rPr>
          <w:rStyle w:val="s1"/>
          <w:rFonts w:ascii="Arial" w:hAnsi="Arial" w:cs="Arial"/>
          <w:sz w:val="24"/>
          <w:szCs w:val="24"/>
        </w:rPr>
        <w:t>Pupil F</w:t>
      </w:r>
      <w:r w:rsidRPr="007906C4">
        <w:rPr>
          <w:rStyle w:val="s1"/>
          <w:rFonts w:ascii="Arial" w:hAnsi="Arial" w:cs="Arial"/>
          <w:sz w:val="24"/>
          <w:szCs w:val="24"/>
        </w:rPr>
        <w:t xml:space="preserve"> said, "It shows me if I did something wrong and how to fix it," indicating they felt self-aware and in control over learning. However, some students preferred external input, with </w:t>
      </w:r>
      <w:r w:rsidR="002248F8">
        <w:rPr>
          <w:rStyle w:val="s1"/>
          <w:rFonts w:ascii="Arial" w:hAnsi="Arial" w:cs="Arial"/>
          <w:sz w:val="24"/>
          <w:szCs w:val="24"/>
        </w:rPr>
        <w:t>pupils D</w:t>
      </w:r>
      <w:r w:rsidRPr="007906C4">
        <w:rPr>
          <w:rStyle w:val="s1"/>
          <w:rFonts w:ascii="Arial" w:hAnsi="Arial" w:cs="Arial"/>
          <w:sz w:val="24"/>
          <w:szCs w:val="24"/>
        </w:rPr>
        <w:t xml:space="preserve"> saying, "I don’t really like it because I’d rather the teacher just tell me." These comments indicate that some students benefit from the autonomy self-assessment encourages, while others may lack the confidence or abilities required to self-evaluate effectively. This highlights the essential role of teacher guidance and explicit instruction in developing pupils' metacognitive skills and deepening their understanding of success criteria.</w:t>
      </w:r>
    </w:p>
    <w:p w14:paraId="77309A4D" w14:textId="24D59825"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Staff highlighted various challenges while using self-assessment techniques. They shared concerns about limited time in lessons, variations in students' grasp and ability to self-assess, and the continual need for teacher modelling and assistance. Concerns were also expressed concerning the validity of student judgements, especially if they were to lack explicit success criteria to guide their assessments</w:t>
      </w:r>
      <w:r w:rsidR="007A4EDF">
        <w:rPr>
          <w:rStyle w:val="s1"/>
          <w:rFonts w:ascii="Arial" w:hAnsi="Arial" w:cs="Arial"/>
          <w:sz w:val="24"/>
          <w:szCs w:val="24"/>
        </w:rPr>
        <w:t xml:space="preserve"> (See appendix 10)</w:t>
      </w:r>
      <w:r w:rsidRPr="007906C4">
        <w:rPr>
          <w:rStyle w:val="s1"/>
          <w:rFonts w:ascii="Arial" w:hAnsi="Arial" w:cs="Arial"/>
          <w:sz w:val="24"/>
          <w:szCs w:val="24"/>
        </w:rPr>
        <w:t>. These problems are consistent with results in the literature, which emphasise the need for scaffolding and teaching self-assessment methods to enable meaningful participation (Sadler, 1989).</w:t>
      </w:r>
      <w:r w:rsidR="00792B5F">
        <w:rPr>
          <w:rFonts w:ascii="Arial" w:hAnsi="Arial" w:cs="Arial"/>
          <w:sz w:val="24"/>
          <w:szCs w:val="24"/>
        </w:rPr>
        <w:t xml:space="preserve"> </w:t>
      </w:r>
      <w:r w:rsidRPr="007906C4">
        <w:rPr>
          <w:rStyle w:val="s1"/>
          <w:rFonts w:ascii="Arial" w:hAnsi="Arial" w:cs="Arial"/>
          <w:sz w:val="24"/>
          <w:szCs w:val="24"/>
        </w:rPr>
        <w:t xml:space="preserve">Data from pupil interviews backed these concerns. Many students expressed confusion about assessing their work appropriately; </w:t>
      </w:r>
      <w:r w:rsidR="00313833">
        <w:rPr>
          <w:rStyle w:val="s1"/>
          <w:rFonts w:ascii="Arial" w:hAnsi="Arial" w:cs="Arial"/>
          <w:sz w:val="24"/>
          <w:szCs w:val="24"/>
        </w:rPr>
        <w:t>Pupil J</w:t>
      </w:r>
      <w:r w:rsidRPr="007906C4">
        <w:rPr>
          <w:rStyle w:val="s1"/>
          <w:rFonts w:ascii="Arial" w:hAnsi="Arial" w:cs="Arial"/>
          <w:sz w:val="24"/>
          <w:szCs w:val="24"/>
        </w:rPr>
        <w:t xml:space="preserve"> noted, "Sometimes I don't know what the answer is meant to be, so I just guess if I got it right." At the same time, </w:t>
      </w:r>
      <w:r w:rsidR="00DE506E">
        <w:rPr>
          <w:rStyle w:val="s1"/>
          <w:rFonts w:ascii="Arial" w:hAnsi="Arial" w:cs="Arial"/>
          <w:sz w:val="24"/>
          <w:szCs w:val="24"/>
        </w:rPr>
        <w:t>pupil A added</w:t>
      </w:r>
      <w:r w:rsidRPr="007906C4">
        <w:rPr>
          <w:rStyle w:val="s1"/>
          <w:rFonts w:ascii="Arial" w:hAnsi="Arial" w:cs="Arial"/>
          <w:sz w:val="24"/>
          <w:szCs w:val="24"/>
        </w:rPr>
        <w:t>, "I don't always know if I'm doing it properly." These replies reveal a lack of clarity and confidence among certain students, indicating that self-assessment is most successful when combined with precise teaching, appropriate success criteria, and regular practice opportunities. Without these supports, self-assessment may become confusing and time-wasting for students.</w:t>
      </w:r>
    </w:p>
    <w:p w14:paraId="12CBA9CA" w14:textId="2C2691A7"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lastRenderedPageBreak/>
        <w:t xml:space="preserve">The findings are consistent with previous research on self-assessment in education. According to Black and </w:t>
      </w:r>
      <w:proofErr w:type="spellStart"/>
      <w:r w:rsidRPr="007906C4">
        <w:rPr>
          <w:rStyle w:val="s1"/>
          <w:rFonts w:ascii="Arial" w:hAnsi="Arial" w:cs="Arial"/>
          <w:sz w:val="24"/>
          <w:szCs w:val="24"/>
        </w:rPr>
        <w:t>Wiliam</w:t>
      </w:r>
      <w:proofErr w:type="spellEnd"/>
      <w:r w:rsidRPr="007906C4">
        <w:rPr>
          <w:rStyle w:val="s1"/>
          <w:rFonts w:ascii="Arial" w:hAnsi="Arial" w:cs="Arial"/>
          <w:sz w:val="24"/>
          <w:szCs w:val="24"/>
        </w:rPr>
        <w:t xml:space="preserve"> (1998), self-assessment increases learner autonomy and ownership of learning, as evidenced by students who consider it useful for recognising errors.</w:t>
      </w:r>
      <w:r w:rsidR="00792B5F">
        <w:rPr>
          <w:rFonts w:ascii="Arial" w:hAnsi="Arial" w:cs="Arial"/>
          <w:sz w:val="24"/>
          <w:szCs w:val="24"/>
        </w:rPr>
        <w:t xml:space="preserve"> </w:t>
      </w:r>
      <w:r w:rsidRPr="007906C4">
        <w:rPr>
          <w:rStyle w:val="s1"/>
          <w:rFonts w:ascii="Arial" w:hAnsi="Arial" w:cs="Arial"/>
          <w:sz w:val="24"/>
          <w:szCs w:val="24"/>
        </w:rPr>
        <w:t xml:space="preserve">Gadsby and </w:t>
      </w:r>
      <w:proofErr w:type="spellStart"/>
      <w:r w:rsidRPr="007906C4">
        <w:rPr>
          <w:rStyle w:val="s1"/>
          <w:rFonts w:ascii="Arial" w:hAnsi="Arial" w:cs="Arial"/>
          <w:sz w:val="24"/>
          <w:szCs w:val="24"/>
        </w:rPr>
        <w:t>Beere</w:t>
      </w:r>
      <w:proofErr w:type="spellEnd"/>
      <w:r w:rsidRPr="007906C4">
        <w:rPr>
          <w:rStyle w:val="s1"/>
          <w:rFonts w:ascii="Arial" w:hAnsi="Arial" w:cs="Arial"/>
          <w:sz w:val="24"/>
          <w:szCs w:val="24"/>
        </w:rPr>
        <w:t xml:space="preserve"> (2012) emphasise that effective self-assessment depends on learners comprehending the success criteria, a significant problem in the current study. Many students were unaware of what they were assessing or how to mark their work appropriately, indicating that additional practice is required to develop these abilities.</w:t>
      </w:r>
      <w:r w:rsidR="00792B5F">
        <w:rPr>
          <w:rFonts w:ascii="Arial" w:hAnsi="Arial" w:cs="Arial"/>
          <w:sz w:val="24"/>
          <w:szCs w:val="24"/>
        </w:rPr>
        <w:t xml:space="preserve"> </w:t>
      </w:r>
      <w:r w:rsidRPr="007906C4">
        <w:rPr>
          <w:rStyle w:val="s1"/>
          <w:rFonts w:ascii="Arial" w:hAnsi="Arial" w:cs="Arial"/>
          <w:sz w:val="24"/>
          <w:szCs w:val="24"/>
        </w:rPr>
        <w:t>Rowland (2024) also contends that self-assessment must be expressly taught to be effective. This view is supported by teacher and student responses in this study, which show that consistent knowledge and successful implementation have yet to be ingrained while methods may be in place.</w:t>
      </w:r>
    </w:p>
    <w:p w14:paraId="4D7558A4" w14:textId="35344D03" w:rsidR="00A13811" w:rsidRPr="007906C4" w:rsidRDefault="00A13811">
      <w:pPr>
        <w:pStyle w:val="p1"/>
        <w:divId w:val="1384987848"/>
        <w:rPr>
          <w:rFonts w:ascii="Arial" w:hAnsi="Arial" w:cs="Arial"/>
          <w:sz w:val="24"/>
          <w:szCs w:val="24"/>
        </w:rPr>
      </w:pPr>
      <w:r w:rsidRPr="007906C4">
        <w:rPr>
          <w:rStyle w:val="s1"/>
          <w:rFonts w:ascii="Arial" w:hAnsi="Arial" w:cs="Arial"/>
          <w:sz w:val="24"/>
          <w:szCs w:val="24"/>
        </w:rPr>
        <w:t>To conclude, the research examined how Year 6 students and teachers viewed self-assessment, which showed that effective implementation of self-assessment promotes learning through student independence and metacognitive development. Both teachers and pupils identified challenges in the process. According to their responses, teachers needed additional training and resources to perform self-assessment effectively and consistently, while pupils preferred a combination of teacher and self-assessment. The main obstacles that emerged involved students who lacked confidence in their abilities and struggled to assess their work quality properly.</w:t>
      </w:r>
      <w:r w:rsidR="00ED14C7">
        <w:rPr>
          <w:rFonts w:ascii="Arial" w:hAnsi="Arial" w:cs="Arial"/>
          <w:sz w:val="24"/>
          <w:szCs w:val="24"/>
        </w:rPr>
        <w:t xml:space="preserve"> </w:t>
      </w:r>
      <w:r w:rsidRPr="007906C4">
        <w:rPr>
          <w:rStyle w:val="s1"/>
          <w:rFonts w:ascii="Arial" w:hAnsi="Arial" w:cs="Arial"/>
          <w:sz w:val="24"/>
          <w:szCs w:val="24"/>
        </w:rPr>
        <w:t>Conducting this research had a substantial impact on my professional growth. I've developed a better understanding of the necessity of self-assessment in encouraging reflexive learners and the role of teacher support in making the process relevant. I intend to incorporate systematic self-assessment opportunities into my teaching, utilising defined success criteria, reflective sentence openers, and consistent tools like traffic light systems. I also plan to openly demonstrate how to self-assess and give regular opportunities for guided reflection.</w:t>
      </w:r>
    </w:p>
    <w:p w14:paraId="1EECA357" w14:textId="6D2AA06E" w:rsidR="00A13811" w:rsidRDefault="00A13811">
      <w:pPr>
        <w:pStyle w:val="p1"/>
        <w:divId w:val="1384987848"/>
        <w:rPr>
          <w:rStyle w:val="s1"/>
          <w:rFonts w:ascii="Arial" w:hAnsi="Arial" w:cs="Arial"/>
          <w:sz w:val="24"/>
          <w:szCs w:val="24"/>
        </w:rPr>
      </w:pPr>
      <w:r w:rsidRPr="007906C4">
        <w:rPr>
          <w:rStyle w:val="s1"/>
          <w:rFonts w:ascii="Arial" w:hAnsi="Arial" w:cs="Arial"/>
          <w:sz w:val="24"/>
          <w:szCs w:val="24"/>
        </w:rPr>
        <w:t>While the mixed-methods approach provided a thorough grasp of participants' opinions, the limited sample size restricts the generalisability of the findings. Further study might examine the long-term effects of organised self-assessment training on student independence and performance, particularly across year groups and areas of learning and experience.</w:t>
      </w:r>
      <w:r w:rsidR="00ED14C7">
        <w:rPr>
          <w:rFonts w:ascii="Arial" w:hAnsi="Arial" w:cs="Arial"/>
          <w:sz w:val="24"/>
          <w:szCs w:val="24"/>
        </w:rPr>
        <w:t xml:space="preserve"> </w:t>
      </w:r>
      <w:r w:rsidRPr="007906C4">
        <w:rPr>
          <w:rStyle w:val="s1"/>
          <w:rFonts w:ascii="Arial" w:hAnsi="Arial" w:cs="Arial"/>
          <w:sz w:val="24"/>
          <w:szCs w:val="24"/>
        </w:rPr>
        <w:t>Finally, for self-assessment to be effective, it must be properly structured and practised regularly. Teacher modelling, regular use of tools, and clear success criteria are critical for ensuring that students gain the confidence and precision required to take responsibility for their learning.</w:t>
      </w:r>
    </w:p>
    <w:p w14:paraId="5CBC7E89" w14:textId="6C3D15AC" w:rsidR="00D21603" w:rsidRPr="007906C4" w:rsidRDefault="00A851AD">
      <w:pPr>
        <w:pStyle w:val="p1"/>
        <w:divId w:val="1384987848"/>
        <w:rPr>
          <w:rFonts w:ascii="Arial" w:hAnsi="Arial" w:cs="Arial"/>
          <w:sz w:val="24"/>
          <w:szCs w:val="24"/>
        </w:rPr>
      </w:pPr>
      <w:r>
        <w:rPr>
          <w:rStyle w:val="s1"/>
          <w:rFonts w:ascii="Arial" w:hAnsi="Arial" w:cs="Arial"/>
          <w:sz w:val="24"/>
          <w:szCs w:val="24"/>
        </w:rPr>
        <w:t xml:space="preserve">Word count - </w:t>
      </w:r>
      <w:r w:rsidR="00EF27AB">
        <w:rPr>
          <w:rStyle w:val="s1"/>
          <w:rFonts w:ascii="Arial" w:hAnsi="Arial" w:cs="Arial"/>
          <w:sz w:val="24"/>
          <w:szCs w:val="24"/>
        </w:rPr>
        <w:t>2747</w:t>
      </w:r>
    </w:p>
    <w:p w14:paraId="77431100" w14:textId="77777777" w:rsidR="00A13811" w:rsidRPr="007906C4" w:rsidRDefault="00A13811">
      <w:pPr>
        <w:pStyle w:val="p2"/>
        <w:divId w:val="1384987848"/>
        <w:rPr>
          <w:rFonts w:ascii="Arial" w:hAnsi="Arial" w:cs="Arial"/>
          <w:sz w:val="24"/>
          <w:szCs w:val="24"/>
        </w:rPr>
      </w:pPr>
    </w:p>
    <w:p w14:paraId="62F02961" w14:textId="77777777" w:rsidR="00A13811" w:rsidRPr="007906C4" w:rsidRDefault="00A13811">
      <w:pPr>
        <w:pStyle w:val="p2"/>
        <w:divId w:val="1384987848"/>
        <w:rPr>
          <w:rFonts w:ascii="Arial" w:hAnsi="Arial" w:cs="Arial"/>
          <w:sz w:val="24"/>
          <w:szCs w:val="24"/>
        </w:rPr>
      </w:pPr>
    </w:p>
    <w:p w14:paraId="32705C29" w14:textId="77777777" w:rsidR="00A13811" w:rsidRPr="007906C4" w:rsidRDefault="00A13811">
      <w:pPr>
        <w:pStyle w:val="p2"/>
        <w:divId w:val="1384987848"/>
        <w:rPr>
          <w:rFonts w:ascii="Arial" w:hAnsi="Arial" w:cs="Arial"/>
          <w:sz w:val="24"/>
          <w:szCs w:val="24"/>
        </w:rPr>
      </w:pPr>
    </w:p>
    <w:p w14:paraId="1B8C5648" w14:textId="77777777" w:rsidR="00A13811" w:rsidRPr="007906C4" w:rsidRDefault="00A13811">
      <w:pPr>
        <w:pStyle w:val="p2"/>
        <w:divId w:val="1384987848"/>
        <w:rPr>
          <w:rFonts w:ascii="Arial" w:hAnsi="Arial" w:cs="Arial"/>
          <w:sz w:val="24"/>
          <w:szCs w:val="24"/>
        </w:rPr>
      </w:pPr>
    </w:p>
    <w:p w14:paraId="690DEA15" w14:textId="77777777" w:rsidR="00A13811" w:rsidRDefault="00A13811">
      <w:pPr>
        <w:pStyle w:val="p2"/>
        <w:divId w:val="1384987848"/>
        <w:rPr>
          <w:rFonts w:hint="eastAsia"/>
        </w:rPr>
      </w:pPr>
    </w:p>
    <w:p w14:paraId="75AED320" w14:textId="77777777" w:rsidR="000E2E7E" w:rsidRDefault="000E2E7E" w:rsidP="000E2E7E">
      <w:pPr>
        <w:rPr>
          <w:sz w:val="28"/>
          <w:szCs w:val="28"/>
        </w:rPr>
      </w:pPr>
    </w:p>
    <w:p w14:paraId="2D2A7E36" w14:textId="77777777" w:rsidR="000E2E7E" w:rsidRDefault="000E2E7E" w:rsidP="000E2E7E">
      <w:pPr>
        <w:rPr>
          <w:sz w:val="28"/>
          <w:szCs w:val="28"/>
        </w:rPr>
      </w:pPr>
    </w:p>
    <w:p w14:paraId="720D040A" w14:textId="77777777" w:rsidR="00F77E45" w:rsidRPr="00F77E45" w:rsidRDefault="00F77E45" w:rsidP="00F77E45">
      <w:pPr>
        <w:spacing w:after="240" w:line="540" w:lineRule="atLeast"/>
        <w:outlineLvl w:val="0"/>
        <w:divId w:val="750007922"/>
        <w:rPr>
          <w:rFonts w:ascii="Arial" w:eastAsia="Times New Roman" w:hAnsi="Arial" w:cs="Arial"/>
          <w:b/>
          <w:bCs/>
          <w:color w:val="000000"/>
          <w:kern w:val="36"/>
          <w:u w:val="single"/>
          <w:lang w:eastAsia="en-GB"/>
          <w14:ligatures w14:val="none"/>
        </w:rPr>
      </w:pPr>
      <w:r w:rsidRPr="00F77E45">
        <w:rPr>
          <w:rFonts w:ascii="Arial" w:eastAsia="Times New Roman" w:hAnsi="Arial" w:cs="Arial"/>
          <w:b/>
          <w:bCs/>
          <w:color w:val="000000"/>
          <w:kern w:val="36"/>
          <w:u w:val="single"/>
          <w:lang w:eastAsia="en-GB"/>
          <w14:ligatures w14:val="none"/>
        </w:rPr>
        <w:t>Reference list</w:t>
      </w:r>
    </w:p>
    <w:p w14:paraId="7860F960"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 xml:space="preserve">Andrade, H. and </w:t>
      </w:r>
      <w:proofErr w:type="spellStart"/>
      <w:r w:rsidRPr="00F77E45">
        <w:rPr>
          <w:rFonts w:ascii="Arial" w:hAnsi="Arial" w:cs="Arial"/>
          <w:color w:val="000000"/>
          <w:kern w:val="0"/>
          <w:lang w:eastAsia="en-GB"/>
          <w14:ligatures w14:val="none"/>
        </w:rPr>
        <w:t>Valtcheva</w:t>
      </w:r>
      <w:proofErr w:type="spellEnd"/>
      <w:r w:rsidRPr="00F77E45">
        <w:rPr>
          <w:rFonts w:ascii="Arial" w:hAnsi="Arial" w:cs="Arial"/>
          <w:color w:val="000000"/>
          <w:kern w:val="0"/>
          <w:lang w:eastAsia="en-GB"/>
          <w14:ligatures w14:val="none"/>
        </w:rPr>
        <w:t>, A. (2009). </w:t>
      </w:r>
      <w:r w:rsidRPr="00F77E45">
        <w:rPr>
          <w:rFonts w:ascii="Arial" w:hAnsi="Arial" w:cs="Arial"/>
          <w:i/>
          <w:iCs/>
          <w:color w:val="000000"/>
          <w:kern w:val="0"/>
          <w:lang w:eastAsia="en-GB"/>
          <w14:ligatures w14:val="none"/>
        </w:rPr>
        <w:t>Promoting Learning and Achievement Through Self-Assessment</w:t>
      </w:r>
      <w:r w:rsidRPr="00F77E45">
        <w:rPr>
          <w:rFonts w:ascii="Arial" w:hAnsi="Arial" w:cs="Arial"/>
          <w:color w:val="000000"/>
          <w:kern w:val="0"/>
          <w:lang w:eastAsia="en-GB"/>
          <w14:ligatures w14:val="none"/>
        </w:rPr>
        <w:t>. [online] ResearchGate. Available at: https://www.researchgate.net/publication/233360983_Promoting_Learning_and_Achievement_Through_Self-Assessment.</w:t>
      </w:r>
    </w:p>
    <w:p w14:paraId="3B4BE0EB"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Andrade, H.L. (2019). A critical review of research on student self-assessment. </w:t>
      </w:r>
      <w:r w:rsidRPr="00F77E45">
        <w:rPr>
          <w:rFonts w:ascii="Arial" w:hAnsi="Arial" w:cs="Arial"/>
          <w:i/>
          <w:iCs/>
          <w:color w:val="000000"/>
          <w:kern w:val="0"/>
          <w:lang w:eastAsia="en-GB"/>
          <w14:ligatures w14:val="none"/>
        </w:rPr>
        <w:t>Frontiers in Education</w:t>
      </w:r>
      <w:r w:rsidRPr="00F77E45">
        <w:rPr>
          <w:rFonts w:ascii="Arial" w:hAnsi="Arial" w:cs="Arial"/>
          <w:color w:val="000000"/>
          <w:kern w:val="0"/>
          <w:lang w:eastAsia="en-GB"/>
          <w14:ligatures w14:val="none"/>
        </w:rPr>
        <w:t xml:space="preserve">, [online] 4(87), pp.1–13. </w:t>
      </w:r>
      <w:proofErr w:type="spellStart"/>
      <w:r w:rsidRPr="00F77E45">
        <w:rPr>
          <w:rFonts w:ascii="Arial" w:hAnsi="Arial" w:cs="Arial"/>
          <w:color w:val="000000"/>
          <w:kern w:val="0"/>
          <w:lang w:eastAsia="en-GB"/>
          <w14:ligatures w14:val="none"/>
        </w:rPr>
        <w:t>doi:https</w:t>
      </w:r>
      <w:proofErr w:type="spellEnd"/>
      <w:r w:rsidRPr="00F77E45">
        <w:rPr>
          <w:rFonts w:ascii="Arial" w:hAnsi="Arial" w:cs="Arial"/>
          <w:color w:val="000000"/>
          <w:kern w:val="0"/>
          <w:lang w:eastAsia="en-GB"/>
          <w14:ligatures w14:val="none"/>
        </w:rPr>
        <w:t>://doi.org/10.3389/feduc.2019.00087.</w:t>
      </w:r>
    </w:p>
    <w:p w14:paraId="690079C0"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Beauchamp, G. and Murray, J. (2013). </w:t>
      </w:r>
      <w:r w:rsidRPr="00F77E45">
        <w:rPr>
          <w:rFonts w:ascii="Arial" w:hAnsi="Arial" w:cs="Arial"/>
          <w:i/>
          <w:iCs/>
          <w:color w:val="000000"/>
          <w:kern w:val="0"/>
          <w:lang w:eastAsia="en-GB"/>
          <w14:ligatures w14:val="none"/>
        </w:rPr>
        <w:t>Research and Teacher Education: The BERA-RSA inquiry. Policy and Practice within the United Kingdom.</w:t>
      </w:r>
      <w:r w:rsidRPr="00F77E45">
        <w:rPr>
          <w:rFonts w:ascii="Arial" w:hAnsi="Arial" w:cs="Arial"/>
          <w:color w:val="000000"/>
          <w:kern w:val="0"/>
          <w:lang w:eastAsia="en-GB"/>
          <w14:ligatures w14:val="none"/>
        </w:rPr>
        <w:t> [online] The BERA-RSA Inquiry. Available at: https://eprints.gla.ac.uk/88637/.</w:t>
      </w:r>
    </w:p>
    <w:p w14:paraId="524BA78C"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BERA (2024). </w:t>
      </w:r>
      <w:r w:rsidRPr="00F77E45">
        <w:rPr>
          <w:rFonts w:ascii="Arial" w:hAnsi="Arial" w:cs="Arial"/>
          <w:i/>
          <w:iCs/>
          <w:color w:val="000000"/>
          <w:kern w:val="0"/>
          <w:lang w:eastAsia="en-GB"/>
          <w14:ligatures w14:val="none"/>
        </w:rPr>
        <w:t>Ethical Guidelines for Educational Research, Fifth Edition (2024)</w:t>
      </w:r>
      <w:r w:rsidRPr="00F77E45">
        <w:rPr>
          <w:rFonts w:ascii="Arial" w:hAnsi="Arial" w:cs="Arial"/>
          <w:color w:val="000000"/>
          <w:kern w:val="0"/>
          <w:lang w:eastAsia="en-GB"/>
          <w14:ligatures w14:val="none"/>
        </w:rPr>
        <w:t>. [online] www.bera.ac.uk. Available at: https://www.bera.ac.uk/publication/ethical-guidelines-for-educational-research-fifth-edition-2024.</w:t>
      </w:r>
    </w:p>
    <w:p w14:paraId="3B6775CF"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proofErr w:type="spellStart"/>
      <w:r w:rsidRPr="00F77E45">
        <w:rPr>
          <w:rFonts w:ascii="Arial" w:hAnsi="Arial" w:cs="Arial"/>
          <w:color w:val="000000"/>
          <w:kern w:val="0"/>
          <w:lang w:eastAsia="en-GB"/>
          <w14:ligatures w14:val="none"/>
        </w:rPr>
        <w:t>Bhat</w:t>
      </w:r>
      <w:proofErr w:type="spellEnd"/>
      <w:r w:rsidRPr="00F77E45">
        <w:rPr>
          <w:rFonts w:ascii="Arial" w:hAnsi="Arial" w:cs="Arial"/>
          <w:color w:val="000000"/>
          <w:kern w:val="0"/>
          <w:lang w:eastAsia="en-GB"/>
          <w14:ligatures w14:val="none"/>
        </w:rPr>
        <w:t>, A. (2018). </w:t>
      </w:r>
      <w:r w:rsidRPr="00F77E45">
        <w:rPr>
          <w:rFonts w:ascii="Arial" w:hAnsi="Arial" w:cs="Arial"/>
          <w:i/>
          <w:iCs/>
          <w:color w:val="000000"/>
          <w:kern w:val="0"/>
          <w:lang w:eastAsia="en-GB"/>
          <w14:ligatures w14:val="none"/>
        </w:rPr>
        <w:t>Types and Methods of Interviews in Research | QuestionPro</w:t>
      </w:r>
      <w:r w:rsidRPr="00F77E45">
        <w:rPr>
          <w:rFonts w:ascii="Arial" w:hAnsi="Arial" w:cs="Arial"/>
          <w:color w:val="000000"/>
          <w:kern w:val="0"/>
          <w:lang w:eastAsia="en-GB"/>
          <w14:ligatures w14:val="none"/>
        </w:rPr>
        <w:t>. [online] QuestionPro. Available at: https://www.questionpro.com/blog/types-of-interviews/.</w:t>
      </w:r>
    </w:p>
    <w:p w14:paraId="0B1F58C6"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Black, P. and William, D. (1998). </w:t>
      </w:r>
      <w:r w:rsidRPr="00F77E45">
        <w:rPr>
          <w:rFonts w:ascii="Arial" w:hAnsi="Arial" w:cs="Arial"/>
          <w:i/>
          <w:iCs/>
          <w:color w:val="000000"/>
          <w:kern w:val="0"/>
          <w:lang w:eastAsia="en-GB"/>
          <w14:ligatures w14:val="none"/>
        </w:rPr>
        <w:t>Inside the black box : raising standards through classroom assessment</w:t>
      </w:r>
      <w:r w:rsidRPr="00F77E45">
        <w:rPr>
          <w:rFonts w:ascii="Arial" w:hAnsi="Arial" w:cs="Arial"/>
          <w:color w:val="000000"/>
          <w:kern w:val="0"/>
          <w:lang w:eastAsia="en-GB"/>
          <w14:ligatures w14:val="none"/>
        </w:rPr>
        <w:t>. Florida, U.S.A.: Gl Assessment.</w:t>
      </w:r>
    </w:p>
    <w:p w14:paraId="4C9D5DD9"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proofErr w:type="spellStart"/>
      <w:r w:rsidRPr="00F77E45">
        <w:rPr>
          <w:rFonts w:ascii="Arial" w:hAnsi="Arial" w:cs="Arial"/>
          <w:color w:val="000000"/>
          <w:kern w:val="0"/>
          <w:lang w:eastAsia="en-GB"/>
          <w14:ligatures w14:val="none"/>
        </w:rPr>
        <w:t>Boud</w:t>
      </w:r>
      <w:proofErr w:type="spellEnd"/>
      <w:r w:rsidRPr="00F77E45">
        <w:rPr>
          <w:rFonts w:ascii="Arial" w:hAnsi="Arial" w:cs="Arial"/>
          <w:color w:val="000000"/>
          <w:kern w:val="0"/>
          <w:lang w:eastAsia="en-GB"/>
          <w14:ligatures w14:val="none"/>
        </w:rPr>
        <w:t xml:space="preserve">, D. and </w:t>
      </w:r>
      <w:proofErr w:type="spellStart"/>
      <w:r w:rsidRPr="00F77E45">
        <w:rPr>
          <w:rFonts w:ascii="Arial" w:hAnsi="Arial" w:cs="Arial"/>
          <w:color w:val="000000"/>
          <w:kern w:val="0"/>
          <w:lang w:eastAsia="en-GB"/>
          <w14:ligatures w14:val="none"/>
        </w:rPr>
        <w:t>Falchikov</w:t>
      </w:r>
      <w:proofErr w:type="spellEnd"/>
      <w:r w:rsidRPr="00F77E45">
        <w:rPr>
          <w:rFonts w:ascii="Arial" w:hAnsi="Arial" w:cs="Arial"/>
          <w:color w:val="000000"/>
          <w:kern w:val="0"/>
          <w:lang w:eastAsia="en-GB"/>
          <w14:ligatures w14:val="none"/>
        </w:rPr>
        <w:t>, N. (2007). </w:t>
      </w:r>
      <w:r w:rsidRPr="00F77E45">
        <w:rPr>
          <w:rFonts w:ascii="Arial" w:hAnsi="Arial" w:cs="Arial"/>
          <w:i/>
          <w:iCs/>
          <w:color w:val="000000"/>
          <w:kern w:val="0"/>
          <w:lang w:eastAsia="en-GB"/>
          <w14:ligatures w14:val="none"/>
        </w:rPr>
        <w:t>Rethinking Assessment in Higher Education</w:t>
      </w:r>
      <w:r w:rsidRPr="00F77E45">
        <w:rPr>
          <w:rFonts w:ascii="Arial" w:hAnsi="Arial" w:cs="Arial"/>
          <w:color w:val="000000"/>
          <w:kern w:val="0"/>
          <w:lang w:eastAsia="en-GB"/>
          <w14:ligatures w14:val="none"/>
        </w:rPr>
        <w:t xml:space="preserve">. </w:t>
      </w:r>
      <w:proofErr w:type="spellStart"/>
      <w:r w:rsidRPr="00F77E45">
        <w:rPr>
          <w:rFonts w:ascii="Arial" w:hAnsi="Arial" w:cs="Arial"/>
          <w:color w:val="000000"/>
          <w:kern w:val="0"/>
          <w:lang w:eastAsia="en-GB"/>
          <w14:ligatures w14:val="none"/>
        </w:rPr>
        <w:t>Routledge</w:t>
      </w:r>
      <w:proofErr w:type="spellEnd"/>
      <w:r w:rsidRPr="00F77E45">
        <w:rPr>
          <w:rFonts w:ascii="Arial" w:hAnsi="Arial" w:cs="Arial"/>
          <w:color w:val="000000"/>
          <w:kern w:val="0"/>
          <w:lang w:eastAsia="en-GB"/>
          <w14:ligatures w14:val="none"/>
        </w:rPr>
        <w:t>.</w:t>
      </w:r>
    </w:p>
    <w:p w14:paraId="4C263755"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Brown, G.T.L., Andrade, H.L. and Chen, F. (2015). Accuracy in student self-assessment: directions and cautions for research. </w:t>
      </w:r>
      <w:r w:rsidRPr="00F77E45">
        <w:rPr>
          <w:rFonts w:ascii="Arial" w:hAnsi="Arial" w:cs="Arial"/>
          <w:i/>
          <w:iCs/>
          <w:color w:val="000000"/>
          <w:kern w:val="0"/>
          <w:lang w:eastAsia="en-GB"/>
          <w14:ligatures w14:val="none"/>
        </w:rPr>
        <w:t>Assessment in Education: Principles, Policy &amp; Practice</w:t>
      </w:r>
      <w:r w:rsidRPr="00F77E45">
        <w:rPr>
          <w:rFonts w:ascii="Arial" w:hAnsi="Arial" w:cs="Arial"/>
          <w:color w:val="000000"/>
          <w:kern w:val="0"/>
          <w:lang w:eastAsia="en-GB"/>
          <w14:ligatures w14:val="none"/>
        </w:rPr>
        <w:t xml:space="preserve">, 22(4), pp.444–457. </w:t>
      </w:r>
      <w:proofErr w:type="spellStart"/>
      <w:r w:rsidRPr="00F77E45">
        <w:rPr>
          <w:rFonts w:ascii="Arial" w:hAnsi="Arial" w:cs="Arial"/>
          <w:color w:val="000000"/>
          <w:kern w:val="0"/>
          <w:lang w:eastAsia="en-GB"/>
          <w14:ligatures w14:val="none"/>
        </w:rPr>
        <w:t>doi:https</w:t>
      </w:r>
      <w:proofErr w:type="spellEnd"/>
      <w:r w:rsidRPr="00F77E45">
        <w:rPr>
          <w:rFonts w:ascii="Arial" w:hAnsi="Arial" w:cs="Arial"/>
          <w:color w:val="000000"/>
          <w:kern w:val="0"/>
          <w:lang w:eastAsia="en-GB"/>
          <w14:ligatures w14:val="none"/>
        </w:rPr>
        <w:t>://doi.org/10.1080/0969594x.2014.996523.</w:t>
      </w:r>
    </w:p>
    <w:p w14:paraId="71258820"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Cambridge Assessment International Education (2011). </w:t>
      </w:r>
      <w:r w:rsidRPr="00F77E45">
        <w:rPr>
          <w:rFonts w:ascii="Arial" w:hAnsi="Arial" w:cs="Arial"/>
          <w:i/>
          <w:iCs/>
          <w:color w:val="000000"/>
          <w:kern w:val="0"/>
          <w:lang w:eastAsia="en-GB"/>
          <w14:ligatures w14:val="none"/>
        </w:rPr>
        <w:t>Getting Started with Assessment for Learning</w:t>
      </w:r>
      <w:r w:rsidRPr="00F77E45">
        <w:rPr>
          <w:rFonts w:ascii="Arial" w:hAnsi="Arial" w:cs="Arial"/>
          <w:color w:val="000000"/>
          <w:kern w:val="0"/>
          <w:lang w:eastAsia="en-GB"/>
          <w14:ligatures w14:val="none"/>
        </w:rPr>
        <w:t>. [online] Cambridge-community.org.uk. Available at: https://cambridge-community.org.uk/professional-development/gswafl/index.html.</w:t>
      </w:r>
    </w:p>
    <w:p w14:paraId="47E42212"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lastRenderedPageBreak/>
        <w:t>Chapman, C. (2019). </w:t>
      </w:r>
      <w:r w:rsidRPr="00F77E45">
        <w:rPr>
          <w:rFonts w:ascii="Arial" w:hAnsi="Arial" w:cs="Arial"/>
          <w:i/>
          <w:iCs/>
          <w:color w:val="000000"/>
          <w:kern w:val="0"/>
          <w:lang w:eastAsia="en-GB"/>
          <w14:ligatures w14:val="none"/>
        </w:rPr>
        <w:t>School self-evaluation for school improvement</w:t>
      </w:r>
      <w:r w:rsidRPr="00F77E45">
        <w:rPr>
          <w:rFonts w:ascii="Arial" w:hAnsi="Arial" w:cs="Arial"/>
          <w:color w:val="000000"/>
          <w:kern w:val="0"/>
          <w:lang w:eastAsia="en-GB"/>
          <w14:ligatures w14:val="none"/>
        </w:rPr>
        <w:t>. [online] www.edt.org. Available at: https://www.edt.org/research-and-insights/school-self-evaluation-for-school-improvement/.</w:t>
      </w:r>
    </w:p>
    <w:p w14:paraId="15FBDC57"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proofErr w:type="spellStart"/>
      <w:r w:rsidRPr="00F77E45">
        <w:rPr>
          <w:rFonts w:ascii="Arial" w:hAnsi="Arial" w:cs="Arial"/>
          <w:color w:val="000000"/>
          <w:kern w:val="0"/>
          <w:lang w:eastAsia="en-GB"/>
          <w14:ligatures w14:val="none"/>
        </w:rPr>
        <w:t>Christodoulou</w:t>
      </w:r>
      <w:proofErr w:type="spellEnd"/>
      <w:r w:rsidRPr="00F77E45">
        <w:rPr>
          <w:rFonts w:ascii="Arial" w:hAnsi="Arial" w:cs="Arial"/>
          <w:color w:val="000000"/>
          <w:kern w:val="0"/>
          <w:lang w:eastAsia="en-GB"/>
          <w14:ligatures w14:val="none"/>
        </w:rPr>
        <w:t>, D. (2017). </w:t>
      </w:r>
      <w:r w:rsidRPr="00F77E45">
        <w:rPr>
          <w:rFonts w:ascii="Arial" w:hAnsi="Arial" w:cs="Arial"/>
          <w:i/>
          <w:iCs/>
          <w:color w:val="000000"/>
          <w:kern w:val="0"/>
          <w:lang w:eastAsia="en-GB"/>
          <w14:ligatures w14:val="none"/>
        </w:rPr>
        <w:t>Making Good Progress?: The Future of Assessment for Learning</w:t>
      </w:r>
      <w:r w:rsidRPr="00F77E45">
        <w:rPr>
          <w:rFonts w:ascii="Arial" w:hAnsi="Arial" w:cs="Arial"/>
          <w:color w:val="000000"/>
          <w:kern w:val="0"/>
          <w:lang w:eastAsia="en-GB"/>
          <w14:ligatures w14:val="none"/>
        </w:rPr>
        <w:t>. Oxford: Oxford University Press.</w:t>
      </w:r>
    </w:p>
    <w:p w14:paraId="7A40BA3D" w14:textId="11033470"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Clarke, S. (2023). </w:t>
      </w:r>
      <w:r w:rsidRPr="00F77E45">
        <w:rPr>
          <w:rFonts w:ascii="Arial" w:hAnsi="Arial" w:cs="Arial"/>
          <w:i/>
          <w:iCs/>
          <w:color w:val="000000"/>
          <w:kern w:val="0"/>
          <w:lang w:eastAsia="en-GB"/>
          <w14:ligatures w14:val="none"/>
        </w:rPr>
        <w:t>Learning intentions and success criteria - Shirley Clarke Education</w:t>
      </w:r>
      <w:r w:rsidRPr="00F77E45">
        <w:rPr>
          <w:rFonts w:ascii="Arial" w:hAnsi="Arial" w:cs="Arial"/>
          <w:color w:val="000000"/>
          <w:kern w:val="0"/>
          <w:lang w:eastAsia="en-GB"/>
          <w14:ligatures w14:val="none"/>
        </w:rPr>
        <w:t>. [online] Shirley Clarke Education. Available at: https://www.shirleyclarke-education.org/research/learning-intentions-and-success-criteria-secondary-feedback-from-day-2-2018/</w:t>
      </w:r>
    </w:p>
    <w:p w14:paraId="20359EB0"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 xml:space="preserve">Cohen, L., </w:t>
      </w:r>
      <w:proofErr w:type="spellStart"/>
      <w:r w:rsidRPr="00F77E45">
        <w:rPr>
          <w:rFonts w:ascii="Arial" w:hAnsi="Arial" w:cs="Arial"/>
          <w:color w:val="000000"/>
          <w:kern w:val="0"/>
          <w:lang w:eastAsia="en-GB"/>
          <w14:ligatures w14:val="none"/>
        </w:rPr>
        <w:t>Manion</w:t>
      </w:r>
      <w:proofErr w:type="spellEnd"/>
      <w:r w:rsidRPr="00F77E45">
        <w:rPr>
          <w:rFonts w:ascii="Arial" w:hAnsi="Arial" w:cs="Arial"/>
          <w:color w:val="000000"/>
          <w:kern w:val="0"/>
          <w:lang w:eastAsia="en-GB"/>
          <w14:ligatures w14:val="none"/>
        </w:rPr>
        <w:t>, L. and Morrison, K. (2018). </w:t>
      </w:r>
      <w:r w:rsidRPr="00F77E45">
        <w:rPr>
          <w:rFonts w:ascii="Arial" w:hAnsi="Arial" w:cs="Arial"/>
          <w:i/>
          <w:iCs/>
          <w:color w:val="000000"/>
          <w:kern w:val="0"/>
          <w:lang w:eastAsia="en-GB"/>
          <w14:ligatures w14:val="none"/>
        </w:rPr>
        <w:t>Research Methods in Education</w:t>
      </w:r>
      <w:r w:rsidRPr="00F77E45">
        <w:rPr>
          <w:rFonts w:ascii="Arial" w:hAnsi="Arial" w:cs="Arial"/>
          <w:color w:val="000000"/>
          <w:kern w:val="0"/>
          <w:lang w:eastAsia="en-GB"/>
          <w14:ligatures w14:val="none"/>
        </w:rPr>
        <w:t xml:space="preserve">. [online] Eighth edition. | New York: </w:t>
      </w:r>
      <w:proofErr w:type="spellStart"/>
      <w:r w:rsidRPr="00F77E45">
        <w:rPr>
          <w:rFonts w:ascii="Arial" w:hAnsi="Arial" w:cs="Arial"/>
          <w:color w:val="000000"/>
          <w:kern w:val="0"/>
          <w:lang w:eastAsia="en-GB"/>
          <w14:ligatures w14:val="none"/>
        </w:rPr>
        <w:t>Routledge</w:t>
      </w:r>
      <w:proofErr w:type="spellEnd"/>
      <w:r w:rsidRPr="00F77E45">
        <w:rPr>
          <w:rFonts w:ascii="Arial" w:hAnsi="Arial" w:cs="Arial"/>
          <w:color w:val="000000"/>
          <w:kern w:val="0"/>
          <w:lang w:eastAsia="en-GB"/>
          <w14:ligatures w14:val="none"/>
        </w:rPr>
        <w:t xml:space="preserve">, 2018.: </w:t>
      </w:r>
      <w:proofErr w:type="spellStart"/>
      <w:r w:rsidRPr="00F77E45">
        <w:rPr>
          <w:rFonts w:ascii="Arial" w:hAnsi="Arial" w:cs="Arial"/>
          <w:color w:val="000000"/>
          <w:kern w:val="0"/>
          <w:lang w:eastAsia="en-GB"/>
          <w14:ligatures w14:val="none"/>
        </w:rPr>
        <w:t>Routledge</w:t>
      </w:r>
      <w:proofErr w:type="spellEnd"/>
      <w:r w:rsidRPr="00F77E45">
        <w:rPr>
          <w:rFonts w:ascii="Arial" w:hAnsi="Arial" w:cs="Arial"/>
          <w:color w:val="000000"/>
          <w:kern w:val="0"/>
          <w:lang w:eastAsia="en-GB"/>
          <w14:ligatures w14:val="none"/>
        </w:rPr>
        <w:t xml:space="preserve">. </w:t>
      </w:r>
      <w:proofErr w:type="spellStart"/>
      <w:r w:rsidRPr="00F77E45">
        <w:rPr>
          <w:rFonts w:ascii="Arial" w:hAnsi="Arial" w:cs="Arial"/>
          <w:color w:val="000000"/>
          <w:kern w:val="0"/>
          <w:lang w:eastAsia="en-GB"/>
          <w14:ligatures w14:val="none"/>
        </w:rPr>
        <w:t>doi:https</w:t>
      </w:r>
      <w:proofErr w:type="spellEnd"/>
      <w:r w:rsidRPr="00F77E45">
        <w:rPr>
          <w:rFonts w:ascii="Arial" w:hAnsi="Arial" w:cs="Arial"/>
          <w:color w:val="000000"/>
          <w:kern w:val="0"/>
          <w:lang w:eastAsia="en-GB"/>
          <w14:ligatures w14:val="none"/>
        </w:rPr>
        <w:t>://doi.org/10.4324/9781315456539.</w:t>
      </w:r>
    </w:p>
    <w:p w14:paraId="44158866"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Dunning and Kruger (1999). </w:t>
      </w:r>
      <w:r w:rsidRPr="00F77E45">
        <w:rPr>
          <w:rFonts w:ascii="Arial" w:hAnsi="Arial" w:cs="Arial"/>
          <w:i/>
          <w:iCs/>
          <w:color w:val="000000"/>
          <w:kern w:val="0"/>
          <w:lang w:eastAsia="en-GB"/>
          <w14:ligatures w14:val="none"/>
        </w:rPr>
        <w:t>Dunning-Kruger Effect | Psychology Today United Kingdom</w:t>
      </w:r>
      <w:r w:rsidRPr="00F77E45">
        <w:rPr>
          <w:rFonts w:ascii="Arial" w:hAnsi="Arial" w:cs="Arial"/>
          <w:color w:val="000000"/>
          <w:kern w:val="0"/>
          <w:lang w:eastAsia="en-GB"/>
          <w14:ligatures w14:val="none"/>
        </w:rPr>
        <w:t>. [online] www.psychologytoday.com. Available at: https://www.psychologytoday.com/gb/basics/dunning-kruger-effect.</w:t>
      </w:r>
    </w:p>
    <w:p w14:paraId="091E8F51"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Eagan, T. (2023). </w:t>
      </w:r>
      <w:r w:rsidRPr="00F77E45">
        <w:rPr>
          <w:rFonts w:ascii="Arial" w:hAnsi="Arial" w:cs="Arial"/>
          <w:i/>
          <w:iCs/>
          <w:color w:val="000000"/>
          <w:kern w:val="0"/>
          <w:lang w:eastAsia="en-GB"/>
          <w14:ligatures w14:val="none"/>
        </w:rPr>
        <w:t>Unlocking Student Success: The Power of Success Criteria, Relationships, and Clarity</w:t>
      </w:r>
      <w:r w:rsidRPr="00F77E45">
        <w:rPr>
          <w:rFonts w:ascii="Arial" w:hAnsi="Arial" w:cs="Arial"/>
          <w:color w:val="000000"/>
          <w:kern w:val="0"/>
          <w:lang w:eastAsia="en-GB"/>
          <w14:ligatures w14:val="none"/>
        </w:rPr>
        <w:t>. [online] Available at: https://files.eric.ed.gov/fulltext/EJ1382629.pdf.</w:t>
      </w:r>
    </w:p>
    <w:p w14:paraId="746CDD3B"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Firth, J. (2024). </w:t>
      </w:r>
      <w:r w:rsidRPr="00F77E45">
        <w:rPr>
          <w:rFonts w:ascii="Arial" w:hAnsi="Arial" w:cs="Arial"/>
          <w:i/>
          <w:iCs/>
          <w:color w:val="000000"/>
          <w:kern w:val="0"/>
          <w:lang w:eastAsia="en-GB"/>
          <w14:ligatures w14:val="none"/>
        </w:rPr>
        <w:t>Metacognition and Study Skills: A Guide for Teachers</w:t>
      </w:r>
      <w:r w:rsidRPr="00F77E45">
        <w:rPr>
          <w:rFonts w:ascii="Arial" w:hAnsi="Arial" w:cs="Arial"/>
          <w:color w:val="000000"/>
          <w:kern w:val="0"/>
          <w:lang w:eastAsia="en-GB"/>
          <w14:ligatures w14:val="none"/>
        </w:rPr>
        <w:t>. Taylor &amp; Francis.</w:t>
      </w:r>
    </w:p>
    <w:p w14:paraId="0F70133A"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Fletcher-Wood, H. (2018). </w:t>
      </w:r>
      <w:r w:rsidRPr="00F77E45">
        <w:rPr>
          <w:rFonts w:ascii="Arial" w:hAnsi="Arial" w:cs="Arial"/>
          <w:i/>
          <w:iCs/>
          <w:color w:val="000000"/>
          <w:kern w:val="0"/>
          <w:lang w:eastAsia="en-GB"/>
          <w14:ligatures w14:val="none"/>
        </w:rPr>
        <w:t>Responsive Teaching : Cognitive Science and Formative Assessment in Practice</w:t>
      </w:r>
      <w:r w:rsidRPr="00F77E45">
        <w:rPr>
          <w:rFonts w:ascii="Arial" w:hAnsi="Arial" w:cs="Arial"/>
          <w:color w:val="000000"/>
          <w:kern w:val="0"/>
          <w:lang w:eastAsia="en-GB"/>
          <w14:ligatures w14:val="none"/>
        </w:rPr>
        <w:t xml:space="preserve">. Abingdon, Oxon ; New York, Ny: </w:t>
      </w:r>
      <w:proofErr w:type="spellStart"/>
      <w:r w:rsidRPr="00F77E45">
        <w:rPr>
          <w:rFonts w:ascii="Arial" w:hAnsi="Arial" w:cs="Arial"/>
          <w:color w:val="000000"/>
          <w:kern w:val="0"/>
          <w:lang w:eastAsia="en-GB"/>
          <w14:ligatures w14:val="none"/>
        </w:rPr>
        <w:t>Routledge</w:t>
      </w:r>
      <w:proofErr w:type="spellEnd"/>
      <w:r w:rsidRPr="00F77E45">
        <w:rPr>
          <w:rFonts w:ascii="Arial" w:hAnsi="Arial" w:cs="Arial"/>
          <w:color w:val="000000"/>
          <w:kern w:val="0"/>
          <w:lang w:eastAsia="en-GB"/>
          <w14:ligatures w14:val="none"/>
        </w:rPr>
        <w:t>.</w:t>
      </w:r>
    </w:p>
    <w:p w14:paraId="599E5609"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 xml:space="preserve">Gadsby, C. and </w:t>
      </w:r>
      <w:proofErr w:type="spellStart"/>
      <w:r w:rsidRPr="00F77E45">
        <w:rPr>
          <w:rFonts w:ascii="Arial" w:hAnsi="Arial" w:cs="Arial"/>
          <w:color w:val="000000"/>
          <w:kern w:val="0"/>
          <w:lang w:eastAsia="en-GB"/>
          <w14:ligatures w14:val="none"/>
        </w:rPr>
        <w:t>Beere</w:t>
      </w:r>
      <w:proofErr w:type="spellEnd"/>
      <w:r w:rsidRPr="00F77E45">
        <w:rPr>
          <w:rFonts w:ascii="Arial" w:hAnsi="Arial" w:cs="Arial"/>
          <w:color w:val="000000"/>
          <w:kern w:val="0"/>
          <w:lang w:eastAsia="en-GB"/>
          <w14:ligatures w14:val="none"/>
        </w:rPr>
        <w:t>, J. (2012). </w:t>
      </w:r>
      <w:r w:rsidRPr="00F77E45">
        <w:rPr>
          <w:rFonts w:ascii="Arial" w:hAnsi="Arial" w:cs="Arial"/>
          <w:i/>
          <w:iCs/>
          <w:color w:val="000000"/>
          <w:kern w:val="0"/>
          <w:lang w:eastAsia="en-GB"/>
          <w14:ligatures w14:val="none"/>
        </w:rPr>
        <w:t>Perfect assessment for learning</w:t>
      </w:r>
      <w:r w:rsidRPr="00F77E45">
        <w:rPr>
          <w:rFonts w:ascii="Arial" w:hAnsi="Arial" w:cs="Arial"/>
          <w:color w:val="000000"/>
          <w:kern w:val="0"/>
          <w:lang w:eastAsia="en-GB"/>
          <w14:ligatures w14:val="none"/>
        </w:rPr>
        <w:t xml:space="preserve">. </w:t>
      </w:r>
      <w:proofErr w:type="spellStart"/>
      <w:r w:rsidRPr="00F77E45">
        <w:rPr>
          <w:rFonts w:ascii="Arial" w:hAnsi="Arial" w:cs="Arial"/>
          <w:color w:val="000000"/>
          <w:kern w:val="0"/>
          <w:lang w:eastAsia="en-GB"/>
          <w14:ligatures w14:val="none"/>
        </w:rPr>
        <w:t>Bancyfelin</w:t>
      </w:r>
      <w:proofErr w:type="spellEnd"/>
      <w:r w:rsidRPr="00F77E45">
        <w:rPr>
          <w:rFonts w:ascii="Arial" w:hAnsi="Arial" w:cs="Arial"/>
          <w:color w:val="000000"/>
          <w:kern w:val="0"/>
          <w:lang w:eastAsia="en-GB"/>
          <w14:ligatures w14:val="none"/>
        </w:rPr>
        <w:t>, Carmarthen, Wales: Independent Thinking Press.</w:t>
      </w:r>
    </w:p>
    <w:p w14:paraId="2A57796D"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Heritage, M. and Harrison, C. (2020). </w:t>
      </w:r>
      <w:r w:rsidRPr="00F77E45">
        <w:rPr>
          <w:rFonts w:ascii="Arial" w:hAnsi="Arial" w:cs="Arial"/>
          <w:i/>
          <w:iCs/>
          <w:color w:val="000000"/>
          <w:kern w:val="0"/>
          <w:lang w:eastAsia="en-GB"/>
          <w14:ligatures w14:val="none"/>
        </w:rPr>
        <w:t>The power of assessment for learning : twenty years of impact in US and UK classrooms</w:t>
      </w:r>
      <w:r w:rsidRPr="00F77E45">
        <w:rPr>
          <w:rFonts w:ascii="Arial" w:hAnsi="Arial" w:cs="Arial"/>
          <w:color w:val="000000"/>
          <w:kern w:val="0"/>
          <w:lang w:eastAsia="en-GB"/>
          <w14:ligatures w14:val="none"/>
        </w:rPr>
        <w:t>. Thousand Oaks, California: Corwin.</w:t>
      </w:r>
    </w:p>
    <w:p w14:paraId="78DA227C"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Impact Wales (2022). </w:t>
      </w:r>
      <w:r w:rsidRPr="00F77E45">
        <w:rPr>
          <w:rFonts w:ascii="Arial" w:hAnsi="Arial" w:cs="Arial"/>
          <w:i/>
          <w:iCs/>
          <w:color w:val="000000"/>
          <w:kern w:val="0"/>
          <w:lang w:eastAsia="en-GB"/>
          <w14:ligatures w14:val="none"/>
        </w:rPr>
        <w:t>What are the 12 Pedagogical Principles &amp; How to use them</w:t>
      </w:r>
      <w:r w:rsidRPr="00F77E45">
        <w:rPr>
          <w:rFonts w:ascii="Arial" w:hAnsi="Arial" w:cs="Arial"/>
          <w:color w:val="000000"/>
          <w:kern w:val="0"/>
          <w:lang w:eastAsia="en-GB"/>
          <w14:ligatures w14:val="none"/>
        </w:rPr>
        <w:t>. [online] Impact Wales. Available at: https://www.impact.wales/news/12-pedagogical-principles/.</w:t>
      </w:r>
    </w:p>
    <w:p w14:paraId="6369F1B8"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proofErr w:type="spellStart"/>
      <w:r w:rsidRPr="00F77E45">
        <w:rPr>
          <w:rFonts w:ascii="Arial" w:hAnsi="Arial" w:cs="Arial"/>
          <w:color w:val="000000"/>
          <w:kern w:val="0"/>
          <w:lang w:eastAsia="en-GB"/>
          <w14:ligatures w14:val="none"/>
        </w:rPr>
        <w:t>Mcleod</w:t>
      </w:r>
      <w:proofErr w:type="spellEnd"/>
      <w:r w:rsidRPr="00F77E45">
        <w:rPr>
          <w:rFonts w:ascii="Arial" w:hAnsi="Arial" w:cs="Arial"/>
          <w:color w:val="000000"/>
          <w:kern w:val="0"/>
          <w:lang w:eastAsia="en-GB"/>
          <w14:ligatures w14:val="none"/>
        </w:rPr>
        <w:t>, S. (2023). </w:t>
      </w:r>
      <w:r w:rsidRPr="00F77E45">
        <w:rPr>
          <w:rFonts w:ascii="Arial" w:hAnsi="Arial" w:cs="Arial"/>
          <w:i/>
          <w:iCs/>
          <w:color w:val="000000"/>
          <w:kern w:val="0"/>
          <w:lang w:eastAsia="en-GB"/>
          <w14:ligatures w14:val="none"/>
        </w:rPr>
        <w:t>Questionnaire Method In Research</w:t>
      </w:r>
      <w:r w:rsidRPr="00F77E45">
        <w:rPr>
          <w:rFonts w:ascii="Arial" w:hAnsi="Arial" w:cs="Arial"/>
          <w:color w:val="000000"/>
          <w:kern w:val="0"/>
          <w:lang w:eastAsia="en-GB"/>
          <w14:ligatures w14:val="none"/>
        </w:rPr>
        <w:t>. [online] Simply Psychology. Available at: https://www.simplypsychology.org/questionnaires.html.</w:t>
      </w:r>
    </w:p>
    <w:p w14:paraId="726B17A7"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lastRenderedPageBreak/>
        <w:t>Petty, G. (2024). </w:t>
      </w:r>
      <w:r w:rsidRPr="00F77E45">
        <w:rPr>
          <w:rFonts w:ascii="Arial" w:hAnsi="Arial" w:cs="Arial"/>
          <w:i/>
          <w:iCs/>
          <w:color w:val="000000"/>
          <w:kern w:val="0"/>
          <w:lang w:eastAsia="en-GB"/>
          <w14:ligatures w14:val="none"/>
        </w:rPr>
        <w:t>Self Assessment</w:t>
      </w:r>
      <w:r w:rsidRPr="00F77E45">
        <w:rPr>
          <w:rFonts w:ascii="Arial" w:hAnsi="Arial" w:cs="Arial"/>
          <w:color w:val="000000"/>
          <w:kern w:val="0"/>
          <w:lang w:eastAsia="en-GB"/>
          <w14:ligatures w14:val="none"/>
        </w:rPr>
        <w:t>. [online] Geoff Petty. Available at: https://geoffpetty.com/for-teachers/self-assessment/.</w:t>
      </w:r>
    </w:p>
    <w:p w14:paraId="11774C85"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Roberts, T.S. (2006). </w:t>
      </w:r>
      <w:r w:rsidRPr="00F77E45">
        <w:rPr>
          <w:rFonts w:ascii="Arial" w:hAnsi="Arial" w:cs="Arial"/>
          <w:i/>
          <w:iCs/>
          <w:color w:val="000000"/>
          <w:kern w:val="0"/>
          <w:lang w:eastAsia="en-GB"/>
          <w14:ligatures w14:val="none"/>
        </w:rPr>
        <w:t>Self, peer, and group assessment in learning</w:t>
      </w:r>
      <w:r w:rsidRPr="00F77E45">
        <w:rPr>
          <w:rFonts w:ascii="Arial" w:hAnsi="Arial" w:cs="Arial"/>
          <w:color w:val="000000"/>
          <w:kern w:val="0"/>
          <w:lang w:eastAsia="en-GB"/>
          <w14:ligatures w14:val="none"/>
        </w:rPr>
        <w:t>. Hershey, Pa: Information Science Pub.</w:t>
      </w:r>
    </w:p>
    <w:p w14:paraId="28BF3E8B"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Rowland, J. (2024). </w:t>
      </w:r>
      <w:r w:rsidRPr="00F77E45">
        <w:rPr>
          <w:rFonts w:ascii="Arial" w:hAnsi="Arial" w:cs="Arial"/>
          <w:i/>
          <w:iCs/>
          <w:color w:val="000000"/>
          <w:kern w:val="0"/>
          <w:lang w:eastAsia="en-GB"/>
          <w14:ligatures w14:val="none"/>
        </w:rPr>
        <w:t>Assessment for Learning (AFL) and Responsive Teaching in Psychology</w:t>
      </w:r>
      <w:r w:rsidRPr="00F77E45">
        <w:rPr>
          <w:rFonts w:ascii="Arial" w:hAnsi="Arial" w:cs="Arial"/>
          <w:color w:val="000000"/>
          <w:kern w:val="0"/>
          <w:lang w:eastAsia="en-GB"/>
          <w14:ligatures w14:val="none"/>
        </w:rPr>
        <w:t>. [online] Available at: https://cms.bps.org.uk/sites/default/files/2024-11/Teacher%27s%20Toolkit%20-%20Assessment%20for%20Learning.pdf.</w:t>
      </w:r>
    </w:p>
    <w:p w14:paraId="4BCF2520"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Sadler (1989). Applying Sadler’s principles in holistic assessment design: a retrospective account. </w:t>
      </w:r>
      <w:r w:rsidRPr="00F77E45">
        <w:rPr>
          <w:rFonts w:ascii="Arial" w:hAnsi="Arial" w:cs="Arial"/>
          <w:i/>
          <w:iCs/>
          <w:color w:val="000000"/>
          <w:kern w:val="0"/>
          <w:lang w:eastAsia="en-GB"/>
          <w14:ligatures w14:val="none"/>
        </w:rPr>
        <w:t>Teaching in Higher Education</w:t>
      </w:r>
      <w:r w:rsidRPr="00F77E45">
        <w:rPr>
          <w:rFonts w:ascii="Arial" w:hAnsi="Arial" w:cs="Arial"/>
          <w:color w:val="000000"/>
          <w:kern w:val="0"/>
          <w:lang w:eastAsia="en-GB"/>
          <w14:ligatures w14:val="none"/>
        </w:rPr>
        <w:t xml:space="preserve">, pp.1–18. </w:t>
      </w:r>
      <w:proofErr w:type="spellStart"/>
      <w:r w:rsidRPr="00F77E45">
        <w:rPr>
          <w:rFonts w:ascii="Arial" w:hAnsi="Arial" w:cs="Arial"/>
          <w:color w:val="000000"/>
          <w:kern w:val="0"/>
          <w:lang w:eastAsia="en-GB"/>
          <w14:ligatures w14:val="none"/>
        </w:rPr>
        <w:t>doi:https</w:t>
      </w:r>
      <w:proofErr w:type="spellEnd"/>
      <w:r w:rsidRPr="00F77E45">
        <w:rPr>
          <w:rFonts w:ascii="Arial" w:hAnsi="Arial" w:cs="Arial"/>
          <w:color w:val="000000"/>
          <w:kern w:val="0"/>
          <w:lang w:eastAsia="en-GB"/>
          <w14:ligatures w14:val="none"/>
        </w:rPr>
        <w:t>://doi.org/10.1080/13562517.2023.2244439.</w:t>
      </w:r>
    </w:p>
    <w:p w14:paraId="64D0132A"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proofErr w:type="spellStart"/>
      <w:r w:rsidRPr="00F77E45">
        <w:rPr>
          <w:rFonts w:ascii="Arial" w:hAnsi="Arial" w:cs="Arial"/>
          <w:color w:val="000000"/>
          <w:kern w:val="0"/>
          <w:lang w:eastAsia="en-GB"/>
          <w14:ligatures w14:val="none"/>
        </w:rPr>
        <w:t>Spendlove</w:t>
      </w:r>
      <w:proofErr w:type="spellEnd"/>
      <w:r w:rsidRPr="00F77E45">
        <w:rPr>
          <w:rFonts w:ascii="Arial" w:hAnsi="Arial" w:cs="Arial"/>
          <w:color w:val="000000"/>
          <w:kern w:val="0"/>
          <w:lang w:eastAsia="en-GB"/>
          <w14:ligatures w14:val="none"/>
        </w:rPr>
        <w:t>, D. (2009). </w:t>
      </w:r>
      <w:r w:rsidRPr="00F77E45">
        <w:rPr>
          <w:rFonts w:ascii="Arial" w:hAnsi="Arial" w:cs="Arial"/>
          <w:i/>
          <w:iCs/>
          <w:color w:val="000000"/>
          <w:kern w:val="0"/>
          <w:lang w:eastAsia="en-GB"/>
          <w14:ligatures w14:val="none"/>
        </w:rPr>
        <w:t>Putting assessment for learning into practice</w:t>
      </w:r>
      <w:r w:rsidRPr="00F77E45">
        <w:rPr>
          <w:rFonts w:ascii="Arial" w:hAnsi="Arial" w:cs="Arial"/>
          <w:color w:val="000000"/>
          <w:kern w:val="0"/>
          <w:lang w:eastAsia="en-GB"/>
          <w14:ligatures w14:val="none"/>
        </w:rPr>
        <w:t>. London ; New York: Continuum International Publishing Group.</w:t>
      </w:r>
    </w:p>
    <w:p w14:paraId="1D7C2A98"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Tan, K. (2012). </w:t>
      </w:r>
      <w:r w:rsidRPr="00F77E45">
        <w:rPr>
          <w:rFonts w:ascii="Arial" w:hAnsi="Arial" w:cs="Arial"/>
          <w:i/>
          <w:iCs/>
          <w:color w:val="000000"/>
          <w:kern w:val="0"/>
          <w:lang w:eastAsia="en-GB"/>
          <w14:ligatures w14:val="none"/>
        </w:rPr>
        <w:t>Student self-assessment : assessment, learning and empowerment</w:t>
      </w:r>
      <w:r w:rsidRPr="00F77E45">
        <w:rPr>
          <w:rFonts w:ascii="Arial" w:hAnsi="Arial" w:cs="Arial"/>
          <w:color w:val="000000"/>
          <w:kern w:val="0"/>
          <w:lang w:eastAsia="en-GB"/>
          <w14:ligatures w14:val="none"/>
        </w:rPr>
        <w:t>. Singapore: Research Publishing.</w:t>
      </w:r>
    </w:p>
    <w:p w14:paraId="3F7AD81E"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UWTSD (2022). </w:t>
      </w:r>
      <w:r w:rsidRPr="00F77E45">
        <w:rPr>
          <w:rFonts w:ascii="Arial" w:hAnsi="Arial" w:cs="Arial"/>
          <w:i/>
          <w:iCs/>
          <w:color w:val="000000"/>
          <w:kern w:val="0"/>
          <w:lang w:eastAsia="en-GB"/>
          <w14:ligatures w14:val="none"/>
        </w:rPr>
        <w:t>Research Integrity and Ethics</w:t>
      </w:r>
      <w:r w:rsidRPr="00F77E45">
        <w:rPr>
          <w:rFonts w:ascii="Arial" w:hAnsi="Arial" w:cs="Arial"/>
          <w:color w:val="000000"/>
          <w:kern w:val="0"/>
          <w:lang w:eastAsia="en-GB"/>
          <w14:ligatures w14:val="none"/>
        </w:rPr>
        <w:t>. [online] The University of Wales Trinity Saint David. Available at: https://www.uwtsd.ac.uk/research/research-integrity-and-ethics.</w:t>
      </w:r>
    </w:p>
    <w:p w14:paraId="66C1DB00"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Welsh Government (2020). </w:t>
      </w:r>
      <w:r w:rsidRPr="00F77E45">
        <w:rPr>
          <w:rFonts w:ascii="Arial" w:hAnsi="Arial" w:cs="Arial"/>
          <w:i/>
          <w:iCs/>
          <w:color w:val="000000"/>
          <w:kern w:val="0"/>
          <w:lang w:eastAsia="en-GB"/>
          <w14:ligatures w14:val="none"/>
        </w:rPr>
        <w:t xml:space="preserve">Developing a vision for curriculum design - </w:t>
      </w:r>
      <w:proofErr w:type="spellStart"/>
      <w:r w:rsidRPr="00F77E45">
        <w:rPr>
          <w:rFonts w:ascii="Arial" w:hAnsi="Arial" w:cs="Arial"/>
          <w:i/>
          <w:iCs/>
          <w:color w:val="000000"/>
          <w:kern w:val="0"/>
          <w:lang w:eastAsia="en-GB"/>
          <w14:ligatures w14:val="none"/>
        </w:rPr>
        <w:t>Hwb</w:t>
      </w:r>
      <w:proofErr w:type="spellEnd"/>
      <w:r w:rsidRPr="00F77E45">
        <w:rPr>
          <w:rFonts w:ascii="Arial" w:hAnsi="Arial" w:cs="Arial"/>
          <w:color w:val="000000"/>
          <w:kern w:val="0"/>
          <w:lang w:eastAsia="en-GB"/>
          <w14:ligatures w14:val="none"/>
        </w:rPr>
        <w:t xml:space="preserve">. [online] </w:t>
      </w:r>
      <w:proofErr w:type="spellStart"/>
      <w:r w:rsidRPr="00F77E45">
        <w:rPr>
          <w:rFonts w:ascii="Arial" w:hAnsi="Arial" w:cs="Arial"/>
          <w:color w:val="000000"/>
          <w:kern w:val="0"/>
          <w:lang w:eastAsia="en-GB"/>
          <w14:ligatures w14:val="none"/>
        </w:rPr>
        <w:t>hwb.gov.wales</w:t>
      </w:r>
      <w:proofErr w:type="spellEnd"/>
      <w:r w:rsidRPr="00F77E45">
        <w:rPr>
          <w:rFonts w:ascii="Arial" w:hAnsi="Arial" w:cs="Arial"/>
          <w:color w:val="000000"/>
          <w:kern w:val="0"/>
          <w:lang w:eastAsia="en-GB"/>
          <w14:ligatures w14:val="none"/>
        </w:rPr>
        <w:t>. Available at: https://hwb.gov.wales/curriculum-for-wales/designing-your-curriculum/developing-a-vision-for-curriculum-design#curriculum-design-and-the-four-purposes.</w:t>
      </w:r>
    </w:p>
    <w:p w14:paraId="35FB829E"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Yan, Z. and Carless, D. (2021). Self-assessment is about more than self: the enabling role of feedback literacy. </w:t>
      </w:r>
      <w:r w:rsidRPr="00F77E45">
        <w:rPr>
          <w:rFonts w:ascii="Arial" w:hAnsi="Arial" w:cs="Arial"/>
          <w:i/>
          <w:iCs/>
          <w:color w:val="000000"/>
          <w:kern w:val="0"/>
          <w:lang w:eastAsia="en-GB"/>
          <w14:ligatures w14:val="none"/>
        </w:rPr>
        <w:t>Assessment &amp; Evaluation in Higher Education</w:t>
      </w:r>
      <w:r w:rsidRPr="00F77E45">
        <w:rPr>
          <w:rFonts w:ascii="Arial" w:hAnsi="Arial" w:cs="Arial"/>
          <w:color w:val="000000"/>
          <w:kern w:val="0"/>
          <w:lang w:eastAsia="en-GB"/>
          <w14:ligatures w14:val="none"/>
        </w:rPr>
        <w:t>, [online] 47(7), pp.1–13. Available at: https://www.tandfonline.com/doi/full/10.1080/02602938.2021.2001431.</w:t>
      </w:r>
    </w:p>
    <w:p w14:paraId="0CCEA54B" w14:textId="77777777" w:rsidR="00F77E45" w:rsidRPr="00F77E45" w:rsidRDefault="00F77E45" w:rsidP="00F77E45">
      <w:pPr>
        <w:spacing w:after="240" w:line="360" w:lineRule="atLeast"/>
        <w:divId w:val="1083986641"/>
        <w:rPr>
          <w:rFonts w:ascii="Arial" w:hAnsi="Arial" w:cs="Arial"/>
          <w:color w:val="000000"/>
          <w:kern w:val="0"/>
          <w:lang w:eastAsia="en-GB"/>
          <w14:ligatures w14:val="none"/>
        </w:rPr>
      </w:pPr>
      <w:r w:rsidRPr="00F77E45">
        <w:rPr>
          <w:rFonts w:ascii="Arial" w:hAnsi="Arial" w:cs="Arial"/>
          <w:color w:val="000000"/>
          <w:kern w:val="0"/>
          <w:lang w:eastAsia="en-GB"/>
          <w14:ligatures w14:val="none"/>
        </w:rPr>
        <w:t xml:space="preserve">Zimmerman and </w:t>
      </w:r>
      <w:proofErr w:type="spellStart"/>
      <w:r w:rsidRPr="00F77E45">
        <w:rPr>
          <w:rFonts w:ascii="Arial" w:hAnsi="Arial" w:cs="Arial"/>
          <w:color w:val="000000"/>
          <w:kern w:val="0"/>
          <w:lang w:eastAsia="en-GB"/>
          <w14:ligatures w14:val="none"/>
        </w:rPr>
        <w:t>Schunk</w:t>
      </w:r>
      <w:proofErr w:type="spellEnd"/>
      <w:r w:rsidRPr="00F77E45">
        <w:rPr>
          <w:rFonts w:ascii="Arial" w:hAnsi="Arial" w:cs="Arial"/>
          <w:color w:val="000000"/>
          <w:kern w:val="0"/>
          <w:lang w:eastAsia="en-GB"/>
          <w14:ligatures w14:val="none"/>
        </w:rPr>
        <w:t xml:space="preserve"> (2011). </w:t>
      </w:r>
      <w:r w:rsidRPr="00F77E45">
        <w:rPr>
          <w:rFonts w:ascii="Arial" w:hAnsi="Arial" w:cs="Arial"/>
          <w:i/>
          <w:iCs/>
          <w:color w:val="000000"/>
          <w:kern w:val="0"/>
          <w:lang w:eastAsia="en-GB"/>
          <w14:ligatures w14:val="none"/>
        </w:rPr>
        <w:t xml:space="preserve">APA </w:t>
      </w:r>
      <w:proofErr w:type="spellStart"/>
      <w:r w:rsidRPr="00F77E45">
        <w:rPr>
          <w:rFonts w:ascii="Arial" w:hAnsi="Arial" w:cs="Arial"/>
          <w:i/>
          <w:iCs/>
          <w:color w:val="000000"/>
          <w:kern w:val="0"/>
          <w:lang w:eastAsia="en-GB"/>
          <w14:ligatures w14:val="none"/>
        </w:rPr>
        <w:t>PsycNet</w:t>
      </w:r>
      <w:proofErr w:type="spellEnd"/>
      <w:r w:rsidRPr="00F77E45">
        <w:rPr>
          <w:rFonts w:ascii="Arial" w:hAnsi="Arial" w:cs="Arial"/>
          <w:color w:val="000000"/>
          <w:kern w:val="0"/>
          <w:lang w:eastAsia="en-GB"/>
          <w14:ligatures w14:val="none"/>
        </w:rPr>
        <w:t>. [online] psycnet.apa.org. Available at: https://psycnet.apa.org/record/2011-12365-000.</w:t>
      </w:r>
    </w:p>
    <w:p w14:paraId="7D9E7840" w14:textId="77777777" w:rsidR="001C6B71" w:rsidRPr="00F77E45" w:rsidRDefault="001C6B71" w:rsidP="000E2E7E">
      <w:pPr>
        <w:rPr>
          <w:rFonts w:ascii="Arial" w:hAnsi="Arial" w:cs="Arial"/>
        </w:rPr>
      </w:pPr>
    </w:p>
    <w:p w14:paraId="6413DE7C" w14:textId="77777777" w:rsidR="000E2E7E" w:rsidRPr="000E2E7E" w:rsidRDefault="000E2E7E" w:rsidP="000E2E7E">
      <w:pPr>
        <w:rPr>
          <w:sz w:val="28"/>
          <w:szCs w:val="28"/>
        </w:rPr>
      </w:pPr>
    </w:p>
    <w:p w14:paraId="512734CD" w14:textId="77777777" w:rsidR="000E2E7E" w:rsidRPr="00B103B9" w:rsidRDefault="000E2E7E" w:rsidP="000E2E7E">
      <w:pPr>
        <w:rPr>
          <w:sz w:val="16"/>
          <w:szCs w:val="16"/>
        </w:rPr>
      </w:pPr>
    </w:p>
    <w:p w14:paraId="1CD1FA79" w14:textId="1E826845" w:rsidR="000E2E7E" w:rsidRPr="000E2E7E" w:rsidRDefault="000E2E7E">
      <w:pPr>
        <w:rPr>
          <w:sz w:val="52"/>
          <w:szCs w:val="52"/>
        </w:rPr>
      </w:pPr>
    </w:p>
    <w:sectPr w:rsidR="000E2E7E" w:rsidRPr="000E2E7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368CC" w14:textId="77777777" w:rsidR="00194620" w:rsidRDefault="00194620" w:rsidP="00830E49">
      <w:pPr>
        <w:spacing w:after="0" w:line="240" w:lineRule="auto"/>
      </w:pPr>
      <w:r>
        <w:separator/>
      </w:r>
    </w:p>
  </w:endnote>
  <w:endnote w:type="continuationSeparator" w:id="0">
    <w:p w14:paraId="361BC535" w14:textId="77777777" w:rsidR="00194620" w:rsidRDefault="00194620" w:rsidP="00830E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SFUI-Regular">
    <w:altName w:val="Cambria"/>
    <w:panose1 w:val="020B0604020202020204"/>
    <w:charset w:val="00"/>
    <w:family w:val="roman"/>
    <w:pitch w:val="default"/>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D0B36D" w14:textId="77777777" w:rsidR="00194620" w:rsidRDefault="00194620" w:rsidP="00830E49">
      <w:pPr>
        <w:spacing w:after="0" w:line="240" w:lineRule="auto"/>
      </w:pPr>
      <w:r>
        <w:separator/>
      </w:r>
    </w:p>
  </w:footnote>
  <w:footnote w:type="continuationSeparator" w:id="0">
    <w:p w14:paraId="06744BE8" w14:textId="77777777" w:rsidR="00194620" w:rsidRDefault="00194620" w:rsidP="00830E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FC50F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EDC321D"/>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2EC715E"/>
    <w:multiLevelType w:val="hybridMultilevel"/>
    <w:tmpl w:val="2CDAF41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985E7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AE450B3"/>
    <w:multiLevelType w:val="hybridMultilevel"/>
    <w:tmpl w:val="C89A35A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5380070">
    <w:abstractNumId w:val="2"/>
  </w:num>
  <w:num w:numId="2" w16cid:durableId="644745782">
    <w:abstractNumId w:val="4"/>
  </w:num>
  <w:num w:numId="3" w16cid:durableId="850803794">
    <w:abstractNumId w:val="1"/>
  </w:num>
  <w:num w:numId="4" w16cid:durableId="651300561">
    <w:abstractNumId w:val="0"/>
  </w:num>
  <w:num w:numId="5" w16cid:durableId="136821814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2E7E"/>
    <w:rsid w:val="00005D06"/>
    <w:rsid w:val="000332FF"/>
    <w:rsid w:val="0007050D"/>
    <w:rsid w:val="00073410"/>
    <w:rsid w:val="000C045F"/>
    <w:rsid w:val="000D066F"/>
    <w:rsid w:val="000D53C5"/>
    <w:rsid w:val="000E2E7E"/>
    <w:rsid w:val="00121BB2"/>
    <w:rsid w:val="001675AC"/>
    <w:rsid w:val="00191CFB"/>
    <w:rsid w:val="00194620"/>
    <w:rsid w:val="001C6B71"/>
    <w:rsid w:val="001E698E"/>
    <w:rsid w:val="002248F8"/>
    <w:rsid w:val="00313833"/>
    <w:rsid w:val="00371AC6"/>
    <w:rsid w:val="00372668"/>
    <w:rsid w:val="003829C8"/>
    <w:rsid w:val="00393EB3"/>
    <w:rsid w:val="003A7750"/>
    <w:rsid w:val="00403714"/>
    <w:rsid w:val="00432D2F"/>
    <w:rsid w:val="00504994"/>
    <w:rsid w:val="00510D18"/>
    <w:rsid w:val="00536259"/>
    <w:rsid w:val="0057366C"/>
    <w:rsid w:val="00583206"/>
    <w:rsid w:val="005937A2"/>
    <w:rsid w:val="005A7A24"/>
    <w:rsid w:val="005E02E7"/>
    <w:rsid w:val="005E5808"/>
    <w:rsid w:val="00604703"/>
    <w:rsid w:val="00671AC9"/>
    <w:rsid w:val="006839A9"/>
    <w:rsid w:val="006D7A35"/>
    <w:rsid w:val="007121AD"/>
    <w:rsid w:val="007509CD"/>
    <w:rsid w:val="007906C4"/>
    <w:rsid w:val="00792B5F"/>
    <w:rsid w:val="007A4EDF"/>
    <w:rsid w:val="007B505F"/>
    <w:rsid w:val="007F529E"/>
    <w:rsid w:val="00830E49"/>
    <w:rsid w:val="00874D04"/>
    <w:rsid w:val="008B4341"/>
    <w:rsid w:val="008F0B48"/>
    <w:rsid w:val="00904027"/>
    <w:rsid w:val="00925B94"/>
    <w:rsid w:val="009378CD"/>
    <w:rsid w:val="00965B69"/>
    <w:rsid w:val="009765B4"/>
    <w:rsid w:val="009D31A8"/>
    <w:rsid w:val="00A0781C"/>
    <w:rsid w:val="00A13811"/>
    <w:rsid w:val="00A144F6"/>
    <w:rsid w:val="00A834A1"/>
    <w:rsid w:val="00A851AD"/>
    <w:rsid w:val="00AB5565"/>
    <w:rsid w:val="00AB6FB0"/>
    <w:rsid w:val="00C0493E"/>
    <w:rsid w:val="00C45E49"/>
    <w:rsid w:val="00C80A46"/>
    <w:rsid w:val="00D21603"/>
    <w:rsid w:val="00D30D71"/>
    <w:rsid w:val="00D418A8"/>
    <w:rsid w:val="00DE506E"/>
    <w:rsid w:val="00DF09B3"/>
    <w:rsid w:val="00E5184C"/>
    <w:rsid w:val="00EC4C39"/>
    <w:rsid w:val="00ED14C7"/>
    <w:rsid w:val="00ED6DC5"/>
    <w:rsid w:val="00EF27AB"/>
    <w:rsid w:val="00F66413"/>
    <w:rsid w:val="00F77E45"/>
    <w:rsid w:val="00F8363F"/>
    <w:rsid w:val="00FA1BC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4B9060"/>
  <w15:chartTrackingRefBased/>
  <w15:docId w15:val="{1B585F4F-5F9A-4953-9D79-C7D04A8501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2E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E2E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E2E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E2E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E2E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E2E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E2E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E2E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E2E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2E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E2E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E2E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E2E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E2E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E2E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E2E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E2E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E2E7E"/>
    <w:rPr>
      <w:rFonts w:eastAsiaTheme="majorEastAsia" w:cstheme="majorBidi"/>
      <w:color w:val="272727" w:themeColor="text1" w:themeTint="D8"/>
    </w:rPr>
  </w:style>
  <w:style w:type="paragraph" w:styleId="Title">
    <w:name w:val="Title"/>
    <w:basedOn w:val="Normal"/>
    <w:next w:val="Normal"/>
    <w:link w:val="TitleChar"/>
    <w:uiPriority w:val="10"/>
    <w:qFormat/>
    <w:rsid w:val="000E2E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E2E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E2E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E2E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E2E7E"/>
    <w:pPr>
      <w:spacing w:before="160"/>
      <w:jc w:val="center"/>
    </w:pPr>
    <w:rPr>
      <w:i/>
      <w:iCs/>
      <w:color w:val="404040" w:themeColor="text1" w:themeTint="BF"/>
    </w:rPr>
  </w:style>
  <w:style w:type="character" w:customStyle="1" w:styleId="QuoteChar">
    <w:name w:val="Quote Char"/>
    <w:basedOn w:val="DefaultParagraphFont"/>
    <w:link w:val="Quote"/>
    <w:uiPriority w:val="29"/>
    <w:rsid w:val="000E2E7E"/>
    <w:rPr>
      <w:i/>
      <w:iCs/>
      <w:color w:val="404040" w:themeColor="text1" w:themeTint="BF"/>
    </w:rPr>
  </w:style>
  <w:style w:type="paragraph" w:styleId="ListParagraph">
    <w:name w:val="List Paragraph"/>
    <w:basedOn w:val="Normal"/>
    <w:uiPriority w:val="34"/>
    <w:qFormat/>
    <w:rsid w:val="000E2E7E"/>
    <w:pPr>
      <w:ind w:left="720"/>
      <w:contextualSpacing/>
    </w:pPr>
  </w:style>
  <w:style w:type="character" w:styleId="IntenseEmphasis">
    <w:name w:val="Intense Emphasis"/>
    <w:basedOn w:val="DefaultParagraphFont"/>
    <w:uiPriority w:val="21"/>
    <w:qFormat/>
    <w:rsid w:val="000E2E7E"/>
    <w:rPr>
      <w:i/>
      <w:iCs/>
      <w:color w:val="0F4761" w:themeColor="accent1" w:themeShade="BF"/>
    </w:rPr>
  </w:style>
  <w:style w:type="paragraph" w:styleId="IntenseQuote">
    <w:name w:val="Intense Quote"/>
    <w:basedOn w:val="Normal"/>
    <w:next w:val="Normal"/>
    <w:link w:val="IntenseQuoteChar"/>
    <w:uiPriority w:val="30"/>
    <w:qFormat/>
    <w:rsid w:val="000E2E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E2E7E"/>
    <w:rPr>
      <w:i/>
      <w:iCs/>
      <w:color w:val="0F4761" w:themeColor="accent1" w:themeShade="BF"/>
    </w:rPr>
  </w:style>
  <w:style w:type="character" w:styleId="IntenseReference">
    <w:name w:val="Intense Reference"/>
    <w:basedOn w:val="DefaultParagraphFont"/>
    <w:uiPriority w:val="32"/>
    <w:qFormat/>
    <w:rsid w:val="000E2E7E"/>
    <w:rPr>
      <w:b/>
      <w:bCs/>
      <w:smallCaps/>
      <w:color w:val="0F4761" w:themeColor="accent1" w:themeShade="BF"/>
      <w:spacing w:val="5"/>
    </w:rPr>
  </w:style>
  <w:style w:type="table" w:styleId="TableGrid">
    <w:name w:val="Table Grid"/>
    <w:basedOn w:val="TableNormal"/>
    <w:uiPriority w:val="39"/>
    <w:rsid w:val="000E2E7E"/>
    <w:pPr>
      <w:spacing w:after="0" w:line="240" w:lineRule="auto"/>
    </w:pPr>
    <w:rPr>
      <w:kern w:val="0"/>
      <w:sz w:val="22"/>
      <w:szCs w:val="22"/>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A13811"/>
    <w:pPr>
      <w:spacing w:after="255" w:line="240" w:lineRule="auto"/>
    </w:pPr>
    <w:rPr>
      <w:rFonts w:ascii=".AppleSystemUIFont" w:hAnsi=".AppleSystemUIFont" w:cs="Times New Roman"/>
      <w:color w:val="000000"/>
      <w:kern w:val="0"/>
      <w:sz w:val="26"/>
      <w:szCs w:val="26"/>
      <w:lang w:eastAsia="en-GB"/>
      <w14:ligatures w14:val="none"/>
    </w:rPr>
  </w:style>
  <w:style w:type="paragraph" w:customStyle="1" w:styleId="p2">
    <w:name w:val="p2"/>
    <w:basedOn w:val="Normal"/>
    <w:rsid w:val="00A13811"/>
    <w:pPr>
      <w:spacing w:after="255" w:line="240" w:lineRule="auto"/>
    </w:pPr>
    <w:rPr>
      <w:rFonts w:ascii=".AppleSystemUIFont" w:hAnsi=".AppleSystemUIFont" w:cs="Times New Roman"/>
      <w:color w:val="000000"/>
      <w:kern w:val="0"/>
      <w:sz w:val="26"/>
      <w:szCs w:val="26"/>
      <w:lang w:eastAsia="en-GB"/>
      <w14:ligatures w14:val="none"/>
    </w:rPr>
  </w:style>
  <w:style w:type="character" w:customStyle="1" w:styleId="s1">
    <w:name w:val="s1"/>
    <w:basedOn w:val="DefaultParagraphFont"/>
    <w:rsid w:val="00A13811"/>
    <w:rPr>
      <w:rFonts w:ascii=".SFUI-Regular" w:hAnsi=".SFUI-Regular" w:hint="default"/>
      <w:b w:val="0"/>
      <w:bCs w:val="0"/>
      <w:i w:val="0"/>
      <w:iCs w:val="0"/>
      <w:sz w:val="26"/>
      <w:szCs w:val="26"/>
    </w:rPr>
  </w:style>
  <w:style w:type="character" w:customStyle="1" w:styleId="apple-converted-space">
    <w:name w:val="apple-converted-space"/>
    <w:basedOn w:val="DefaultParagraphFont"/>
    <w:rsid w:val="00A13811"/>
  </w:style>
  <w:style w:type="paragraph" w:styleId="Header">
    <w:name w:val="header"/>
    <w:basedOn w:val="Normal"/>
    <w:link w:val="HeaderChar"/>
    <w:uiPriority w:val="99"/>
    <w:unhideWhenUsed/>
    <w:rsid w:val="00830E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0E49"/>
  </w:style>
  <w:style w:type="paragraph" w:styleId="Footer">
    <w:name w:val="footer"/>
    <w:basedOn w:val="Normal"/>
    <w:link w:val="FooterChar"/>
    <w:uiPriority w:val="99"/>
    <w:unhideWhenUsed/>
    <w:rsid w:val="00830E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0E49"/>
  </w:style>
  <w:style w:type="character" w:styleId="Hyperlink">
    <w:name w:val="Hyperlink"/>
    <w:basedOn w:val="DefaultParagraphFont"/>
    <w:uiPriority w:val="99"/>
    <w:unhideWhenUsed/>
    <w:rsid w:val="009378CD"/>
    <w:rPr>
      <w:color w:val="467886" w:themeColor="hyperlink"/>
      <w:u w:val="single"/>
    </w:rPr>
  </w:style>
  <w:style w:type="paragraph" w:styleId="NormalWeb">
    <w:name w:val="Normal (Web)"/>
    <w:basedOn w:val="Normal"/>
    <w:uiPriority w:val="99"/>
    <w:semiHidden/>
    <w:unhideWhenUsed/>
    <w:rsid w:val="00F77E45"/>
    <w:pPr>
      <w:spacing w:before="100" w:beforeAutospacing="1" w:after="100" w:afterAutospacing="1" w:line="240" w:lineRule="auto"/>
    </w:pPr>
    <w:rPr>
      <w:rFonts w:ascii="Times New Roman" w:hAnsi="Times New Roman" w:cs="Times New Roman"/>
      <w:kern w:val="0"/>
      <w:lang w:eastAsia="en-GB"/>
      <w14:ligatures w14:val="none"/>
    </w:rPr>
  </w:style>
  <w:style w:type="paragraph" w:customStyle="1" w:styleId="li1">
    <w:name w:val="li1"/>
    <w:basedOn w:val="Normal"/>
    <w:rsid w:val="00F8363F"/>
    <w:pPr>
      <w:spacing w:after="0" w:line="240" w:lineRule="auto"/>
    </w:pPr>
    <w:rPr>
      <w:rFonts w:ascii="Helvetica" w:hAnsi="Helvetica" w:cs="Times New Roman"/>
      <w:kern w:val="0"/>
      <w:sz w:val="18"/>
      <w:szCs w:val="1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0195921">
      <w:bodyDiv w:val="1"/>
      <w:marLeft w:val="0"/>
      <w:marRight w:val="0"/>
      <w:marTop w:val="0"/>
      <w:marBottom w:val="0"/>
      <w:divBdr>
        <w:top w:val="none" w:sz="0" w:space="0" w:color="auto"/>
        <w:left w:val="none" w:sz="0" w:space="0" w:color="auto"/>
        <w:bottom w:val="none" w:sz="0" w:space="0" w:color="auto"/>
        <w:right w:val="none" w:sz="0" w:space="0" w:color="auto"/>
      </w:divBdr>
    </w:div>
    <w:div w:id="750007922">
      <w:bodyDiv w:val="1"/>
      <w:marLeft w:val="0"/>
      <w:marRight w:val="0"/>
      <w:marTop w:val="0"/>
      <w:marBottom w:val="0"/>
      <w:divBdr>
        <w:top w:val="none" w:sz="0" w:space="0" w:color="auto"/>
        <w:left w:val="none" w:sz="0" w:space="0" w:color="auto"/>
        <w:bottom w:val="none" w:sz="0" w:space="0" w:color="auto"/>
        <w:right w:val="none" w:sz="0" w:space="0" w:color="auto"/>
      </w:divBdr>
      <w:divsChild>
        <w:div w:id="1083986641">
          <w:marLeft w:val="0"/>
          <w:marRight w:val="0"/>
          <w:marTop w:val="0"/>
          <w:marBottom w:val="0"/>
          <w:divBdr>
            <w:top w:val="none" w:sz="0" w:space="0" w:color="auto"/>
            <w:left w:val="none" w:sz="0" w:space="0" w:color="auto"/>
            <w:bottom w:val="none" w:sz="0" w:space="0" w:color="auto"/>
            <w:right w:val="none" w:sz="0" w:space="0" w:color="auto"/>
          </w:divBdr>
        </w:div>
      </w:divsChild>
    </w:div>
    <w:div w:id="1384987848">
      <w:bodyDiv w:val="1"/>
      <w:marLeft w:val="0"/>
      <w:marRight w:val="0"/>
      <w:marTop w:val="0"/>
      <w:marBottom w:val="0"/>
      <w:divBdr>
        <w:top w:val="none" w:sz="0" w:space="0" w:color="auto"/>
        <w:left w:val="none" w:sz="0" w:space="0" w:color="auto"/>
        <w:bottom w:val="none" w:sz="0" w:space="0" w:color="auto"/>
        <w:right w:val="none" w:sz="0" w:space="0" w:color="auto"/>
      </w:divBdr>
    </w:div>
    <w:div w:id="1764498260">
      <w:bodyDiv w:val="1"/>
      <w:marLeft w:val="0"/>
      <w:marRight w:val="0"/>
      <w:marTop w:val="0"/>
      <w:marBottom w:val="0"/>
      <w:divBdr>
        <w:top w:val="none" w:sz="0" w:space="0" w:color="auto"/>
        <w:left w:val="none" w:sz="0" w:space="0" w:color="auto"/>
        <w:bottom w:val="none" w:sz="0" w:space="0" w:color="auto"/>
        <w:right w:val="none" w:sz="0" w:space="0" w:color="auto"/>
      </w:divBdr>
    </w:div>
    <w:div w:id="1936354958">
      <w:bodyDiv w:val="1"/>
      <w:marLeft w:val="0"/>
      <w:marRight w:val="0"/>
      <w:marTop w:val="0"/>
      <w:marBottom w:val="0"/>
      <w:divBdr>
        <w:top w:val="none" w:sz="0" w:space="0" w:color="auto"/>
        <w:left w:val="none" w:sz="0" w:space="0" w:color="auto"/>
        <w:bottom w:val="none" w:sz="0" w:space="0" w:color="auto"/>
        <w:right w:val="none" w:sz="0" w:space="0" w:color="auto"/>
      </w:divBdr>
    </w:div>
    <w:div w:id="2111580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mmarly.com/"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mybib.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12</Pages>
  <Words>4118</Words>
  <Characters>23474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dc:creator>
  <cp:keywords/>
  <dc:description/>
  <cp:lastModifiedBy>Charlotte Howell (2308966)</cp:lastModifiedBy>
  <cp:revision>56</cp:revision>
  <dcterms:created xsi:type="dcterms:W3CDTF">2025-04-04T18:51:00Z</dcterms:created>
  <dcterms:modified xsi:type="dcterms:W3CDTF">2025-04-04T20:56:00Z</dcterms:modified>
</cp:coreProperties>
</file>