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617822"/>
        <w:docPartObj>
          <w:docPartGallery w:val="Cover Pages"/>
          <w:docPartUnique/>
        </w:docPartObj>
      </w:sdtPr>
      <w:sdtEndPr/>
      <w:sdtContent>
        <w:p w14:paraId="4B16398F" w14:textId="1478E180" w:rsidR="00187AE6" w:rsidRDefault="00187AE6">
          <w:r>
            <w:rPr>
              <w:noProof/>
            </w:rPr>
            <mc:AlternateContent>
              <mc:Choice Requires="wps">
                <w:drawing>
                  <wp:anchor distT="0" distB="0" distL="114300" distR="114300" simplePos="0" relativeHeight="251659264" behindDoc="1" locked="0" layoutInCell="1" allowOverlap="0" wp14:anchorId="2EAAF4EC" wp14:editId="6F82D0A2">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87AE6" w14:paraId="5671994B" w14:textId="77777777">
                                  <w:trPr>
                                    <w:trHeight w:hRule="exact" w:val="9360"/>
                                  </w:trPr>
                                  <w:tc>
                                    <w:tcPr>
                                      <w:tcW w:w="9350" w:type="dxa"/>
                                    </w:tcPr>
                                    <w:p w14:paraId="7BF3E3A8" w14:textId="77777777" w:rsidR="00187AE6" w:rsidRDefault="00187AE6">
                                      <w:r>
                                        <w:rPr>
                                          <w:noProof/>
                                        </w:rPr>
                                        <w:drawing>
                                          <wp:inline distT="0" distB="0" distL="0" distR="0" wp14:anchorId="4D7393CE" wp14:editId="65FA36D3">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87AE6" w14:paraId="08E8FD10" w14:textId="77777777">
                                  <w:trPr>
                                    <w:trHeight w:hRule="exact" w:val="4320"/>
                                  </w:trPr>
                                  <w:tc>
                                    <w:tcPr>
                                      <w:tcW w:w="9350" w:type="dxa"/>
                                      <w:shd w:val="clear" w:color="auto" w:fill="44546A" w:themeFill="text2"/>
                                      <w:vAlign w:val="center"/>
                                    </w:tcPr>
                                    <w:p w14:paraId="5F12B66C" w14:textId="5F186BA1" w:rsidR="00187AE6" w:rsidRDefault="00904D2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093D970B3774309AFF1D7123F8DBE1B"/>
                                          </w:placeholder>
                                          <w:dataBinding w:prefixMappings="xmlns:ns0='http://purl.org/dc/elements/1.1/' xmlns:ns1='http://schemas.openxmlformats.org/package/2006/metadata/core-properties' " w:xpath="/ns1:coreProperties[1]/ns0:title[1]" w:storeItemID="{6C3C8BC8-F283-45AE-878A-BAB7291924A1}"/>
                                          <w:text/>
                                        </w:sdtPr>
                                        <w:sdtEndPr/>
                                        <w:sdtContent>
                                          <w:r w:rsidR="00187AE6">
                                            <w:rPr>
                                              <w:rFonts w:asciiTheme="majorHAnsi" w:hAnsiTheme="majorHAnsi"/>
                                              <w:color w:val="FFFFFF" w:themeColor="background1"/>
                                              <w:sz w:val="96"/>
                                              <w:szCs w:val="96"/>
                                            </w:rPr>
                                            <w:t>Democratic Deficit.</w:t>
                                          </w:r>
                                        </w:sdtContent>
                                      </w:sdt>
                                    </w:p>
                                    <w:p w14:paraId="6BED47D1" w14:textId="7FA258D5" w:rsidR="00187AE6" w:rsidRDefault="00904D22">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A7B3CB834E14FC1822A1F491CC2C4EC"/>
                                          </w:placeholder>
                                          <w:dataBinding w:prefixMappings="xmlns:ns0='http://purl.org/dc/elements/1.1/' xmlns:ns1='http://schemas.openxmlformats.org/package/2006/metadata/core-properties' " w:xpath="/ns1:coreProperties[1]/ns0:subject[1]" w:storeItemID="{6C3C8BC8-F283-45AE-878A-BAB7291924A1}"/>
                                          <w:text/>
                                        </w:sdtPr>
                                        <w:sdtEndPr/>
                                        <w:sdtContent>
                                          <w:r w:rsidR="00187AE6">
                                            <w:rPr>
                                              <w:color w:val="FFFFFF" w:themeColor="background1"/>
                                              <w:sz w:val="32"/>
                                              <w:szCs w:val="32"/>
                                            </w:rPr>
                                            <w:t>European Union Law.</w:t>
                                          </w:r>
                                        </w:sdtContent>
                                      </w:sdt>
                                    </w:p>
                                  </w:tc>
                                </w:tr>
                                <w:tr w:rsidR="00187AE6" w14:paraId="56FABBB6"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87AE6" w14:paraId="6C675BBA" w14:textId="77777777">
                                        <w:trPr>
                                          <w:trHeight w:hRule="exact" w:val="720"/>
                                        </w:trPr>
                                        <w:tc>
                                          <w:tcPr>
                                            <w:tcW w:w="3590" w:type="dxa"/>
                                            <w:vAlign w:val="center"/>
                                          </w:tcPr>
                                          <w:p w14:paraId="6D410416" w14:textId="4C410EC7" w:rsidR="00187AE6" w:rsidRDefault="00904D22">
                                            <w:pPr>
                                              <w:pStyle w:val="NoSpacing"/>
                                              <w:ind w:left="720" w:right="144"/>
                                              <w:rPr>
                                                <w:color w:val="FFFFFF" w:themeColor="background1"/>
                                              </w:rPr>
                                            </w:pPr>
                                            <w:sdt>
                                              <w:sdtPr>
                                                <w:rPr>
                                                  <w:color w:val="FFFFFF" w:themeColor="background1"/>
                                                </w:rPr>
                                                <w:alias w:val="Author"/>
                                                <w:tag w:val=""/>
                                                <w:id w:val="942812742"/>
                                                <w:placeholder>
                                                  <w:docPart w:val="D81E616525684906B4DD71FD45E755E8"/>
                                                </w:placeholder>
                                                <w:dataBinding w:prefixMappings="xmlns:ns0='http://purl.org/dc/elements/1.1/' xmlns:ns1='http://schemas.openxmlformats.org/package/2006/metadata/core-properties' " w:xpath="/ns1:coreProperties[1]/ns0:creator[1]" w:storeItemID="{6C3C8BC8-F283-45AE-878A-BAB7291924A1}"/>
                                                <w:text/>
                                              </w:sdtPr>
                                              <w:sdtEndPr/>
                                              <w:sdtContent>
                                                <w:r w:rsidR="00187AE6">
                                                  <w:rPr>
                                                    <w:color w:val="FFFFFF" w:themeColor="background1"/>
                                                  </w:rPr>
                                                  <w:t>Mel Jane Box (2003707)</w:t>
                                                </w:r>
                                              </w:sdtContent>
                                            </w:sdt>
                                          </w:p>
                                        </w:tc>
                                        <w:tc>
                                          <w:tcPr>
                                            <w:tcW w:w="3591" w:type="dxa"/>
                                            <w:vAlign w:val="center"/>
                                          </w:tcPr>
                                          <w:sdt>
                                            <w:sdtPr>
                                              <w:rPr>
                                                <w:color w:val="FFFFFF" w:themeColor="background1"/>
                                              </w:rPr>
                                              <w:alias w:val="Date"/>
                                              <w:tag w:val=""/>
                                              <w:id w:val="748164578"/>
                                              <w:placeholder>
                                                <w:docPart w:val="FBE523F1BAFB425F8F19744F1C5E7FC4"/>
                                              </w:placeholder>
                                              <w:dataBinding w:prefixMappings="xmlns:ns0='http://schemas.microsoft.com/office/2006/coverPageProps' " w:xpath="/ns0:CoverPageProperties[1]/ns0:PublishDate[1]" w:storeItemID="{55AF091B-3C7A-41E3-B477-F2FDAA23CFDA}"/>
                                              <w:date w:fullDate="2022-03-02T00:00:00Z">
                                                <w:dateFormat w:val="M/d/yy"/>
                                                <w:lid w:val="en-US"/>
                                                <w:storeMappedDataAs w:val="dateTime"/>
                                                <w:calendar w:val="gregorian"/>
                                              </w:date>
                                            </w:sdtPr>
                                            <w:sdtEndPr/>
                                            <w:sdtContent>
                                              <w:p w14:paraId="72469F73" w14:textId="5B1C0C57" w:rsidR="00187AE6" w:rsidRDefault="00187AE6">
                                                <w:pPr>
                                                  <w:pStyle w:val="NoSpacing"/>
                                                  <w:ind w:left="144" w:right="144"/>
                                                  <w:jc w:val="center"/>
                                                  <w:rPr>
                                                    <w:color w:val="FFFFFF" w:themeColor="background1"/>
                                                  </w:rPr>
                                                </w:pPr>
                                                <w:r>
                                                  <w:rPr>
                                                    <w:color w:val="FFFFFF" w:themeColor="background1"/>
                                                  </w:rPr>
                                                  <w:t>3/2/22</w:t>
                                                </w:r>
                                              </w:p>
                                            </w:sdtContent>
                                          </w:sdt>
                                        </w:tc>
                                        <w:sdt>
                                          <w:sdtPr>
                                            <w:rPr>
                                              <w:rFonts w:ascii="Arial" w:hAnsi="Arial" w:cs="Arial"/>
                                              <w:color w:val="FFFFFF" w:themeColor="background1"/>
                                              <w:sz w:val="24"/>
                                              <w:szCs w:val="24"/>
                                            </w:rPr>
                                            <w:alias w:val="Course title"/>
                                            <w:tag w:val=""/>
                                            <w:id w:val="-15923909"/>
                                            <w:placeholder>
                                              <w:docPart w:val="89CFCB73EF784EC7B1C02D314B97EF9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A5FE881" w14:textId="51CDB7DE" w:rsidR="00187AE6" w:rsidRDefault="00187AE6" w:rsidP="00187AE6">
                                                <w:pPr>
                                                  <w:pStyle w:val="NoSpacing"/>
                                                  <w:spacing w:line="600" w:lineRule="auto"/>
                                                  <w:ind w:left="144" w:right="720"/>
                                                  <w:jc w:val="right"/>
                                                  <w:rPr>
                                                    <w:color w:val="FFFFFF" w:themeColor="background1"/>
                                                  </w:rPr>
                                                </w:pPr>
                                                <w:r w:rsidRPr="00187AE6">
                                                  <w:rPr>
                                                    <w:rFonts w:ascii="Arial" w:hAnsi="Arial" w:cs="Arial"/>
                                                    <w:color w:val="FFFFFF" w:themeColor="background1"/>
                                                    <w:sz w:val="24"/>
                                                    <w:szCs w:val="24"/>
                                                  </w:rPr>
                                                  <w:t>BMLW5007.</w:t>
                                                </w:r>
                                              </w:p>
                                            </w:tc>
                                          </w:sdtContent>
                                        </w:sdt>
                                      </w:tr>
                                    </w:tbl>
                                    <w:p w14:paraId="5436D79E" w14:textId="77777777" w:rsidR="00187AE6" w:rsidRDefault="00187AE6"/>
                                  </w:tc>
                                </w:tr>
                              </w:tbl>
                              <w:p w14:paraId="6C0023DC" w14:textId="77777777" w:rsidR="00187AE6" w:rsidRDefault="00187A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AAF4EC"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87AE6" w14:paraId="5671994B" w14:textId="77777777">
                            <w:trPr>
                              <w:trHeight w:hRule="exact" w:val="9360"/>
                            </w:trPr>
                            <w:tc>
                              <w:tcPr>
                                <w:tcW w:w="9350" w:type="dxa"/>
                              </w:tcPr>
                              <w:p w14:paraId="7BF3E3A8" w14:textId="77777777" w:rsidR="00187AE6" w:rsidRDefault="00187AE6">
                                <w:r>
                                  <w:rPr>
                                    <w:noProof/>
                                  </w:rPr>
                                  <w:drawing>
                                    <wp:inline distT="0" distB="0" distL="0" distR="0" wp14:anchorId="4D7393CE" wp14:editId="65FA36D3">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87AE6" w14:paraId="08E8FD10" w14:textId="77777777">
                            <w:trPr>
                              <w:trHeight w:hRule="exact" w:val="4320"/>
                            </w:trPr>
                            <w:tc>
                              <w:tcPr>
                                <w:tcW w:w="9350" w:type="dxa"/>
                                <w:shd w:val="clear" w:color="auto" w:fill="44546A" w:themeFill="text2"/>
                                <w:vAlign w:val="center"/>
                              </w:tcPr>
                              <w:p w14:paraId="5F12B66C" w14:textId="5F186BA1" w:rsidR="00187AE6" w:rsidRDefault="00904D2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093D970B3774309AFF1D7123F8DBE1B"/>
                                    </w:placeholder>
                                    <w:dataBinding w:prefixMappings="xmlns:ns0='http://purl.org/dc/elements/1.1/' xmlns:ns1='http://schemas.openxmlformats.org/package/2006/metadata/core-properties' " w:xpath="/ns1:coreProperties[1]/ns0:title[1]" w:storeItemID="{6C3C8BC8-F283-45AE-878A-BAB7291924A1}"/>
                                    <w:text/>
                                  </w:sdtPr>
                                  <w:sdtEndPr/>
                                  <w:sdtContent>
                                    <w:r w:rsidR="00187AE6">
                                      <w:rPr>
                                        <w:rFonts w:asciiTheme="majorHAnsi" w:hAnsiTheme="majorHAnsi"/>
                                        <w:color w:val="FFFFFF" w:themeColor="background1"/>
                                        <w:sz w:val="96"/>
                                        <w:szCs w:val="96"/>
                                      </w:rPr>
                                      <w:t>Democratic Deficit.</w:t>
                                    </w:r>
                                  </w:sdtContent>
                                </w:sdt>
                              </w:p>
                              <w:p w14:paraId="6BED47D1" w14:textId="7FA258D5" w:rsidR="00187AE6" w:rsidRDefault="00904D22">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A7B3CB834E14FC1822A1F491CC2C4EC"/>
                                    </w:placeholder>
                                    <w:dataBinding w:prefixMappings="xmlns:ns0='http://purl.org/dc/elements/1.1/' xmlns:ns1='http://schemas.openxmlformats.org/package/2006/metadata/core-properties' " w:xpath="/ns1:coreProperties[1]/ns0:subject[1]" w:storeItemID="{6C3C8BC8-F283-45AE-878A-BAB7291924A1}"/>
                                    <w:text/>
                                  </w:sdtPr>
                                  <w:sdtEndPr/>
                                  <w:sdtContent>
                                    <w:r w:rsidR="00187AE6">
                                      <w:rPr>
                                        <w:color w:val="FFFFFF" w:themeColor="background1"/>
                                        <w:sz w:val="32"/>
                                        <w:szCs w:val="32"/>
                                      </w:rPr>
                                      <w:t>European Union Law.</w:t>
                                    </w:r>
                                  </w:sdtContent>
                                </w:sdt>
                              </w:p>
                            </w:tc>
                          </w:tr>
                          <w:tr w:rsidR="00187AE6" w14:paraId="56FABBB6"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87AE6" w14:paraId="6C675BBA" w14:textId="77777777">
                                  <w:trPr>
                                    <w:trHeight w:hRule="exact" w:val="720"/>
                                  </w:trPr>
                                  <w:tc>
                                    <w:tcPr>
                                      <w:tcW w:w="3590" w:type="dxa"/>
                                      <w:vAlign w:val="center"/>
                                    </w:tcPr>
                                    <w:p w14:paraId="6D410416" w14:textId="4C410EC7" w:rsidR="00187AE6" w:rsidRDefault="00904D22">
                                      <w:pPr>
                                        <w:pStyle w:val="NoSpacing"/>
                                        <w:ind w:left="720" w:right="144"/>
                                        <w:rPr>
                                          <w:color w:val="FFFFFF" w:themeColor="background1"/>
                                        </w:rPr>
                                      </w:pPr>
                                      <w:sdt>
                                        <w:sdtPr>
                                          <w:rPr>
                                            <w:color w:val="FFFFFF" w:themeColor="background1"/>
                                          </w:rPr>
                                          <w:alias w:val="Author"/>
                                          <w:tag w:val=""/>
                                          <w:id w:val="942812742"/>
                                          <w:placeholder>
                                            <w:docPart w:val="D81E616525684906B4DD71FD45E755E8"/>
                                          </w:placeholder>
                                          <w:dataBinding w:prefixMappings="xmlns:ns0='http://purl.org/dc/elements/1.1/' xmlns:ns1='http://schemas.openxmlformats.org/package/2006/metadata/core-properties' " w:xpath="/ns1:coreProperties[1]/ns0:creator[1]" w:storeItemID="{6C3C8BC8-F283-45AE-878A-BAB7291924A1}"/>
                                          <w:text/>
                                        </w:sdtPr>
                                        <w:sdtEndPr/>
                                        <w:sdtContent>
                                          <w:r w:rsidR="00187AE6">
                                            <w:rPr>
                                              <w:color w:val="FFFFFF" w:themeColor="background1"/>
                                            </w:rPr>
                                            <w:t>Mel Jane Box (2003707)</w:t>
                                          </w:r>
                                        </w:sdtContent>
                                      </w:sdt>
                                    </w:p>
                                  </w:tc>
                                  <w:tc>
                                    <w:tcPr>
                                      <w:tcW w:w="3591" w:type="dxa"/>
                                      <w:vAlign w:val="center"/>
                                    </w:tcPr>
                                    <w:sdt>
                                      <w:sdtPr>
                                        <w:rPr>
                                          <w:color w:val="FFFFFF" w:themeColor="background1"/>
                                        </w:rPr>
                                        <w:alias w:val="Date"/>
                                        <w:tag w:val=""/>
                                        <w:id w:val="748164578"/>
                                        <w:placeholder>
                                          <w:docPart w:val="FBE523F1BAFB425F8F19744F1C5E7FC4"/>
                                        </w:placeholder>
                                        <w:dataBinding w:prefixMappings="xmlns:ns0='http://schemas.microsoft.com/office/2006/coverPageProps' " w:xpath="/ns0:CoverPageProperties[1]/ns0:PublishDate[1]" w:storeItemID="{55AF091B-3C7A-41E3-B477-F2FDAA23CFDA}"/>
                                        <w:date w:fullDate="2022-03-02T00:00:00Z">
                                          <w:dateFormat w:val="M/d/yy"/>
                                          <w:lid w:val="en-US"/>
                                          <w:storeMappedDataAs w:val="dateTime"/>
                                          <w:calendar w:val="gregorian"/>
                                        </w:date>
                                      </w:sdtPr>
                                      <w:sdtEndPr/>
                                      <w:sdtContent>
                                        <w:p w14:paraId="72469F73" w14:textId="5B1C0C57" w:rsidR="00187AE6" w:rsidRDefault="00187AE6">
                                          <w:pPr>
                                            <w:pStyle w:val="NoSpacing"/>
                                            <w:ind w:left="144" w:right="144"/>
                                            <w:jc w:val="center"/>
                                            <w:rPr>
                                              <w:color w:val="FFFFFF" w:themeColor="background1"/>
                                            </w:rPr>
                                          </w:pPr>
                                          <w:r>
                                            <w:rPr>
                                              <w:color w:val="FFFFFF" w:themeColor="background1"/>
                                            </w:rPr>
                                            <w:t>3/2/22</w:t>
                                          </w:r>
                                        </w:p>
                                      </w:sdtContent>
                                    </w:sdt>
                                  </w:tc>
                                  <w:sdt>
                                    <w:sdtPr>
                                      <w:rPr>
                                        <w:rFonts w:ascii="Arial" w:hAnsi="Arial" w:cs="Arial"/>
                                        <w:color w:val="FFFFFF" w:themeColor="background1"/>
                                        <w:sz w:val="24"/>
                                        <w:szCs w:val="24"/>
                                      </w:rPr>
                                      <w:alias w:val="Course title"/>
                                      <w:tag w:val=""/>
                                      <w:id w:val="-15923909"/>
                                      <w:placeholder>
                                        <w:docPart w:val="89CFCB73EF784EC7B1C02D314B97EF9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A5FE881" w14:textId="51CDB7DE" w:rsidR="00187AE6" w:rsidRDefault="00187AE6" w:rsidP="00187AE6">
                                          <w:pPr>
                                            <w:pStyle w:val="NoSpacing"/>
                                            <w:spacing w:line="600" w:lineRule="auto"/>
                                            <w:ind w:left="144" w:right="720"/>
                                            <w:jc w:val="right"/>
                                            <w:rPr>
                                              <w:color w:val="FFFFFF" w:themeColor="background1"/>
                                            </w:rPr>
                                          </w:pPr>
                                          <w:r w:rsidRPr="00187AE6">
                                            <w:rPr>
                                              <w:rFonts w:ascii="Arial" w:hAnsi="Arial" w:cs="Arial"/>
                                              <w:color w:val="FFFFFF" w:themeColor="background1"/>
                                              <w:sz w:val="24"/>
                                              <w:szCs w:val="24"/>
                                            </w:rPr>
                                            <w:t>BMLW5007.</w:t>
                                          </w:r>
                                        </w:p>
                                      </w:tc>
                                    </w:sdtContent>
                                  </w:sdt>
                                </w:tr>
                              </w:tbl>
                              <w:p w14:paraId="5436D79E" w14:textId="77777777" w:rsidR="00187AE6" w:rsidRDefault="00187AE6"/>
                            </w:tc>
                          </w:tr>
                        </w:tbl>
                        <w:p w14:paraId="6C0023DC" w14:textId="77777777" w:rsidR="00187AE6" w:rsidRDefault="00187AE6"/>
                      </w:txbxContent>
                    </v:textbox>
                    <w10:wrap anchorx="page" anchory="page"/>
                  </v:shape>
                </w:pict>
              </mc:Fallback>
            </mc:AlternateContent>
          </w:r>
        </w:p>
        <w:p w14:paraId="5313A84C" w14:textId="65A8AB1E" w:rsidR="00187AE6" w:rsidRDefault="00187AE6">
          <w:r>
            <w:br w:type="page"/>
          </w:r>
        </w:p>
      </w:sdtContent>
    </w:sdt>
    <w:p w14:paraId="53BB4A29" w14:textId="519B9747" w:rsidR="00187AE6" w:rsidRDefault="00187AE6" w:rsidP="00187AE6">
      <w:pPr>
        <w:spacing w:line="600" w:lineRule="auto"/>
        <w:rPr>
          <w:rFonts w:ascii="Arial" w:hAnsi="Arial" w:cs="Arial"/>
          <w:sz w:val="24"/>
          <w:szCs w:val="24"/>
        </w:rPr>
      </w:pPr>
      <w:r>
        <w:rPr>
          <w:rFonts w:ascii="Arial" w:hAnsi="Arial" w:cs="Arial"/>
          <w:sz w:val="24"/>
          <w:szCs w:val="24"/>
        </w:rPr>
        <w:lastRenderedPageBreak/>
        <w:t xml:space="preserve">According to </w:t>
      </w:r>
      <w:proofErr w:type="spellStart"/>
      <w:r>
        <w:rPr>
          <w:rFonts w:ascii="Arial" w:hAnsi="Arial" w:cs="Arial"/>
          <w:sz w:val="24"/>
          <w:szCs w:val="24"/>
        </w:rPr>
        <w:t>Moravcsik</w:t>
      </w:r>
      <w:proofErr w:type="spellEnd"/>
      <w:r>
        <w:rPr>
          <w:rFonts w:ascii="Arial" w:hAnsi="Arial" w:cs="Arial"/>
          <w:sz w:val="24"/>
          <w:szCs w:val="24"/>
        </w:rPr>
        <w:t xml:space="preserve"> 1998, European Democratic deficit is a myth and is no worse condition than its constituent Member states. All seems well if Member states can manage European Union affairs through institutions such as the </w:t>
      </w:r>
      <w:r w:rsidR="00AF663C">
        <w:rPr>
          <w:rFonts w:ascii="Arial" w:hAnsi="Arial" w:cs="Arial"/>
          <w:sz w:val="24"/>
          <w:szCs w:val="24"/>
        </w:rPr>
        <w:t>likes of the European Council and the Council of Ministers. The phrase ‘Democratic Deficit’ was first used in 1977 by the young European Federalists in their manifesto, this was drafted by a Richard Corbett. In 1979, this was referenced to the then European Economic Community (the forerunner of the European Union) by David Marquand.</w:t>
      </w:r>
    </w:p>
    <w:p w14:paraId="5907642B" w14:textId="7C03B41D" w:rsidR="00AF663C" w:rsidRDefault="00AF663C" w:rsidP="00187AE6">
      <w:pPr>
        <w:spacing w:line="600" w:lineRule="auto"/>
        <w:rPr>
          <w:rFonts w:ascii="Arial" w:hAnsi="Arial" w:cs="Arial"/>
          <w:sz w:val="24"/>
          <w:szCs w:val="24"/>
        </w:rPr>
      </w:pPr>
      <w:r>
        <w:rPr>
          <w:rFonts w:ascii="Arial" w:hAnsi="Arial" w:cs="Arial"/>
          <w:sz w:val="24"/>
          <w:szCs w:val="24"/>
        </w:rPr>
        <w:t xml:space="preserve">A democratic deficit would refer to a lack of accessibility to the ordinary person, lack of representation of the person </w:t>
      </w:r>
      <w:proofErr w:type="gramStart"/>
      <w:r>
        <w:rPr>
          <w:rFonts w:ascii="Arial" w:hAnsi="Arial" w:cs="Arial"/>
          <w:sz w:val="24"/>
          <w:szCs w:val="24"/>
        </w:rPr>
        <w:t>and also</w:t>
      </w:r>
      <w:proofErr w:type="gramEnd"/>
      <w:r>
        <w:rPr>
          <w:rFonts w:ascii="Arial" w:hAnsi="Arial" w:cs="Arial"/>
          <w:sz w:val="24"/>
          <w:szCs w:val="24"/>
        </w:rPr>
        <w:t xml:space="preserve"> lacking in accountability of the European institutions. A democratic deficit would only happen if the democratic institutions or the organisations (in other words government) fall short of fulfilling their duties of democracy in their practices where everything becomes widely discussed by repre</w:t>
      </w:r>
      <w:r w:rsidR="006F1FDB">
        <w:rPr>
          <w:rFonts w:ascii="Arial" w:hAnsi="Arial" w:cs="Arial"/>
          <w:sz w:val="24"/>
          <w:szCs w:val="24"/>
        </w:rPr>
        <w:t xml:space="preserve">sentatives and linked to parliamentary integrity. This case for this would be Van Gen den Loos 26/62 and Costa v Enel 6/64. These judgements were greatly contributed to, but not only in terms of a separate community to be built, but now a European Union legal system. These would stand the </w:t>
      </w:r>
      <w:proofErr w:type="spellStart"/>
      <w:r w:rsidR="006F1FDB">
        <w:rPr>
          <w:rFonts w:ascii="Arial" w:hAnsi="Arial" w:cs="Arial"/>
          <w:sz w:val="24"/>
          <w:szCs w:val="24"/>
        </w:rPr>
        <w:t>suprnational</w:t>
      </w:r>
      <w:proofErr w:type="spellEnd"/>
      <w:r w:rsidR="006F1FDB">
        <w:rPr>
          <w:rFonts w:ascii="Arial" w:hAnsi="Arial" w:cs="Arial"/>
          <w:sz w:val="24"/>
          <w:szCs w:val="24"/>
        </w:rPr>
        <w:t xml:space="preserve"> status of the new European legal order and constitutionality of the communities.</w:t>
      </w:r>
    </w:p>
    <w:p w14:paraId="3521C757" w14:textId="22A36635" w:rsidR="00692C9F" w:rsidRDefault="00692C9F" w:rsidP="00187AE6">
      <w:pPr>
        <w:spacing w:line="600" w:lineRule="auto"/>
        <w:rPr>
          <w:rFonts w:ascii="Arial" w:hAnsi="Arial" w:cs="Arial"/>
          <w:sz w:val="24"/>
          <w:szCs w:val="24"/>
        </w:rPr>
      </w:pPr>
      <w:r>
        <w:rPr>
          <w:rFonts w:ascii="Arial" w:hAnsi="Arial" w:cs="Arial"/>
          <w:sz w:val="24"/>
          <w:szCs w:val="24"/>
        </w:rPr>
        <w:t xml:space="preserve">Article 10 which is now known as Article 4 (3) TEU is when all Member states are required the good faith clause. This means to make all measures to fulfil the obligations which are to rise under the treaties. Article 11 which was brought into the </w:t>
      </w:r>
      <w:r>
        <w:rPr>
          <w:rFonts w:ascii="Arial" w:hAnsi="Arial" w:cs="Arial"/>
          <w:sz w:val="24"/>
          <w:szCs w:val="24"/>
        </w:rPr>
        <w:lastRenderedPageBreak/>
        <w:t xml:space="preserve">European Communities Treaty, and into the TEU </w:t>
      </w:r>
      <w:r w:rsidR="00B37E1F">
        <w:rPr>
          <w:rFonts w:ascii="Arial" w:hAnsi="Arial" w:cs="Arial"/>
          <w:sz w:val="24"/>
          <w:szCs w:val="24"/>
        </w:rPr>
        <w:t>section,</w:t>
      </w:r>
      <w:r>
        <w:rPr>
          <w:rFonts w:ascii="Arial" w:hAnsi="Arial" w:cs="Arial"/>
          <w:sz w:val="24"/>
          <w:szCs w:val="24"/>
        </w:rPr>
        <w:t xml:space="preserve"> which is Articles 43 et </w:t>
      </w:r>
      <w:proofErr w:type="spellStart"/>
      <w:r>
        <w:rPr>
          <w:rFonts w:ascii="Arial" w:hAnsi="Arial" w:cs="Arial"/>
          <w:sz w:val="24"/>
          <w:szCs w:val="24"/>
        </w:rPr>
        <w:t>seq</w:t>
      </w:r>
      <w:proofErr w:type="spellEnd"/>
      <w:r>
        <w:rPr>
          <w:rFonts w:ascii="Arial" w:hAnsi="Arial" w:cs="Arial"/>
          <w:sz w:val="24"/>
          <w:szCs w:val="24"/>
        </w:rPr>
        <w:t xml:space="preserve">, now known as Article 20 of the </w:t>
      </w:r>
      <w:r w:rsidR="00B37E1F">
        <w:rPr>
          <w:rFonts w:ascii="Arial" w:hAnsi="Arial" w:cs="Arial"/>
          <w:sz w:val="24"/>
          <w:szCs w:val="24"/>
        </w:rPr>
        <w:t>TEU. This Article will allow for any number of</w:t>
      </w:r>
      <w:r w:rsidR="000E11DE">
        <w:rPr>
          <w:rFonts w:ascii="Arial" w:hAnsi="Arial" w:cs="Arial"/>
          <w:sz w:val="24"/>
          <w:szCs w:val="24"/>
        </w:rPr>
        <w:t xml:space="preserve"> its member states would like to integrate into other areas. This made the breaking up of the communities more than possible and allowed for the body of community law, which is known as Acquis Communautaire. This would then go on to apply to all Member </w:t>
      </w:r>
      <w:r w:rsidR="00697136">
        <w:rPr>
          <w:rFonts w:ascii="Arial" w:hAnsi="Arial" w:cs="Arial"/>
          <w:sz w:val="24"/>
          <w:szCs w:val="24"/>
        </w:rPr>
        <w:t xml:space="preserve">states in the same way and may well be undermined as a different combination of the Member states who choose to go their own way with </w:t>
      </w:r>
      <w:proofErr w:type="gramStart"/>
      <w:r w:rsidR="00697136">
        <w:rPr>
          <w:rFonts w:ascii="Arial" w:hAnsi="Arial" w:cs="Arial"/>
          <w:sz w:val="24"/>
          <w:szCs w:val="24"/>
        </w:rPr>
        <w:t>particular policies</w:t>
      </w:r>
      <w:proofErr w:type="gramEnd"/>
      <w:r w:rsidR="00697136">
        <w:rPr>
          <w:rFonts w:ascii="Arial" w:hAnsi="Arial" w:cs="Arial"/>
          <w:sz w:val="24"/>
          <w:szCs w:val="24"/>
        </w:rPr>
        <w:t>.</w:t>
      </w:r>
    </w:p>
    <w:p w14:paraId="7A8AAE54" w14:textId="77777777" w:rsidR="00697136" w:rsidRDefault="00697136" w:rsidP="00187AE6">
      <w:pPr>
        <w:spacing w:line="600" w:lineRule="auto"/>
        <w:rPr>
          <w:rFonts w:ascii="Arial" w:hAnsi="Arial" w:cs="Arial"/>
          <w:sz w:val="24"/>
          <w:szCs w:val="24"/>
        </w:rPr>
      </w:pPr>
      <w:r>
        <w:rPr>
          <w:rFonts w:ascii="Arial" w:hAnsi="Arial" w:cs="Arial"/>
          <w:sz w:val="24"/>
          <w:szCs w:val="24"/>
        </w:rPr>
        <w:t>The role of the European Commission is that this is the European Union’s independent executive arm. They are responsible for new proposals on new European legislation. This also implements any decisions with the council of the European Union and the European Parliament.</w:t>
      </w:r>
    </w:p>
    <w:p w14:paraId="6F9AA112" w14:textId="2A6F164A" w:rsidR="00B43B4C" w:rsidRDefault="00697136" w:rsidP="00187AE6">
      <w:pPr>
        <w:spacing w:line="600" w:lineRule="auto"/>
        <w:rPr>
          <w:rFonts w:ascii="Arial" w:hAnsi="Arial" w:cs="Arial"/>
          <w:sz w:val="24"/>
          <w:szCs w:val="24"/>
        </w:rPr>
      </w:pPr>
      <w:r>
        <w:rPr>
          <w:rFonts w:ascii="Arial" w:hAnsi="Arial" w:cs="Arial"/>
          <w:sz w:val="24"/>
          <w:szCs w:val="24"/>
        </w:rPr>
        <w:t>Article 258 of the TFEU (formally Article 226 EC) now includes a possibility for the commission to set out any penalties towards a member state under Article 258 TFEU. This would be where the case concerns that there has been a failure from a member state of implementing any legislation for new directives within a time frame.</w:t>
      </w:r>
      <w:r w:rsidR="00A43B1D">
        <w:rPr>
          <w:rFonts w:ascii="Arial" w:hAnsi="Arial" w:cs="Arial"/>
          <w:sz w:val="24"/>
          <w:szCs w:val="24"/>
        </w:rPr>
        <w:t xml:space="preserve"> The case for this is C-6&amp;9/90 Francovich v Italy (1991) ECR 1-5357. This concerned employees of a bankrupt company who were trying to claim wages arrears, this had been guaranteed by a Directive which Italy had not implemented. The legal principle of this was held that the Italian state would be made liable for their failure to </w:t>
      </w:r>
      <w:r w:rsidR="00A43B1D">
        <w:rPr>
          <w:rFonts w:ascii="Arial" w:hAnsi="Arial" w:cs="Arial"/>
          <w:sz w:val="24"/>
          <w:szCs w:val="24"/>
        </w:rPr>
        <w:lastRenderedPageBreak/>
        <w:t>implement this Directive if the next three conditions had been fulfilled.</w:t>
      </w:r>
      <w:r w:rsidR="005437E1">
        <w:rPr>
          <w:rFonts w:ascii="Arial" w:hAnsi="Arial" w:cs="Arial"/>
          <w:sz w:val="24"/>
          <w:szCs w:val="24"/>
        </w:rPr>
        <w:t xml:space="preserve"> The Directive would give the rights to individual, and that those rights would be identifiable with the wording of this Directive, and finally there would be a casual link between any failure to implement </w:t>
      </w:r>
      <w:proofErr w:type="gramStart"/>
      <w:r w:rsidR="005437E1">
        <w:rPr>
          <w:rFonts w:ascii="Arial" w:hAnsi="Arial" w:cs="Arial"/>
          <w:sz w:val="24"/>
          <w:szCs w:val="24"/>
        </w:rPr>
        <w:t>and also</w:t>
      </w:r>
      <w:proofErr w:type="gramEnd"/>
      <w:r w:rsidR="005437E1">
        <w:rPr>
          <w:rFonts w:ascii="Arial" w:hAnsi="Arial" w:cs="Arial"/>
          <w:sz w:val="24"/>
          <w:szCs w:val="24"/>
        </w:rPr>
        <w:t xml:space="preserve"> the damage this could bring about to the individual. All forms of community law have now had this applied to them. This can be seen in several cases C-46&amp;48/93 Brasserie du </w:t>
      </w:r>
      <w:proofErr w:type="spellStart"/>
      <w:r w:rsidR="005437E1">
        <w:rPr>
          <w:rFonts w:ascii="Arial" w:hAnsi="Arial" w:cs="Arial"/>
          <w:sz w:val="24"/>
          <w:szCs w:val="24"/>
        </w:rPr>
        <w:t>Pecheur</w:t>
      </w:r>
      <w:proofErr w:type="spellEnd"/>
      <w:r w:rsidR="005437E1">
        <w:rPr>
          <w:rFonts w:ascii="Arial" w:hAnsi="Arial" w:cs="Arial"/>
          <w:sz w:val="24"/>
          <w:szCs w:val="24"/>
        </w:rPr>
        <w:t xml:space="preserve"> v Germany </w:t>
      </w:r>
      <w:proofErr w:type="gramStart"/>
      <w:r w:rsidR="005437E1">
        <w:rPr>
          <w:rFonts w:ascii="Arial" w:hAnsi="Arial" w:cs="Arial"/>
          <w:sz w:val="24"/>
          <w:szCs w:val="24"/>
        </w:rPr>
        <w:t>and also</w:t>
      </w:r>
      <w:proofErr w:type="gramEnd"/>
      <w:r w:rsidR="005437E1">
        <w:rPr>
          <w:rFonts w:ascii="Arial" w:hAnsi="Arial" w:cs="Arial"/>
          <w:sz w:val="24"/>
          <w:szCs w:val="24"/>
        </w:rPr>
        <w:t xml:space="preserve"> within R v Secretary of State for Transport, ex </w:t>
      </w:r>
      <w:proofErr w:type="spellStart"/>
      <w:r w:rsidR="005437E1">
        <w:rPr>
          <w:rFonts w:ascii="Arial" w:hAnsi="Arial" w:cs="Arial"/>
          <w:sz w:val="24"/>
          <w:szCs w:val="24"/>
        </w:rPr>
        <w:t>parte</w:t>
      </w:r>
      <w:proofErr w:type="spellEnd"/>
      <w:r w:rsidR="005437E1">
        <w:rPr>
          <w:rFonts w:ascii="Arial" w:hAnsi="Arial" w:cs="Arial"/>
          <w:sz w:val="24"/>
          <w:szCs w:val="24"/>
        </w:rPr>
        <w:t xml:space="preserve"> Factortame (1996) ECR 1-1029). They went on to also add a principle that any breach </w:t>
      </w:r>
      <w:proofErr w:type="gramStart"/>
      <w:r w:rsidR="005437E1">
        <w:rPr>
          <w:rFonts w:ascii="Arial" w:hAnsi="Arial" w:cs="Arial"/>
          <w:sz w:val="24"/>
          <w:szCs w:val="24"/>
        </w:rPr>
        <w:t>has to</w:t>
      </w:r>
      <w:proofErr w:type="gramEnd"/>
      <w:r w:rsidR="005437E1">
        <w:rPr>
          <w:rFonts w:ascii="Arial" w:hAnsi="Arial" w:cs="Arial"/>
          <w:sz w:val="24"/>
          <w:szCs w:val="24"/>
        </w:rPr>
        <w:t xml:space="preserve"> be serious in order to apply this principle to all the forms of Community law.</w:t>
      </w:r>
    </w:p>
    <w:p w14:paraId="02B6E177" w14:textId="6B3D246C" w:rsidR="00B43B4C" w:rsidRDefault="00B43B4C" w:rsidP="00187AE6">
      <w:pPr>
        <w:spacing w:line="600" w:lineRule="auto"/>
        <w:rPr>
          <w:rFonts w:ascii="Arial" w:hAnsi="Arial" w:cs="Arial"/>
          <w:sz w:val="24"/>
          <w:szCs w:val="24"/>
        </w:rPr>
      </w:pPr>
      <w:r>
        <w:rPr>
          <w:rFonts w:ascii="Arial" w:hAnsi="Arial" w:cs="Arial"/>
          <w:sz w:val="24"/>
          <w:szCs w:val="24"/>
        </w:rPr>
        <w:t>The role of the Commission which was otherwise known as the European Commission is to be an executive administrator for the Union.</w:t>
      </w:r>
      <w:r w:rsidR="004775B0">
        <w:rPr>
          <w:rFonts w:ascii="Arial" w:hAnsi="Arial" w:cs="Arial"/>
          <w:sz w:val="24"/>
          <w:szCs w:val="24"/>
        </w:rPr>
        <w:t xml:space="preserve"> </w:t>
      </w:r>
      <w:r w:rsidR="002638AD">
        <w:rPr>
          <w:rFonts w:ascii="Arial" w:hAnsi="Arial" w:cs="Arial"/>
          <w:sz w:val="24"/>
          <w:szCs w:val="24"/>
        </w:rPr>
        <w:t>They had been given sole right as to be able to propose any legislation which was under the original treaties. This would make the commission more powerful than just an ordinary civil service bureaucracy who would carry out the comings and goings of an elected government.</w:t>
      </w:r>
    </w:p>
    <w:p w14:paraId="23AB3AF9" w14:textId="3F9C6A70" w:rsidR="002638AD" w:rsidRDefault="002638AD" w:rsidP="00187AE6">
      <w:pPr>
        <w:spacing w:line="600" w:lineRule="auto"/>
        <w:rPr>
          <w:rFonts w:ascii="Arial" w:hAnsi="Arial" w:cs="Arial"/>
          <w:sz w:val="24"/>
          <w:szCs w:val="24"/>
        </w:rPr>
      </w:pPr>
      <w:r>
        <w:rPr>
          <w:rFonts w:ascii="Arial" w:hAnsi="Arial" w:cs="Arial"/>
          <w:sz w:val="24"/>
          <w:szCs w:val="24"/>
        </w:rPr>
        <w:t xml:space="preserve">The commission has its own decision-making powers to be inferred from Article 17 of the TEU </w:t>
      </w:r>
      <w:proofErr w:type="gramStart"/>
      <w:r>
        <w:rPr>
          <w:rFonts w:ascii="Arial" w:hAnsi="Arial" w:cs="Arial"/>
          <w:sz w:val="24"/>
          <w:szCs w:val="24"/>
        </w:rPr>
        <w:t>and also</w:t>
      </w:r>
      <w:proofErr w:type="gramEnd"/>
      <w:r>
        <w:rPr>
          <w:rFonts w:ascii="Arial" w:hAnsi="Arial" w:cs="Arial"/>
          <w:sz w:val="24"/>
          <w:szCs w:val="24"/>
        </w:rPr>
        <w:t xml:space="preserve"> Article 288 (1) TFEU. This goes on to provide the institutions with all the law-making powers that they need, </w:t>
      </w:r>
      <w:proofErr w:type="gramStart"/>
      <w:r>
        <w:rPr>
          <w:rFonts w:ascii="Arial" w:hAnsi="Arial" w:cs="Arial"/>
          <w:sz w:val="24"/>
          <w:szCs w:val="24"/>
        </w:rPr>
        <w:t>and also</w:t>
      </w:r>
      <w:proofErr w:type="gramEnd"/>
      <w:r>
        <w:rPr>
          <w:rFonts w:ascii="Arial" w:hAnsi="Arial" w:cs="Arial"/>
          <w:sz w:val="24"/>
          <w:szCs w:val="24"/>
        </w:rPr>
        <w:t xml:space="preserve"> under Article 105 TEFU competition law policy. These are regulations with regards to competition law, this was a necessary element </w:t>
      </w:r>
      <w:proofErr w:type="gramStart"/>
      <w:r>
        <w:rPr>
          <w:rFonts w:ascii="Arial" w:hAnsi="Arial" w:cs="Arial"/>
          <w:sz w:val="24"/>
          <w:szCs w:val="24"/>
        </w:rPr>
        <w:t>and also</w:t>
      </w:r>
      <w:proofErr w:type="gramEnd"/>
      <w:r>
        <w:rPr>
          <w:rFonts w:ascii="Arial" w:hAnsi="Arial" w:cs="Arial"/>
          <w:sz w:val="24"/>
          <w:szCs w:val="24"/>
        </w:rPr>
        <w:t xml:space="preserve"> essential with the functioning and the building of </w:t>
      </w:r>
      <w:r>
        <w:rPr>
          <w:rFonts w:ascii="Arial" w:hAnsi="Arial" w:cs="Arial"/>
          <w:sz w:val="24"/>
          <w:szCs w:val="24"/>
        </w:rPr>
        <w:lastRenderedPageBreak/>
        <w:t xml:space="preserve">the union and the community. This can be found in case C-126/97 Eco Swiss China Time Ltd </w:t>
      </w:r>
      <w:r w:rsidR="00625048">
        <w:rPr>
          <w:rFonts w:ascii="Arial" w:hAnsi="Arial" w:cs="Arial"/>
          <w:sz w:val="24"/>
          <w:szCs w:val="24"/>
        </w:rPr>
        <w:t>v Benetton International NV (1999) ECR I3055</w:t>
      </w:r>
      <w:r w:rsidR="006649E3">
        <w:rPr>
          <w:rFonts w:ascii="Arial" w:hAnsi="Arial" w:cs="Arial"/>
          <w:sz w:val="24"/>
          <w:szCs w:val="24"/>
        </w:rPr>
        <w:t>.</w:t>
      </w:r>
    </w:p>
    <w:p w14:paraId="6EAC2D5E" w14:textId="1089F72B" w:rsidR="006649E3" w:rsidRDefault="006649E3" w:rsidP="00187AE6">
      <w:pPr>
        <w:spacing w:line="600" w:lineRule="auto"/>
        <w:rPr>
          <w:rFonts w:ascii="Arial" w:hAnsi="Arial" w:cs="Arial"/>
          <w:sz w:val="24"/>
          <w:szCs w:val="24"/>
        </w:rPr>
      </w:pPr>
      <w:r>
        <w:rPr>
          <w:rFonts w:ascii="Arial" w:hAnsi="Arial" w:cs="Arial"/>
          <w:sz w:val="24"/>
          <w:szCs w:val="24"/>
        </w:rPr>
        <w:t xml:space="preserve">Each European Union country would nominate a candidate of choice from a list. They are then allotted a specific policy area, which is handed over to them by the president of the European commission. The process that is applied when selecting a president of the European commissioners can be a lot more difficult. This would involve both the European parliament plus the European council. The president is not elected by the people. The 2009 Lisbon Treaty states that council, who are acting upon </w:t>
      </w:r>
      <w:proofErr w:type="gramStart"/>
      <w:r>
        <w:rPr>
          <w:rFonts w:ascii="Arial" w:hAnsi="Arial" w:cs="Arial"/>
          <w:sz w:val="24"/>
          <w:szCs w:val="24"/>
        </w:rPr>
        <w:t>the majority of</w:t>
      </w:r>
      <w:proofErr w:type="gramEnd"/>
      <w:r>
        <w:rPr>
          <w:rFonts w:ascii="Arial" w:hAnsi="Arial" w:cs="Arial"/>
          <w:sz w:val="24"/>
          <w:szCs w:val="24"/>
        </w:rPr>
        <w:t xml:space="preserve"> qualified votes, are to propose a candidate for the European commission president to the European parliament. If they are to fail to obtain a majority, rejected, in which the process would then be repeated until a candidate can be elected successfully by the parliament.</w:t>
      </w:r>
    </w:p>
    <w:p w14:paraId="6329284A" w14:textId="0F5E5370" w:rsidR="00DB6DD7" w:rsidRDefault="00DB6DD7" w:rsidP="00187AE6">
      <w:pPr>
        <w:spacing w:line="600" w:lineRule="auto"/>
        <w:rPr>
          <w:rFonts w:ascii="Arial" w:hAnsi="Arial" w:cs="Arial"/>
          <w:sz w:val="24"/>
          <w:szCs w:val="24"/>
        </w:rPr>
      </w:pPr>
      <w:r>
        <w:rPr>
          <w:rFonts w:ascii="Arial" w:hAnsi="Arial" w:cs="Arial"/>
          <w:sz w:val="24"/>
          <w:szCs w:val="24"/>
        </w:rPr>
        <w:t xml:space="preserve">For members to be elected to the European parliament then they must vote in a transparent </w:t>
      </w:r>
      <w:proofErr w:type="gramStart"/>
      <w:r>
        <w:rPr>
          <w:rFonts w:ascii="Arial" w:hAnsi="Arial" w:cs="Arial"/>
          <w:sz w:val="24"/>
          <w:szCs w:val="24"/>
        </w:rPr>
        <w:t>and also</w:t>
      </w:r>
      <w:proofErr w:type="gramEnd"/>
      <w:r>
        <w:rPr>
          <w:rFonts w:ascii="Arial" w:hAnsi="Arial" w:cs="Arial"/>
          <w:sz w:val="24"/>
          <w:szCs w:val="24"/>
        </w:rPr>
        <w:t xml:space="preserve"> a democratic way. The Treaty for the European union </w:t>
      </w:r>
      <w:proofErr w:type="gramStart"/>
      <w:r>
        <w:rPr>
          <w:rFonts w:ascii="Arial" w:hAnsi="Arial" w:cs="Arial"/>
          <w:sz w:val="24"/>
          <w:szCs w:val="24"/>
        </w:rPr>
        <w:t>has to</w:t>
      </w:r>
      <w:proofErr w:type="gramEnd"/>
      <w:r>
        <w:rPr>
          <w:rFonts w:ascii="Arial" w:hAnsi="Arial" w:cs="Arial"/>
          <w:sz w:val="24"/>
          <w:szCs w:val="24"/>
        </w:rPr>
        <w:t xml:space="preserve"> state that all citizens are represented directly at European union level within the European parliament, and that all European union countries can be represented in a twofold manner. The Lisbon Treaty (2007) went on to put in place more notable amendments. What was included was to have a permanent, and full – time president for the European council which would go on to be able to stre</w:t>
      </w:r>
      <w:r w:rsidR="004257FE">
        <w:rPr>
          <w:rFonts w:ascii="Arial" w:hAnsi="Arial" w:cs="Arial"/>
          <w:sz w:val="24"/>
          <w:szCs w:val="24"/>
        </w:rPr>
        <w:t>ngthen the European parliament’s powers and role amongst this.</w:t>
      </w:r>
    </w:p>
    <w:p w14:paraId="30B3A078" w14:textId="50879BBB" w:rsidR="00F6557E" w:rsidRDefault="00F6557E" w:rsidP="00187AE6">
      <w:pPr>
        <w:spacing w:line="600" w:lineRule="auto"/>
        <w:rPr>
          <w:rFonts w:ascii="Arial" w:hAnsi="Arial" w:cs="Arial"/>
          <w:sz w:val="24"/>
          <w:szCs w:val="24"/>
        </w:rPr>
      </w:pPr>
      <w:r>
        <w:rPr>
          <w:rFonts w:ascii="Arial" w:hAnsi="Arial" w:cs="Arial"/>
          <w:sz w:val="24"/>
          <w:szCs w:val="24"/>
        </w:rPr>
        <w:lastRenderedPageBreak/>
        <w:t xml:space="preserve">The European parliament has changed and evolved over the decades. They have acquired extra responsibilities </w:t>
      </w:r>
      <w:proofErr w:type="gramStart"/>
      <w:r>
        <w:rPr>
          <w:rFonts w:ascii="Arial" w:hAnsi="Arial" w:cs="Arial"/>
          <w:sz w:val="24"/>
          <w:szCs w:val="24"/>
        </w:rPr>
        <w:t>and also</w:t>
      </w:r>
      <w:proofErr w:type="gramEnd"/>
      <w:r>
        <w:rPr>
          <w:rFonts w:ascii="Arial" w:hAnsi="Arial" w:cs="Arial"/>
          <w:sz w:val="24"/>
          <w:szCs w:val="24"/>
        </w:rPr>
        <w:t xml:space="preserve">, they have gained in importance too. The predecessor to this was known as the Assembly, there were only there in a supervisory way. Today the parliament is the directly elected European union institution. They have been charged with representing our interests, also alongside </w:t>
      </w:r>
      <w:proofErr w:type="gramStart"/>
      <w:r>
        <w:rPr>
          <w:rFonts w:ascii="Arial" w:hAnsi="Arial" w:cs="Arial"/>
          <w:sz w:val="24"/>
          <w:szCs w:val="24"/>
        </w:rPr>
        <w:t>shaping</w:t>
      </w:r>
      <w:proofErr w:type="gramEnd"/>
      <w:r>
        <w:rPr>
          <w:rFonts w:ascii="Arial" w:hAnsi="Arial" w:cs="Arial"/>
          <w:sz w:val="24"/>
          <w:szCs w:val="24"/>
        </w:rPr>
        <w:t xml:space="preserve"> and deciding on any new forms of legislation. They are also able to scrutinise the European union institutions as well as promote human rights within Europe and outside of Europe.</w:t>
      </w:r>
    </w:p>
    <w:p w14:paraId="7D6E44F3" w14:textId="4CA3B781" w:rsidR="00F31E9B" w:rsidRDefault="00F31E9B" w:rsidP="00187AE6">
      <w:pPr>
        <w:spacing w:line="600" w:lineRule="auto"/>
        <w:rPr>
          <w:rFonts w:ascii="Arial" w:hAnsi="Arial" w:cs="Arial"/>
          <w:sz w:val="24"/>
          <w:szCs w:val="24"/>
        </w:rPr>
      </w:pPr>
      <w:r>
        <w:rPr>
          <w:rFonts w:ascii="Arial" w:hAnsi="Arial" w:cs="Arial"/>
          <w:sz w:val="24"/>
          <w:szCs w:val="24"/>
        </w:rPr>
        <w:t>Turnout for the European parliament elections have been steadily falling from 1979 up until 2014. Then in 2019, there was a big change, where turnout for these elections had made a slight increase to its highest level since 1994.</w:t>
      </w:r>
    </w:p>
    <w:p w14:paraId="3FC3BA30" w14:textId="40DAF4C7" w:rsidR="0065540D" w:rsidRDefault="0065540D" w:rsidP="00187AE6">
      <w:pPr>
        <w:spacing w:line="600" w:lineRule="auto"/>
        <w:rPr>
          <w:rFonts w:ascii="Arial" w:hAnsi="Arial" w:cs="Arial"/>
          <w:sz w:val="24"/>
          <w:szCs w:val="24"/>
        </w:rPr>
      </w:pPr>
      <w:r>
        <w:rPr>
          <w:rFonts w:ascii="Arial" w:hAnsi="Arial" w:cs="Arial"/>
          <w:sz w:val="24"/>
          <w:szCs w:val="24"/>
        </w:rPr>
        <w:t xml:space="preserve">There are twenty-eight members of the European council plus Ursula Von de Leyen who is the president of the European commission. There are </w:t>
      </w:r>
      <w:proofErr w:type="gramStart"/>
      <w:r>
        <w:rPr>
          <w:rFonts w:ascii="Arial" w:hAnsi="Arial" w:cs="Arial"/>
          <w:sz w:val="24"/>
          <w:szCs w:val="24"/>
        </w:rPr>
        <w:t>a majority of</w:t>
      </w:r>
      <w:proofErr w:type="gramEnd"/>
      <w:r>
        <w:rPr>
          <w:rFonts w:ascii="Arial" w:hAnsi="Arial" w:cs="Arial"/>
          <w:sz w:val="24"/>
          <w:szCs w:val="24"/>
        </w:rPr>
        <w:t xml:space="preserve"> more males than females in this role of European councillors. Each one of these members are from different countries within Europe, and each one of them will have a different role to play within the European council.</w:t>
      </w:r>
    </w:p>
    <w:p w14:paraId="2AED4BCA" w14:textId="4C82D465" w:rsidR="00AC04BE" w:rsidRDefault="00AC04BE" w:rsidP="00187AE6">
      <w:pPr>
        <w:spacing w:line="600" w:lineRule="auto"/>
        <w:rPr>
          <w:rFonts w:ascii="Arial" w:hAnsi="Arial" w:cs="Arial"/>
          <w:sz w:val="24"/>
          <w:szCs w:val="24"/>
        </w:rPr>
      </w:pPr>
      <w:r>
        <w:rPr>
          <w:rFonts w:ascii="Arial" w:hAnsi="Arial" w:cs="Arial"/>
          <w:sz w:val="24"/>
          <w:szCs w:val="24"/>
        </w:rPr>
        <w:t xml:space="preserve">The appointment </w:t>
      </w:r>
      <w:proofErr w:type="gramStart"/>
      <w:r>
        <w:rPr>
          <w:rFonts w:ascii="Arial" w:hAnsi="Arial" w:cs="Arial"/>
          <w:sz w:val="24"/>
          <w:szCs w:val="24"/>
        </w:rPr>
        <w:t>and also</w:t>
      </w:r>
      <w:proofErr w:type="gramEnd"/>
      <w:r>
        <w:rPr>
          <w:rFonts w:ascii="Arial" w:hAnsi="Arial" w:cs="Arial"/>
          <w:sz w:val="24"/>
          <w:szCs w:val="24"/>
        </w:rPr>
        <w:t xml:space="preserve"> the removal of the European president </w:t>
      </w:r>
      <w:r w:rsidR="00CE710B">
        <w:rPr>
          <w:rFonts w:ascii="Arial" w:hAnsi="Arial" w:cs="Arial"/>
          <w:sz w:val="24"/>
          <w:szCs w:val="24"/>
        </w:rPr>
        <w:t xml:space="preserve">would go by the rules which had been amended by the Lisbon Treaty. To vote firstly for the commission president, this would be done by what is known as a QMV, a qualified majority voting by the European council to the European parliament. This would be </w:t>
      </w:r>
      <w:r w:rsidR="00CE710B">
        <w:rPr>
          <w:rFonts w:ascii="Arial" w:hAnsi="Arial" w:cs="Arial"/>
          <w:sz w:val="24"/>
          <w:szCs w:val="24"/>
        </w:rPr>
        <w:lastRenderedPageBreak/>
        <w:t xml:space="preserve">after many consultations, plus they also </w:t>
      </w:r>
      <w:proofErr w:type="gramStart"/>
      <w:r w:rsidR="00CE710B">
        <w:rPr>
          <w:rFonts w:ascii="Arial" w:hAnsi="Arial" w:cs="Arial"/>
          <w:sz w:val="24"/>
          <w:szCs w:val="24"/>
        </w:rPr>
        <w:t>have to</w:t>
      </w:r>
      <w:proofErr w:type="gramEnd"/>
      <w:r w:rsidR="00CE710B">
        <w:rPr>
          <w:rFonts w:ascii="Arial" w:hAnsi="Arial" w:cs="Arial"/>
          <w:sz w:val="24"/>
          <w:szCs w:val="24"/>
        </w:rPr>
        <w:t xml:space="preserve"> take into account the elections to the European parliament which is done under Article 17 (7) of the TEU. </w:t>
      </w:r>
      <w:r w:rsidR="0019380C">
        <w:rPr>
          <w:rFonts w:ascii="Arial" w:hAnsi="Arial" w:cs="Arial"/>
          <w:sz w:val="24"/>
          <w:szCs w:val="24"/>
        </w:rPr>
        <w:t>The next step would then be</w:t>
      </w:r>
      <w:r w:rsidR="00232A4F">
        <w:rPr>
          <w:rFonts w:ascii="Arial" w:hAnsi="Arial" w:cs="Arial"/>
          <w:sz w:val="24"/>
          <w:szCs w:val="24"/>
        </w:rPr>
        <w:t xml:space="preserve"> an approval which is carried out by the European parliament with a majority vote. Most of these proposals and their appointments for the president of the European Union would go through unopposed.  But back in 2014, two countries, the United Kingdom and Hungary disagreed on the appointment of Jean – Claude Juncker</w:t>
      </w:r>
      <w:r w:rsidR="00C436A3">
        <w:rPr>
          <w:rFonts w:ascii="Arial" w:hAnsi="Arial" w:cs="Arial"/>
          <w:sz w:val="24"/>
          <w:szCs w:val="24"/>
        </w:rPr>
        <w:t xml:space="preserve"> (the former Prime – Minister of Luxembourg). Juncker was still appointed under a majority vote of 26 – 2 by the European council.</w:t>
      </w:r>
    </w:p>
    <w:p w14:paraId="521AFA29" w14:textId="76F8C610" w:rsidR="00083BF1" w:rsidRDefault="00083BF1" w:rsidP="00187AE6">
      <w:pPr>
        <w:spacing w:line="600" w:lineRule="auto"/>
        <w:rPr>
          <w:rFonts w:ascii="Arial" w:hAnsi="Arial" w:cs="Arial"/>
          <w:sz w:val="24"/>
          <w:szCs w:val="24"/>
        </w:rPr>
      </w:pPr>
      <w:r>
        <w:rPr>
          <w:rFonts w:ascii="Arial" w:hAnsi="Arial" w:cs="Arial"/>
          <w:sz w:val="24"/>
          <w:szCs w:val="24"/>
        </w:rPr>
        <w:t xml:space="preserve">There are only three institutions (of which are </w:t>
      </w:r>
      <w:r w:rsidR="004C5E63">
        <w:rPr>
          <w:rFonts w:ascii="Arial" w:hAnsi="Arial" w:cs="Arial"/>
          <w:sz w:val="24"/>
          <w:szCs w:val="24"/>
        </w:rPr>
        <w:t xml:space="preserve">political) that would have legislative and executive power over the union. The governments are represented by the European Union council, whereas the citizens are represented by the parliament and the European interest would be represented by the commission. Legislation </w:t>
      </w:r>
      <w:proofErr w:type="gramStart"/>
      <w:r w:rsidR="004C5E63">
        <w:rPr>
          <w:rFonts w:ascii="Arial" w:hAnsi="Arial" w:cs="Arial"/>
          <w:sz w:val="24"/>
          <w:szCs w:val="24"/>
        </w:rPr>
        <w:t>has to</w:t>
      </w:r>
      <w:proofErr w:type="gramEnd"/>
      <w:r w:rsidR="004C5E63">
        <w:rPr>
          <w:rFonts w:ascii="Arial" w:hAnsi="Arial" w:cs="Arial"/>
          <w:sz w:val="24"/>
          <w:szCs w:val="24"/>
        </w:rPr>
        <w:t xml:space="preserve"> be submitted for a request to the commission</w:t>
      </w:r>
      <w:r w:rsidR="00ED5667">
        <w:rPr>
          <w:rFonts w:ascii="Arial" w:hAnsi="Arial" w:cs="Arial"/>
          <w:sz w:val="24"/>
          <w:szCs w:val="24"/>
        </w:rPr>
        <w:t xml:space="preserve"> by parliament, the council of the European Union or another party. Parliament and the council of the European Union are presented with a draft from the commission, in </w:t>
      </w:r>
      <w:proofErr w:type="gramStart"/>
      <w:r w:rsidR="00ED5667">
        <w:rPr>
          <w:rFonts w:ascii="Arial" w:hAnsi="Arial" w:cs="Arial"/>
          <w:sz w:val="24"/>
          <w:szCs w:val="24"/>
        </w:rPr>
        <w:t>the majority of</w:t>
      </w:r>
      <w:proofErr w:type="gramEnd"/>
      <w:r w:rsidR="00ED5667">
        <w:rPr>
          <w:rFonts w:ascii="Arial" w:hAnsi="Arial" w:cs="Arial"/>
          <w:sz w:val="24"/>
          <w:szCs w:val="24"/>
        </w:rPr>
        <w:t xml:space="preserve"> these cases, then both parties must give their approval. This </w:t>
      </w:r>
      <w:proofErr w:type="gramStart"/>
      <w:r w:rsidR="00ED5667">
        <w:rPr>
          <w:rFonts w:ascii="Arial" w:hAnsi="Arial" w:cs="Arial"/>
          <w:sz w:val="24"/>
          <w:szCs w:val="24"/>
        </w:rPr>
        <w:t>actually would</w:t>
      </w:r>
      <w:proofErr w:type="gramEnd"/>
      <w:r w:rsidR="00ED5667">
        <w:rPr>
          <w:rFonts w:ascii="Arial" w:hAnsi="Arial" w:cs="Arial"/>
          <w:sz w:val="24"/>
          <w:szCs w:val="24"/>
        </w:rPr>
        <w:t xml:space="preserve"> depend on any of its legislative procedures which are in use at the time. When this has all been approved by both of the parties which are involved it will become a law. The duty of the commission is then to oversee that this law is implemented into the day – to – day </w:t>
      </w:r>
      <w:r w:rsidR="00ED5667">
        <w:rPr>
          <w:rFonts w:ascii="Arial" w:hAnsi="Arial" w:cs="Arial"/>
          <w:sz w:val="24"/>
          <w:szCs w:val="24"/>
        </w:rPr>
        <w:lastRenderedPageBreak/>
        <w:t>procedures within the union, and if others are to fail to implement this then take them to court.</w:t>
      </w:r>
    </w:p>
    <w:p w14:paraId="40D33DFC" w14:textId="5EFAD499" w:rsidR="00A2609D" w:rsidRDefault="00A2609D" w:rsidP="00187AE6">
      <w:pPr>
        <w:spacing w:line="600" w:lineRule="auto"/>
        <w:rPr>
          <w:rFonts w:ascii="Arial" w:hAnsi="Arial" w:cs="Arial"/>
          <w:sz w:val="24"/>
          <w:szCs w:val="24"/>
        </w:rPr>
      </w:pPr>
      <w:r>
        <w:rPr>
          <w:rFonts w:ascii="Arial" w:hAnsi="Arial" w:cs="Arial"/>
          <w:sz w:val="24"/>
          <w:szCs w:val="24"/>
        </w:rPr>
        <w:t xml:space="preserve">The role of the judge of the European party is to make sure that all European union law would be applied </w:t>
      </w:r>
      <w:proofErr w:type="gramStart"/>
      <w:r>
        <w:rPr>
          <w:rFonts w:ascii="Arial" w:hAnsi="Arial" w:cs="Arial"/>
          <w:sz w:val="24"/>
          <w:szCs w:val="24"/>
        </w:rPr>
        <w:t>and also</w:t>
      </w:r>
      <w:proofErr w:type="gramEnd"/>
      <w:r>
        <w:rPr>
          <w:rFonts w:ascii="Arial" w:hAnsi="Arial" w:cs="Arial"/>
          <w:sz w:val="24"/>
          <w:szCs w:val="24"/>
        </w:rPr>
        <w:t xml:space="preserve"> interpreted the correct way in every European country. Every country and </w:t>
      </w:r>
      <w:proofErr w:type="gramStart"/>
      <w:r>
        <w:rPr>
          <w:rFonts w:ascii="Arial" w:hAnsi="Arial" w:cs="Arial"/>
          <w:sz w:val="24"/>
          <w:szCs w:val="24"/>
        </w:rPr>
        <w:t>all of</w:t>
      </w:r>
      <w:proofErr w:type="gramEnd"/>
      <w:r>
        <w:rPr>
          <w:rFonts w:ascii="Arial" w:hAnsi="Arial" w:cs="Arial"/>
          <w:sz w:val="24"/>
          <w:szCs w:val="24"/>
        </w:rPr>
        <w:t xml:space="preserve"> the European institutions must abide by these European laws. There are several cases which are brought to the Court of the European Justice (CJEU). Two of these, or the most common types of case would be interpreting </w:t>
      </w:r>
      <w:proofErr w:type="gramStart"/>
      <w:r>
        <w:rPr>
          <w:rFonts w:ascii="Arial" w:hAnsi="Arial" w:cs="Arial"/>
          <w:sz w:val="24"/>
          <w:szCs w:val="24"/>
        </w:rPr>
        <w:t>and also</w:t>
      </w:r>
      <w:proofErr w:type="gramEnd"/>
      <w:r>
        <w:rPr>
          <w:rFonts w:ascii="Arial" w:hAnsi="Arial" w:cs="Arial"/>
          <w:sz w:val="24"/>
          <w:szCs w:val="24"/>
        </w:rPr>
        <w:t xml:space="preserve"> enforcing the law. To firstly interpret the law, the National courts of the European union must ensure that all European union law is applied correctly, but different and their official courts may </w:t>
      </w:r>
      <w:proofErr w:type="gramStart"/>
      <w:r>
        <w:rPr>
          <w:rFonts w:ascii="Arial" w:hAnsi="Arial" w:cs="Arial"/>
          <w:sz w:val="24"/>
          <w:szCs w:val="24"/>
        </w:rPr>
        <w:t>actually interpret</w:t>
      </w:r>
      <w:proofErr w:type="gramEnd"/>
      <w:r>
        <w:rPr>
          <w:rFonts w:ascii="Arial" w:hAnsi="Arial" w:cs="Arial"/>
          <w:sz w:val="24"/>
          <w:szCs w:val="24"/>
        </w:rPr>
        <w:t xml:space="preserve"> this a lot differently. If national courts become unsure of any validity or any of the interpretations of anything with regards to European union </w:t>
      </w:r>
      <w:r w:rsidR="006A204E">
        <w:rPr>
          <w:rFonts w:ascii="Arial" w:hAnsi="Arial" w:cs="Arial"/>
          <w:sz w:val="24"/>
          <w:szCs w:val="24"/>
        </w:rPr>
        <w:t>law,</w:t>
      </w:r>
      <w:r>
        <w:rPr>
          <w:rFonts w:ascii="Arial" w:hAnsi="Arial" w:cs="Arial"/>
          <w:sz w:val="24"/>
          <w:szCs w:val="24"/>
        </w:rPr>
        <w:t xml:space="preserve"> they may ask for clarification from the court.</w:t>
      </w:r>
    </w:p>
    <w:p w14:paraId="394B6CB6" w14:textId="57BAD9E2" w:rsidR="00A2609D" w:rsidRDefault="00A2609D" w:rsidP="00187AE6">
      <w:pPr>
        <w:spacing w:line="600" w:lineRule="auto"/>
        <w:rPr>
          <w:rFonts w:ascii="Arial" w:hAnsi="Arial" w:cs="Arial"/>
          <w:sz w:val="24"/>
          <w:szCs w:val="24"/>
        </w:rPr>
      </w:pPr>
      <w:r>
        <w:rPr>
          <w:rFonts w:ascii="Arial" w:hAnsi="Arial" w:cs="Arial"/>
          <w:sz w:val="24"/>
          <w:szCs w:val="24"/>
        </w:rPr>
        <w:t xml:space="preserve">The actual enforcement of the law would be against a national government, if any Member state fails to comply with the laws of the European union. This type of enforcement may begin with the European commission or another European country. If this country is in the wrong, at fault, they </w:t>
      </w:r>
      <w:r w:rsidR="006A204E">
        <w:rPr>
          <w:rFonts w:ascii="Arial" w:hAnsi="Arial" w:cs="Arial"/>
          <w:sz w:val="24"/>
          <w:szCs w:val="24"/>
        </w:rPr>
        <w:t xml:space="preserve">then </w:t>
      </w:r>
      <w:proofErr w:type="gramStart"/>
      <w:r w:rsidR="006A204E">
        <w:rPr>
          <w:rFonts w:ascii="Arial" w:hAnsi="Arial" w:cs="Arial"/>
          <w:sz w:val="24"/>
          <w:szCs w:val="24"/>
        </w:rPr>
        <w:t>have to</w:t>
      </w:r>
      <w:proofErr w:type="gramEnd"/>
      <w:r w:rsidR="006A204E">
        <w:rPr>
          <w:rFonts w:ascii="Arial" w:hAnsi="Arial" w:cs="Arial"/>
          <w:sz w:val="24"/>
          <w:szCs w:val="24"/>
        </w:rPr>
        <w:t xml:space="preserve"> correct this immediately, or there could be a second case brought against them which may also result in a fine too.</w:t>
      </w:r>
    </w:p>
    <w:p w14:paraId="364586F2" w14:textId="5F9BB7F3" w:rsidR="006A204E" w:rsidRDefault="006A204E" w:rsidP="00187AE6">
      <w:pPr>
        <w:spacing w:line="600" w:lineRule="auto"/>
        <w:rPr>
          <w:rFonts w:ascii="Arial" w:hAnsi="Arial" w:cs="Arial"/>
          <w:sz w:val="24"/>
          <w:szCs w:val="24"/>
        </w:rPr>
      </w:pPr>
      <w:r>
        <w:rPr>
          <w:rFonts w:ascii="Arial" w:hAnsi="Arial" w:cs="Arial"/>
          <w:sz w:val="24"/>
          <w:szCs w:val="24"/>
        </w:rPr>
        <w:lastRenderedPageBreak/>
        <w:t>In conclusion to this the European union law is a difficult thing to work out, in the end it will become more like a jigsaw and goes together piece by piece.</w:t>
      </w:r>
    </w:p>
    <w:p w14:paraId="73ECDD62" w14:textId="60F5FF52" w:rsidR="006A204E" w:rsidRDefault="006A204E" w:rsidP="00187AE6">
      <w:pPr>
        <w:spacing w:line="600" w:lineRule="auto"/>
        <w:rPr>
          <w:rFonts w:ascii="Arial" w:hAnsi="Arial" w:cs="Arial"/>
          <w:sz w:val="24"/>
          <w:szCs w:val="24"/>
        </w:rPr>
      </w:pPr>
    </w:p>
    <w:p w14:paraId="5850DD68" w14:textId="059F4749" w:rsidR="006A204E" w:rsidRDefault="006A204E" w:rsidP="00187AE6">
      <w:pPr>
        <w:spacing w:line="600" w:lineRule="auto"/>
        <w:rPr>
          <w:rFonts w:ascii="Arial" w:hAnsi="Arial" w:cs="Arial"/>
          <w:sz w:val="24"/>
          <w:szCs w:val="24"/>
        </w:rPr>
      </w:pPr>
      <w:hyperlink r:id="rId6" w:history="1">
        <w:r w:rsidRPr="00B309C9">
          <w:rPr>
            <w:rStyle w:val="Hyperlink"/>
            <w:rFonts w:ascii="Arial" w:hAnsi="Arial" w:cs="Arial"/>
            <w:sz w:val="24"/>
            <w:szCs w:val="24"/>
          </w:rPr>
          <w:t>https://european-union.europa.eu/institutions-law-budget/institutions-and-bodies/institutions-and-bodies-profi</w:t>
        </w:r>
      </w:hyperlink>
      <w:r>
        <w:rPr>
          <w:rFonts w:ascii="Arial" w:hAnsi="Arial" w:cs="Arial"/>
          <w:sz w:val="24"/>
          <w:szCs w:val="24"/>
        </w:rPr>
        <w:t>...</w:t>
      </w:r>
    </w:p>
    <w:p w14:paraId="49AA421D" w14:textId="1613B5D5" w:rsidR="006A204E" w:rsidRDefault="006F24F0" w:rsidP="00187AE6">
      <w:pPr>
        <w:spacing w:line="600" w:lineRule="auto"/>
        <w:rPr>
          <w:rFonts w:ascii="Arial" w:hAnsi="Arial" w:cs="Arial"/>
          <w:sz w:val="24"/>
          <w:szCs w:val="24"/>
        </w:rPr>
      </w:pPr>
      <w:r>
        <w:rPr>
          <w:rFonts w:ascii="Arial" w:hAnsi="Arial" w:cs="Arial"/>
          <w:sz w:val="24"/>
          <w:szCs w:val="24"/>
        </w:rPr>
        <w:t>Foster, N (2017), Foster on Eu Law, Great Clarendon Street, London, Oxford University Press.</w:t>
      </w:r>
    </w:p>
    <w:p w14:paraId="0D3361CE" w14:textId="2C0096EA" w:rsidR="006F24F0" w:rsidRDefault="006F24F0" w:rsidP="00187AE6">
      <w:pPr>
        <w:spacing w:line="600" w:lineRule="auto"/>
        <w:rPr>
          <w:rFonts w:ascii="Arial" w:hAnsi="Arial" w:cs="Arial"/>
          <w:sz w:val="24"/>
          <w:szCs w:val="24"/>
        </w:rPr>
      </w:pPr>
      <w:r>
        <w:rPr>
          <w:rFonts w:ascii="Arial" w:hAnsi="Arial" w:cs="Arial"/>
          <w:sz w:val="24"/>
          <w:szCs w:val="24"/>
        </w:rPr>
        <w:t>Kirk, E (2009), Eu Law, Edinburgh Gate, Essex, Pearson Education Limited.</w:t>
      </w:r>
    </w:p>
    <w:p w14:paraId="2DAA4901" w14:textId="20EE70AF" w:rsidR="006F24F0" w:rsidRDefault="006F24F0" w:rsidP="00187AE6">
      <w:pPr>
        <w:spacing w:line="600" w:lineRule="auto"/>
        <w:rPr>
          <w:rFonts w:ascii="Arial" w:hAnsi="Arial" w:cs="Arial"/>
          <w:sz w:val="24"/>
          <w:szCs w:val="24"/>
        </w:rPr>
      </w:pPr>
      <w:proofErr w:type="spellStart"/>
      <w:r>
        <w:rPr>
          <w:rFonts w:ascii="Arial" w:hAnsi="Arial" w:cs="Arial"/>
          <w:sz w:val="24"/>
          <w:szCs w:val="24"/>
        </w:rPr>
        <w:t>Szyszczak</w:t>
      </w:r>
      <w:proofErr w:type="spellEnd"/>
      <w:r>
        <w:rPr>
          <w:rFonts w:ascii="Arial" w:hAnsi="Arial" w:cs="Arial"/>
          <w:sz w:val="24"/>
          <w:szCs w:val="24"/>
        </w:rPr>
        <w:t xml:space="preserve">, E, </w:t>
      </w:r>
      <w:proofErr w:type="spellStart"/>
      <w:r>
        <w:rPr>
          <w:rFonts w:ascii="Arial" w:hAnsi="Arial" w:cs="Arial"/>
          <w:sz w:val="24"/>
          <w:szCs w:val="24"/>
        </w:rPr>
        <w:t>Cygon</w:t>
      </w:r>
      <w:proofErr w:type="spellEnd"/>
      <w:r>
        <w:rPr>
          <w:rFonts w:ascii="Arial" w:hAnsi="Arial" w:cs="Arial"/>
          <w:sz w:val="24"/>
          <w:szCs w:val="24"/>
        </w:rPr>
        <w:t xml:space="preserve"> A, understanding Eu Law (2008), the Netherlands, Sweet &amp; Maxwell Limited.</w:t>
      </w:r>
    </w:p>
    <w:p w14:paraId="7665A956" w14:textId="351E3830" w:rsidR="006F24F0" w:rsidRDefault="006F24F0" w:rsidP="00187AE6">
      <w:pPr>
        <w:spacing w:line="600" w:lineRule="auto"/>
        <w:rPr>
          <w:rFonts w:ascii="Arial" w:hAnsi="Arial" w:cs="Arial"/>
          <w:sz w:val="24"/>
          <w:szCs w:val="24"/>
        </w:rPr>
      </w:pPr>
    </w:p>
    <w:p w14:paraId="635E4B4C" w14:textId="0A18926D" w:rsidR="006F24F0" w:rsidRDefault="006F24F0" w:rsidP="00187AE6">
      <w:pPr>
        <w:spacing w:line="600" w:lineRule="auto"/>
        <w:rPr>
          <w:rFonts w:ascii="Arial" w:hAnsi="Arial" w:cs="Arial"/>
          <w:sz w:val="24"/>
          <w:szCs w:val="24"/>
        </w:rPr>
      </w:pPr>
      <w:r>
        <w:rPr>
          <w:rFonts w:ascii="Arial" w:hAnsi="Arial" w:cs="Arial"/>
          <w:sz w:val="24"/>
          <w:szCs w:val="24"/>
        </w:rPr>
        <w:t xml:space="preserve">Brasserie du </w:t>
      </w:r>
      <w:proofErr w:type="spellStart"/>
      <w:r>
        <w:rPr>
          <w:rFonts w:ascii="Arial" w:hAnsi="Arial" w:cs="Arial"/>
          <w:sz w:val="24"/>
          <w:szCs w:val="24"/>
        </w:rPr>
        <w:t>Pecheur</w:t>
      </w:r>
      <w:proofErr w:type="spellEnd"/>
      <w:r>
        <w:rPr>
          <w:rFonts w:ascii="Arial" w:hAnsi="Arial" w:cs="Arial"/>
          <w:sz w:val="24"/>
          <w:szCs w:val="24"/>
        </w:rPr>
        <w:t xml:space="preserve"> SA v Germany (C – 46/93) (1996) QB 404.</w:t>
      </w:r>
    </w:p>
    <w:p w14:paraId="6BB61279" w14:textId="130E9347" w:rsidR="006F24F0" w:rsidRDefault="006F24F0" w:rsidP="00187AE6">
      <w:pPr>
        <w:spacing w:line="600" w:lineRule="auto"/>
        <w:rPr>
          <w:rFonts w:ascii="Arial" w:hAnsi="Arial" w:cs="Arial"/>
          <w:sz w:val="24"/>
          <w:szCs w:val="24"/>
        </w:rPr>
      </w:pPr>
      <w:r>
        <w:rPr>
          <w:rFonts w:ascii="Arial" w:hAnsi="Arial" w:cs="Arial"/>
          <w:sz w:val="24"/>
          <w:szCs w:val="24"/>
        </w:rPr>
        <w:t>Costa v Enel (6/64) (1964) ECR 1141 CMLR 425.</w:t>
      </w:r>
    </w:p>
    <w:p w14:paraId="3134CE9B" w14:textId="606C4A42" w:rsidR="006F24F0" w:rsidRDefault="006F24F0" w:rsidP="00187AE6">
      <w:pPr>
        <w:spacing w:line="600" w:lineRule="auto"/>
        <w:rPr>
          <w:rFonts w:ascii="Arial" w:hAnsi="Arial" w:cs="Arial"/>
          <w:sz w:val="24"/>
          <w:szCs w:val="24"/>
        </w:rPr>
      </w:pPr>
      <w:r>
        <w:rPr>
          <w:rFonts w:ascii="Arial" w:hAnsi="Arial" w:cs="Arial"/>
          <w:sz w:val="24"/>
          <w:szCs w:val="24"/>
        </w:rPr>
        <w:t>Eco Swiss China Time Ltd v Benetton International NV (C - 126/97) (1999) ECR I- 3055.</w:t>
      </w:r>
    </w:p>
    <w:p w14:paraId="020EA450" w14:textId="4309FEC1" w:rsidR="006F24F0" w:rsidRDefault="006F24F0" w:rsidP="00187AE6">
      <w:pPr>
        <w:spacing w:line="600" w:lineRule="auto"/>
        <w:rPr>
          <w:rFonts w:ascii="Arial" w:hAnsi="Arial" w:cs="Arial"/>
          <w:sz w:val="24"/>
          <w:szCs w:val="24"/>
        </w:rPr>
      </w:pPr>
      <w:r>
        <w:rPr>
          <w:rFonts w:ascii="Arial" w:hAnsi="Arial" w:cs="Arial"/>
          <w:sz w:val="24"/>
          <w:szCs w:val="24"/>
        </w:rPr>
        <w:t>Francovich v Italy (C -6/90 &amp; C – 9/90) (1991) ECR I – 5357; (1993) 2 CMLR66.</w:t>
      </w:r>
    </w:p>
    <w:p w14:paraId="626793BD" w14:textId="455D92E0" w:rsidR="006F24F0" w:rsidRDefault="00904D22" w:rsidP="00187AE6">
      <w:pPr>
        <w:spacing w:line="600" w:lineRule="auto"/>
        <w:rPr>
          <w:rFonts w:ascii="Arial" w:hAnsi="Arial" w:cs="Arial"/>
          <w:sz w:val="24"/>
          <w:szCs w:val="24"/>
        </w:rPr>
      </w:pPr>
      <w:r>
        <w:rPr>
          <w:rFonts w:ascii="Arial" w:hAnsi="Arial" w:cs="Arial"/>
          <w:sz w:val="24"/>
          <w:szCs w:val="24"/>
        </w:rPr>
        <w:t>R v Secretary of State for Transport ex p Factortame Ltd (No 3) (c – 48/93) (1996) ECR I – 1029.</w:t>
      </w:r>
    </w:p>
    <w:p w14:paraId="31D87C7C" w14:textId="5CEEDED3" w:rsidR="00904D22" w:rsidRPr="00187AE6" w:rsidRDefault="00904D22" w:rsidP="00187AE6">
      <w:pPr>
        <w:spacing w:line="600" w:lineRule="auto"/>
        <w:rPr>
          <w:rFonts w:ascii="Arial" w:hAnsi="Arial" w:cs="Arial"/>
          <w:sz w:val="24"/>
          <w:szCs w:val="24"/>
        </w:rPr>
      </w:pPr>
      <w:r>
        <w:rPr>
          <w:rFonts w:ascii="Arial" w:hAnsi="Arial" w:cs="Arial"/>
          <w:sz w:val="24"/>
          <w:szCs w:val="24"/>
        </w:rPr>
        <w:lastRenderedPageBreak/>
        <w:t xml:space="preserve">Van Gen den loos (26/62) NV Al </w:t>
      </w:r>
      <w:proofErr w:type="spellStart"/>
      <w:r>
        <w:rPr>
          <w:rFonts w:ascii="Arial" w:hAnsi="Arial" w:cs="Arial"/>
          <w:sz w:val="24"/>
          <w:szCs w:val="24"/>
        </w:rPr>
        <w:t>gemene</w:t>
      </w:r>
      <w:proofErr w:type="spellEnd"/>
      <w:r>
        <w:rPr>
          <w:rFonts w:ascii="Arial" w:hAnsi="Arial" w:cs="Arial"/>
          <w:sz w:val="24"/>
          <w:szCs w:val="24"/>
        </w:rPr>
        <w:t xml:space="preserve"> Transport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Expeditie</w:t>
      </w:r>
      <w:proofErr w:type="spellEnd"/>
      <w:r>
        <w:rPr>
          <w:rFonts w:ascii="Arial" w:hAnsi="Arial" w:cs="Arial"/>
          <w:sz w:val="24"/>
          <w:szCs w:val="24"/>
        </w:rPr>
        <w:t xml:space="preserve"> </w:t>
      </w:r>
      <w:proofErr w:type="spellStart"/>
      <w:r>
        <w:rPr>
          <w:rFonts w:ascii="Arial" w:hAnsi="Arial" w:cs="Arial"/>
          <w:sz w:val="24"/>
          <w:szCs w:val="24"/>
        </w:rPr>
        <w:t>Onderneming</w:t>
      </w:r>
      <w:proofErr w:type="spellEnd"/>
      <w:r>
        <w:rPr>
          <w:rFonts w:ascii="Arial" w:hAnsi="Arial" w:cs="Arial"/>
          <w:sz w:val="24"/>
          <w:szCs w:val="24"/>
        </w:rPr>
        <w:t xml:space="preserve"> (1963) ECR 1.</w:t>
      </w:r>
    </w:p>
    <w:sectPr w:rsidR="00904D22" w:rsidRPr="00187AE6" w:rsidSect="00187AE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E6"/>
    <w:rsid w:val="00083BF1"/>
    <w:rsid w:val="000C58A8"/>
    <w:rsid w:val="000E11DE"/>
    <w:rsid w:val="00187AE6"/>
    <w:rsid w:val="0019380C"/>
    <w:rsid w:val="00232A4F"/>
    <w:rsid w:val="002638AD"/>
    <w:rsid w:val="004257FE"/>
    <w:rsid w:val="004775B0"/>
    <w:rsid w:val="004C5E63"/>
    <w:rsid w:val="005437E1"/>
    <w:rsid w:val="005E1BE3"/>
    <w:rsid w:val="00625048"/>
    <w:rsid w:val="0065540D"/>
    <w:rsid w:val="006649E3"/>
    <w:rsid w:val="00692C9F"/>
    <w:rsid w:val="00697136"/>
    <w:rsid w:val="006A204E"/>
    <w:rsid w:val="006F1FDB"/>
    <w:rsid w:val="006F24F0"/>
    <w:rsid w:val="00904D22"/>
    <w:rsid w:val="00A2609D"/>
    <w:rsid w:val="00A43B1D"/>
    <w:rsid w:val="00AC04BE"/>
    <w:rsid w:val="00AF663C"/>
    <w:rsid w:val="00B37E1F"/>
    <w:rsid w:val="00B43B4C"/>
    <w:rsid w:val="00C436A3"/>
    <w:rsid w:val="00CE710B"/>
    <w:rsid w:val="00DB6DD7"/>
    <w:rsid w:val="00ED5667"/>
    <w:rsid w:val="00F31E9B"/>
    <w:rsid w:val="00F6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7CC8C"/>
  <w15:chartTrackingRefBased/>
  <w15:docId w15:val="{C2B0E749-C68F-4300-B302-AF91E847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7AE6"/>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6A204E"/>
    <w:rPr>
      <w:color w:val="0563C1" w:themeColor="hyperlink"/>
      <w:u w:val="single"/>
    </w:rPr>
  </w:style>
  <w:style w:type="character" w:styleId="UnresolvedMention">
    <w:name w:val="Unresolved Mention"/>
    <w:basedOn w:val="DefaultParagraphFont"/>
    <w:uiPriority w:val="99"/>
    <w:semiHidden/>
    <w:unhideWhenUsed/>
    <w:rsid w:val="006A2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uropean-union.europa.eu/institutions-law-budget/institutions-and-bodies/institutions-and-bodies-profi"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93D970B3774309AFF1D7123F8DBE1B"/>
        <w:category>
          <w:name w:val="General"/>
          <w:gallery w:val="placeholder"/>
        </w:category>
        <w:types>
          <w:type w:val="bbPlcHdr"/>
        </w:types>
        <w:behaviors>
          <w:behavior w:val="content"/>
        </w:behaviors>
        <w:guid w:val="{5DA47DE7-B0F2-46D0-A48B-E50E336219B7}"/>
      </w:docPartPr>
      <w:docPartBody>
        <w:p w:rsidR="00162354" w:rsidRDefault="008A66FD" w:rsidP="008A66FD">
          <w:pPr>
            <w:pStyle w:val="7093D970B3774309AFF1D7123F8DBE1B"/>
          </w:pPr>
          <w:r>
            <w:rPr>
              <w:rFonts w:asciiTheme="majorHAnsi" w:hAnsiTheme="majorHAnsi"/>
              <w:color w:val="FFFFFF" w:themeColor="background1"/>
              <w:sz w:val="96"/>
              <w:szCs w:val="96"/>
            </w:rPr>
            <w:t>[Document title]</w:t>
          </w:r>
        </w:p>
      </w:docPartBody>
    </w:docPart>
    <w:docPart>
      <w:docPartPr>
        <w:name w:val="7A7B3CB834E14FC1822A1F491CC2C4EC"/>
        <w:category>
          <w:name w:val="General"/>
          <w:gallery w:val="placeholder"/>
        </w:category>
        <w:types>
          <w:type w:val="bbPlcHdr"/>
        </w:types>
        <w:behaviors>
          <w:behavior w:val="content"/>
        </w:behaviors>
        <w:guid w:val="{04F1DBA9-F437-4E75-B551-8C3FD90C592A}"/>
      </w:docPartPr>
      <w:docPartBody>
        <w:p w:rsidR="00162354" w:rsidRDefault="008A66FD" w:rsidP="008A66FD">
          <w:pPr>
            <w:pStyle w:val="7A7B3CB834E14FC1822A1F491CC2C4EC"/>
          </w:pPr>
          <w:r>
            <w:rPr>
              <w:color w:val="FFFFFF" w:themeColor="background1"/>
              <w:sz w:val="32"/>
              <w:szCs w:val="32"/>
            </w:rPr>
            <w:t>[Document subtitle]</w:t>
          </w:r>
        </w:p>
      </w:docPartBody>
    </w:docPart>
    <w:docPart>
      <w:docPartPr>
        <w:name w:val="D81E616525684906B4DD71FD45E755E8"/>
        <w:category>
          <w:name w:val="General"/>
          <w:gallery w:val="placeholder"/>
        </w:category>
        <w:types>
          <w:type w:val="bbPlcHdr"/>
        </w:types>
        <w:behaviors>
          <w:behavior w:val="content"/>
        </w:behaviors>
        <w:guid w:val="{3FB6A234-54FF-4CFF-B574-7BDEFEBCC7D7}"/>
      </w:docPartPr>
      <w:docPartBody>
        <w:p w:rsidR="00162354" w:rsidRDefault="008A66FD" w:rsidP="008A66FD">
          <w:pPr>
            <w:pStyle w:val="D81E616525684906B4DD71FD45E755E8"/>
          </w:pPr>
          <w:r>
            <w:rPr>
              <w:color w:val="FFFFFF" w:themeColor="background1"/>
            </w:rPr>
            <w:t>[Author name]</w:t>
          </w:r>
        </w:p>
      </w:docPartBody>
    </w:docPart>
    <w:docPart>
      <w:docPartPr>
        <w:name w:val="FBE523F1BAFB425F8F19744F1C5E7FC4"/>
        <w:category>
          <w:name w:val="General"/>
          <w:gallery w:val="placeholder"/>
        </w:category>
        <w:types>
          <w:type w:val="bbPlcHdr"/>
        </w:types>
        <w:behaviors>
          <w:behavior w:val="content"/>
        </w:behaviors>
        <w:guid w:val="{F4D05362-1481-4C0F-B9B3-F9ACF2F62FA7}"/>
      </w:docPartPr>
      <w:docPartBody>
        <w:p w:rsidR="00162354" w:rsidRDefault="008A66FD" w:rsidP="008A66FD">
          <w:pPr>
            <w:pStyle w:val="FBE523F1BAFB425F8F19744F1C5E7FC4"/>
          </w:pPr>
          <w:r>
            <w:rPr>
              <w:color w:val="FFFFFF" w:themeColor="background1"/>
            </w:rPr>
            <w:t>[Date]</w:t>
          </w:r>
        </w:p>
      </w:docPartBody>
    </w:docPart>
    <w:docPart>
      <w:docPartPr>
        <w:name w:val="89CFCB73EF784EC7B1C02D314B97EF9B"/>
        <w:category>
          <w:name w:val="General"/>
          <w:gallery w:val="placeholder"/>
        </w:category>
        <w:types>
          <w:type w:val="bbPlcHdr"/>
        </w:types>
        <w:behaviors>
          <w:behavior w:val="content"/>
        </w:behaviors>
        <w:guid w:val="{482FCD24-9082-4AC3-AF2A-3E8BEAA05899}"/>
      </w:docPartPr>
      <w:docPartBody>
        <w:p w:rsidR="00162354" w:rsidRDefault="008A66FD" w:rsidP="008A66FD">
          <w:pPr>
            <w:pStyle w:val="89CFCB73EF784EC7B1C02D314B97EF9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FD"/>
    <w:rsid w:val="00162354"/>
    <w:rsid w:val="008A6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93D970B3774309AFF1D7123F8DBE1B">
    <w:name w:val="7093D970B3774309AFF1D7123F8DBE1B"/>
    <w:rsid w:val="008A66FD"/>
  </w:style>
  <w:style w:type="paragraph" w:customStyle="1" w:styleId="7A7B3CB834E14FC1822A1F491CC2C4EC">
    <w:name w:val="7A7B3CB834E14FC1822A1F491CC2C4EC"/>
    <w:rsid w:val="008A66FD"/>
  </w:style>
  <w:style w:type="paragraph" w:customStyle="1" w:styleId="D81E616525684906B4DD71FD45E755E8">
    <w:name w:val="D81E616525684906B4DD71FD45E755E8"/>
    <w:rsid w:val="008A66FD"/>
  </w:style>
  <w:style w:type="paragraph" w:customStyle="1" w:styleId="FBE523F1BAFB425F8F19744F1C5E7FC4">
    <w:name w:val="FBE523F1BAFB425F8F19744F1C5E7FC4"/>
    <w:rsid w:val="008A66FD"/>
  </w:style>
  <w:style w:type="paragraph" w:customStyle="1" w:styleId="89CFCB73EF784EC7B1C02D314B97EF9B">
    <w:name w:val="89CFCB73EF784EC7B1C02D314B97EF9B"/>
    <w:rsid w:val="008A6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Democratic Deficit.</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Democratic Deficit.</dc:title>
  <dc:subject>European Union Law.</dc:subject>
  <dc:creator>Mel Jane Box (2003707)</dc:creator>
  <cp:keywords/>
  <dc:description/>
  <cp:lastModifiedBy>Mel Jane Box (2003707)</cp:lastModifiedBy>
  <cp:revision>2</cp:revision>
  <dcterms:created xsi:type="dcterms:W3CDTF">2022-03-04T15:37:00Z</dcterms:created>
  <dcterms:modified xsi:type="dcterms:W3CDTF">2022-03-04T15:37:00Z</dcterms:modified>
  <cp:category>BMLW5007.</cp:category>
</cp:coreProperties>
</file>