
<file path=[Content_Types].xml><?xml version="1.0" encoding="utf-8"?>
<Types xmlns="http://schemas.openxmlformats.org/package/2006/content-types">
  <Default Extension="png" ContentType="image/png"/>
  <Default Extension="rels" ContentType="application/vnd.openxmlformats-package.relationships+xml"/>
  <Default Extension="ttf" ContentType="application/x-font-tt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F4A2B1" w14:textId="77777777" w:rsidR="00B84A37" w:rsidRDefault="0027188B">
      <w:pPr>
        <w:jc w:val="center"/>
        <w:rPr>
          <w:sz w:val="32"/>
          <w:szCs w:val="32"/>
        </w:rPr>
      </w:pPr>
      <w:r>
        <w:rPr>
          <w:sz w:val="32"/>
          <w:szCs w:val="32"/>
          <w:lang w:val="ro-RO"/>
        </w:rPr>
        <w:t>B</w:t>
      </w:r>
      <w:r>
        <w:rPr>
          <w:sz w:val="32"/>
          <w:szCs w:val="32"/>
        </w:rPr>
        <w:t>A (Hons) Business Management</w:t>
      </w:r>
    </w:p>
    <w:p w14:paraId="5F1240F5" w14:textId="77777777" w:rsidR="00B84A37" w:rsidRDefault="0027188B">
      <w:pPr>
        <w:jc w:val="center"/>
        <w:rPr>
          <w:sz w:val="32"/>
          <w:szCs w:val="32"/>
        </w:rPr>
      </w:pPr>
      <w:r>
        <w:rPr>
          <w:sz w:val="32"/>
          <w:szCs w:val="32"/>
        </w:rPr>
        <w:t>Module: Dissertation</w:t>
      </w:r>
    </w:p>
    <w:p w14:paraId="5A52DCFB" w14:textId="77777777" w:rsidR="00B84A37" w:rsidRDefault="0027188B">
      <w:pPr>
        <w:jc w:val="center"/>
        <w:rPr>
          <w:sz w:val="32"/>
          <w:szCs w:val="32"/>
        </w:rPr>
      </w:pPr>
      <w:r>
        <w:rPr>
          <w:sz w:val="32"/>
          <w:szCs w:val="32"/>
        </w:rPr>
        <w:t>Module code: LCBB6000</w:t>
      </w:r>
    </w:p>
    <w:p w14:paraId="37F46B31" w14:textId="77777777" w:rsidR="00B84A37" w:rsidRDefault="00B84A37">
      <w:pPr>
        <w:jc w:val="center"/>
        <w:rPr>
          <w:sz w:val="32"/>
          <w:szCs w:val="32"/>
        </w:rPr>
      </w:pPr>
    </w:p>
    <w:p w14:paraId="36C100C2" w14:textId="77777777" w:rsidR="00B84A37" w:rsidRDefault="00B84A37">
      <w:pPr>
        <w:jc w:val="center"/>
        <w:rPr>
          <w:sz w:val="28"/>
          <w:szCs w:val="28"/>
        </w:rPr>
      </w:pPr>
    </w:p>
    <w:p w14:paraId="2546D0AB" w14:textId="77777777" w:rsidR="00B84A37" w:rsidRDefault="00B84A37">
      <w:pPr>
        <w:jc w:val="center"/>
        <w:rPr>
          <w:sz w:val="28"/>
          <w:szCs w:val="28"/>
        </w:rPr>
      </w:pPr>
    </w:p>
    <w:p w14:paraId="28C000D2" w14:textId="77777777" w:rsidR="00B84A37" w:rsidRDefault="00B84A37">
      <w:pPr>
        <w:jc w:val="center"/>
        <w:rPr>
          <w:sz w:val="28"/>
          <w:szCs w:val="28"/>
        </w:rPr>
      </w:pPr>
    </w:p>
    <w:p w14:paraId="68EC43D1" w14:textId="77777777" w:rsidR="00B84A37" w:rsidRDefault="00B84A37">
      <w:pPr>
        <w:jc w:val="center"/>
        <w:rPr>
          <w:sz w:val="28"/>
          <w:szCs w:val="28"/>
        </w:rPr>
      </w:pPr>
    </w:p>
    <w:p w14:paraId="4AF2865C" w14:textId="77777777" w:rsidR="00B84A37" w:rsidRDefault="00B84A37">
      <w:pPr>
        <w:jc w:val="center"/>
        <w:rPr>
          <w:sz w:val="28"/>
          <w:szCs w:val="28"/>
        </w:rPr>
      </w:pPr>
    </w:p>
    <w:p w14:paraId="551964AB" w14:textId="77777777" w:rsidR="00B84A37" w:rsidRDefault="0027188B">
      <w:pPr>
        <w:jc w:val="center"/>
        <w:rPr>
          <w:sz w:val="28"/>
          <w:szCs w:val="28"/>
        </w:rPr>
      </w:pPr>
      <w:r>
        <w:rPr>
          <w:sz w:val="28"/>
          <w:szCs w:val="28"/>
        </w:rPr>
        <w:t>TOPIC: "Remote and hybrid models have disrupted traditional workplace culture, collaboration, and engagement."</w:t>
      </w:r>
    </w:p>
    <w:p w14:paraId="4A37C784" w14:textId="77777777" w:rsidR="00B84A37" w:rsidRDefault="00B84A37">
      <w:pPr>
        <w:jc w:val="center"/>
        <w:rPr>
          <w:sz w:val="28"/>
          <w:szCs w:val="28"/>
        </w:rPr>
      </w:pPr>
    </w:p>
    <w:p w14:paraId="58EDF329" w14:textId="77777777" w:rsidR="00B84A37" w:rsidRDefault="00B84A37">
      <w:pPr>
        <w:jc w:val="center"/>
        <w:rPr>
          <w:sz w:val="28"/>
          <w:szCs w:val="28"/>
        </w:rPr>
      </w:pPr>
    </w:p>
    <w:p w14:paraId="3B964E6D" w14:textId="77777777" w:rsidR="00B84A37" w:rsidRDefault="00B84A37">
      <w:pPr>
        <w:jc w:val="center"/>
        <w:rPr>
          <w:sz w:val="28"/>
          <w:szCs w:val="28"/>
        </w:rPr>
      </w:pPr>
    </w:p>
    <w:p w14:paraId="104B7FF8" w14:textId="77777777" w:rsidR="00B84A37" w:rsidRDefault="00B84A37">
      <w:pPr>
        <w:jc w:val="center"/>
        <w:rPr>
          <w:sz w:val="28"/>
          <w:szCs w:val="28"/>
        </w:rPr>
      </w:pPr>
    </w:p>
    <w:p w14:paraId="3B7914CD" w14:textId="77777777" w:rsidR="00B84A37" w:rsidRDefault="00B84A37">
      <w:pPr>
        <w:jc w:val="center"/>
        <w:rPr>
          <w:sz w:val="28"/>
          <w:szCs w:val="28"/>
        </w:rPr>
      </w:pPr>
    </w:p>
    <w:p w14:paraId="2F1FCFCB" w14:textId="77777777" w:rsidR="00B84A37" w:rsidRDefault="00B84A37">
      <w:pPr>
        <w:jc w:val="center"/>
        <w:rPr>
          <w:sz w:val="28"/>
          <w:szCs w:val="28"/>
        </w:rPr>
      </w:pPr>
    </w:p>
    <w:p w14:paraId="727377FC" w14:textId="77777777" w:rsidR="00B84A37" w:rsidRDefault="00B84A37">
      <w:pPr>
        <w:jc w:val="center"/>
        <w:rPr>
          <w:sz w:val="28"/>
          <w:szCs w:val="28"/>
        </w:rPr>
      </w:pPr>
    </w:p>
    <w:p w14:paraId="52CEE533" w14:textId="77777777" w:rsidR="00B84A37" w:rsidRDefault="00B84A37">
      <w:pPr>
        <w:jc w:val="center"/>
        <w:rPr>
          <w:sz w:val="28"/>
          <w:szCs w:val="28"/>
        </w:rPr>
      </w:pPr>
    </w:p>
    <w:p w14:paraId="663BA985" w14:textId="77777777" w:rsidR="00B84A37" w:rsidRDefault="00B84A37">
      <w:pPr>
        <w:jc w:val="center"/>
        <w:rPr>
          <w:sz w:val="28"/>
          <w:szCs w:val="28"/>
        </w:rPr>
      </w:pPr>
    </w:p>
    <w:p w14:paraId="19E344E9" w14:textId="77777777" w:rsidR="00B84A37" w:rsidRDefault="00B84A37">
      <w:pPr>
        <w:jc w:val="center"/>
        <w:rPr>
          <w:sz w:val="28"/>
          <w:szCs w:val="28"/>
        </w:rPr>
      </w:pPr>
    </w:p>
    <w:p w14:paraId="3ED76035" w14:textId="3306AFA2" w:rsidR="00B84A37" w:rsidRDefault="0027188B">
      <w:pPr>
        <w:jc w:val="center"/>
        <w:rPr>
          <w:sz w:val="28"/>
          <w:szCs w:val="28"/>
        </w:rPr>
      </w:pPr>
      <w:r>
        <w:rPr>
          <w:sz w:val="28"/>
          <w:szCs w:val="28"/>
        </w:rPr>
        <w:t>Student ID:</w:t>
      </w:r>
      <w:r w:rsidR="003272F3">
        <w:rPr>
          <w:sz w:val="28"/>
          <w:szCs w:val="28"/>
          <w:lang w:val="ro-RO"/>
        </w:rPr>
        <w:t>2245</w:t>
      </w:r>
      <w:r w:rsidR="00934C0B">
        <w:rPr>
          <w:sz w:val="28"/>
          <w:szCs w:val="28"/>
          <w:lang w:val="ro-RO"/>
        </w:rPr>
        <w:t>496</w:t>
      </w:r>
    </w:p>
    <w:p w14:paraId="6792A89E" w14:textId="5BF03516" w:rsidR="00B84A37" w:rsidRDefault="0027188B">
      <w:pPr>
        <w:jc w:val="center"/>
        <w:rPr>
          <w:sz w:val="28"/>
          <w:szCs w:val="28"/>
        </w:rPr>
      </w:pPr>
      <w:r>
        <w:rPr>
          <w:sz w:val="28"/>
          <w:szCs w:val="28"/>
        </w:rPr>
        <w:t>Student Name:</w:t>
      </w:r>
      <w:r w:rsidR="00934C0B">
        <w:rPr>
          <w:sz w:val="28"/>
          <w:szCs w:val="28"/>
          <w:lang w:val="ro-RO"/>
        </w:rPr>
        <w:t xml:space="preserve"> Bogdan </w:t>
      </w:r>
      <w:proofErr w:type="spellStart"/>
      <w:r w:rsidR="00934C0B">
        <w:rPr>
          <w:sz w:val="28"/>
          <w:szCs w:val="28"/>
          <w:lang w:val="ro-RO"/>
        </w:rPr>
        <w:t>Pacuraru</w:t>
      </w:r>
      <w:proofErr w:type="spellEnd"/>
    </w:p>
    <w:p w14:paraId="005BADAA" w14:textId="3370AD36" w:rsidR="00B84A37" w:rsidRPr="00934C0B" w:rsidRDefault="00B84A37">
      <w:pPr>
        <w:jc w:val="center"/>
        <w:rPr>
          <w:sz w:val="28"/>
          <w:szCs w:val="28"/>
          <w:lang w:val="ro-RO"/>
        </w:rPr>
      </w:pPr>
    </w:p>
    <w:p w14:paraId="5821F453" w14:textId="77777777" w:rsidR="00B84A37" w:rsidRDefault="0027188B">
      <w:pPr>
        <w:spacing w:line="276" w:lineRule="auto"/>
        <w:jc w:val="left"/>
        <w:rPr>
          <w:sz w:val="28"/>
          <w:szCs w:val="28"/>
        </w:rPr>
      </w:pPr>
      <w:r>
        <w:br w:type="page"/>
      </w:r>
    </w:p>
    <w:p w14:paraId="29A6FC61" w14:textId="77777777" w:rsidR="00B84A37" w:rsidRDefault="0027188B">
      <w:pPr>
        <w:keepNext/>
        <w:keepLines/>
        <w:pBdr>
          <w:top w:val="nil"/>
          <w:left w:val="nil"/>
          <w:bottom w:val="nil"/>
          <w:right w:val="nil"/>
          <w:between w:val="nil"/>
        </w:pBdr>
        <w:spacing w:before="240" w:line="259" w:lineRule="auto"/>
        <w:jc w:val="center"/>
        <w:rPr>
          <w:color w:val="366091"/>
          <w:sz w:val="28"/>
          <w:szCs w:val="28"/>
        </w:rPr>
      </w:pPr>
      <w:r>
        <w:rPr>
          <w:color w:val="366091"/>
          <w:sz w:val="28"/>
          <w:szCs w:val="28"/>
        </w:rPr>
        <w:t>Table of Contents</w:t>
      </w:r>
    </w:p>
    <w:sdt>
      <w:sdtPr>
        <w:id w:val="-388638428"/>
        <w:docPartObj>
          <w:docPartGallery w:val="Table of Contents"/>
          <w:docPartUnique/>
        </w:docPartObj>
      </w:sdtPr>
      <w:sdtEndPr/>
      <w:sdtContent>
        <w:p w14:paraId="062CF081" w14:textId="77777777" w:rsidR="00B84A37" w:rsidRDefault="0027188B">
          <w:pPr>
            <w:pBdr>
              <w:top w:val="nil"/>
              <w:left w:val="nil"/>
              <w:bottom w:val="nil"/>
              <w:right w:val="nil"/>
              <w:between w:val="nil"/>
            </w:pBdr>
            <w:tabs>
              <w:tab w:val="right" w:pos="9350"/>
            </w:tabs>
            <w:spacing w:after="100"/>
            <w:rPr>
              <w:rFonts w:ascii="Cambria" w:eastAsia="Cambria" w:hAnsi="Cambria" w:cs="Cambria"/>
              <w:color w:val="000000"/>
              <w:sz w:val="22"/>
              <w:szCs w:val="22"/>
            </w:rPr>
          </w:pPr>
          <w:r>
            <w:fldChar w:fldCharType="begin"/>
          </w:r>
          <w:r>
            <w:instrText xml:space="preserve"> TOC \h \u \z \t "Heading 1,1,Heading 2,2,Heading 3,3,"</w:instrText>
          </w:r>
          <w:r>
            <w:fldChar w:fldCharType="separate"/>
          </w:r>
          <w:hyperlink w:anchor="_heading=h.z75zv2rdwpqv">
            <w:r>
              <w:rPr>
                <w:color w:val="000000"/>
              </w:rPr>
              <w:t>1. Introduction</w:t>
            </w:r>
            <w:r>
              <w:rPr>
                <w:color w:val="000000"/>
              </w:rPr>
              <w:tab/>
              <w:t>3</w:t>
            </w:r>
          </w:hyperlink>
        </w:p>
        <w:p w14:paraId="0513417C"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dqh6ka35l06m">
            <w:r>
              <w:rPr>
                <w:color w:val="000000"/>
              </w:rPr>
              <w:t>Background of the Study:</w:t>
            </w:r>
            <w:r>
              <w:rPr>
                <w:color w:val="000000"/>
              </w:rPr>
              <w:tab/>
              <w:t>3</w:t>
            </w:r>
          </w:hyperlink>
        </w:p>
        <w:p w14:paraId="4EC3E380"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qjq7r2x1wlmq">
            <w:r>
              <w:rPr>
                <w:color w:val="000000"/>
              </w:rPr>
              <w:t>Problem Statement:</w:t>
            </w:r>
            <w:r>
              <w:rPr>
                <w:color w:val="000000"/>
              </w:rPr>
              <w:tab/>
              <w:t>3</w:t>
            </w:r>
          </w:hyperlink>
        </w:p>
        <w:p w14:paraId="4BFB7AD8"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dsb6vqiuny9v">
            <w:r>
              <w:rPr>
                <w:color w:val="000000"/>
              </w:rPr>
              <w:t>Research Aim:</w:t>
            </w:r>
            <w:r>
              <w:rPr>
                <w:color w:val="000000"/>
              </w:rPr>
              <w:tab/>
              <w:t>4</w:t>
            </w:r>
          </w:hyperlink>
        </w:p>
        <w:p w14:paraId="09A4860A"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jdnqkb3u1gw1">
            <w:r>
              <w:rPr>
                <w:color w:val="000000"/>
              </w:rPr>
              <w:t>Objectives:</w:t>
            </w:r>
            <w:r>
              <w:rPr>
                <w:color w:val="000000"/>
              </w:rPr>
              <w:tab/>
              <w:t>4</w:t>
            </w:r>
          </w:hyperlink>
        </w:p>
        <w:p w14:paraId="07B6F1BF"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fookqvt71byl">
            <w:r>
              <w:rPr>
                <w:color w:val="000000"/>
              </w:rPr>
              <w:t>Research Questions:</w:t>
            </w:r>
            <w:r>
              <w:rPr>
                <w:color w:val="000000"/>
              </w:rPr>
              <w:tab/>
              <w:t>4</w:t>
            </w:r>
          </w:hyperlink>
        </w:p>
        <w:p w14:paraId="1064E423"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j3xdtr6m2kl1">
            <w:r>
              <w:rPr>
                <w:color w:val="000000"/>
              </w:rPr>
              <w:t>Rational of the Research:</w:t>
            </w:r>
            <w:r>
              <w:rPr>
                <w:color w:val="000000"/>
              </w:rPr>
              <w:tab/>
              <w:t>4</w:t>
            </w:r>
          </w:hyperlink>
        </w:p>
        <w:p w14:paraId="0990CB97" w14:textId="77777777" w:rsidR="00B84A37" w:rsidRDefault="0027188B">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mb8ulsg15hv4">
            <w:r>
              <w:rPr>
                <w:color w:val="000000"/>
              </w:rPr>
              <w:t>2. Literature Review</w:t>
            </w:r>
            <w:r>
              <w:rPr>
                <w:color w:val="000000"/>
              </w:rPr>
              <w:tab/>
              <w:t>5</w:t>
            </w:r>
          </w:hyperlink>
        </w:p>
        <w:p w14:paraId="12DF0E2A"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hsjci3dg6o7x">
            <w:r>
              <w:rPr>
                <w:color w:val="000000"/>
              </w:rPr>
              <w:t>Remote and Hybrid Work: Impacts on Employee Engagement and Retention</w:t>
            </w:r>
            <w:r>
              <w:rPr>
                <w:color w:val="000000"/>
              </w:rPr>
              <w:tab/>
              <w:t>5</w:t>
            </w:r>
          </w:hyperlink>
        </w:p>
        <w:p w14:paraId="122F1E7A"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45ljgcidi1fu">
            <w:r>
              <w:rPr>
                <w:color w:val="000000"/>
              </w:rPr>
              <w:t>Measures and Best Practices to Maintain Engagement and Collaboration</w:t>
            </w:r>
            <w:r>
              <w:rPr>
                <w:color w:val="000000"/>
              </w:rPr>
              <w:tab/>
              <w:t>5</w:t>
            </w:r>
          </w:hyperlink>
        </w:p>
        <w:p w14:paraId="34B0F128"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hlqw3t9b9100">
            <w:r>
              <w:rPr>
                <w:color w:val="000000"/>
              </w:rPr>
              <w:t>Organisational Approaches to Overcome Cultural and Collaborative Challenges</w:t>
            </w:r>
            <w:r>
              <w:rPr>
                <w:color w:val="000000"/>
              </w:rPr>
              <w:tab/>
              <w:t>5</w:t>
            </w:r>
          </w:hyperlink>
        </w:p>
        <w:p w14:paraId="03206646"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kxcnif9espee">
            <w:r>
              <w:rPr>
                <w:color w:val="000000"/>
              </w:rPr>
              <w:t>Theoretical Foundation:</w:t>
            </w:r>
            <w:r>
              <w:rPr>
                <w:color w:val="000000"/>
              </w:rPr>
              <w:tab/>
              <w:t>6</w:t>
            </w:r>
          </w:hyperlink>
        </w:p>
        <w:p w14:paraId="0D003DA3"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67e5aa7y9cin">
            <w:r>
              <w:rPr>
                <w:color w:val="000000"/>
              </w:rPr>
              <w:t>Literature Gap:</w:t>
            </w:r>
            <w:r>
              <w:rPr>
                <w:color w:val="000000"/>
              </w:rPr>
              <w:tab/>
              <w:t>7</w:t>
            </w:r>
          </w:hyperlink>
        </w:p>
        <w:p w14:paraId="5D493E27" w14:textId="77777777" w:rsidR="00B84A37" w:rsidRDefault="0027188B">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e1phtcxt95q0">
            <w:r>
              <w:rPr>
                <w:color w:val="000000"/>
              </w:rPr>
              <w:t>3. Research Methodology</w:t>
            </w:r>
            <w:r>
              <w:rPr>
                <w:color w:val="000000"/>
              </w:rPr>
              <w:tab/>
              <w:t>7</w:t>
            </w:r>
          </w:hyperlink>
        </w:p>
        <w:p w14:paraId="5DE247E2"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s0zjfofy64nc">
            <w:r>
              <w:rPr>
                <w:color w:val="000000"/>
              </w:rPr>
              <w:t>Research Philosophy: Interpretivism</w:t>
            </w:r>
            <w:r>
              <w:rPr>
                <w:color w:val="000000"/>
              </w:rPr>
              <w:tab/>
              <w:t>7</w:t>
            </w:r>
          </w:hyperlink>
        </w:p>
        <w:p w14:paraId="4CEC7EF8"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13grvkug0gqt">
            <w:r>
              <w:rPr>
                <w:color w:val="000000"/>
              </w:rPr>
              <w:t>Research Approach: Inductive</w:t>
            </w:r>
            <w:r>
              <w:rPr>
                <w:color w:val="000000"/>
              </w:rPr>
              <w:tab/>
              <w:t>8</w:t>
            </w:r>
          </w:hyperlink>
        </w:p>
        <w:p w14:paraId="27CFD014"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umdne6s5raje">
            <w:r>
              <w:rPr>
                <w:color w:val="000000"/>
              </w:rPr>
              <w:t>Data Collection:</w:t>
            </w:r>
            <w:r>
              <w:rPr>
                <w:color w:val="000000"/>
              </w:rPr>
              <w:tab/>
              <w:t>8</w:t>
            </w:r>
          </w:hyperlink>
        </w:p>
        <w:p w14:paraId="6A6E5CE4"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qokfdfw2s6i9">
            <w:r>
              <w:rPr>
                <w:color w:val="000000"/>
              </w:rPr>
              <w:t>Sampling:</w:t>
            </w:r>
            <w:r>
              <w:rPr>
                <w:color w:val="000000"/>
              </w:rPr>
              <w:tab/>
              <w:t>8</w:t>
            </w:r>
          </w:hyperlink>
        </w:p>
        <w:p w14:paraId="26EE7790"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b4nf7sphjwe0">
            <w:r>
              <w:rPr>
                <w:color w:val="000000"/>
              </w:rPr>
              <w:t>Data Analysis:</w:t>
            </w:r>
            <w:r>
              <w:rPr>
                <w:color w:val="000000"/>
              </w:rPr>
              <w:tab/>
              <w:t>9</w:t>
            </w:r>
          </w:hyperlink>
        </w:p>
        <w:p w14:paraId="256D95E6"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shvmmd7paoqz">
            <w:r>
              <w:rPr>
                <w:color w:val="000000"/>
              </w:rPr>
              <w:t>Ethical Considerations:</w:t>
            </w:r>
            <w:r>
              <w:rPr>
                <w:color w:val="000000"/>
              </w:rPr>
              <w:tab/>
              <w:t>9</w:t>
            </w:r>
          </w:hyperlink>
        </w:p>
        <w:p w14:paraId="781C5013" w14:textId="77777777" w:rsidR="00B84A37" w:rsidRDefault="0027188B">
          <w:pPr>
            <w:pBdr>
              <w:top w:val="nil"/>
              <w:left w:val="nil"/>
              <w:bottom w:val="nil"/>
              <w:right w:val="nil"/>
              <w:between w:val="nil"/>
            </w:pBdr>
            <w:tabs>
              <w:tab w:val="right" w:pos="9350"/>
            </w:tabs>
            <w:spacing w:after="100"/>
            <w:ind w:left="240"/>
            <w:rPr>
              <w:rFonts w:ascii="Cambria" w:eastAsia="Cambria" w:hAnsi="Cambria" w:cs="Cambria"/>
              <w:color w:val="000000"/>
              <w:sz w:val="22"/>
              <w:szCs w:val="22"/>
            </w:rPr>
          </w:pPr>
          <w:hyperlink w:anchor="_heading=h.j6jb5uk6ky48">
            <w:r>
              <w:rPr>
                <w:color w:val="000000"/>
              </w:rPr>
              <w:t>Limitations:</w:t>
            </w:r>
            <w:r>
              <w:rPr>
                <w:color w:val="000000"/>
              </w:rPr>
              <w:tab/>
              <w:t>9</w:t>
            </w:r>
          </w:hyperlink>
        </w:p>
        <w:p w14:paraId="7138D998" w14:textId="77777777" w:rsidR="00B84A37" w:rsidRDefault="0027188B">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rpxzx343uwhl">
            <w:r>
              <w:rPr>
                <w:color w:val="000000"/>
              </w:rPr>
              <w:t>4. Timeline:</w:t>
            </w:r>
            <w:r>
              <w:rPr>
                <w:color w:val="000000"/>
              </w:rPr>
              <w:tab/>
              <w:t>9</w:t>
            </w:r>
          </w:hyperlink>
        </w:p>
        <w:p w14:paraId="2D007D41" w14:textId="77777777" w:rsidR="00B84A37" w:rsidRDefault="0027188B">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l3ohn1soo573">
            <w:r>
              <w:rPr>
                <w:color w:val="000000"/>
              </w:rPr>
              <w:t>5. Conclusion</w:t>
            </w:r>
            <w:r>
              <w:rPr>
                <w:color w:val="000000"/>
              </w:rPr>
              <w:tab/>
              <w:t>10</w:t>
            </w:r>
          </w:hyperlink>
        </w:p>
        <w:p w14:paraId="06D1E2C9" w14:textId="77777777" w:rsidR="00B84A37" w:rsidRDefault="0027188B">
          <w:pPr>
            <w:pBdr>
              <w:top w:val="nil"/>
              <w:left w:val="nil"/>
              <w:bottom w:val="nil"/>
              <w:right w:val="nil"/>
              <w:between w:val="nil"/>
            </w:pBdr>
            <w:tabs>
              <w:tab w:val="right" w:pos="9350"/>
            </w:tabs>
            <w:spacing w:after="100"/>
            <w:rPr>
              <w:rFonts w:ascii="Cambria" w:eastAsia="Cambria" w:hAnsi="Cambria" w:cs="Cambria"/>
              <w:color w:val="000000"/>
              <w:sz w:val="22"/>
              <w:szCs w:val="22"/>
            </w:rPr>
          </w:pPr>
          <w:hyperlink w:anchor="_heading=h.3sdc5m934o4h">
            <w:r>
              <w:rPr>
                <w:color w:val="000000"/>
              </w:rPr>
              <w:t>References</w:t>
            </w:r>
            <w:r>
              <w:rPr>
                <w:color w:val="000000"/>
              </w:rPr>
              <w:tab/>
              <w:t>12</w:t>
            </w:r>
          </w:hyperlink>
        </w:p>
        <w:p w14:paraId="3CF5E707" w14:textId="77777777" w:rsidR="00B84A37" w:rsidRDefault="0027188B">
          <w:r>
            <w:fldChar w:fldCharType="end"/>
          </w:r>
        </w:p>
      </w:sdtContent>
    </w:sdt>
    <w:p w14:paraId="40ACBF40" w14:textId="77777777" w:rsidR="00B84A37" w:rsidRDefault="0027188B">
      <w:pPr>
        <w:pStyle w:val="Titlu1"/>
      </w:pPr>
      <w:bookmarkStart w:id="0" w:name="_heading=h.z75zv2rdwpqv" w:colFirst="0" w:colLast="0"/>
      <w:bookmarkEnd w:id="0"/>
      <w:r>
        <w:t xml:space="preserve">1. Introduction </w:t>
      </w:r>
    </w:p>
    <w:p w14:paraId="3E31CD92" w14:textId="77777777" w:rsidR="00B84A37" w:rsidRDefault="0027188B">
      <w:pPr>
        <w:pStyle w:val="Titlu2"/>
      </w:pPr>
      <w:bookmarkStart w:id="1" w:name="_heading=h.dqh6ka35l06m" w:colFirst="0" w:colLast="0"/>
      <w:bookmarkEnd w:id="1"/>
      <w:r>
        <w:t xml:space="preserve">Background of the Study: </w:t>
      </w:r>
    </w:p>
    <w:p w14:paraId="17A83348" w14:textId="77777777" w:rsidR="00B84A37" w:rsidRDefault="0027188B">
      <w:r>
        <w:t>The business world is changing at an unbelievable pace not only under the influence of the global competition and shifts in consumer demands but also due to the changing expectations of the employees and the increased pace of technological change. The culture of the workplace that has conventionally been constructed by physical proximity, informality, and direct supervision is being redefined by remote work and hybrid work models (</w:t>
      </w:r>
      <w:r>
        <w:rPr>
          <w:color w:val="222222"/>
          <w:highlight w:val="white"/>
        </w:rPr>
        <w:t>Mer and Srivastava, 2023)</w:t>
      </w:r>
      <w:r>
        <w:t xml:space="preserve">. Those arrangements became common in the COVID-19 pandemic period and have since continued to be prevalent in many industries which hamper the traditional work culture. </w:t>
      </w:r>
    </w:p>
    <w:p w14:paraId="2AC41172" w14:textId="77777777" w:rsidR="00B84A37" w:rsidRDefault="0027188B">
      <w:r>
        <w:t>Employee engagement which can be described as the emotional, cognitive and behavioural devotion of employees to their organisation and work in it has been cited as a major stimulus of productivity, innovation, and customer contentment (Eng, Tjernberg and Champoux-Larsson, 2024). But remote and hybrid working shifts complicate the aspect of engagement by decreasing face-to-face interaction, weakening team cohesion, and dissolving work-life boundaries. In the case of a traditional workplace where there is alr</w:t>
      </w:r>
      <w:r>
        <w:t>eady high staff turnover and a high level of competition, employee motivation and a maintained teamwork culture within the working environment has now been a vital concern.</w:t>
      </w:r>
    </w:p>
    <w:p w14:paraId="3EDE1669" w14:textId="77777777" w:rsidR="00B84A37" w:rsidRDefault="0027188B">
      <w:pPr>
        <w:pStyle w:val="Titlu2"/>
      </w:pPr>
      <w:bookmarkStart w:id="2" w:name="_heading=h.qjq7r2x1wlmq" w:colFirst="0" w:colLast="0"/>
      <w:bookmarkEnd w:id="2"/>
      <w:r>
        <w:t>Problem Statement:</w:t>
      </w:r>
    </w:p>
    <w:p w14:paraId="690E855F" w14:textId="77777777" w:rsidR="00B84A37" w:rsidRDefault="0027188B">
      <w:r>
        <w:t>Traditional workplace facing a rate of high turnover and difficulty in keeping the work environment interesting when it comes to remote work and hybrids. The main problems are decreased social interaction, inability to build trust, role ambiguity, and decadent organisational culture (Rupcic, 2024</w:t>
      </w:r>
      <w:r>
        <w:rPr>
          <w:color w:val="222222"/>
          <w:highlight w:val="white"/>
        </w:rPr>
        <w:t>)</w:t>
      </w:r>
      <w:r>
        <w:t>. Lack of plans on how to facilitate engagement and collaboration practice according to these models exposes traditional workplaces to a challenge of reduced employee performance, reduced levels of consistency in customer services, and reputational damage in the long-term.</w:t>
      </w:r>
    </w:p>
    <w:p w14:paraId="6D1F756F" w14:textId="77777777" w:rsidR="00B84A37" w:rsidRDefault="00B84A37"/>
    <w:p w14:paraId="6AE9210D" w14:textId="77777777" w:rsidR="00B84A37" w:rsidRDefault="0027188B">
      <w:pPr>
        <w:pStyle w:val="Titlu2"/>
      </w:pPr>
      <w:bookmarkStart w:id="3" w:name="_heading=h.dsb6vqiuny9v" w:colFirst="0" w:colLast="0"/>
      <w:bookmarkEnd w:id="3"/>
      <w:r>
        <w:t>Research Aim:</w:t>
      </w:r>
    </w:p>
    <w:p w14:paraId="0CA5E7FC" w14:textId="77777777" w:rsidR="00B84A37" w:rsidRDefault="0027188B">
      <w:r>
        <w:t>To study how remote and hybrid work models affect workplace culture, collaboration and engagement and what strategies organizations can implement to adjust and succeed in the changing environment.</w:t>
      </w:r>
    </w:p>
    <w:p w14:paraId="53C1768D" w14:textId="77777777" w:rsidR="00B84A37" w:rsidRDefault="0027188B">
      <w:pPr>
        <w:pStyle w:val="Titlu2"/>
      </w:pPr>
      <w:bookmarkStart w:id="4" w:name="_heading=h.jdnqkb3u1gw1" w:colFirst="0" w:colLast="0"/>
      <w:bookmarkEnd w:id="4"/>
      <w:r>
        <w:t>Objectives:</w:t>
      </w:r>
    </w:p>
    <w:p w14:paraId="3FEDEE6B" w14:textId="77777777" w:rsidR="00B84A37" w:rsidRDefault="0027188B">
      <w:pPr>
        <w:numPr>
          <w:ilvl w:val="0"/>
          <w:numId w:val="1"/>
        </w:numPr>
        <w:pBdr>
          <w:top w:val="nil"/>
          <w:left w:val="nil"/>
          <w:bottom w:val="nil"/>
          <w:right w:val="nil"/>
          <w:between w:val="nil"/>
        </w:pBdr>
      </w:pPr>
      <w:r>
        <w:rPr>
          <w:color w:val="000000"/>
        </w:rPr>
        <w:t>To examine how remote models and hybrid models impact employee engagement and retention.</w:t>
      </w:r>
    </w:p>
    <w:p w14:paraId="25E047A1" w14:textId="77777777" w:rsidR="00B84A37" w:rsidRDefault="0027188B">
      <w:pPr>
        <w:numPr>
          <w:ilvl w:val="0"/>
          <w:numId w:val="1"/>
        </w:numPr>
        <w:pBdr>
          <w:top w:val="nil"/>
          <w:left w:val="nil"/>
          <w:bottom w:val="nil"/>
          <w:right w:val="nil"/>
          <w:between w:val="nil"/>
        </w:pBdr>
      </w:pPr>
      <w:r>
        <w:rPr>
          <w:color w:val="000000"/>
        </w:rPr>
        <w:t>To determine the measures and the best practices that could be used to maintain engagement and collaboration in the context of flexible working.</w:t>
      </w:r>
    </w:p>
    <w:p w14:paraId="2828AD47" w14:textId="77777777" w:rsidR="00B84A37" w:rsidRDefault="0027188B">
      <w:pPr>
        <w:numPr>
          <w:ilvl w:val="0"/>
          <w:numId w:val="1"/>
        </w:numPr>
        <w:pBdr>
          <w:top w:val="nil"/>
          <w:left w:val="nil"/>
          <w:bottom w:val="nil"/>
          <w:right w:val="nil"/>
          <w:between w:val="nil"/>
        </w:pBdr>
      </w:pPr>
      <w:r>
        <w:rPr>
          <w:color w:val="000000"/>
        </w:rPr>
        <w:t>To determine organizational approaches and best practices that can overcome culture, collaboration, and interaction in remote and hybrid setups.</w:t>
      </w:r>
    </w:p>
    <w:p w14:paraId="3B8C42B4" w14:textId="77777777" w:rsidR="00B84A37" w:rsidRDefault="0027188B">
      <w:pPr>
        <w:pStyle w:val="Titlu2"/>
      </w:pPr>
      <w:bookmarkStart w:id="5" w:name="_heading=h.fookqvt71byl" w:colFirst="0" w:colLast="0"/>
      <w:bookmarkEnd w:id="5"/>
      <w:r>
        <w:t>Research Questions:</w:t>
      </w:r>
    </w:p>
    <w:p w14:paraId="0EE7B8ED" w14:textId="77777777" w:rsidR="00B84A37" w:rsidRDefault="0027188B">
      <w:pPr>
        <w:numPr>
          <w:ilvl w:val="0"/>
          <w:numId w:val="2"/>
        </w:numPr>
        <w:pBdr>
          <w:top w:val="nil"/>
          <w:left w:val="nil"/>
          <w:bottom w:val="nil"/>
          <w:right w:val="nil"/>
          <w:between w:val="nil"/>
        </w:pBdr>
      </w:pPr>
      <w:r>
        <w:rPr>
          <w:color w:val="000000"/>
        </w:rPr>
        <w:t>What are the problems and possibilities of work in the remote and hybrid arrangements?</w:t>
      </w:r>
    </w:p>
    <w:p w14:paraId="6AAE2527" w14:textId="77777777" w:rsidR="00B84A37" w:rsidRDefault="0027188B">
      <w:pPr>
        <w:numPr>
          <w:ilvl w:val="0"/>
          <w:numId w:val="2"/>
        </w:numPr>
        <w:pBdr>
          <w:top w:val="nil"/>
          <w:left w:val="nil"/>
          <w:bottom w:val="nil"/>
          <w:right w:val="nil"/>
          <w:between w:val="nil"/>
        </w:pBdr>
      </w:pPr>
      <w:r>
        <w:rPr>
          <w:color w:val="000000"/>
        </w:rPr>
        <w:t>What are the effects of these work models on employee engagement and organization commitment?</w:t>
      </w:r>
    </w:p>
    <w:p w14:paraId="35D426D4" w14:textId="77777777" w:rsidR="00B84A37" w:rsidRDefault="0027188B">
      <w:pPr>
        <w:numPr>
          <w:ilvl w:val="0"/>
          <w:numId w:val="2"/>
        </w:numPr>
        <w:pBdr>
          <w:top w:val="nil"/>
          <w:left w:val="nil"/>
          <w:bottom w:val="nil"/>
          <w:right w:val="nil"/>
          <w:between w:val="nil"/>
        </w:pBdr>
      </w:pPr>
      <w:r>
        <w:rPr>
          <w:color w:val="000000"/>
        </w:rPr>
        <w:t>How can these organizations use their strategies to keep their culture and effective cooperation and improve the engagement?</w:t>
      </w:r>
    </w:p>
    <w:p w14:paraId="26E26ECE" w14:textId="77777777" w:rsidR="00B84A37" w:rsidRDefault="0027188B">
      <w:pPr>
        <w:pStyle w:val="Titlu2"/>
      </w:pPr>
      <w:bookmarkStart w:id="6" w:name="_heading=h.j3xdtr6m2kl1" w:colFirst="0" w:colLast="0"/>
      <w:bookmarkEnd w:id="6"/>
      <w:r>
        <w:t>Rational of the Research:</w:t>
      </w:r>
    </w:p>
    <w:p w14:paraId="57C19BDE" w14:textId="77777777" w:rsidR="00B84A37" w:rsidRDefault="0027188B">
      <w:r>
        <w:t>Remote and hybrid models do not disappear, but it is an indication of a paradigm shift in the organisation of work as these models demand new methods regarding culture-building, collaboration, and engagement. Although the literature has generally analysed remote work and it where the operational needs and flexibility of employees are complicated. This paper bridges that gap by researching how these models destroy organizational culture and involvement and providing practical solutions to help retailers to r</w:t>
      </w:r>
      <w:r>
        <w:t>eact.</w:t>
      </w:r>
    </w:p>
    <w:p w14:paraId="398574FB" w14:textId="77777777" w:rsidR="00B84A37" w:rsidRDefault="0027188B">
      <w:pPr>
        <w:pStyle w:val="Titlu1"/>
      </w:pPr>
      <w:bookmarkStart w:id="7" w:name="_heading=h.mb8ulsg15hv4" w:colFirst="0" w:colLast="0"/>
      <w:bookmarkEnd w:id="7"/>
      <w:r>
        <w:t xml:space="preserve">2. Literature Review </w:t>
      </w:r>
    </w:p>
    <w:p w14:paraId="4FE59926" w14:textId="77777777" w:rsidR="00B84A37" w:rsidRDefault="0027188B">
      <w:pPr>
        <w:pStyle w:val="Titlu2"/>
      </w:pPr>
      <w:bookmarkStart w:id="8" w:name="_heading=h.hsjci3dg6o7x" w:colFirst="0" w:colLast="0"/>
      <w:bookmarkEnd w:id="8"/>
      <w:r>
        <w:t>Remote and Hybrid Work: Impacts on Employee Engagement and Retention</w:t>
      </w:r>
    </w:p>
    <w:p w14:paraId="36312A16" w14:textId="77777777" w:rsidR="00B84A37" w:rsidRDefault="0027188B">
      <w:r>
        <w:t>Cited by Edleston (2023), remote and hybrid work has rebuilt employee-organisation connections. Flexibility provides freedom, commuting minimization, and better work-life balance, which may enhance engagement and job satisfaction. Nevertheless, the lack of in-person communication dilutes social relationships, credibility, and identification with the organisation and minimises the long-term engagement. Online exhaustion, loneliness, and diminished professional presence in the virtual work environment can als</w:t>
      </w:r>
      <w:r>
        <w:t>o increase turnover risks. In the case of traditional organizational culture, where turnover is already a high issue, these models cause new problems of maintaining engagement in order to balance operational requirements (Kuppachi, 2023). Thus, it is essential to realise their two-fold influence on participation and retention and its impact on organisational sustainability.</w:t>
      </w:r>
    </w:p>
    <w:p w14:paraId="17285B52" w14:textId="77777777" w:rsidR="00B84A37" w:rsidRDefault="0027188B">
      <w:pPr>
        <w:pStyle w:val="Titlu2"/>
      </w:pPr>
      <w:bookmarkStart w:id="9" w:name="_heading=h.45ljgcidi1fu" w:colFirst="0" w:colLast="0"/>
      <w:bookmarkEnd w:id="9"/>
      <w:r>
        <w:t>Measures and Best Practices to Maintain Engagement and Collaboration</w:t>
      </w:r>
    </w:p>
    <w:p w14:paraId="02441DA7" w14:textId="77777777" w:rsidR="00B84A37" w:rsidRDefault="0027188B">
      <w:r>
        <w:t>Explained by Sakal (2024), proper actions that have proven to facilitate the engagement and collaboration within the flexible work environments are clear communication, understanding leadership, and equal application of technology. Knowledge sharing through collaboration platforms is important, but there should be limits to online communication that can develop through overuse. Equal career development programmes and recognition need to be taken to ensure that remote employees do not feel ignored. Fair perf</w:t>
      </w:r>
      <w:r>
        <w:t>ormance monitoring systems and virtual learning platforms contribute to the growth and motivation (Kumari and Yelkar, 2022). Also, isolation can be avoided with the help of wellness programs and policies that encourage digital well-being. The combination of these practices forms inclusive, supportive ones, in which employees feel connected and valued, and they continue to collaborate and engage in dispersed teams.</w:t>
      </w:r>
    </w:p>
    <w:p w14:paraId="0A324060" w14:textId="77777777" w:rsidR="00B84A37" w:rsidRDefault="0027188B">
      <w:pPr>
        <w:pStyle w:val="Titlu2"/>
      </w:pPr>
      <w:bookmarkStart w:id="10" w:name="_heading=h.hlqw3t9b9100" w:colFirst="0" w:colLast="0"/>
      <w:bookmarkEnd w:id="10"/>
      <w:r>
        <w:t>Organisational Approaches to Overcome Cultural and Collaborative Challenges</w:t>
      </w:r>
    </w:p>
    <w:p w14:paraId="44DC58E7" w14:textId="77777777" w:rsidR="00B84A37" w:rsidRDefault="0027188B">
      <w:r>
        <w:t>Cited by Dhadiwal and Londhe (2025), remote work and hybrid models break the culture of the workplace, disrupting common routines and informal interactions. In response to this, organisations will have to explicitly develop culture by using virtual rituals, regular communication of values and formal practices of collaboration. The hybrid models present the risks of inequality between the remote and on-site workers, and therefore, it is necessary to have inclusive policies to cover the equalities of workload</w:t>
      </w:r>
      <w:r>
        <w:t>, resources, and career opportunities. Such tools as project management systems and scheduled check-in promote interference and openness, suggested by Luca (2021). Leadership promoting trust and inclusiveness coupled with flexible policies that consider the needs of individuals can enable organisations to maintain culture and continue to collaborate and engage in the continuously changing work environments.</w:t>
      </w:r>
    </w:p>
    <w:p w14:paraId="544B5EF6" w14:textId="77777777" w:rsidR="00B84A37" w:rsidRDefault="0027188B">
      <w:pPr>
        <w:pStyle w:val="Titlu2"/>
      </w:pPr>
      <w:bookmarkStart w:id="11" w:name="_heading=h.kxcnif9espee" w:colFirst="0" w:colLast="0"/>
      <w:bookmarkEnd w:id="11"/>
      <w:r>
        <w:t>Theoretical Foundation:</w:t>
      </w:r>
    </w:p>
    <w:p w14:paraId="6A86F81A" w14:textId="77777777" w:rsidR="00B84A37" w:rsidRDefault="0027188B">
      <w:pPr>
        <w:rPr>
          <w:b/>
          <w:i/>
        </w:rPr>
      </w:pPr>
      <w:r>
        <w:rPr>
          <w:b/>
          <w:i/>
        </w:rPr>
        <w:t>Herzberg’s Two-Factor Theory</w:t>
      </w:r>
    </w:p>
    <w:p w14:paraId="56E8FD7F" w14:textId="77777777" w:rsidR="00B84A37" w:rsidRDefault="0027188B">
      <w:r>
        <w:t xml:space="preserve">The Two-Factor Theory by Herzberg, explained by </w:t>
      </w:r>
      <w:r>
        <w:rPr>
          <w:color w:val="222222"/>
          <w:highlight w:val="white"/>
        </w:rPr>
        <w:t>Peramatzis and Galanakis (2022),</w:t>
      </w:r>
      <w:r>
        <w:t xml:space="preserve"> describes the impact of motivators and hygiene factors on engagement which is especially applicable when working remotely and in hybrid work. In such models, such motivators as recognition, meaningful work and growth opportunities are very important in ensuring that employees are committed when they cannot be physically present and meet in person. Simultaneously, the lack of hygiene such as low supervision, vague policies, or inefficient digital communication might soon result in the emergence of dissatisf</w:t>
      </w:r>
      <w:r>
        <w:t>action with a consequent disengagement and an increase in the turnover. This view is consistent with contemporary research interest, which revealed that maintaining workplace culture and co-operation in flexible arrangement is conditioned by the increased power of intrinsic motivators and overcoming extrinsic obstacles.</w:t>
      </w:r>
    </w:p>
    <w:p w14:paraId="4351DB3C" w14:textId="77777777" w:rsidR="00B84A37" w:rsidRDefault="0027188B">
      <w:pPr>
        <w:rPr>
          <w:b/>
          <w:i/>
        </w:rPr>
      </w:pPr>
      <w:r>
        <w:rPr>
          <w:b/>
          <w:i/>
        </w:rPr>
        <w:t>Social Exchange Theory</w:t>
      </w:r>
    </w:p>
    <w:p w14:paraId="36546E6E" w14:textId="77777777" w:rsidR="00B84A37" w:rsidRDefault="0027188B">
      <w:r>
        <w:t xml:space="preserve">Explained by </w:t>
      </w:r>
      <w:r>
        <w:rPr>
          <w:highlight w:val="white"/>
        </w:rPr>
        <w:t xml:space="preserve">Kilroy, Dundon and Townsend (2023), </w:t>
      </w:r>
      <w:r>
        <w:t>the Social Exchange Theory can be used to understand the relationships between employees and employers in remote and hybrid work models. Whenever organisations support, recognise, treat fairly, and give sufficient resources, employees, in turn, commit, trust, and perform. In a flexible environment, the principles of open online communication, collaborative inclusion and compassionate leadership play a crucial role in ensuring this exchange. But when the employees feel imb</w:t>
      </w:r>
      <w:r>
        <w:t>alanced i.e., expecting much but not getting enough organisational support, then the trust goes down, engagement increases and turnover is more probable and hence balanced reciprocity is essential to maintain organisational culture and cooperation.</w:t>
      </w:r>
    </w:p>
    <w:p w14:paraId="601D3F6F" w14:textId="77777777" w:rsidR="00B84A37" w:rsidRDefault="0027188B">
      <w:pPr>
        <w:pStyle w:val="Titlu2"/>
      </w:pPr>
      <w:bookmarkStart w:id="12" w:name="_heading=h.67e5aa7y9cin" w:colFirst="0" w:colLast="0"/>
      <w:bookmarkEnd w:id="12"/>
      <w:r>
        <w:t>Literature Gap:</w:t>
      </w:r>
    </w:p>
    <w:p w14:paraId="5D177E7B" w14:textId="77777777" w:rsidR="00B84A37" w:rsidRDefault="0027188B">
      <w:r>
        <w:t xml:space="preserve">Despite the studies indicating the advantages and the difficulties of remote and hybrid work, the vast majority of the research is still rather general and does not have any specific focus on how the two models specifically remodel culture, work, and engagement. Few focus on the organisational strategies that are effective in sustaining retention and motivation on flexible working conditions in the long term. </w:t>
      </w:r>
    </w:p>
    <w:p w14:paraId="695C29DF" w14:textId="77777777" w:rsidR="00B84A37" w:rsidRDefault="0027188B">
      <w:pPr>
        <w:pStyle w:val="Titlu1"/>
      </w:pPr>
      <w:bookmarkStart w:id="13" w:name="_heading=h.e1phtcxt95q0" w:colFirst="0" w:colLast="0"/>
      <w:bookmarkEnd w:id="13"/>
      <w:r>
        <w:t xml:space="preserve">3. Research Methodology </w:t>
      </w:r>
    </w:p>
    <w:p w14:paraId="0FBF2D27" w14:textId="77777777" w:rsidR="00B84A37" w:rsidRDefault="0027188B">
      <w:pPr>
        <w:jc w:val="center"/>
        <w:rPr>
          <w:b/>
        </w:rPr>
      </w:pPr>
      <w:r>
        <w:rPr>
          <w:b/>
          <w:noProof/>
        </w:rPr>
        <w:drawing>
          <wp:inline distT="114300" distB="114300" distL="114300" distR="114300" wp14:anchorId="27D68018" wp14:editId="6AFCE2BF">
            <wp:extent cx="5219700" cy="3290888"/>
            <wp:effectExtent l="12700" t="12700" r="12700" b="1270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5219700" cy="3290888"/>
                    </a:xfrm>
                    <a:prstGeom prst="rect">
                      <a:avLst/>
                    </a:prstGeom>
                    <a:ln w="12700">
                      <a:solidFill>
                        <a:srgbClr val="000000"/>
                      </a:solidFill>
                      <a:prstDash val="solid"/>
                    </a:ln>
                  </pic:spPr>
                </pic:pic>
              </a:graphicData>
            </a:graphic>
          </wp:inline>
        </w:drawing>
      </w:r>
    </w:p>
    <w:p w14:paraId="3433DC2E" w14:textId="77777777" w:rsidR="00B84A37" w:rsidRDefault="0027188B">
      <w:pPr>
        <w:jc w:val="center"/>
        <w:rPr>
          <w:b/>
        </w:rPr>
      </w:pPr>
      <w:r>
        <w:rPr>
          <w:b/>
        </w:rPr>
        <w:t>Figure 1: Saunders ‘Research Onion’</w:t>
      </w:r>
    </w:p>
    <w:p w14:paraId="44928E3A" w14:textId="77777777" w:rsidR="00B84A37" w:rsidRDefault="0027188B">
      <w:pPr>
        <w:jc w:val="center"/>
      </w:pPr>
      <w:r>
        <w:t xml:space="preserve">(Source: </w:t>
      </w:r>
      <w:r>
        <w:rPr>
          <w:color w:val="222222"/>
          <w:highlight w:val="white"/>
        </w:rPr>
        <w:t>Bianchi, 2021)</w:t>
      </w:r>
    </w:p>
    <w:p w14:paraId="456725C8" w14:textId="77777777" w:rsidR="00B84A37" w:rsidRDefault="0027188B">
      <w:pPr>
        <w:pStyle w:val="Titlu2"/>
      </w:pPr>
      <w:bookmarkStart w:id="14" w:name="_heading=h.s0zjfofy64nc" w:colFirst="0" w:colLast="0"/>
      <w:bookmarkEnd w:id="14"/>
      <w:r>
        <w:t xml:space="preserve"> Research Philosophy: Interpretivism</w:t>
      </w:r>
    </w:p>
    <w:p w14:paraId="212133EA" w14:textId="77777777" w:rsidR="00B84A37" w:rsidRDefault="0027188B">
      <w:pPr>
        <w:rPr>
          <w:color w:val="FF0000"/>
        </w:rPr>
      </w:pPr>
      <w:r>
        <w:t>In this research, an interpretivist philosophy is taken, which dwells upon the subjective sense. In contrast to positivism that pursues general laws, interpretivism focuses on the way people build and understand reality (Ali, Shah and Shah, 2021). This is suitable since the culture of the workplace, teamwork, and interaction are socially constructed and situational. The work will be based solely on the secondary sources, i.e., peer-reviewed journals, industry reports (e.g., CIPD, Deloitte, McKinsey) and ava</w:t>
      </w:r>
      <w:r>
        <w:t>ilable case studies. This enables the analysis of general views and does not entail the use of primary data to gather information. Through interpretivism, the study will collect these subtle views and will produce qualitative understanding of the role of flexible models in transforming the workplace dynamics instead of using generalised statistics.</w:t>
      </w:r>
    </w:p>
    <w:p w14:paraId="11D14BB6" w14:textId="77777777" w:rsidR="00B84A37" w:rsidRDefault="0027188B">
      <w:pPr>
        <w:pStyle w:val="Titlu2"/>
      </w:pPr>
      <w:bookmarkStart w:id="15" w:name="_heading=h.13grvkug0gqt" w:colFirst="0" w:colLast="0"/>
      <w:bookmarkEnd w:id="15"/>
      <w:r>
        <w:t>Research Approach: Inductive</w:t>
      </w:r>
    </w:p>
    <w:p w14:paraId="25524555" w14:textId="77777777" w:rsidR="00B84A37" w:rsidRDefault="0027188B">
      <w:r>
        <w:t>The study will be an inductive study whereby a given observation will lead to the formation of larger insights and theoretical contributions. This method is appropriate because it seeks to develop an insight into how remote and hybrid models interfere with engagement, culture, and collaboration instead of testing an established hypothesis (Kumar and Ujire, 2024). Induction helps the researcher based on secondary sources like journals, industry reports, with the known theories including the Two Factor Theory</w:t>
      </w:r>
      <w:r>
        <w:t xml:space="preserve"> of Herzberg and the Social Exchange Theory thus allowing the researcher to relate the empirical results, to the theoretical frameworks.</w:t>
      </w:r>
    </w:p>
    <w:p w14:paraId="603A9AE7" w14:textId="77777777" w:rsidR="00B84A37" w:rsidRDefault="0027188B">
      <w:pPr>
        <w:pStyle w:val="Titlu2"/>
      </w:pPr>
      <w:bookmarkStart w:id="16" w:name="_heading=h.umdne6s5raje" w:colFirst="0" w:colLast="0"/>
      <w:bookmarkEnd w:id="16"/>
      <w:r>
        <w:t>Data Collection:</w:t>
      </w:r>
    </w:p>
    <w:p w14:paraId="435585A1" w14:textId="77777777" w:rsidR="00B84A37" w:rsidRDefault="0027188B">
      <w:r>
        <w:t>The data of this study will be gathered by secondary sources of data. The collection of the secondary data will involve the use of scholarly journals, industry reports, state publications and sources by practitioners that cover remote and hybrid work. These provide a sound, empirical, notion about employee engagement, collaboration, and organizational culture.</w:t>
      </w:r>
    </w:p>
    <w:p w14:paraId="42F4590A" w14:textId="77777777" w:rsidR="00B84A37" w:rsidRDefault="0027188B">
      <w:pPr>
        <w:pStyle w:val="Titlu2"/>
      </w:pPr>
      <w:bookmarkStart w:id="17" w:name="_heading=h.qokfdfw2s6i9" w:colFirst="0" w:colLast="0"/>
      <w:bookmarkEnd w:id="17"/>
      <w:r>
        <w:t>Sampling:</w:t>
      </w:r>
    </w:p>
    <w:p w14:paraId="3308AF86" w14:textId="77777777" w:rsidR="00B84A37" w:rsidRDefault="0027188B">
      <w:r>
        <w:t>As this research is based solely on secondary research, there is no need for participant sampling in a traditional way. In its place, there will be a purposive sampling of scholarly publications, industry publications, professional books, and reliable online materials. It will focus on studies published in peer-reviewed publications and practitioner insights within the past five years, which means that they will be relevant, reliable, and accurate in examining the impact of remote work and hybrid work on cu</w:t>
      </w:r>
      <w:r>
        <w:t xml:space="preserve">lture, collaboration, and engagement. </w:t>
      </w:r>
    </w:p>
    <w:p w14:paraId="6F4267D1" w14:textId="77777777" w:rsidR="00B84A37" w:rsidRDefault="0027188B">
      <w:pPr>
        <w:pStyle w:val="Titlu2"/>
      </w:pPr>
      <w:bookmarkStart w:id="18" w:name="_heading=h.b4nf7sphjwe0" w:colFirst="0" w:colLast="0"/>
      <w:bookmarkEnd w:id="18"/>
      <w:r>
        <w:t>Data Analysis:</w:t>
      </w:r>
    </w:p>
    <w:p w14:paraId="6195A958" w14:textId="77777777" w:rsidR="00B84A37" w:rsidRDefault="0027188B">
      <w:r>
        <w:t>It will apply thematic analysis of literature that exists whereby common ideas and trends in the literature, industry reports and practitioner journals will be uncovered. Synthesis will be done on the major themes (employee engagement, collaboration, cultural adaptation and organisational strategies). The analysis of the obtained results in comparison with a few credible sources will enable us to establish converging and nonconverging positions, and it will enable us to obtain a clear image of how remote an</w:t>
      </w:r>
      <w:r>
        <w:t xml:space="preserve">d hybrid working applications will alter the working culture and experiences of the staff (Naeem </w:t>
      </w:r>
      <w:r>
        <w:rPr>
          <w:i/>
        </w:rPr>
        <w:t>et al</w:t>
      </w:r>
      <w:r>
        <w:t>., 2023).</w:t>
      </w:r>
    </w:p>
    <w:p w14:paraId="458E8EE1" w14:textId="77777777" w:rsidR="00B84A37" w:rsidRDefault="0027188B">
      <w:pPr>
        <w:pStyle w:val="Titlu2"/>
      </w:pPr>
      <w:bookmarkStart w:id="19" w:name="_heading=h.shvmmd7paoqz" w:colFirst="0" w:colLast="0"/>
      <w:bookmarkEnd w:id="19"/>
      <w:r>
        <w:t xml:space="preserve">Ethical Considerations: </w:t>
      </w:r>
    </w:p>
    <w:p w14:paraId="090C1586" w14:textId="77777777" w:rsidR="00B84A37" w:rsidRDefault="0027188B">
      <w:r>
        <w:t>As this study is conducted purely through secondary data, there are no issues of consent or confidentiality, as no dialogic interaction with participants is necessary. Ethical integrity shall be maintained by deploying only credible, academically and professionally accepted references, duly cited in the report (</w:t>
      </w:r>
      <w:r>
        <w:rPr>
          <w:highlight w:val="white"/>
        </w:rPr>
        <w:t xml:space="preserve">Hasan </w:t>
      </w:r>
      <w:r>
        <w:rPr>
          <w:i/>
          <w:highlight w:val="white"/>
        </w:rPr>
        <w:t>et al</w:t>
      </w:r>
      <w:r>
        <w:rPr>
          <w:highlight w:val="white"/>
        </w:rPr>
        <w:t>., 2021)</w:t>
      </w:r>
      <w:r>
        <w:t xml:space="preserve">. Acknowledgement of all materials will be made to avoid plagiarism, while assessment will be made with discrimination to avoid misrepresentation, the researcher shall maintain objectivity and reflexivity for the unbiased interpretation of existing studies and published findings. </w:t>
      </w:r>
    </w:p>
    <w:p w14:paraId="2FA2699B" w14:textId="77777777" w:rsidR="00B84A37" w:rsidRDefault="0027188B">
      <w:pPr>
        <w:pStyle w:val="Titlu2"/>
      </w:pPr>
      <w:bookmarkStart w:id="20" w:name="_heading=h.j6jb5uk6ky48" w:colFirst="0" w:colLast="0"/>
      <w:bookmarkEnd w:id="20"/>
      <w:r>
        <w:t xml:space="preserve">Limitations: </w:t>
      </w:r>
    </w:p>
    <w:p w14:paraId="04BA346E" w14:textId="77777777" w:rsidR="00B84A37" w:rsidRDefault="0027188B">
      <w:r>
        <w:t>Secondary data limits the research because first-hand perspectives of employees or managers cannot be accessed. The study depends on the scope, quality, and availability of literature and resources, and may be lacking in a comprehensive view of the actual scenario presented. However, secondary data analysis may provide a broader view with insightful information on problems that remote and hybrid work cause.</w:t>
      </w:r>
    </w:p>
    <w:p w14:paraId="767A209F" w14:textId="77777777" w:rsidR="00B84A37" w:rsidRDefault="0027188B">
      <w:pPr>
        <w:pStyle w:val="Titlu1"/>
      </w:pPr>
      <w:bookmarkStart w:id="21" w:name="_heading=h.rpxzx343uwhl" w:colFirst="0" w:colLast="0"/>
      <w:bookmarkEnd w:id="21"/>
      <w:r>
        <w:t xml:space="preserve">4. Timeline: </w:t>
      </w:r>
    </w:p>
    <w:p w14:paraId="46426A99" w14:textId="77777777" w:rsidR="00B84A37" w:rsidRDefault="0027188B">
      <w:r>
        <w:t xml:space="preserve">Gantt chart to demonstrate clear timeline of the Research </w:t>
      </w:r>
    </w:p>
    <w:tbl>
      <w:tblPr>
        <w:tblStyle w:val="a1"/>
        <w:tblW w:w="9917" w:type="dxa"/>
        <w:tblBorders>
          <w:top w:val="nil"/>
          <w:left w:val="nil"/>
          <w:bottom w:val="nil"/>
          <w:right w:val="nil"/>
          <w:insideH w:val="nil"/>
          <w:insideV w:val="nil"/>
        </w:tblBorders>
        <w:tblLayout w:type="fixed"/>
        <w:tblLook w:val="0600" w:firstRow="0" w:lastRow="0" w:firstColumn="0" w:lastColumn="0" w:noHBand="1" w:noVBand="1"/>
      </w:tblPr>
      <w:tblGrid>
        <w:gridCol w:w="1695"/>
        <w:gridCol w:w="1276"/>
        <w:gridCol w:w="992"/>
        <w:gridCol w:w="993"/>
        <w:gridCol w:w="992"/>
        <w:gridCol w:w="992"/>
        <w:gridCol w:w="992"/>
        <w:gridCol w:w="993"/>
        <w:gridCol w:w="992"/>
      </w:tblGrid>
      <w:tr w:rsidR="00B84A37" w14:paraId="0B46FF89" w14:textId="77777777">
        <w:trPr>
          <w:trHeight w:val="495"/>
        </w:trPr>
        <w:tc>
          <w:tcPr>
            <w:tcW w:w="1695" w:type="dxa"/>
            <w:tcBorders>
              <w:top w:val="single" w:sz="5" w:space="0" w:color="000000"/>
              <w:left w:val="single" w:sz="5" w:space="0" w:color="000000"/>
              <w:bottom w:val="single" w:sz="5" w:space="0" w:color="000000"/>
              <w:right w:val="single" w:sz="5" w:space="0" w:color="000000"/>
            </w:tcBorders>
            <w:shd w:val="clear" w:color="auto" w:fill="4A86E8"/>
            <w:tcMar>
              <w:top w:w="100" w:type="dxa"/>
              <w:left w:w="100" w:type="dxa"/>
              <w:bottom w:w="100" w:type="dxa"/>
              <w:right w:w="100" w:type="dxa"/>
            </w:tcMar>
          </w:tcPr>
          <w:p w14:paraId="7D004C91" w14:textId="77777777" w:rsidR="00B84A37" w:rsidRDefault="0027188B">
            <w:pPr>
              <w:rPr>
                <w:b/>
              </w:rPr>
            </w:pPr>
            <w:r>
              <w:rPr>
                <w:b/>
              </w:rPr>
              <w:t>Activities</w:t>
            </w:r>
          </w:p>
        </w:tc>
        <w:tc>
          <w:tcPr>
            <w:tcW w:w="1276" w:type="dxa"/>
            <w:tcBorders>
              <w:top w:val="single" w:sz="5" w:space="0" w:color="000000"/>
              <w:left w:val="nil"/>
              <w:bottom w:val="single" w:sz="5" w:space="0" w:color="000000"/>
              <w:right w:val="single" w:sz="5" w:space="0" w:color="000000"/>
            </w:tcBorders>
            <w:shd w:val="clear" w:color="auto" w:fill="4A86E8"/>
            <w:tcMar>
              <w:top w:w="100" w:type="dxa"/>
              <w:left w:w="100" w:type="dxa"/>
              <w:bottom w:w="100" w:type="dxa"/>
              <w:right w:w="100" w:type="dxa"/>
            </w:tcMar>
          </w:tcPr>
          <w:p w14:paraId="0F86407A" w14:textId="77777777" w:rsidR="00B84A37" w:rsidRDefault="0027188B">
            <w:pPr>
              <w:rPr>
                <w:b/>
              </w:rPr>
            </w:pPr>
            <w:r>
              <w:rPr>
                <w:b/>
              </w:rPr>
              <w:t>Week 1</w:t>
            </w:r>
          </w:p>
        </w:tc>
        <w:tc>
          <w:tcPr>
            <w:tcW w:w="992" w:type="dxa"/>
            <w:tcBorders>
              <w:top w:val="single" w:sz="5" w:space="0" w:color="000000"/>
              <w:left w:val="nil"/>
              <w:bottom w:val="single" w:sz="5" w:space="0" w:color="000000"/>
              <w:right w:val="single" w:sz="5" w:space="0" w:color="000000"/>
            </w:tcBorders>
            <w:shd w:val="clear" w:color="auto" w:fill="4A86E8"/>
            <w:tcMar>
              <w:top w:w="100" w:type="dxa"/>
              <w:left w:w="100" w:type="dxa"/>
              <w:bottom w:w="100" w:type="dxa"/>
              <w:right w:w="100" w:type="dxa"/>
            </w:tcMar>
          </w:tcPr>
          <w:p w14:paraId="2C644E14" w14:textId="77777777" w:rsidR="00B84A37" w:rsidRDefault="0027188B">
            <w:pPr>
              <w:rPr>
                <w:b/>
              </w:rPr>
            </w:pPr>
            <w:r>
              <w:rPr>
                <w:b/>
              </w:rPr>
              <w:t>Week 2</w:t>
            </w:r>
          </w:p>
        </w:tc>
        <w:tc>
          <w:tcPr>
            <w:tcW w:w="993" w:type="dxa"/>
            <w:tcBorders>
              <w:top w:val="single" w:sz="5" w:space="0" w:color="000000"/>
              <w:left w:val="nil"/>
              <w:bottom w:val="single" w:sz="5" w:space="0" w:color="000000"/>
              <w:right w:val="single" w:sz="5" w:space="0" w:color="000000"/>
            </w:tcBorders>
            <w:shd w:val="clear" w:color="auto" w:fill="4A86E8"/>
            <w:tcMar>
              <w:top w:w="100" w:type="dxa"/>
              <w:left w:w="100" w:type="dxa"/>
              <w:bottom w:w="100" w:type="dxa"/>
              <w:right w:w="100" w:type="dxa"/>
            </w:tcMar>
          </w:tcPr>
          <w:p w14:paraId="1F14333A" w14:textId="77777777" w:rsidR="00B84A37" w:rsidRDefault="0027188B">
            <w:pPr>
              <w:rPr>
                <w:b/>
              </w:rPr>
            </w:pPr>
            <w:r>
              <w:rPr>
                <w:b/>
              </w:rPr>
              <w:t>Week 3</w:t>
            </w:r>
          </w:p>
        </w:tc>
        <w:tc>
          <w:tcPr>
            <w:tcW w:w="992" w:type="dxa"/>
            <w:tcBorders>
              <w:top w:val="single" w:sz="5" w:space="0" w:color="000000"/>
              <w:left w:val="nil"/>
              <w:bottom w:val="single" w:sz="5" w:space="0" w:color="000000"/>
              <w:right w:val="single" w:sz="5" w:space="0" w:color="000000"/>
            </w:tcBorders>
            <w:shd w:val="clear" w:color="auto" w:fill="4A86E8"/>
            <w:tcMar>
              <w:top w:w="100" w:type="dxa"/>
              <w:left w:w="100" w:type="dxa"/>
              <w:bottom w:w="100" w:type="dxa"/>
              <w:right w:w="100" w:type="dxa"/>
            </w:tcMar>
          </w:tcPr>
          <w:p w14:paraId="64FE095E" w14:textId="77777777" w:rsidR="00B84A37" w:rsidRDefault="0027188B">
            <w:pPr>
              <w:rPr>
                <w:b/>
              </w:rPr>
            </w:pPr>
            <w:r>
              <w:rPr>
                <w:b/>
              </w:rPr>
              <w:t>Week 4</w:t>
            </w:r>
          </w:p>
        </w:tc>
        <w:tc>
          <w:tcPr>
            <w:tcW w:w="992" w:type="dxa"/>
            <w:tcBorders>
              <w:top w:val="single" w:sz="5" w:space="0" w:color="000000"/>
              <w:left w:val="nil"/>
              <w:bottom w:val="single" w:sz="5" w:space="0" w:color="000000"/>
              <w:right w:val="single" w:sz="5" w:space="0" w:color="000000"/>
            </w:tcBorders>
            <w:shd w:val="clear" w:color="auto" w:fill="4A86E8"/>
            <w:tcMar>
              <w:top w:w="100" w:type="dxa"/>
              <w:left w:w="100" w:type="dxa"/>
              <w:bottom w:w="100" w:type="dxa"/>
              <w:right w:w="100" w:type="dxa"/>
            </w:tcMar>
          </w:tcPr>
          <w:p w14:paraId="00BA3810" w14:textId="77777777" w:rsidR="00B84A37" w:rsidRDefault="0027188B">
            <w:pPr>
              <w:rPr>
                <w:b/>
              </w:rPr>
            </w:pPr>
            <w:r>
              <w:rPr>
                <w:b/>
              </w:rPr>
              <w:t>Week 5</w:t>
            </w:r>
          </w:p>
        </w:tc>
        <w:tc>
          <w:tcPr>
            <w:tcW w:w="992" w:type="dxa"/>
            <w:tcBorders>
              <w:top w:val="single" w:sz="5" w:space="0" w:color="000000"/>
              <w:left w:val="nil"/>
              <w:bottom w:val="single" w:sz="5" w:space="0" w:color="000000"/>
              <w:right w:val="single" w:sz="5" w:space="0" w:color="000000"/>
            </w:tcBorders>
            <w:shd w:val="clear" w:color="auto" w:fill="4A86E8"/>
            <w:tcMar>
              <w:top w:w="100" w:type="dxa"/>
              <w:left w:w="100" w:type="dxa"/>
              <w:bottom w:w="100" w:type="dxa"/>
              <w:right w:w="100" w:type="dxa"/>
            </w:tcMar>
          </w:tcPr>
          <w:p w14:paraId="03057A49" w14:textId="77777777" w:rsidR="00B84A37" w:rsidRDefault="0027188B">
            <w:pPr>
              <w:rPr>
                <w:b/>
              </w:rPr>
            </w:pPr>
            <w:r>
              <w:rPr>
                <w:b/>
              </w:rPr>
              <w:t>Week 6</w:t>
            </w:r>
          </w:p>
        </w:tc>
        <w:tc>
          <w:tcPr>
            <w:tcW w:w="993" w:type="dxa"/>
            <w:tcBorders>
              <w:top w:val="single" w:sz="5" w:space="0" w:color="000000"/>
              <w:left w:val="nil"/>
              <w:bottom w:val="single" w:sz="5" w:space="0" w:color="000000"/>
              <w:right w:val="single" w:sz="5" w:space="0" w:color="000000"/>
            </w:tcBorders>
            <w:shd w:val="clear" w:color="auto" w:fill="4A86E8"/>
            <w:tcMar>
              <w:top w:w="100" w:type="dxa"/>
              <w:left w:w="100" w:type="dxa"/>
              <w:bottom w:w="100" w:type="dxa"/>
              <w:right w:w="100" w:type="dxa"/>
            </w:tcMar>
          </w:tcPr>
          <w:p w14:paraId="0430E60A" w14:textId="77777777" w:rsidR="00B84A37" w:rsidRDefault="0027188B">
            <w:pPr>
              <w:rPr>
                <w:b/>
              </w:rPr>
            </w:pPr>
            <w:r>
              <w:rPr>
                <w:b/>
              </w:rPr>
              <w:t>Week 7</w:t>
            </w:r>
          </w:p>
        </w:tc>
        <w:tc>
          <w:tcPr>
            <w:tcW w:w="992" w:type="dxa"/>
            <w:tcBorders>
              <w:top w:val="single" w:sz="5" w:space="0" w:color="000000"/>
              <w:left w:val="nil"/>
              <w:bottom w:val="single" w:sz="5" w:space="0" w:color="000000"/>
              <w:right w:val="single" w:sz="5" w:space="0" w:color="000000"/>
            </w:tcBorders>
            <w:shd w:val="clear" w:color="auto" w:fill="4A86E8"/>
            <w:tcMar>
              <w:top w:w="100" w:type="dxa"/>
              <w:left w:w="100" w:type="dxa"/>
              <w:bottom w:w="100" w:type="dxa"/>
              <w:right w:w="100" w:type="dxa"/>
            </w:tcMar>
          </w:tcPr>
          <w:p w14:paraId="62F5D05A" w14:textId="77777777" w:rsidR="00B84A37" w:rsidRDefault="0027188B">
            <w:pPr>
              <w:rPr>
                <w:b/>
              </w:rPr>
            </w:pPr>
            <w:r>
              <w:rPr>
                <w:b/>
              </w:rPr>
              <w:t>Week 8</w:t>
            </w:r>
          </w:p>
        </w:tc>
      </w:tr>
      <w:tr w:rsidR="00B84A37" w14:paraId="5A145980" w14:textId="77777777">
        <w:trPr>
          <w:trHeight w:val="765"/>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DC5E849" w14:textId="77777777" w:rsidR="00B84A37" w:rsidRDefault="0027188B">
            <w:pPr>
              <w:rPr>
                <w:b/>
              </w:rPr>
            </w:pPr>
            <w:r>
              <w:rPr>
                <w:b/>
              </w:rPr>
              <w:t>Choosing the Topic</w:t>
            </w:r>
          </w:p>
        </w:tc>
        <w:tc>
          <w:tcPr>
            <w:tcW w:w="1276" w:type="dxa"/>
            <w:tcBorders>
              <w:top w:val="nil"/>
              <w:left w:val="nil"/>
              <w:bottom w:val="single" w:sz="5" w:space="0" w:color="000000"/>
              <w:right w:val="single" w:sz="5" w:space="0" w:color="000000"/>
            </w:tcBorders>
            <w:shd w:val="clear" w:color="auto" w:fill="F9CB9C"/>
            <w:tcMar>
              <w:top w:w="100" w:type="dxa"/>
              <w:left w:w="100" w:type="dxa"/>
              <w:bottom w:w="100" w:type="dxa"/>
              <w:right w:w="100" w:type="dxa"/>
            </w:tcMar>
          </w:tcPr>
          <w:p w14:paraId="6C6D173A" w14:textId="77777777" w:rsidR="00B84A37" w:rsidRDefault="0027188B">
            <w:pPr>
              <w:rPr>
                <w:color w:val="1155CC"/>
                <w:shd w:val="clear" w:color="auto" w:fill="134F5C"/>
              </w:rPr>
            </w:pPr>
            <w:r>
              <w:rPr>
                <w:color w:val="1155CC"/>
                <w:shd w:val="clear" w:color="auto" w:fill="134F5C"/>
              </w:rPr>
              <w:t xml:space="preserve"> </w:t>
            </w:r>
          </w:p>
        </w:tc>
        <w:tc>
          <w:tcPr>
            <w:tcW w:w="992" w:type="dxa"/>
            <w:tcBorders>
              <w:top w:val="nil"/>
              <w:left w:val="nil"/>
              <w:bottom w:val="single" w:sz="5" w:space="0" w:color="000000"/>
              <w:right w:val="single" w:sz="5" w:space="0" w:color="000000"/>
            </w:tcBorders>
            <w:shd w:val="clear" w:color="auto" w:fill="F9CB9C"/>
            <w:tcMar>
              <w:top w:w="100" w:type="dxa"/>
              <w:left w:w="100" w:type="dxa"/>
              <w:bottom w:w="100" w:type="dxa"/>
              <w:right w:w="100" w:type="dxa"/>
            </w:tcMar>
          </w:tcPr>
          <w:p w14:paraId="3020FCB0" w14:textId="77777777" w:rsidR="00B84A37" w:rsidRDefault="0027188B">
            <w:pPr>
              <w:rPr>
                <w:color w:val="1155CC"/>
                <w:shd w:val="clear" w:color="auto" w:fill="134F5C"/>
              </w:rPr>
            </w:pPr>
            <w:r>
              <w:rPr>
                <w:color w:val="1155CC"/>
                <w:shd w:val="clear" w:color="auto" w:fill="134F5C"/>
              </w:rPr>
              <w:t xml:space="preserve"> </w:t>
            </w:r>
          </w:p>
        </w:tc>
        <w:tc>
          <w:tcPr>
            <w:tcW w:w="993" w:type="dxa"/>
            <w:tcBorders>
              <w:top w:val="nil"/>
              <w:left w:val="nil"/>
              <w:bottom w:val="single" w:sz="5" w:space="0" w:color="000000"/>
              <w:right w:val="single" w:sz="5" w:space="0" w:color="000000"/>
            </w:tcBorders>
            <w:tcMar>
              <w:top w:w="100" w:type="dxa"/>
              <w:left w:w="100" w:type="dxa"/>
              <w:bottom w:w="100" w:type="dxa"/>
              <w:right w:w="100" w:type="dxa"/>
            </w:tcMar>
          </w:tcPr>
          <w:p w14:paraId="7C8AC613"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72DDB472"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3E6068AF"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139CD160" w14:textId="77777777" w:rsidR="00B84A37" w:rsidRDefault="0027188B">
            <w:r>
              <w:t xml:space="preserve"> </w:t>
            </w:r>
          </w:p>
        </w:tc>
        <w:tc>
          <w:tcPr>
            <w:tcW w:w="993" w:type="dxa"/>
            <w:tcBorders>
              <w:top w:val="nil"/>
              <w:left w:val="nil"/>
              <w:bottom w:val="single" w:sz="5" w:space="0" w:color="000000"/>
              <w:right w:val="single" w:sz="5" w:space="0" w:color="000000"/>
            </w:tcBorders>
            <w:tcMar>
              <w:top w:w="100" w:type="dxa"/>
              <w:left w:w="100" w:type="dxa"/>
              <w:bottom w:w="100" w:type="dxa"/>
              <w:right w:w="100" w:type="dxa"/>
            </w:tcMar>
          </w:tcPr>
          <w:p w14:paraId="02191483"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1734A7C1" w14:textId="77777777" w:rsidR="00B84A37" w:rsidRDefault="0027188B">
            <w:r>
              <w:t xml:space="preserve"> </w:t>
            </w:r>
          </w:p>
        </w:tc>
      </w:tr>
      <w:tr w:rsidR="00B84A37" w14:paraId="4937EE25" w14:textId="77777777">
        <w:trPr>
          <w:trHeight w:val="765"/>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9BA71CB" w14:textId="77777777" w:rsidR="00B84A37" w:rsidRDefault="0027188B">
            <w:pPr>
              <w:rPr>
                <w:b/>
              </w:rPr>
            </w:pPr>
            <w:r>
              <w:rPr>
                <w:b/>
              </w:rPr>
              <w:t>Finding Aims</w:t>
            </w:r>
          </w:p>
        </w:tc>
        <w:tc>
          <w:tcPr>
            <w:tcW w:w="1276" w:type="dxa"/>
            <w:tcBorders>
              <w:top w:val="nil"/>
              <w:left w:val="nil"/>
              <w:bottom w:val="single" w:sz="5" w:space="0" w:color="000000"/>
              <w:right w:val="single" w:sz="5" w:space="0" w:color="000000"/>
            </w:tcBorders>
            <w:tcMar>
              <w:top w:w="100" w:type="dxa"/>
              <w:left w:w="100" w:type="dxa"/>
              <w:bottom w:w="100" w:type="dxa"/>
              <w:right w:w="100" w:type="dxa"/>
            </w:tcMar>
          </w:tcPr>
          <w:p w14:paraId="60AC60F8" w14:textId="77777777" w:rsidR="00B84A37" w:rsidRDefault="0027188B">
            <w:r>
              <w:t xml:space="preserve"> </w:t>
            </w:r>
          </w:p>
        </w:tc>
        <w:tc>
          <w:tcPr>
            <w:tcW w:w="992" w:type="dxa"/>
            <w:tcBorders>
              <w:top w:val="nil"/>
              <w:left w:val="nil"/>
              <w:bottom w:val="single" w:sz="5" w:space="0" w:color="000000"/>
              <w:right w:val="single" w:sz="5" w:space="0" w:color="000000"/>
            </w:tcBorders>
            <w:shd w:val="clear" w:color="auto" w:fill="C27BA0"/>
            <w:tcMar>
              <w:top w:w="100" w:type="dxa"/>
              <w:left w:w="100" w:type="dxa"/>
              <w:bottom w:w="100" w:type="dxa"/>
              <w:right w:w="100" w:type="dxa"/>
            </w:tcMar>
          </w:tcPr>
          <w:p w14:paraId="5010FD55" w14:textId="77777777" w:rsidR="00B84A37" w:rsidRDefault="0027188B">
            <w:r>
              <w:t xml:space="preserve"> </w:t>
            </w:r>
          </w:p>
        </w:tc>
        <w:tc>
          <w:tcPr>
            <w:tcW w:w="993" w:type="dxa"/>
            <w:tcBorders>
              <w:top w:val="nil"/>
              <w:left w:val="nil"/>
              <w:bottom w:val="single" w:sz="5" w:space="0" w:color="000000"/>
              <w:right w:val="single" w:sz="5" w:space="0" w:color="000000"/>
            </w:tcBorders>
            <w:shd w:val="clear" w:color="auto" w:fill="C27BA0"/>
            <w:tcMar>
              <w:top w:w="100" w:type="dxa"/>
              <w:left w:w="100" w:type="dxa"/>
              <w:bottom w:w="100" w:type="dxa"/>
              <w:right w:w="100" w:type="dxa"/>
            </w:tcMar>
          </w:tcPr>
          <w:p w14:paraId="36D38DA8"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6CEE2F75"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089F9C02"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6E30BFFB" w14:textId="77777777" w:rsidR="00B84A37" w:rsidRDefault="0027188B">
            <w:r>
              <w:t xml:space="preserve"> </w:t>
            </w:r>
          </w:p>
        </w:tc>
        <w:tc>
          <w:tcPr>
            <w:tcW w:w="993" w:type="dxa"/>
            <w:tcBorders>
              <w:top w:val="nil"/>
              <w:left w:val="nil"/>
              <w:bottom w:val="single" w:sz="5" w:space="0" w:color="000000"/>
              <w:right w:val="single" w:sz="5" w:space="0" w:color="000000"/>
            </w:tcBorders>
            <w:tcMar>
              <w:top w:w="100" w:type="dxa"/>
              <w:left w:w="100" w:type="dxa"/>
              <w:bottom w:w="100" w:type="dxa"/>
              <w:right w:w="100" w:type="dxa"/>
            </w:tcMar>
          </w:tcPr>
          <w:p w14:paraId="5F41F66B"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009758D7" w14:textId="77777777" w:rsidR="00B84A37" w:rsidRDefault="0027188B">
            <w:r>
              <w:t xml:space="preserve"> </w:t>
            </w:r>
          </w:p>
        </w:tc>
      </w:tr>
      <w:tr w:rsidR="00B84A37" w14:paraId="0B34ED32" w14:textId="77777777">
        <w:trPr>
          <w:trHeight w:val="765"/>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1B7EA92" w14:textId="77777777" w:rsidR="00B84A37" w:rsidRDefault="0027188B">
            <w:pPr>
              <w:rPr>
                <w:b/>
              </w:rPr>
            </w:pPr>
            <w:r>
              <w:rPr>
                <w:b/>
              </w:rPr>
              <w:t>Determining the Topic</w:t>
            </w:r>
          </w:p>
        </w:tc>
        <w:tc>
          <w:tcPr>
            <w:tcW w:w="1276" w:type="dxa"/>
            <w:tcBorders>
              <w:top w:val="nil"/>
              <w:left w:val="nil"/>
              <w:bottom w:val="single" w:sz="5" w:space="0" w:color="000000"/>
              <w:right w:val="single" w:sz="5" w:space="0" w:color="000000"/>
            </w:tcBorders>
            <w:tcMar>
              <w:top w:w="100" w:type="dxa"/>
              <w:left w:w="100" w:type="dxa"/>
              <w:bottom w:w="100" w:type="dxa"/>
              <w:right w:w="100" w:type="dxa"/>
            </w:tcMar>
          </w:tcPr>
          <w:p w14:paraId="07AE9BEA" w14:textId="77777777" w:rsidR="00B84A37" w:rsidRDefault="0027188B">
            <w:r>
              <w:t xml:space="preserve"> </w:t>
            </w:r>
          </w:p>
        </w:tc>
        <w:tc>
          <w:tcPr>
            <w:tcW w:w="992" w:type="dxa"/>
            <w:tcBorders>
              <w:top w:val="nil"/>
              <w:left w:val="nil"/>
              <w:bottom w:val="single" w:sz="5" w:space="0" w:color="000000"/>
              <w:right w:val="single" w:sz="5" w:space="0" w:color="000000"/>
            </w:tcBorders>
            <w:shd w:val="clear" w:color="auto" w:fill="FFD966"/>
            <w:tcMar>
              <w:top w:w="100" w:type="dxa"/>
              <w:left w:w="100" w:type="dxa"/>
              <w:bottom w:w="100" w:type="dxa"/>
              <w:right w:w="100" w:type="dxa"/>
            </w:tcMar>
          </w:tcPr>
          <w:p w14:paraId="50A00E51" w14:textId="77777777" w:rsidR="00B84A37" w:rsidRDefault="0027188B">
            <w:r>
              <w:t xml:space="preserve"> </w:t>
            </w:r>
          </w:p>
        </w:tc>
        <w:tc>
          <w:tcPr>
            <w:tcW w:w="993" w:type="dxa"/>
            <w:tcBorders>
              <w:top w:val="nil"/>
              <w:left w:val="nil"/>
              <w:bottom w:val="single" w:sz="5" w:space="0" w:color="000000"/>
              <w:right w:val="single" w:sz="5" w:space="0" w:color="000000"/>
            </w:tcBorders>
            <w:shd w:val="clear" w:color="auto" w:fill="FFD966"/>
            <w:tcMar>
              <w:top w:w="100" w:type="dxa"/>
              <w:left w:w="100" w:type="dxa"/>
              <w:bottom w:w="100" w:type="dxa"/>
              <w:right w:w="100" w:type="dxa"/>
            </w:tcMar>
          </w:tcPr>
          <w:p w14:paraId="27520DA3" w14:textId="77777777" w:rsidR="00B84A37" w:rsidRDefault="0027188B">
            <w:r>
              <w:t xml:space="preserve"> </w:t>
            </w:r>
          </w:p>
        </w:tc>
        <w:tc>
          <w:tcPr>
            <w:tcW w:w="992" w:type="dxa"/>
            <w:tcBorders>
              <w:top w:val="nil"/>
              <w:left w:val="nil"/>
              <w:bottom w:val="single" w:sz="5" w:space="0" w:color="000000"/>
              <w:right w:val="single" w:sz="5" w:space="0" w:color="000000"/>
            </w:tcBorders>
            <w:shd w:val="clear" w:color="auto" w:fill="FFD966"/>
            <w:tcMar>
              <w:top w:w="100" w:type="dxa"/>
              <w:left w:w="100" w:type="dxa"/>
              <w:bottom w:w="100" w:type="dxa"/>
              <w:right w:w="100" w:type="dxa"/>
            </w:tcMar>
          </w:tcPr>
          <w:p w14:paraId="11E1F711"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24CFFA47"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59C14AFC" w14:textId="77777777" w:rsidR="00B84A37" w:rsidRDefault="0027188B">
            <w:r>
              <w:t xml:space="preserve"> </w:t>
            </w:r>
          </w:p>
        </w:tc>
        <w:tc>
          <w:tcPr>
            <w:tcW w:w="993" w:type="dxa"/>
            <w:tcBorders>
              <w:top w:val="nil"/>
              <w:left w:val="nil"/>
              <w:bottom w:val="single" w:sz="5" w:space="0" w:color="000000"/>
              <w:right w:val="single" w:sz="5" w:space="0" w:color="000000"/>
            </w:tcBorders>
            <w:tcMar>
              <w:top w:w="100" w:type="dxa"/>
              <w:left w:w="100" w:type="dxa"/>
              <w:bottom w:w="100" w:type="dxa"/>
              <w:right w:w="100" w:type="dxa"/>
            </w:tcMar>
          </w:tcPr>
          <w:p w14:paraId="6766938A"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653707D9" w14:textId="77777777" w:rsidR="00B84A37" w:rsidRDefault="0027188B">
            <w:r>
              <w:t xml:space="preserve"> </w:t>
            </w:r>
          </w:p>
        </w:tc>
      </w:tr>
      <w:tr w:rsidR="00B84A37" w14:paraId="1A53950B" w14:textId="77777777">
        <w:trPr>
          <w:trHeight w:val="1035"/>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87C5715" w14:textId="77777777" w:rsidR="00B84A37" w:rsidRDefault="0027188B">
            <w:pPr>
              <w:rPr>
                <w:b/>
              </w:rPr>
            </w:pPr>
            <w:r>
              <w:rPr>
                <w:b/>
              </w:rPr>
              <w:t>Literature Review Analysis</w:t>
            </w:r>
          </w:p>
        </w:tc>
        <w:tc>
          <w:tcPr>
            <w:tcW w:w="1276" w:type="dxa"/>
            <w:tcBorders>
              <w:top w:val="nil"/>
              <w:left w:val="nil"/>
              <w:bottom w:val="single" w:sz="5" w:space="0" w:color="000000"/>
              <w:right w:val="single" w:sz="5" w:space="0" w:color="000000"/>
            </w:tcBorders>
            <w:tcMar>
              <w:top w:w="100" w:type="dxa"/>
              <w:left w:w="100" w:type="dxa"/>
              <w:bottom w:w="100" w:type="dxa"/>
              <w:right w:w="100" w:type="dxa"/>
            </w:tcMar>
          </w:tcPr>
          <w:p w14:paraId="252571C9"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288AE57E" w14:textId="77777777" w:rsidR="00B84A37" w:rsidRDefault="0027188B">
            <w:r>
              <w:t xml:space="preserve"> </w:t>
            </w:r>
          </w:p>
        </w:tc>
        <w:tc>
          <w:tcPr>
            <w:tcW w:w="993" w:type="dxa"/>
            <w:tcBorders>
              <w:top w:val="nil"/>
              <w:left w:val="nil"/>
              <w:bottom w:val="single" w:sz="5" w:space="0" w:color="000000"/>
              <w:right w:val="single" w:sz="5" w:space="0" w:color="000000"/>
            </w:tcBorders>
            <w:shd w:val="clear" w:color="auto" w:fill="93C47D"/>
            <w:tcMar>
              <w:top w:w="100" w:type="dxa"/>
              <w:left w:w="100" w:type="dxa"/>
              <w:bottom w:w="100" w:type="dxa"/>
              <w:right w:w="100" w:type="dxa"/>
            </w:tcMar>
          </w:tcPr>
          <w:p w14:paraId="7392D276" w14:textId="77777777" w:rsidR="00B84A37" w:rsidRDefault="0027188B">
            <w:r>
              <w:t xml:space="preserve"> </w:t>
            </w:r>
          </w:p>
        </w:tc>
        <w:tc>
          <w:tcPr>
            <w:tcW w:w="992" w:type="dxa"/>
            <w:tcBorders>
              <w:top w:val="nil"/>
              <w:left w:val="nil"/>
              <w:bottom w:val="single" w:sz="5" w:space="0" w:color="000000"/>
              <w:right w:val="single" w:sz="5" w:space="0" w:color="000000"/>
            </w:tcBorders>
            <w:shd w:val="clear" w:color="auto" w:fill="93C47D"/>
            <w:tcMar>
              <w:top w:w="100" w:type="dxa"/>
              <w:left w:w="100" w:type="dxa"/>
              <w:bottom w:w="100" w:type="dxa"/>
              <w:right w:w="100" w:type="dxa"/>
            </w:tcMar>
          </w:tcPr>
          <w:p w14:paraId="62A0E1D7" w14:textId="77777777" w:rsidR="00B84A37" w:rsidRDefault="0027188B">
            <w:r>
              <w:t xml:space="preserve"> </w:t>
            </w:r>
          </w:p>
        </w:tc>
        <w:tc>
          <w:tcPr>
            <w:tcW w:w="992" w:type="dxa"/>
            <w:tcBorders>
              <w:top w:val="nil"/>
              <w:left w:val="nil"/>
              <w:bottom w:val="single" w:sz="5" w:space="0" w:color="000000"/>
              <w:right w:val="single" w:sz="5" w:space="0" w:color="000000"/>
            </w:tcBorders>
            <w:shd w:val="clear" w:color="auto" w:fill="93C47D"/>
            <w:tcMar>
              <w:top w:w="100" w:type="dxa"/>
              <w:left w:w="100" w:type="dxa"/>
              <w:bottom w:w="100" w:type="dxa"/>
              <w:right w:w="100" w:type="dxa"/>
            </w:tcMar>
          </w:tcPr>
          <w:p w14:paraId="5104E160"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43470BC6" w14:textId="77777777" w:rsidR="00B84A37" w:rsidRDefault="0027188B">
            <w:r>
              <w:t xml:space="preserve"> </w:t>
            </w:r>
          </w:p>
        </w:tc>
        <w:tc>
          <w:tcPr>
            <w:tcW w:w="993" w:type="dxa"/>
            <w:tcBorders>
              <w:top w:val="nil"/>
              <w:left w:val="nil"/>
              <w:bottom w:val="single" w:sz="5" w:space="0" w:color="000000"/>
              <w:right w:val="single" w:sz="5" w:space="0" w:color="000000"/>
            </w:tcBorders>
            <w:tcMar>
              <w:top w:w="100" w:type="dxa"/>
              <w:left w:w="100" w:type="dxa"/>
              <w:bottom w:w="100" w:type="dxa"/>
              <w:right w:w="100" w:type="dxa"/>
            </w:tcMar>
          </w:tcPr>
          <w:p w14:paraId="179B73FD"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41BD6835" w14:textId="77777777" w:rsidR="00B84A37" w:rsidRDefault="0027188B">
            <w:r>
              <w:t xml:space="preserve"> </w:t>
            </w:r>
          </w:p>
        </w:tc>
      </w:tr>
      <w:tr w:rsidR="00B84A37" w14:paraId="770171D6" w14:textId="77777777">
        <w:trPr>
          <w:trHeight w:val="1035"/>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3898E08" w14:textId="77777777" w:rsidR="00B84A37" w:rsidRDefault="0027188B">
            <w:pPr>
              <w:rPr>
                <w:b/>
              </w:rPr>
            </w:pPr>
            <w:r>
              <w:rPr>
                <w:b/>
              </w:rPr>
              <w:t>Carrying out Research Methodology</w:t>
            </w:r>
          </w:p>
        </w:tc>
        <w:tc>
          <w:tcPr>
            <w:tcW w:w="1276" w:type="dxa"/>
            <w:tcBorders>
              <w:top w:val="nil"/>
              <w:left w:val="nil"/>
              <w:bottom w:val="single" w:sz="5" w:space="0" w:color="000000"/>
              <w:right w:val="single" w:sz="5" w:space="0" w:color="000000"/>
            </w:tcBorders>
            <w:tcMar>
              <w:top w:w="100" w:type="dxa"/>
              <w:left w:w="100" w:type="dxa"/>
              <w:bottom w:w="100" w:type="dxa"/>
              <w:right w:w="100" w:type="dxa"/>
            </w:tcMar>
          </w:tcPr>
          <w:p w14:paraId="1F1A83E1"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57420057" w14:textId="77777777" w:rsidR="00B84A37" w:rsidRDefault="0027188B">
            <w:r>
              <w:t xml:space="preserve"> </w:t>
            </w:r>
          </w:p>
        </w:tc>
        <w:tc>
          <w:tcPr>
            <w:tcW w:w="993" w:type="dxa"/>
            <w:tcBorders>
              <w:top w:val="nil"/>
              <w:left w:val="nil"/>
              <w:bottom w:val="single" w:sz="5" w:space="0" w:color="000000"/>
              <w:right w:val="single" w:sz="5" w:space="0" w:color="000000"/>
            </w:tcBorders>
            <w:tcMar>
              <w:top w:w="100" w:type="dxa"/>
              <w:left w:w="100" w:type="dxa"/>
              <w:bottom w:w="100" w:type="dxa"/>
              <w:right w:w="100" w:type="dxa"/>
            </w:tcMar>
          </w:tcPr>
          <w:p w14:paraId="1A13ECE3" w14:textId="77777777" w:rsidR="00B84A37" w:rsidRDefault="0027188B">
            <w:r>
              <w:t xml:space="preserve"> </w:t>
            </w:r>
          </w:p>
        </w:tc>
        <w:tc>
          <w:tcPr>
            <w:tcW w:w="992" w:type="dxa"/>
            <w:tcBorders>
              <w:top w:val="nil"/>
              <w:left w:val="nil"/>
              <w:bottom w:val="single" w:sz="5" w:space="0" w:color="000000"/>
              <w:right w:val="single" w:sz="5" w:space="0" w:color="000000"/>
            </w:tcBorders>
            <w:shd w:val="clear" w:color="auto" w:fill="B45F06"/>
            <w:tcMar>
              <w:top w:w="100" w:type="dxa"/>
              <w:left w:w="100" w:type="dxa"/>
              <w:bottom w:w="100" w:type="dxa"/>
              <w:right w:w="100" w:type="dxa"/>
            </w:tcMar>
          </w:tcPr>
          <w:p w14:paraId="09738DCB" w14:textId="77777777" w:rsidR="00B84A37" w:rsidRDefault="0027188B">
            <w:r>
              <w:t xml:space="preserve"> </w:t>
            </w:r>
          </w:p>
        </w:tc>
        <w:tc>
          <w:tcPr>
            <w:tcW w:w="992" w:type="dxa"/>
            <w:tcBorders>
              <w:top w:val="nil"/>
              <w:left w:val="nil"/>
              <w:bottom w:val="single" w:sz="5" w:space="0" w:color="000000"/>
              <w:right w:val="single" w:sz="5" w:space="0" w:color="000000"/>
            </w:tcBorders>
            <w:shd w:val="clear" w:color="auto" w:fill="B45F06"/>
            <w:tcMar>
              <w:top w:w="100" w:type="dxa"/>
              <w:left w:w="100" w:type="dxa"/>
              <w:bottom w:w="100" w:type="dxa"/>
              <w:right w:w="100" w:type="dxa"/>
            </w:tcMar>
          </w:tcPr>
          <w:p w14:paraId="3113699B" w14:textId="77777777" w:rsidR="00B84A37" w:rsidRDefault="0027188B">
            <w:r>
              <w:t xml:space="preserve"> </w:t>
            </w:r>
          </w:p>
        </w:tc>
        <w:tc>
          <w:tcPr>
            <w:tcW w:w="992" w:type="dxa"/>
            <w:tcBorders>
              <w:top w:val="nil"/>
              <w:left w:val="nil"/>
              <w:bottom w:val="single" w:sz="5" w:space="0" w:color="000000"/>
              <w:right w:val="single" w:sz="5" w:space="0" w:color="000000"/>
            </w:tcBorders>
            <w:shd w:val="clear" w:color="auto" w:fill="B45F06"/>
            <w:tcMar>
              <w:top w:w="100" w:type="dxa"/>
              <w:left w:w="100" w:type="dxa"/>
              <w:bottom w:w="100" w:type="dxa"/>
              <w:right w:w="100" w:type="dxa"/>
            </w:tcMar>
          </w:tcPr>
          <w:p w14:paraId="50C73660" w14:textId="77777777" w:rsidR="00B84A37" w:rsidRDefault="0027188B">
            <w:r>
              <w:t xml:space="preserve"> </w:t>
            </w:r>
          </w:p>
        </w:tc>
        <w:tc>
          <w:tcPr>
            <w:tcW w:w="993" w:type="dxa"/>
            <w:tcBorders>
              <w:top w:val="nil"/>
              <w:left w:val="nil"/>
              <w:bottom w:val="single" w:sz="5" w:space="0" w:color="000000"/>
              <w:right w:val="single" w:sz="5" w:space="0" w:color="000000"/>
            </w:tcBorders>
            <w:tcMar>
              <w:top w:w="100" w:type="dxa"/>
              <w:left w:w="100" w:type="dxa"/>
              <w:bottom w:w="100" w:type="dxa"/>
              <w:right w:w="100" w:type="dxa"/>
            </w:tcMar>
          </w:tcPr>
          <w:p w14:paraId="057DDD44"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489E2BC1" w14:textId="77777777" w:rsidR="00B84A37" w:rsidRDefault="0027188B">
            <w:r>
              <w:t xml:space="preserve"> </w:t>
            </w:r>
          </w:p>
        </w:tc>
      </w:tr>
      <w:tr w:rsidR="00B84A37" w14:paraId="35DB3855" w14:textId="77777777">
        <w:trPr>
          <w:trHeight w:val="874"/>
        </w:trPr>
        <w:tc>
          <w:tcPr>
            <w:tcW w:w="16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D792012" w14:textId="77777777" w:rsidR="00B84A37" w:rsidRDefault="0027188B">
            <w:pPr>
              <w:rPr>
                <w:b/>
              </w:rPr>
            </w:pPr>
            <w:r>
              <w:rPr>
                <w:b/>
              </w:rPr>
              <w:t>Conclusion</w:t>
            </w:r>
          </w:p>
        </w:tc>
        <w:tc>
          <w:tcPr>
            <w:tcW w:w="1276" w:type="dxa"/>
            <w:tcBorders>
              <w:top w:val="nil"/>
              <w:left w:val="nil"/>
              <w:bottom w:val="single" w:sz="5" w:space="0" w:color="000000"/>
              <w:right w:val="single" w:sz="5" w:space="0" w:color="000000"/>
            </w:tcBorders>
            <w:tcMar>
              <w:top w:w="100" w:type="dxa"/>
              <w:left w:w="100" w:type="dxa"/>
              <w:bottom w:w="100" w:type="dxa"/>
              <w:right w:w="100" w:type="dxa"/>
            </w:tcMar>
          </w:tcPr>
          <w:p w14:paraId="7AD019A5"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1C74B73E" w14:textId="77777777" w:rsidR="00B84A37" w:rsidRDefault="0027188B">
            <w:r>
              <w:t xml:space="preserve"> </w:t>
            </w:r>
          </w:p>
        </w:tc>
        <w:tc>
          <w:tcPr>
            <w:tcW w:w="993" w:type="dxa"/>
            <w:tcBorders>
              <w:top w:val="nil"/>
              <w:left w:val="nil"/>
              <w:bottom w:val="single" w:sz="5" w:space="0" w:color="000000"/>
              <w:right w:val="single" w:sz="5" w:space="0" w:color="000000"/>
            </w:tcBorders>
            <w:tcMar>
              <w:top w:w="100" w:type="dxa"/>
              <w:left w:w="100" w:type="dxa"/>
              <w:bottom w:w="100" w:type="dxa"/>
              <w:right w:w="100" w:type="dxa"/>
            </w:tcMar>
          </w:tcPr>
          <w:p w14:paraId="44A6995E"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46568ECE"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01B13EA5" w14:textId="77777777" w:rsidR="00B84A37" w:rsidRDefault="0027188B">
            <w:r>
              <w:t xml:space="preserve"> </w:t>
            </w:r>
          </w:p>
        </w:tc>
        <w:tc>
          <w:tcPr>
            <w:tcW w:w="992" w:type="dxa"/>
            <w:tcBorders>
              <w:top w:val="nil"/>
              <w:left w:val="nil"/>
              <w:bottom w:val="single" w:sz="5" w:space="0" w:color="000000"/>
              <w:right w:val="single" w:sz="5" w:space="0" w:color="000000"/>
            </w:tcBorders>
            <w:tcMar>
              <w:top w:w="100" w:type="dxa"/>
              <w:left w:w="100" w:type="dxa"/>
              <w:bottom w:w="100" w:type="dxa"/>
              <w:right w:w="100" w:type="dxa"/>
            </w:tcMar>
          </w:tcPr>
          <w:p w14:paraId="07BCF033" w14:textId="77777777" w:rsidR="00B84A37" w:rsidRDefault="0027188B">
            <w:r>
              <w:t xml:space="preserve"> </w:t>
            </w:r>
          </w:p>
        </w:tc>
        <w:tc>
          <w:tcPr>
            <w:tcW w:w="993" w:type="dxa"/>
            <w:tcBorders>
              <w:top w:val="nil"/>
              <w:left w:val="nil"/>
              <w:bottom w:val="single" w:sz="5" w:space="0" w:color="000000"/>
              <w:right w:val="single" w:sz="5" w:space="0" w:color="000000"/>
            </w:tcBorders>
            <w:shd w:val="clear" w:color="auto" w:fill="674EA7"/>
            <w:tcMar>
              <w:top w:w="100" w:type="dxa"/>
              <w:left w:w="100" w:type="dxa"/>
              <w:bottom w:w="100" w:type="dxa"/>
              <w:right w:w="100" w:type="dxa"/>
            </w:tcMar>
          </w:tcPr>
          <w:p w14:paraId="7657871A" w14:textId="77777777" w:rsidR="00B84A37" w:rsidRDefault="0027188B">
            <w:r>
              <w:t xml:space="preserve"> </w:t>
            </w:r>
          </w:p>
        </w:tc>
        <w:tc>
          <w:tcPr>
            <w:tcW w:w="992" w:type="dxa"/>
            <w:tcBorders>
              <w:top w:val="nil"/>
              <w:left w:val="nil"/>
              <w:bottom w:val="single" w:sz="5" w:space="0" w:color="000000"/>
              <w:right w:val="single" w:sz="5" w:space="0" w:color="000000"/>
            </w:tcBorders>
            <w:shd w:val="clear" w:color="auto" w:fill="674EA7"/>
            <w:tcMar>
              <w:top w:w="100" w:type="dxa"/>
              <w:left w:w="100" w:type="dxa"/>
              <w:bottom w:w="100" w:type="dxa"/>
              <w:right w:w="100" w:type="dxa"/>
            </w:tcMar>
          </w:tcPr>
          <w:p w14:paraId="16E6F895" w14:textId="77777777" w:rsidR="00B84A37" w:rsidRDefault="0027188B">
            <w:r>
              <w:t xml:space="preserve"> </w:t>
            </w:r>
          </w:p>
        </w:tc>
      </w:tr>
    </w:tbl>
    <w:p w14:paraId="360CE44E" w14:textId="77777777" w:rsidR="00B84A37" w:rsidRDefault="0027188B">
      <w:pPr>
        <w:pStyle w:val="Titlu1"/>
      </w:pPr>
      <w:bookmarkStart w:id="22" w:name="_heading=h.l3ohn1soo573" w:colFirst="0" w:colLast="0"/>
      <w:bookmarkEnd w:id="22"/>
      <w:r>
        <w:t xml:space="preserve">5. Conclusion </w:t>
      </w:r>
    </w:p>
    <w:p w14:paraId="279F4C7E" w14:textId="77777777" w:rsidR="00B84A37" w:rsidRDefault="0027188B">
      <w:pPr>
        <w:rPr>
          <w:b/>
          <w:sz w:val="28"/>
          <w:szCs w:val="28"/>
        </w:rPr>
      </w:pPr>
      <w:r>
        <w:t>With this he proposed studying how remote and hybrid models disrupt workplace culture, collaboration, and engagement and thereafter identify strategies organisations might adopt in adapting to this challenge. With traditional structures of in-person interaction and supervision being replaced by digital tools and flexible arrangements, employee motivation and teamwork have become a new challenge. With interpretivism underpinning the approach and the research providing qualitative insights through secondary s</w:t>
      </w:r>
      <w:r>
        <w:t>ources like peer-reviewed journals, industry reports etc. The study is especially relevant today when organisations heavily embed flexible models into their operations, questioning retention, cohesion, and long-term performance-ability. Academically, it restores a gap in the literature by putting an emphasis on the cultural and collaborative aspects of remote working. Practically, it will arm HR managers and leaders with actionable strategies for fostering engagement and inclusiveness within flexible contex</w:t>
      </w:r>
      <w:r>
        <w:t>t areas, even with limitations, this is entirely feasible and extremely impactful.</w:t>
      </w:r>
      <w:r>
        <w:br w:type="page"/>
      </w:r>
    </w:p>
    <w:p w14:paraId="2546548B" w14:textId="77777777" w:rsidR="00B84A37" w:rsidRDefault="0027188B">
      <w:pPr>
        <w:pStyle w:val="Titlu1"/>
      </w:pPr>
      <w:bookmarkStart w:id="23" w:name="_heading=h.3sdc5m934o4h" w:colFirst="0" w:colLast="0"/>
      <w:bookmarkEnd w:id="23"/>
      <w:r>
        <w:t>References</w:t>
      </w:r>
    </w:p>
    <w:p w14:paraId="16261903" w14:textId="77777777" w:rsidR="00B84A37" w:rsidRDefault="0027188B">
      <w:r>
        <w:rPr>
          <w:highlight w:val="white"/>
        </w:rPr>
        <w:t xml:space="preserve">Ali, M., Shah, A.A. and Shah, S.A.A., 2021. Positivism and interpretivism. </w:t>
      </w:r>
      <w:r>
        <w:rPr>
          <w:i/>
          <w:highlight w:val="white"/>
        </w:rPr>
        <w:t>Qlantic Journal of Social Sciences</w:t>
      </w:r>
      <w:r>
        <w:rPr>
          <w:highlight w:val="white"/>
        </w:rPr>
        <w:t xml:space="preserve">, </w:t>
      </w:r>
      <w:r>
        <w:rPr>
          <w:i/>
          <w:highlight w:val="white"/>
        </w:rPr>
        <w:t>2</w:t>
      </w:r>
      <w:r>
        <w:rPr>
          <w:highlight w:val="white"/>
        </w:rPr>
        <w:t>(1), pp.20-26.</w:t>
      </w:r>
    </w:p>
    <w:p w14:paraId="4E9A4AA0" w14:textId="77777777" w:rsidR="00B84A37" w:rsidRDefault="0027188B">
      <w:pPr>
        <w:rPr>
          <w:highlight w:val="white"/>
        </w:rPr>
      </w:pPr>
      <w:r>
        <w:br/>
      </w:r>
      <w:r>
        <w:rPr>
          <w:highlight w:val="white"/>
        </w:rPr>
        <w:t xml:space="preserve">Bianchi, L., 2021. Exploring ways of defining the relationship between research philosophy and research practice. </w:t>
      </w:r>
      <w:r>
        <w:rPr>
          <w:i/>
          <w:highlight w:val="white"/>
        </w:rPr>
        <w:t>Journal of Emergent Science</w:t>
      </w:r>
      <w:r>
        <w:rPr>
          <w:highlight w:val="white"/>
        </w:rPr>
        <w:t xml:space="preserve">, </w:t>
      </w:r>
      <w:r>
        <w:rPr>
          <w:i/>
          <w:highlight w:val="white"/>
        </w:rPr>
        <w:t>20</w:t>
      </w:r>
      <w:r>
        <w:rPr>
          <w:highlight w:val="white"/>
        </w:rPr>
        <w:t>, pp.32-37.</w:t>
      </w:r>
    </w:p>
    <w:p w14:paraId="102DC15B" w14:textId="77777777" w:rsidR="00B84A37" w:rsidRDefault="0027188B">
      <w:r>
        <w:t>Dhadiwal, P.J. and Londhe, B., 2025. INNOVATIVE PRACTICES IN HYBRID WORK CULTURE AND ITS IMPACT ON ORGANISATIONAL DEVELOPMENT IN IT COMPANIES. In the International</w:t>
      </w:r>
      <w:r>
        <w:rPr>
          <w:i/>
        </w:rPr>
        <w:t xml:space="preserve"> Conference on Entrepreneurship and Innovation 3rd and 4th April</w:t>
      </w:r>
      <w:r>
        <w:t> (p. 145).</w:t>
      </w:r>
    </w:p>
    <w:p w14:paraId="465F82BF" w14:textId="77777777" w:rsidR="00B84A37" w:rsidRDefault="0027188B">
      <w:r>
        <w:t>Edleston, A., 2023. The Impact of Leadership in a Remote Work Environment: Retaining Employee Engagement.</w:t>
      </w:r>
    </w:p>
    <w:p w14:paraId="5927A630" w14:textId="77777777" w:rsidR="00B84A37" w:rsidRDefault="0027188B">
      <w:r>
        <w:t>Eng, I., Tjernberg, M. and Champoux-Larsson, M.F., 2024. Hybrid workers describe aspects that promote effectiveness, work engagement, work-life balance, and health. </w:t>
      </w:r>
      <w:r>
        <w:rPr>
          <w:i/>
        </w:rPr>
        <w:t>Cogent Psychology</w:t>
      </w:r>
      <w:r>
        <w:t>, </w:t>
      </w:r>
      <w:r>
        <w:rPr>
          <w:i/>
        </w:rPr>
        <w:t>11</w:t>
      </w:r>
      <w:r>
        <w:t>(1), p.2362535.</w:t>
      </w:r>
    </w:p>
    <w:p w14:paraId="611F603E" w14:textId="77777777" w:rsidR="00B84A37" w:rsidRDefault="0027188B">
      <w:pPr>
        <w:rPr>
          <w:highlight w:val="white"/>
        </w:rPr>
      </w:pPr>
      <w:r>
        <w:rPr>
          <w:highlight w:val="white"/>
        </w:rPr>
        <w:t xml:space="preserve">Hasan, N., Rana, R.U., Chowdhury, S., Dola, A.J. and Rony, M.K.K., 2021. Ethical considerations in research. </w:t>
      </w:r>
      <w:r>
        <w:rPr>
          <w:i/>
          <w:highlight w:val="white"/>
        </w:rPr>
        <w:t>Journal of Nursing Research, Patient Safety and Practice (JNRPSP) 2799-1210</w:t>
      </w:r>
      <w:r>
        <w:rPr>
          <w:highlight w:val="white"/>
        </w:rPr>
        <w:t xml:space="preserve">, </w:t>
      </w:r>
      <w:r>
        <w:rPr>
          <w:i/>
          <w:highlight w:val="white"/>
        </w:rPr>
        <w:t>1</w:t>
      </w:r>
      <w:r>
        <w:rPr>
          <w:highlight w:val="white"/>
        </w:rPr>
        <w:t>(01), pp.1-4.</w:t>
      </w:r>
    </w:p>
    <w:p w14:paraId="0BBC1E71" w14:textId="77777777" w:rsidR="00B84A37" w:rsidRDefault="0027188B">
      <w:r>
        <w:rPr>
          <w:highlight w:val="white"/>
        </w:rPr>
        <w:t xml:space="preserve">Kilroy, J., Dundon, T. and Townsend, K., 2023. Embedding reciprocity in human resource management: A social exchange theory of the role of frontline managers. </w:t>
      </w:r>
      <w:r>
        <w:rPr>
          <w:i/>
          <w:highlight w:val="white"/>
        </w:rPr>
        <w:t>Human Resource Management Journal</w:t>
      </w:r>
      <w:r>
        <w:rPr>
          <w:highlight w:val="white"/>
        </w:rPr>
        <w:t xml:space="preserve">, </w:t>
      </w:r>
      <w:r>
        <w:rPr>
          <w:i/>
          <w:highlight w:val="white"/>
        </w:rPr>
        <w:t>33</w:t>
      </w:r>
      <w:r>
        <w:rPr>
          <w:highlight w:val="white"/>
        </w:rPr>
        <w:t>(2), pp.511-531.</w:t>
      </w:r>
    </w:p>
    <w:p w14:paraId="4AE88874" w14:textId="77777777" w:rsidR="00B84A37" w:rsidRDefault="0027188B">
      <w:pPr>
        <w:rPr>
          <w:highlight w:val="white"/>
        </w:rPr>
      </w:pPr>
      <w:r>
        <w:rPr>
          <w:highlight w:val="white"/>
        </w:rPr>
        <w:t xml:space="preserve">Kumar, S. and Ujire, D.K., 2024. Inductive and deductive approaches to qualitative research. </w:t>
      </w:r>
      <w:r>
        <w:rPr>
          <w:i/>
          <w:highlight w:val="white"/>
        </w:rPr>
        <w:t>International Journal of Multidisciplinary Educational Research</w:t>
      </w:r>
      <w:r>
        <w:rPr>
          <w:highlight w:val="white"/>
        </w:rPr>
        <w:t xml:space="preserve">, </w:t>
      </w:r>
      <w:r>
        <w:rPr>
          <w:i/>
          <w:highlight w:val="white"/>
        </w:rPr>
        <w:t>13</w:t>
      </w:r>
      <w:r>
        <w:rPr>
          <w:highlight w:val="white"/>
        </w:rPr>
        <w:t>(1), pp.58-63.</w:t>
      </w:r>
    </w:p>
    <w:p w14:paraId="55C794D8" w14:textId="77777777" w:rsidR="00B84A37" w:rsidRDefault="0027188B">
      <w:r>
        <w:t>Kumari, S. and Yelkar, N., 2022. Examining the factors and employee engagement model design for a new-age hybrid work culture. Journal of Strategic Human Resource Management, 11(1).</w:t>
      </w:r>
    </w:p>
    <w:p w14:paraId="64A5FFFA" w14:textId="77777777" w:rsidR="00B84A37" w:rsidRDefault="0027188B">
      <w:r>
        <w:t>Kuppachi, K.R., 2023. </w:t>
      </w:r>
      <w:r>
        <w:rPr>
          <w:i/>
        </w:rPr>
        <w:t>The Impact of Hybrid Work Arrangements on EmployeeEngagement and Performance</w:t>
      </w:r>
      <w:r>
        <w:t>. Indian School of Business (India).</w:t>
      </w:r>
    </w:p>
    <w:p w14:paraId="4F5A0E09" w14:textId="77777777" w:rsidR="00B84A37" w:rsidRDefault="0027188B">
      <w:r>
        <w:t>Luca, C., 2021. Cultural and Organizational Challenges in Adopting Hybrid Approaches.</w:t>
      </w:r>
    </w:p>
    <w:p w14:paraId="4CD93E8B" w14:textId="77777777" w:rsidR="00B84A37" w:rsidRDefault="0027188B">
      <w:pPr>
        <w:rPr>
          <w:highlight w:val="white"/>
        </w:rPr>
      </w:pPr>
      <w:r>
        <w:rPr>
          <w:highlight w:val="white"/>
        </w:rPr>
        <w:t xml:space="preserve">Mendonça, L.B., 2025. </w:t>
      </w:r>
      <w:r>
        <w:rPr>
          <w:i/>
          <w:highlight w:val="white"/>
        </w:rPr>
        <w:t>The Impact of Green Human Resource Management Practices on Environmental and Economic Performance in the UK Retail Sector: The Human Resource Perspective</w:t>
      </w:r>
      <w:r>
        <w:rPr>
          <w:highlight w:val="white"/>
        </w:rPr>
        <w:t xml:space="preserve"> (Doctoral dissertation, Dublin, National College of Ireland).</w:t>
      </w:r>
    </w:p>
    <w:p w14:paraId="45413B14" w14:textId="77777777" w:rsidR="00B84A37" w:rsidRDefault="0027188B">
      <w:pPr>
        <w:rPr>
          <w:highlight w:val="white"/>
        </w:rPr>
      </w:pPr>
      <w:r>
        <w:rPr>
          <w:highlight w:val="white"/>
        </w:rPr>
        <w:t xml:space="preserve">Mer, A. and Srivastava, A., 2023. Employee engagement in the new normal: Artificial intelligence as a buzzword or a game changer?. In </w:t>
      </w:r>
      <w:r>
        <w:rPr>
          <w:i/>
          <w:highlight w:val="white"/>
        </w:rPr>
        <w:t>The adoption and effect of artificial intelligence on human resources management, Part A</w:t>
      </w:r>
      <w:r>
        <w:rPr>
          <w:highlight w:val="white"/>
        </w:rPr>
        <w:t xml:space="preserve"> (pp. 15-46). Emerald Publishing Limited.</w:t>
      </w:r>
    </w:p>
    <w:p w14:paraId="72844D46" w14:textId="77777777" w:rsidR="00B84A37" w:rsidRDefault="0027188B">
      <w:pPr>
        <w:rPr>
          <w:highlight w:val="white"/>
        </w:rPr>
      </w:pPr>
      <w:r>
        <w:rPr>
          <w:highlight w:val="white"/>
        </w:rPr>
        <w:t xml:space="preserve">Naeem, M., Ozuem, W., Howell, K. and Ranfagni, S., 2023. A step-by-step process of thematic analysis to develop a conceptual model in qualitative research. </w:t>
      </w:r>
      <w:r>
        <w:rPr>
          <w:i/>
          <w:highlight w:val="white"/>
        </w:rPr>
        <w:t>International journal of qualitative methods</w:t>
      </w:r>
      <w:r>
        <w:rPr>
          <w:highlight w:val="white"/>
        </w:rPr>
        <w:t xml:space="preserve">, </w:t>
      </w:r>
      <w:r>
        <w:rPr>
          <w:i/>
          <w:highlight w:val="white"/>
        </w:rPr>
        <w:t>22</w:t>
      </w:r>
      <w:r>
        <w:rPr>
          <w:highlight w:val="white"/>
        </w:rPr>
        <w:t>, p.16094069231205789.</w:t>
      </w:r>
    </w:p>
    <w:p w14:paraId="58955C8E" w14:textId="77777777" w:rsidR="00B84A37" w:rsidRDefault="0027188B">
      <w:r>
        <w:rPr>
          <w:highlight w:val="white"/>
        </w:rPr>
        <w:t xml:space="preserve">Peramatzis, G. and Galanakis, M., 2022. Herzberg’s motivation theory in the workplace. </w:t>
      </w:r>
      <w:r>
        <w:rPr>
          <w:i/>
          <w:highlight w:val="white"/>
        </w:rPr>
        <w:t>Psychology</w:t>
      </w:r>
      <w:r>
        <w:rPr>
          <w:highlight w:val="white"/>
        </w:rPr>
        <w:t xml:space="preserve">, </w:t>
      </w:r>
      <w:r>
        <w:rPr>
          <w:i/>
          <w:highlight w:val="white"/>
        </w:rPr>
        <w:t>12</w:t>
      </w:r>
      <w:r>
        <w:rPr>
          <w:highlight w:val="white"/>
        </w:rPr>
        <w:t>(12), pp.971-978.</w:t>
      </w:r>
    </w:p>
    <w:p w14:paraId="750CA39A" w14:textId="77777777" w:rsidR="00B84A37" w:rsidRDefault="0027188B">
      <w:r>
        <w:t>Rupcic, N., 2024. Working and learning in a hybrid workplace: challenges and opportunities. </w:t>
      </w:r>
      <w:r>
        <w:rPr>
          <w:i/>
        </w:rPr>
        <w:t>The Learning Organization</w:t>
      </w:r>
      <w:r>
        <w:t>, </w:t>
      </w:r>
      <w:r>
        <w:rPr>
          <w:i/>
        </w:rPr>
        <w:t>31</w:t>
      </w:r>
      <w:r>
        <w:t>(2), pp.276-283.</w:t>
      </w:r>
    </w:p>
    <w:p w14:paraId="00ED39FE" w14:textId="77777777" w:rsidR="00B84A37" w:rsidRDefault="0027188B">
      <w:r>
        <w:t>Sakal, M., 2024. Remote work and hybrid work models. </w:t>
      </w:r>
      <w:r>
        <w:rPr>
          <w:i/>
        </w:rPr>
        <w:t>Yönetim Bilişim Sistemlerinde Güncel Uygulamalar</w:t>
      </w:r>
      <w:r>
        <w:t>, </w:t>
      </w:r>
      <w:r>
        <w:rPr>
          <w:i/>
        </w:rPr>
        <w:t>33</w:t>
      </w:r>
      <w:r>
        <w:t>.</w:t>
      </w:r>
    </w:p>
    <w:sectPr w:rsidR="00B84A37">
      <w:footerReference w:type="default" r:id="rId9"/>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A14A1AB" w14:textId="77777777" w:rsidR="0027188B" w:rsidRDefault="0027188B">
      <w:pPr>
        <w:spacing w:line="240" w:lineRule="auto"/>
      </w:pPr>
      <w:r>
        <w:separator/>
      </w:r>
    </w:p>
  </w:endnote>
  <w:endnote w:type="continuationSeparator" w:id="0">
    <w:p w14:paraId="7C491110" w14:textId="77777777" w:rsidR="0027188B" w:rsidRDefault="0027188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panose1 w:val="020B0502040504020204"/>
    <w:charset w:val="00"/>
    <w:family w:val="swiss"/>
    <w:pitch w:val="variable"/>
    <w:sig w:usb0="00000003" w:usb1="0200E0A0" w:usb2="00000000" w:usb3="00000000" w:csb0="00000001" w:csb1="00000000"/>
    <w:embedRegular r:id="rId1" w:fontKey="{00000000-0000-0000-0000-000000000000}"/>
    <w:embedBold r:id="rId2" w:fontKey="{00000000-0000-0000-0000-000000000000}"/>
  </w:font>
  <w:font w:name="Courier New">
    <w:panose1 w:val="020703090202050204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modern"/>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C973D3" w14:textId="77777777" w:rsidR="00B84A37" w:rsidRDefault="0027188B">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 </w:t>
    </w:r>
    <w:r>
      <w:rPr>
        <w:color w:val="000000"/>
      </w:rPr>
      <w:fldChar w:fldCharType="begin"/>
    </w:r>
    <w:r>
      <w:rPr>
        <w:color w:val="000000"/>
      </w:rPr>
      <w:instrText>PAGE</w:instrText>
    </w:r>
    <w:r>
      <w:rPr>
        <w:color w:val="000000"/>
      </w:rPr>
      <w:fldChar w:fldCharType="separate"/>
    </w:r>
    <w:r>
      <w:rPr>
        <w:color w:val="000000"/>
      </w:rPr>
      <w:fldChar w:fldCharType="end"/>
    </w:r>
    <w:r>
      <w:rPr>
        <w:color w:val="000000"/>
      </w:rPr>
      <w:t xml:space="preserve"> </w:t>
    </w:r>
  </w:p>
  <w:p w14:paraId="2A6D4350" w14:textId="77777777" w:rsidR="00B84A37" w:rsidRDefault="00B84A37">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CBA3E5" w14:textId="77777777" w:rsidR="0027188B" w:rsidRDefault="0027188B">
      <w:pPr>
        <w:spacing w:line="240" w:lineRule="auto"/>
      </w:pPr>
      <w:r>
        <w:separator/>
      </w:r>
    </w:p>
  </w:footnote>
  <w:footnote w:type="continuationSeparator" w:id="0">
    <w:p w14:paraId="66CCF599" w14:textId="77777777" w:rsidR="0027188B" w:rsidRDefault="0027188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1F7124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69A22C04"/>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39648539">
    <w:abstractNumId w:val="0"/>
  </w:num>
  <w:num w:numId="2" w16cid:durableId="50478397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3"/>
  <w:embedTrueTypeFonts/>
  <w:proofState w:spelling="clean" w:grammar="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84A37"/>
    <w:rsid w:val="0027188B"/>
    <w:rsid w:val="002A1095"/>
    <w:rsid w:val="003272F3"/>
    <w:rsid w:val="00934C0B"/>
    <w:rsid w:val="00B84A37"/>
    <w:rsid w:val="00F60D1E"/>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decimalSymbol w:val=","/>
  <w:listSeparator w:val=";"/>
  <w14:docId w14:val="7DACE36D"/>
  <w15:docId w15:val="{D5701173-C8F2-0144-A982-135A39FD4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eastAsia="ro-RO"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b/>
      <w:sz w:val="28"/>
      <w:szCs w:val="28"/>
    </w:rPr>
  </w:style>
  <w:style w:type="paragraph" w:styleId="Titlu2">
    <w:name w:val="heading 2"/>
    <w:basedOn w:val="Normal"/>
    <w:next w:val="Normal"/>
    <w:uiPriority w:val="9"/>
    <w:unhideWhenUsed/>
    <w:qFormat/>
    <w:pPr>
      <w:keepNext/>
      <w:keepLines/>
      <w:spacing w:before="360" w:after="120"/>
      <w:outlineLvl w:val="1"/>
    </w:pPr>
    <w:rPr>
      <w:b/>
      <w:color w:val="548DD4"/>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lu">
    <w:name w:val="Title"/>
    <w:basedOn w:val="Normal"/>
    <w:next w:val="Normal"/>
    <w:uiPriority w:val="10"/>
    <w:qFormat/>
    <w:pPr>
      <w:keepNext/>
      <w:keepLines/>
      <w:spacing w:after="60"/>
    </w:pPr>
    <w:rPr>
      <w:sz w:val="52"/>
      <w:szCs w:val="52"/>
    </w:rPr>
  </w:style>
  <w:style w:type="table" w:customStyle="1" w:styleId="TableNormal0">
    <w:name w:val="TableNormal"/>
    <w:tblPr>
      <w:tblCellMar>
        <w:top w:w="100" w:type="dxa"/>
        <w:left w:w="100" w:type="dxa"/>
        <w:bottom w:w="100" w:type="dxa"/>
        <w:right w:w="100" w:type="dxa"/>
      </w:tblCellMar>
    </w:tbl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paragraph" w:styleId="Antet">
    <w:name w:val="header"/>
    <w:basedOn w:val="Normal"/>
    <w:link w:val="AntetCaracter"/>
    <w:uiPriority w:val="99"/>
    <w:unhideWhenUsed/>
    <w:rsid w:val="005C4CCC"/>
    <w:pPr>
      <w:tabs>
        <w:tab w:val="center" w:pos="4513"/>
        <w:tab w:val="right" w:pos="9026"/>
      </w:tabs>
      <w:spacing w:line="240" w:lineRule="auto"/>
    </w:pPr>
  </w:style>
  <w:style w:type="character" w:customStyle="1" w:styleId="AntetCaracter">
    <w:name w:val="Antet Caracter"/>
    <w:basedOn w:val="Fontdeparagrafimplicit"/>
    <w:link w:val="Antet"/>
    <w:uiPriority w:val="99"/>
    <w:rsid w:val="005C4CCC"/>
    <w:rPr>
      <w:rFonts w:ascii="Times New Roman" w:hAnsi="Times New Roman"/>
      <w:sz w:val="24"/>
      <w:lang w:val="en-GB"/>
    </w:rPr>
  </w:style>
  <w:style w:type="paragraph" w:styleId="Subsol">
    <w:name w:val="footer"/>
    <w:basedOn w:val="Normal"/>
    <w:link w:val="SubsolCaracter"/>
    <w:uiPriority w:val="99"/>
    <w:unhideWhenUsed/>
    <w:rsid w:val="005C4CC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5C4CCC"/>
    <w:rPr>
      <w:rFonts w:ascii="Times New Roman" w:hAnsi="Times New Roman"/>
      <w:sz w:val="24"/>
      <w:lang w:val="en-GB"/>
    </w:rPr>
  </w:style>
  <w:style w:type="paragraph" w:styleId="Listparagraf">
    <w:name w:val="List Paragraph"/>
    <w:basedOn w:val="Normal"/>
    <w:uiPriority w:val="34"/>
    <w:qFormat/>
    <w:rsid w:val="005C4CCC"/>
    <w:pPr>
      <w:ind w:left="720"/>
      <w:contextualSpacing/>
    </w:pPr>
  </w:style>
  <w:style w:type="paragraph" w:styleId="Titlucuprins">
    <w:name w:val="TOC Heading"/>
    <w:basedOn w:val="Titlu1"/>
    <w:next w:val="Normal"/>
    <w:uiPriority w:val="39"/>
    <w:unhideWhenUsed/>
    <w:qFormat/>
    <w:rsid w:val="00B82EE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B82EE5"/>
    <w:pPr>
      <w:spacing w:after="100"/>
    </w:pPr>
  </w:style>
  <w:style w:type="paragraph" w:styleId="Cuprins2">
    <w:name w:val="toc 2"/>
    <w:basedOn w:val="Normal"/>
    <w:next w:val="Normal"/>
    <w:autoRedefine/>
    <w:uiPriority w:val="39"/>
    <w:unhideWhenUsed/>
    <w:rsid w:val="00B82EE5"/>
    <w:pPr>
      <w:spacing w:after="100"/>
      <w:ind w:left="240"/>
    </w:pPr>
  </w:style>
  <w:style w:type="character" w:styleId="Hyperlink">
    <w:name w:val="Hyperlink"/>
    <w:basedOn w:val="Fontdeparagrafimplicit"/>
    <w:uiPriority w:val="99"/>
    <w:unhideWhenUsed/>
    <w:rsid w:val="00B82EE5"/>
    <w:rPr>
      <w:color w:val="0000FF" w:themeColor="hyperlink"/>
      <w:u w:val="single"/>
    </w:rPr>
  </w:style>
  <w:style w:type="table" w:customStyle="1" w:styleId="a0">
    <w:basedOn w:val="TabelNormal"/>
    <w:tblPr>
      <w:tblStyleRowBandSize w:val="1"/>
      <w:tblStyleColBandSize w:val="1"/>
      <w:tblCellMar>
        <w:top w:w="100" w:type="dxa"/>
        <w:left w:w="100" w:type="dxa"/>
        <w:bottom w:w="100" w:type="dxa"/>
        <w:right w:w="100" w:type="dxa"/>
      </w:tblCellMar>
    </w:tbl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1">
    <w:basedOn w:val="Tabel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 /><Relationship Id="rId3" Type="http://schemas.openxmlformats.org/officeDocument/2006/relationships/styles" Target="styles.xml" /><Relationship Id="rId7" Type="http://schemas.openxmlformats.org/officeDocument/2006/relationships/endnotes" Target="endnotes.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theme" Target="theme/theme1.xml" /><Relationship Id="rId5" Type="http://schemas.openxmlformats.org/officeDocument/2006/relationships/webSettings" Target="webSettings.xml" /><Relationship Id="rId10"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s>
</file>

<file path=word/_rels/fontTable.xml.rels><?xml version="1.0" encoding="UTF-8" standalone="yes"?>
<Relationships xmlns="http://schemas.openxmlformats.org/package/2006/relationships"><Relationship Id="rId2" Type="http://schemas.openxmlformats.org/officeDocument/2006/relationships/font" Target="fonts/NotoSansSymbols-bold.ttf" /><Relationship Id="rId1" Type="http://schemas.openxmlformats.org/officeDocument/2006/relationships/font" Target="fonts/NotoSansSymbols-regular.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s4gwpTX5BvySj0X8gTxIftQrXNA==">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</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2852</Words>
  <Characters>16545</Characters>
  <Application>Microsoft Office Word</Application>
  <DocSecurity>0</DocSecurity>
  <Lines>137</Lines>
  <Paragraphs>38</Paragraphs>
  <ScaleCrop>false</ScaleCrop>
  <Company/>
  <LinksUpToDate>false</LinksUpToDate>
  <CharactersWithSpaces>19359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Violeta Pacuraru</cp:lastModifiedBy>
  <cp:revision>2</cp:revision>
  <dcterms:created xsi:type="dcterms:W3CDTF">2025-10-20T16:01:00Z</dcterms:created>
  <dcterms:modified xsi:type="dcterms:W3CDTF">2025-10-20T16:01:00Z</dcterms:modified>
</cp:coreProperties>
</file>