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8C680A5">
      <w:pPr>
        <w:pStyle w:val="2"/>
        <w:keepNext w:val="0"/>
        <w:keepLines w:val="0"/>
        <w:widowControl/>
        <w:suppressLineNumbers w:val="0"/>
        <w:spacing w:line="360" w:lineRule="auto"/>
        <w:jc w:val="both"/>
        <w:rPr>
          <w:rStyle w:val="8"/>
          <w:rFonts w:hint="default" w:ascii="Arial Regular" w:hAnsi="Arial Regular" w:cs="Arial Regular"/>
          <w:b w:val="0"/>
          <w:bCs w:val="0"/>
          <w:sz w:val="24"/>
          <w:szCs w:val="24"/>
          <w:lang w:val="de-DE"/>
        </w:rPr>
      </w:pPr>
      <w:bookmarkStart w:id="0" w:name="_GoBack"/>
      <w:r>
        <w:rPr>
          <w:rStyle w:val="8"/>
          <w:rFonts w:hint="default" w:ascii="Arial Regular" w:hAnsi="Arial Regular" w:cs="Arial Regular"/>
          <w:b w:val="0"/>
          <w:bCs w:val="0"/>
          <w:sz w:val="24"/>
          <w:szCs w:val="24"/>
          <w:lang w:val="de-DE"/>
        </w:rPr>
        <w:t xml:space="preserve">Anika Ayub </w:t>
      </w:r>
    </w:p>
    <w:p w14:paraId="2279744D">
      <w:pPr>
        <w:pStyle w:val="2"/>
        <w:keepNext w:val="0"/>
        <w:keepLines w:val="0"/>
        <w:widowControl/>
        <w:suppressLineNumbers w:val="0"/>
        <w:spacing w:line="360" w:lineRule="auto"/>
        <w:jc w:val="both"/>
        <w:rPr>
          <w:rStyle w:val="8"/>
          <w:rFonts w:hint="default" w:ascii="Arial Regular" w:hAnsi="Arial Regular" w:cs="Arial Regular"/>
          <w:b w:val="0"/>
          <w:bCs w:val="0"/>
          <w:sz w:val="24"/>
          <w:szCs w:val="24"/>
          <w:lang w:val="de-DE"/>
        </w:rPr>
      </w:pPr>
      <w:r>
        <w:rPr>
          <w:rStyle w:val="8"/>
          <w:rFonts w:hint="default" w:ascii="Arial Regular" w:hAnsi="Arial Regular" w:cs="Arial Regular"/>
          <w:b w:val="0"/>
          <w:bCs w:val="0"/>
          <w:sz w:val="24"/>
          <w:szCs w:val="24"/>
          <w:lang w:val="de-DE"/>
        </w:rPr>
        <w:t>2504343</w:t>
      </w:r>
    </w:p>
    <w:p w14:paraId="57CEEAA3">
      <w:pPr>
        <w:spacing w:line="360" w:lineRule="auto"/>
        <w:rPr>
          <w:rStyle w:val="8"/>
          <w:rFonts w:hint="default" w:ascii="Arial Regular" w:hAnsi="Arial Regular" w:cs="Arial Regular"/>
          <w:b/>
          <w:bCs/>
          <w:sz w:val="24"/>
          <w:szCs w:val="24"/>
          <w:lang w:val="de-DE"/>
        </w:rPr>
      </w:pPr>
      <w:r>
        <w:rPr>
          <w:rStyle w:val="8"/>
          <w:rFonts w:hint="default" w:ascii="Arial Regular" w:hAnsi="Arial Regular" w:cs="Arial Regular"/>
          <w:b w:val="0"/>
          <w:bCs w:val="0"/>
          <w:sz w:val="24"/>
          <w:szCs w:val="24"/>
          <w:lang w:val="de-DE"/>
        </w:rPr>
        <w:t xml:space="preserve">LCMB7037 </w:t>
      </w:r>
    </w:p>
    <w:p w14:paraId="68A1929B">
      <w:pPr>
        <w:pStyle w:val="2"/>
        <w:keepNext w:val="0"/>
        <w:keepLines w:val="0"/>
        <w:widowControl/>
        <w:suppressLineNumbers w:val="0"/>
        <w:spacing w:line="360" w:lineRule="auto"/>
        <w:jc w:val="both"/>
        <w:rPr>
          <w:rStyle w:val="8"/>
          <w:rFonts w:hint="default" w:ascii="Arial Regular" w:hAnsi="Arial Regular" w:cs="Arial Regular"/>
          <w:b/>
          <w:bCs/>
          <w:sz w:val="24"/>
          <w:szCs w:val="24"/>
          <w:lang w:val="de-DE"/>
        </w:rPr>
      </w:pPr>
      <w:r>
        <w:rPr>
          <w:rStyle w:val="8"/>
          <w:rFonts w:hint="default" w:ascii="Arial Regular" w:hAnsi="Arial Regular" w:cs="Arial Regular"/>
          <w:b/>
          <w:bCs/>
          <w:sz w:val="24"/>
          <w:szCs w:val="24"/>
          <w:lang w:val="de-DE"/>
        </w:rPr>
        <w:drawing>
          <wp:inline distT="0" distB="0" distL="114300" distR="114300">
            <wp:extent cx="5272405" cy="3727450"/>
            <wp:effectExtent l="0" t="0" r="10795" b="6350"/>
            <wp:docPr id="1" name="Picture 1" descr="Financial Projection Report of Fauget Clothing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nancial Projection Report of Fauget Clothing Business"/>
                    <pic:cNvPicPr>
                      <a:picLocks noChangeAspect="1"/>
                    </pic:cNvPicPr>
                  </pic:nvPicPr>
                  <pic:blipFill>
                    <a:blip r:embed="rId4"/>
                    <a:stretch>
                      <a:fillRect/>
                    </a:stretch>
                  </pic:blipFill>
                  <pic:spPr>
                    <a:xfrm>
                      <a:off x="0" y="0"/>
                      <a:ext cx="5272405" cy="3727450"/>
                    </a:xfrm>
                    <a:prstGeom prst="rect">
                      <a:avLst/>
                    </a:prstGeom>
                  </pic:spPr>
                </pic:pic>
              </a:graphicData>
            </a:graphic>
          </wp:inline>
        </w:drawing>
      </w:r>
    </w:p>
    <w:p w14:paraId="244EB1A8">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Business Model Canvas</w:t>
      </w:r>
    </w:p>
    <w:p w14:paraId="39D5D85E">
      <w:pPr>
        <w:pStyle w:val="7"/>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The </w:t>
      </w:r>
      <w:r>
        <w:rPr>
          <w:rStyle w:val="8"/>
          <w:rFonts w:hint="default" w:ascii="Arial Regular" w:hAnsi="Arial Regular" w:cs="Arial Regular"/>
          <w:b w:val="0"/>
          <w:bCs w:val="0"/>
          <w:sz w:val="24"/>
          <w:szCs w:val="24"/>
        </w:rPr>
        <w:t>Business Model Canvas (BMC)</w:t>
      </w:r>
      <w:r>
        <w:rPr>
          <w:rFonts w:hint="default" w:ascii="Arial Regular" w:hAnsi="Arial Regular" w:cs="Arial Regular"/>
          <w:b w:val="0"/>
          <w:bCs w:val="0"/>
          <w:sz w:val="24"/>
          <w:szCs w:val="24"/>
        </w:rPr>
        <w:t xml:space="preserve"> is a strategic management framework that describes how an organisation creates, delivers and captures value through nine interrelated building blocks (Osterwalder and Pigneur, 2010). The framework enables entrepreneurs to visualise the relationships between customers, resources, operations, partnerships and financial performance within a single model. It is widely used to evaluate business viability, identify competitive advantages and support strategic decision-making (Joyce and Paquin, 2016). For SmartGrowth AI, the Business Model Canvas provides a structured approach to designing an AI-powered marketing agency that combines artificial intelligence with human creativity to deliver affordable, high-quality marketing and business development services to UK service-based SMEs. </w:t>
      </w:r>
      <w:r>
        <w:rPr>
          <w:rStyle w:val="8"/>
          <w:rFonts w:hint="default" w:ascii="Arial Regular" w:hAnsi="Arial Regular" w:cs="Arial Regular"/>
          <w:b w:val="0"/>
          <w:bCs w:val="0"/>
          <w:sz w:val="24"/>
          <w:szCs w:val="24"/>
        </w:rPr>
        <w:t>Figure X</w:t>
      </w:r>
      <w:r>
        <w:rPr>
          <w:rFonts w:hint="default" w:ascii="Arial Regular" w:hAnsi="Arial Regular" w:cs="Arial Regular"/>
          <w:b w:val="0"/>
          <w:bCs w:val="0"/>
          <w:sz w:val="24"/>
          <w:szCs w:val="24"/>
        </w:rPr>
        <w:t xml:space="preserve"> illustrates the Business Model Canvas, while the complete visual model is presented in </w:t>
      </w:r>
      <w:r>
        <w:rPr>
          <w:rStyle w:val="8"/>
          <w:rFonts w:hint="default" w:ascii="Arial Regular" w:hAnsi="Arial Regular" w:cs="Arial Regular"/>
          <w:b w:val="0"/>
          <w:bCs w:val="0"/>
          <w:sz w:val="24"/>
          <w:szCs w:val="24"/>
        </w:rPr>
        <w:t>Appendix X</w:t>
      </w:r>
      <w:r>
        <w:rPr>
          <w:rFonts w:hint="default" w:ascii="Arial Regular" w:hAnsi="Arial Regular" w:cs="Arial Regular"/>
          <w:b w:val="0"/>
          <w:bCs w:val="0"/>
          <w:sz w:val="24"/>
          <w:szCs w:val="24"/>
        </w:rPr>
        <w:t>.</w:t>
      </w:r>
    </w:p>
    <w:p w14:paraId="70D275C7">
      <w:pPr>
        <w:pStyle w:val="3"/>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Customer Segments</w:t>
      </w:r>
    </w:p>
    <w:p w14:paraId="6F953174">
      <w:pPr>
        <w:pStyle w:val="7"/>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Customer segments represent the different groups of customers that an organisation aims to serve (Osterwalder and Pigneur, 2010). SmartGrowth AI primarily targets </w:t>
      </w:r>
      <w:r>
        <w:rPr>
          <w:rStyle w:val="8"/>
          <w:rFonts w:hint="default" w:ascii="Arial Regular" w:hAnsi="Arial Regular" w:cs="Arial Regular"/>
          <w:b w:val="0"/>
          <w:bCs w:val="0"/>
          <w:sz w:val="24"/>
          <w:szCs w:val="24"/>
        </w:rPr>
        <w:t>service-based SMEs operating within the United Kingdom</w:t>
      </w:r>
      <w:r>
        <w:rPr>
          <w:rFonts w:hint="default" w:ascii="Arial Regular" w:hAnsi="Arial Regular" w:cs="Arial Regular"/>
          <w:b w:val="0"/>
          <w:bCs w:val="0"/>
          <w:sz w:val="24"/>
          <w:szCs w:val="24"/>
        </w:rPr>
        <w:t>, including businesses in education, healthcare, hospitality, real estate, consultancy and professional services. These organisations often lack dedicated in-house marketing teams and require cost-effective digital marketing solutions that improve customer acquisition and business growth. According to the Department for Business and Trade (2024), SMEs account for more than 99% of UK private-sector businesses, representing a substantial and expanding market. Start-ups and growing businesses are also important customer groups because they require affordable marketing expertise, strategic guidance and business development support during their early growth stages.</w:t>
      </w:r>
    </w:p>
    <w:p w14:paraId="33AC011D">
      <w:pPr>
        <w:pStyle w:val="3"/>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Value Proposition</w:t>
      </w:r>
    </w:p>
    <w:p w14:paraId="5CCFB826">
      <w:pPr>
        <w:pStyle w:val="7"/>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 value proposition explains how a business creates value by solving customer problems or satisfying customer needs more effectively than competitors (Osterwalder and Pigneur, 2010). SmartGrowth AI differentiates itself by integrating </w:t>
      </w:r>
      <w:r>
        <w:rPr>
          <w:rStyle w:val="8"/>
          <w:rFonts w:hint="default" w:ascii="Arial Regular" w:hAnsi="Arial Regular" w:cs="Arial Regular"/>
          <w:b w:val="0"/>
          <w:bCs w:val="0"/>
          <w:sz w:val="24"/>
          <w:szCs w:val="24"/>
        </w:rPr>
        <w:t>AI-powered efficiency with human creativity and strategic consultancy</w:t>
      </w:r>
      <w:r>
        <w:rPr>
          <w:rFonts w:hint="default" w:ascii="Arial Regular" w:hAnsi="Arial Regular" w:cs="Arial Regular"/>
          <w:b w:val="0"/>
          <w:bCs w:val="0"/>
          <w:sz w:val="24"/>
          <w:szCs w:val="24"/>
        </w:rPr>
        <w:t>. The business offers affordable digital marketing solutions specifically designed for UK service-based SMEs, enabling clients to improve marketing performance without the high costs associated with large agencies. Services include SEO, paid advertising, social media management, content creation, competitor analysis, market research and product development ideation. Unlike many competitors that focus solely on campaign delivery, SmartGrowth AI combines digital marketing with business development consultancy, enabling clients to achieve long-term business growth. This hybrid approach improves productivity while maintaining the creativity, strategic judgement and relationship management that AI alone cannot provide (Huang and Rust, 2021).</w:t>
      </w:r>
    </w:p>
    <w:p w14:paraId="6CB0B241">
      <w:pPr>
        <w:pStyle w:val="3"/>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Channels</w:t>
      </w:r>
    </w:p>
    <w:p w14:paraId="1B82DA98">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Channels describe how an organisation communicates with customers and delivers its value proposition (Osterwalder and Pigneur, 2010). SmartGrowth AI will reach potential clients through its company website, LinkedIn, Google Search, Google Ads, social media platforms, email marketing and SME networking events. These digital channels allow the business to generate brand awareness, educate prospective clients and convert leads into long-term customers. Google Ads and search engine optimisation will increase online visibility, while LinkedIn will support professional networking and business-to-business relationship development. Participation in SME networking events will further strengthen credibility and generate referrals within the UK business community. Together, these integrated channels provide efficient customer acquisition while supporting continuous engagement throughout the client journey.</w:t>
      </w:r>
    </w:p>
    <w:p w14:paraId="65218008">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Customer Relationships</w:t>
      </w:r>
    </w:p>
    <w:p w14:paraId="2BA48E23">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Customer relationships describe how an organisation establishes, maintains and strengthens interactions with its customers to enhance satisfaction and long-term loyalty (Osterwalder and Pigneur, 2010). SmartGrowth AI will adopt a relationship-based approach by assigning dedicated account managers to each client, ensuring personalised communication and responsive support. Regular performance reports, strategic review meetings and tailored marketing plans will enable clients to monitor campaign effectiveness and identify opportunities for improvement. Long-term partnerships will be encouraged through continuous consultancy, proactive recommendations and customised solutions aligned with changing business needs. This personalised approach differentiates SmartGrowth AI from larger agencies that often provide standardised services to a broad client base, helping improve customer retention, trust and referral generation.</w:t>
      </w:r>
    </w:p>
    <w:p w14:paraId="688DD512">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Revenue Streams</w:t>
      </w:r>
    </w:p>
    <w:p w14:paraId="6856E736">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Revenue streams represent the ways in which an organisation generates income from its customer segments (Osterwalder and Pigneur, 2010). SmartGrowth AI will generate revenue through monthly marketing retainers, providing clients with ongoing digital marketing support and strategic consultancy. Additional income will be earned from social media management packages, content creation services, SEO and blog management, advertising campaign management and product development consultancy. This diversified revenue model reduces dependence on a single service while creating stable recurring income through long-term client contracts. Offering multiple complementary services also enables cross-selling opportunities and increases customer lifetime value.</w:t>
      </w:r>
    </w:p>
    <w:p w14:paraId="50DE2CF8">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Key Resources</w:t>
      </w:r>
    </w:p>
    <w:p w14:paraId="4AA8B492">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Key resources are the assets required to deliver a business's value proposition and operate successfully (Osterwalder and Pigneur, 2010). SmartGrowth AI's most important resources include skilled marketing professionals with expertise in AI-supported marketing, creative content development and strategic consultancy. AI software subscriptions, customer relationship management (CRM) systems, office facilities, IT infrastructure and reliable internet connectivity are also essential for delivering efficient services. In addition, the organisation's knowledge of the UK SME market, analytical capabilities and creative expertise represent valuable intangible resources that support innovation and competitive differentiation.</w:t>
      </w:r>
    </w:p>
    <w:p w14:paraId="125719C0">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Key Activities</w:t>
      </w:r>
    </w:p>
    <w:p w14:paraId="10114CDC">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Key activities are the essential actions an organisation performs to create and deliver value to customers (Osterwalder and Pigneur, 2010). SmartGrowth AI's core activities include social media content creation, SEO, Google Ads and Meta Ads management, website blog writing, market research, product and service development ideation, marketing strategy development and AI-assisted campaign optimisation. These activities combine AI-driven automation with human creativity and strategic decision-making, enabling the business to deliver efficient, data-driven and personalised marketing solutions. Continuous monitoring and campaign optimisation will further improve marketing performance and client satisfaction.</w:t>
      </w:r>
    </w:p>
    <w:p w14:paraId="18F5342F">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Key Partnerships</w:t>
      </w:r>
    </w:p>
    <w:p w14:paraId="42567748">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Key partnerships are the external organisations and stakeholders that help a business operate efficiently, reduce risk and strengthen its competitive advantage (Osterwalder and Pigneur, 2010). SmartGrowth AI will establish partnerships with Google Ads and Meta Business Partners to enhance advertising performance and gain access to industry training and certification programmes. Collaboration with AI software providers, including ChatGPT, Canva, Midjourney and Claude, will improve content creation, campaign optimisation and data analysis. Partnerships with freelance videographers, photographers and web developers will provide specialist expertise when required without increasing permanent staffing costs. In addition, relationships with SME networks and business associations will support client acquisition, referral opportunities and business development within the UK market.</w:t>
      </w:r>
    </w:p>
    <w:p w14:paraId="5510D1B4">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Cost Structure</w:t>
      </w:r>
    </w:p>
    <w:p w14:paraId="6C781B7E">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cost structure outlines the major expenses required to operate and deliver the business model (Osterwalder and Pigneur, 2010). SmartGrowth AI's principal costs include employee salaries and benefits, reflecting its reliance on skilled marketing professionals. Additional operating expenses include AI software subscriptions, office rent and utilities, technology infrastructure, website maintenance, marketing and advertising activities, staff training and development, insurance and legal compliance. Although AI software represents a significant investment, automation improves productivity, reduces repetitive manual work and enables the business to provide high-quality services at competitive prices. Maintaining a lean organisational structure and combining permanent staff with freelance specialists further supports cost efficiency and operational flexibility.</w:t>
      </w:r>
    </w:p>
    <w:p w14:paraId="135DA5B4">
      <w:pPr>
        <w:pStyle w:val="2"/>
        <w:keepNext w:val="0"/>
        <w:keepLines w:val="0"/>
        <w:widowControl/>
        <w:suppressLineNumbers w:val="0"/>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Conclusion</w:t>
      </w:r>
    </w:p>
    <w:p w14:paraId="09770DB5">
      <w:pPr>
        <w:pStyle w:val="7"/>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t>The Business Model Canvas demonstrates how SmartGrowth AI creates, delivers and captures value through an integrated and customer-focused business model. The proposed business combines AI-powered technology with human creativity to provide affordable, high-quality digital marketing and business development services tailored to UK service-based SMEs. Its clearly defined customer segments, differentiated value proposition, diversified revenue streams and strategic partnerships support sustainable growth and competitive advantage. Furthermore, the alignment between key resources, activities and cost structure enables SmartGrowth AI to operate efficiently while responding to changing customer needs and technological developments. Overall, the Business Model Canvas confirms the commercial viability of the proposed business and provides a practical framework for achieving long-term success within the UK digital marketing industry.</w:t>
      </w:r>
      <w:r>
        <w:rPr>
          <w:rFonts w:hint="default" w:ascii="Arial Regular" w:hAnsi="Arial Regular" w:cs="Arial Regular"/>
          <w:sz w:val="24"/>
          <w:szCs w:val="24"/>
          <w:lang w:val="de-DE"/>
        </w:rPr>
        <w:t xml:space="preserve"> </w:t>
      </w:r>
    </w:p>
    <w:p w14:paraId="4E76041F">
      <w:pPr>
        <w:spacing w:line="360" w:lineRule="auto"/>
        <w:jc w:val="both"/>
        <w:rPr>
          <w:rFonts w:hint="default" w:ascii="Arial Regular" w:hAnsi="Arial Regular" w:cs="Arial Regular"/>
          <w:sz w:val="24"/>
          <w:szCs w:val="24"/>
        </w:rPr>
      </w:pPr>
      <w:r>
        <w:rPr>
          <w:rStyle w:val="8"/>
          <w:rFonts w:hint="default" w:ascii="Arial Regular" w:hAnsi="Arial Regular" w:cs="Arial Regular"/>
          <w:b/>
          <w:bCs/>
          <w:sz w:val="24"/>
          <w:szCs w:val="24"/>
        </w:rPr>
        <w:t xml:space="preserve">References </w:t>
      </w:r>
    </w:p>
    <w:p w14:paraId="1DC5BB52">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(2024) </w:t>
      </w:r>
      <w:r>
        <w:rPr>
          <w:rStyle w:val="6"/>
          <w:rFonts w:hint="default" w:ascii="Arial Regular" w:hAnsi="Arial Regular" w:cs="Arial Regular"/>
          <w:sz w:val="24"/>
          <w:szCs w:val="24"/>
        </w:rPr>
        <w:t>Business Population Estimates for the UK 2024</w:t>
      </w:r>
      <w:r>
        <w:rPr>
          <w:rFonts w:hint="default" w:ascii="Arial Regular" w:hAnsi="Arial Regular" w:cs="Arial Regular"/>
          <w:sz w:val="24"/>
          <w:szCs w:val="24"/>
        </w:rPr>
        <w:t>. London: DBT.</w:t>
      </w:r>
    </w:p>
    <w:p w14:paraId="4E612CC3">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Huang, M.-H. and Rust, R.T. (2021) ‘A Strategic Framework for Artificial Intelligence in Marketing’, </w:t>
      </w:r>
      <w:r>
        <w:rPr>
          <w:rStyle w:val="6"/>
          <w:rFonts w:hint="default" w:ascii="Arial Regular" w:hAnsi="Arial Regular" w:cs="Arial Regular"/>
          <w:sz w:val="24"/>
          <w:szCs w:val="24"/>
        </w:rPr>
        <w:t>Journal of the Academy of Marketing Science</w:t>
      </w:r>
      <w:r>
        <w:rPr>
          <w:rFonts w:hint="default" w:ascii="Arial Regular" w:hAnsi="Arial Regular" w:cs="Arial Regular"/>
          <w:sz w:val="24"/>
          <w:szCs w:val="24"/>
        </w:rPr>
        <w:t>, 49(1), pp. 30–50.</w:t>
      </w:r>
    </w:p>
    <w:p w14:paraId="41D51341">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Joyce, A. and Paquin, R.L. (2016) ‘The Triple Layered Business Model Canvas: A Tool to Design More Sustainable Business Models’, </w:t>
      </w:r>
      <w:r>
        <w:rPr>
          <w:rStyle w:val="6"/>
          <w:rFonts w:hint="default" w:ascii="Arial Regular" w:hAnsi="Arial Regular" w:cs="Arial Regular"/>
          <w:sz w:val="24"/>
          <w:szCs w:val="24"/>
        </w:rPr>
        <w:t>Journal of Cleaner Production</w:t>
      </w:r>
      <w:r>
        <w:rPr>
          <w:rFonts w:hint="default" w:ascii="Arial Regular" w:hAnsi="Arial Regular" w:cs="Arial Regular"/>
          <w:sz w:val="24"/>
          <w:szCs w:val="24"/>
        </w:rPr>
        <w:t>, 135, pp. 1474–1486.</w:t>
      </w:r>
    </w:p>
    <w:p w14:paraId="616B7D06">
      <w:pPr>
        <w:pStyle w:val="7"/>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Osterwalder, A. and Pigneur, Y. (2010) </w:t>
      </w:r>
      <w:r>
        <w:rPr>
          <w:rStyle w:val="6"/>
          <w:rFonts w:hint="default" w:ascii="Arial Regular" w:hAnsi="Arial Regular" w:cs="Arial Regular"/>
          <w:sz w:val="24"/>
          <w:szCs w:val="24"/>
        </w:rPr>
        <w:t>Business Model Generation</w:t>
      </w:r>
      <w:r>
        <w:rPr>
          <w:rFonts w:hint="default" w:ascii="Arial Regular" w:hAnsi="Arial Regular" w:cs="Arial Regular"/>
          <w:sz w:val="24"/>
          <w:szCs w:val="24"/>
        </w:rPr>
        <w:t>. Hoboken: Wiley.</w:t>
      </w:r>
    </w:p>
    <w:p w14:paraId="6CC15E4E">
      <w:pPr>
        <w:keepNext w:val="0"/>
        <w:keepLines w:val="0"/>
        <w:widowControl/>
        <w:suppressLineNumbers w:val="0"/>
        <w:spacing w:line="360" w:lineRule="auto"/>
        <w:jc w:val="both"/>
        <w:rPr>
          <w:rFonts w:hint="default" w:ascii="Arial Regular" w:hAnsi="Arial Regular" w:cs="Arial Regular"/>
          <w:sz w:val="24"/>
          <w:szCs w:val="24"/>
        </w:rPr>
      </w:pPr>
    </w:p>
    <w:p w14:paraId="5D80BEFB">
      <w:pPr>
        <w:keepNext w:val="0"/>
        <w:keepLines w:val="0"/>
        <w:widowControl/>
        <w:suppressLineNumbers w:val="0"/>
        <w:spacing w:line="360" w:lineRule="auto"/>
        <w:jc w:val="both"/>
        <w:rPr>
          <w:rFonts w:hint="default" w:ascii="Arial Regular" w:hAnsi="Arial Regular" w:cs="Arial Regular"/>
          <w:sz w:val="24"/>
          <w:szCs w:val="24"/>
        </w:rPr>
      </w:pPr>
    </w:p>
    <w:bookmarkEnd w:id="0"/>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Regular">
    <w:panose1 w:val="020B0704020202020204"/>
    <w:charset w:val="00"/>
    <w:family w:val="auto"/>
    <w:pitch w:val="default"/>
    <w:sig w:usb0="E0002AFF" w:usb1="C0007843" w:usb2="00000009" w:usb3="00000000" w:csb0="400001FF" w:csb1="FFFF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73C37C"/>
    <w:rsid w:val="3D73C37C"/>
    <w:rsid w:val="7CDB5F17"/>
    <w:rsid w:val="7EEE91A6"/>
    <w:rsid w:val="7FFD88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3">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styleId="6">
    <w:name w:val="Emphasis"/>
    <w:basedOn w:val="4"/>
    <w:qFormat/>
    <w:uiPriority w:val="0"/>
    <w:rPr>
      <w:i/>
      <w:iCs/>
    </w:rPr>
  </w:style>
  <w:style w:type="paragraph" w:styleId="7">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8">
    <w:name w:val="Strong"/>
    <w:basedOn w:val="4"/>
    <w:qFormat/>
    <w:uiPriority w:val="0"/>
    <w:rPr>
      <w:b/>
      <w:bC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1</TotalTime>
  <ScaleCrop>false</ScaleCrop>
  <LinksUpToDate>false</LinksUpToDate>
  <CharactersWithSpaces>0</CharactersWithSpaces>
  <Application>WPS Office_12.1.26015.26015_F1E327BC-269C-435d-A152-05C5408002CA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2026-07-28T00:24:00Z</dcterms:created>
  <dc:creator>Anika Ayub (183011205)</dc:creator>
  <cp:lastModifiedBy>Anika Ayub (183011205)</cp:lastModifiedBy>
  <dcterms:modified xsi:type="dcterms:W3CDTF">2026-07-28T12:28:24Z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1033-12.1.26015.26015</vt:lpwstr>
  </property>
  <property fmtid="{D5CDD505-2E9C-101B-9397-08002B2CF9AE}" pid="3" name="ICV">
    <vt:lpwstr>3482C5F599135FA78EBE676AA6A4F161_41</vt:lpwstr>
  </property>
</Properties>
</file>