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DC80A1" w14:textId="000100BA" w:rsidR="004F2637" w:rsidRPr="004F2637" w:rsidRDefault="004F2637" w:rsidP="004F2637">
      <w:r w:rsidRPr="004F2637">
        <w:rPr>
          <w:noProof/>
        </w:rPr>
        <w:drawing>
          <wp:inline distT="0" distB="0" distL="0" distR="0" wp14:anchorId="7C093FAB" wp14:editId="4A60D610">
            <wp:extent cx="3346450" cy="1346200"/>
            <wp:effectExtent l="0" t="0" r="6350" b="6350"/>
            <wp:docPr id="1991063217" name="Picture 2"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UWTSD logo | Discover Dylan Thoma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46450" cy="1346200"/>
                    </a:xfrm>
                    <a:prstGeom prst="rect">
                      <a:avLst/>
                    </a:prstGeom>
                    <a:noFill/>
                    <a:ln>
                      <a:noFill/>
                    </a:ln>
                  </pic:spPr>
                </pic:pic>
              </a:graphicData>
            </a:graphic>
          </wp:inline>
        </w:drawing>
      </w:r>
    </w:p>
    <w:p w14:paraId="6B3F5D8D" w14:textId="77777777" w:rsidR="004F2637" w:rsidRPr="004F2637" w:rsidRDefault="004F2637" w:rsidP="004F2637">
      <w:r w:rsidRPr="004F2637">
        <w:br/>
      </w:r>
    </w:p>
    <w:p w14:paraId="78F4EBD8" w14:textId="77777777" w:rsidR="004F2637" w:rsidRDefault="004F2637" w:rsidP="0047230F">
      <w:pPr>
        <w:jc w:val="center"/>
        <w:rPr>
          <w:b/>
          <w:bCs/>
          <w:sz w:val="36"/>
          <w:szCs w:val="32"/>
        </w:rPr>
      </w:pPr>
      <w:r w:rsidRPr="004F2637">
        <w:rPr>
          <w:b/>
          <w:bCs/>
          <w:sz w:val="36"/>
          <w:szCs w:val="32"/>
        </w:rPr>
        <w:t>Digital Transformation in the Health and Care Professions (BMHP6026)</w:t>
      </w:r>
    </w:p>
    <w:p w14:paraId="072EC0C1" w14:textId="77777777" w:rsidR="00F17392" w:rsidRDefault="00F17392" w:rsidP="0047230F">
      <w:pPr>
        <w:jc w:val="center"/>
        <w:rPr>
          <w:szCs w:val="24"/>
        </w:rPr>
      </w:pPr>
    </w:p>
    <w:p w14:paraId="0BDE51B9" w14:textId="77777777" w:rsidR="00F17392" w:rsidRDefault="00F17392" w:rsidP="0047230F">
      <w:pPr>
        <w:jc w:val="center"/>
        <w:rPr>
          <w:szCs w:val="24"/>
        </w:rPr>
      </w:pPr>
    </w:p>
    <w:p w14:paraId="56C5B132" w14:textId="1CE6DCE6" w:rsidR="004F2637" w:rsidRPr="004F2637" w:rsidRDefault="004F2637" w:rsidP="00AD4C6D">
      <w:pPr>
        <w:jc w:val="center"/>
      </w:pPr>
      <w:r w:rsidRPr="004F2637">
        <w:rPr>
          <w:b/>
          <w:bCs/>
        </w:rPr>
        <w:t>Component 1: Written Report</w:t>
      </w:r>
    </w:p>
    <w:p w14:paraId="792B9F3B" w14:textId="52B6D460" w:rsidR="004F2637" w:rsidRDefault="00333BE9" w:rsidP="00333BE9">
      <w:pPr>
        <w:jc w:val="center"/>
        <w:rPr>
          <w:b/>
          <w:bCs/>
          <w:i/>
          <w:iCs/>
          <w:sz w:val="22"/>
          <w:szCs w:val="20"/>
        </w:rPr>
      </w:pPr>
      <w:r w:rsidRPr="00333BE9">
        <w:rPr>
          <w:b/>
          <w:bCs/>
          <w:i/>
          <w:iCs/>
          <w:sz w:val="22"/>
          <w:szCs w:val="20"/>
        </w:rPr>
        <w:t>A Critical Evaluation of Electronic Health Records (EHRs) as a Digital Transformation in UK Health and Social Care</w:t>
      </w:r>
    </w:p>
    <w:p w14:paraId="202E98BD" w14:textId="77777777" w:rsidR="00AD4C6D" w:rsidRDefault="00AD4C6D" w:rsidP="00333BE9">
      <w:pPr>
        <w:jc w:val="center"/>
        <w:rPr>
          <w:b/>
          <w:bCs/>
          <w:i/>
          <w:iCs/>
          <w:sz w:val="22"/>
          <w:szCs w:val="20"/>
        </w:rPr>
      </w:pPr>
    </w:p>
    <w:p w14:paraId="36980A73" w14:textId="77777777" w:rsidR="00AD4C6D" w:rsidRPr="00F17392" w:rsidRDefault="00AD4C6D" w:rsidP="00AD4C6D">
      <w:pPr>
        <w:jc w:val="center"/>
        <w:rPr>
          <w:szCs w:val="24"/>
        </w:rPr>
      </w:pPr>
      <w:r w:rsidRPr="00F17392">
        <w:rPr>
          <w:szCs w:val="24"/>
        </w:rPr>
        <w:t>Student name: Feven Jemaneh</w:t>
      </w:r>
      <w:r w:rsidRPr="00F17392">
        <w:rPr>
          <w:szCs w:val="24"/>
        </w:rPr>
        <w:br/>
        <w:t>Student ID:   2326708</w:t>
      </w:r>
      <w:r w:rsidRPr="00F17392">
        <w:rPr>
          <w:szCs w:val="24"/>
        </w:rPr>
        <w:br/>
        <w:t xml:space="preserve">Lecturer Name: Dr Laila </w:t>
      </w:r>
      <w:proofErr w:type="spellStart"/>
      <w:r w:rsidRPr="00F17392">
        <w:rPr>
          <w:szCs w:val="24"/>
        </w:rPr>
        <w:t>Surna</w:t>
      </w:r>
      <w:proofErr w:type="spellEnd"/>
    </w:p>
    <w:p w14:paraId="228DD7AF" w14:textId="77777777" w:rsidR="00AD4C6D" w:rsidRPr="004F2637" w:rsidRDefault="00AD4C6D" w:rsidP="00333BE9">
      <w:pPr>
        <w:jc w:val="center"/>
        <w:rPr>
          <w:b/>
          <w:bCs/>
          <w:i/>
          <w:iCs/>
          <w:sz w:val="22"/>
          <w:szCs w:val="20"/>
        </w:rPr>
      </w:pPr>
    </w:p>
    <w:p w14:paraId="6CC0A191" w14:textId="1E4B2463" w:rsidR="00A563C0" w:rsidRDefault="00A563C0">
      <w:r>
        <w:br w:type="page"/>
      </w:r>
    </w:p>
    <w:p w14:paraId="6289157D" w14:textId="77777777" w:rsidR="00AD4C6D" w:rsidRDefault="00EE7A98" w:rsidP="00AD4C6D">
      <w:r>
        <w:rPr>
          <w:noProof/>
        </w:rPr>
        <w:lastRenderedPageBreak/>
        <w:drawing>
          <wp:inline distT="0" distB="0" distL="0" distR="0" wp14:anchorId="08ED2F26" wp14:editId="41F00049">
            <wp:extent cx="5943600" cy="3594735"/>
            <wp:effectExtent l="0" t="0" r="0" b="5715"/>
            <wp:docPr id="8098255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825527" name=""/>
                    <pic:cNvPicPr/>
                  </pic:nvPicPr>
                  <pic:blipFill>
                    <a:blip r:embed="rId8"/>
                    <a:stretch>
                      <a:fillRect/>
                    </a:stretch>
                  </pic:blipFill>
                  <pic:spPr>
                    <a:xfrm>
                      <a:off x="0" y="0"/>
                      <a:ext cx="5943600" cy="3594735"/>
                    </a:xfrm>
                    <a:prstGeom prst="rect">
                      <a:avLst/>
                    </a:prstGeom>
                  </pic:spPr>
                </pic:pic>
              </a:graphicData>
            </a:graphic>
          </wp:inline>
        </w:drawing>
      </w:r>
      <w:bookmarkStart w:id="0" w:name="_Toc223113044"/>
    </w:p>
    <w:p w14:paraId="6587A79F" w14:textId="77777777" w:rsidR="00AD4C6D" w:rsidRDefault="00AD4C6D" w:rsidP="00AD4C6D"/>
    <w:p w14:paraId="65A61BEB" w14:textId="77777777" w:rsidR="00AD4C6D" w:rsidRDefault="00AD4C6D" w:rsidP="00AD4C6D"/>
    <w:p w14:paraId="36D26D9D" w14:textId="77777777" w:rsidR="00AD4C6D" w:rsidRDefault="00AD4C6D" w:rsidP="00AD4C6D"/>
    <w:p w14:paraId="1655D80D" w14:textId="77777777" w:rsidR="00AD4C6D" w:rsidRDefault="00AD4C6D" w:rsidP="00AD4C6D"/>
    <w:p w14:paraId="2DD81CFA" w14:textId="77777777" w:rsidR="00AD4C6D" w:rsidRDefault="00AD4C6D" w:rsidP="00AD4C6D"/>
    <w:p w14:paraId="618AC961" w14:textId="77777777" w:rsidR="00AD4C6D" w:rsidRDefault="00AD4C6D" w:rsidP="00AD4C6D"/>
    <w:p w14:paraId="091FCCC9" w14:textId="77777777" w:rsidR="00AD4C6D" w:rsidRDefault="00AD4C6D" w:rsidP="00AD4C6D"/>
    <w:p w14:paraId="2BCC570D" w14:textId="77777777" w:rsidR="00AD4C6D" w:rsidRDefault="00AD4C6D" w:rsidP="00AD4C6D"/>
    <w:p w14:paraId="4A7B90BA" w14:textId="77777777" w:rsidR="00AD4C6D" w:rsidRDefault="00AD4C6D" w:rsidP="00AD4C6D"/>
    <w:p w14:paraId="276461D2" w14:textId="77777777" w:rsidR="00AD4C6D" w:rsidRDefault="00AD4C6D" w:rsidP="00AD4C6D"/>
    <w:p w14:paraId="739A26A1" w14:textId="77777777" w:rsidR="00AD4C6D" w:rsidRDefault="00AD4C6D" w:rsidP="00AD4C6D"/>
    <w:p w14:paraId="157FCAB1" w14:textId="51097A00" w:rsidR="009B1A82" w:rsidRPr="00AD4C6D" w:rsidRDefault="009B1A82" w:rsidP="00AD4C6D">
      <w:pPr>
        <w:rPr>
          <w:rFonts w:eastAsiaTheme="majorEastAsia" w:cstheme="majorBidi"/>
          <w:b/>
          <w:sz w:val="28"/>
          <w:szCs w:val="32"/>
        </w:rPr>
      </w:pPr>
      <w:r w:rsidRPr="00AD4C6D">
        <w:rPr>
          <w:sz w:val="22"/>
        </w:rPr>
        <w:lastRenderedPageBreak/>
        <w:t>1. Introduction</w:t>
      </w:r>
      <w:bookmarkEnd w:id="0"/>
    </w:p>
    <w:p w14:paraId="628FAEF5" w14:textId="77777777" w:rsidR="009B1A82" w:rsidRPr="00AD4C6D" w:rsidRDefault="009B1A82" w:rsidP="009B1A82">
      <w:pPr>
        <w:pStyle w:val="Heading2"/>
        <w:rPr>
          <w:sz w:val="22"/>
          <w:szCs w:val="22"/>
        </w:rPr>
      </w:pPr>
      <w:bookmarkStart w:id="1" w:name="_Toc223113045"/>
      <w:r w:rsidRPr="00AD4C6D">
        <w:rPr>
          <w:sz w:val="22"/>
          <w:szCs w:val="22"/>
        </w:rPr>
        <w:t>1.1 Background to Digital Transformation</w:t>
      </w:r>
      <w:bookmarkEnd w:id="1"/>
    </w:p>
    <w:p w14:paraId="3D37D1DC" w14:textId="77777777" w:rsidR="009B1A82" w:rsidRPr="00AD4C6D" w:rsidRDefault="009B1A82" w:rsidP="009B1A82">
      <w:pPr>
        <w:rPr>
          <w:sz w:val="22"/>
        </w:rPr>
      </w:pPr>
      <w:r w:rsidRPr="00AD4C6D">
        <w:rPr>
          <w:sz w:val="22"/>
        </w:rPr>
        <w:t>Digital transformation impacts the modern UK health and social care services. In most areas, the demand for health services is on the rise. Staffing shortages put a strain on clinical personnel. Complex patient care systems are caused by chronic illness. Healthcare organisations are limited by financial constraints (Rayment-Jones et al., 2026). Government policies encourage the use of technology by public services. The national leader in digital healthcare is NHS England. The NHS Long Term Plan promotes digital integration. Healthcare organisations introduce systems to improve quality of care. Digital innovation supports faster and safer communications. Such technological advances will improve care access and patient outcomes.</w:t>
      </w:r>
    </w:p>
    <w:p w14:paraId="217AAB22" w14:textId="77777777" w:rsidR="009B1A82" w:rsidRPr="00AD4C6D" w:rsidRDefault="009B1A82" w:rsidP="009B1A82">
      <w:pPr>
        <w:pStyle w:val="Heading2"/>
        <w:rPr>
          <w:sz w:val="22"/>
          <w:szCs w:val="22"/>
        </w:rPr>
      </w:pPr>
      <w:bookmarkStart w:id="2" w:name="_Toc223113046"/>
      <w:r w:rsidRPr="00AD4C6D">
        <w:rPr>
          <w:sz w:val="22"/>
          <w:szCs w:val="22"/>
        </w:rPr>
        <w:t>1.2 Overview of Electronic Health Records</w:t>
      </w:r>
      <w:bookmarkEnd w:id="2"/>
    </w:p>
    <w:p w14:paraId="7A03F264" w14:textId="77777777" w:rsidR="009B1A82" w:rsidRPr="00AD4C6D" w:rsidRDefault="009B1A82" w:rsidP="009B1A82">
      <w:pPr>
        <w:rPr>
          <w:sz w:val="22"/>
        </w:rPr>
      </w:pPr>
      <w:r w:rsidRPr="00AD4C6D">
        <w:rPr>
          <w:sz w:val="22"/>
        </w:rPr>
        <w:t xml:space="preserve">EHR prevents the use of paper records. EHR systems are electronic in nature. The secure computer networks enable medical practitioners to access records. EHR facilitates real-time clinician cooperation. Diagnoses and treatment are recorded electronically by clinicians. The records go digital, and this improves coordination within the care settings. EHR systems reduce duplication of medical tests. EMR systems can improve medication safety. Several NHS Trusts use EHR systems in their daily operations (Kraft van </w:t>
      </w:r>
      <w:proofErr w:type="spellStart"/>
      <w:r w:rsidRPr="00AD4C6D">
        <w:rPr>
          <w:sz w:val="22"/>
        </w:rPr>
        <w:t>Ermel</w:t>
      </w:r>
      <w:proofErr w:type="spellEnd"/>
      <w:r w:rsidRPr="00AD4C6D">
        <w:rPr>
          <w:sz w:val="22"/>
        </w:rPr>
        <w:t xml:space="preserve"> et al., 2026). Internet resources supplement cross-functional care services. The EHR systems also enhance patient safety by alerting about potential drug interactions or allergies. Electronic records can also increase efficiency by creating time saved that would be spent on searching paper records.</w:t>
      </w:r>
    </w:p>
    <w:p w14:paraId="0476EBA1" w14:textId="77777777" w:rsidR="009B1A82" w:rsidRPr="00AD4C6D" w:rsidRDefault="009B1A82" w:rsidP="009B1A82">
      <w:pPr>
        <w:pStyle w:val="Heading2"/>
        <w:rPr>
          <w:sz w:val="22"/>
          <w:szCs w:val="22"/>
        </w:rPr>
      </w:pPr>
      <w:bookmarkStart w:id="3" w:name="_Toc223113047"/>
      <w:r w:rsidRPr="00AD4C6D">
        <w:rPr>
          <w:sz w:val="22"/>
          <w:szCs w:val="22"/>
        </w:rPr>
        <w:t>1.3 Purpose and Structure of the Report</w:t>
      </w:r>
      <w:bookmarkEnd w:id="3"/>
    </w:p>
    <w:p w14:paraId="207F712D" w14:textId="65046EC5" w:rsidR="00A563C0" w:rsidRPr="00AD4C6D" w:rsidRDefault="009B1A82" w:rsidP="009B1A82">
      <w:pPr>
        <w:rPr>
          <w:sz w:val="22"/>
        </w:rPr>
      </w:pPr>
      <w:r w:rsidRPr="00AD4C6D">
        <w:rPr>
          <w:sz w:val="22"/>
        </w:rPr>
        <w:t>This report examines electronic health record implementation in the United Kingdom. The report examines workforce changes in EHR systems. The report judges service delivery processes of change. The report outlines patient experiences of digital healthcare. Community and public health impacts are covered in the report. The debate has its advantages and disadvantages. The analysis utilises current UK policy evidence. It has a concise conclusion with summarised findings and implications.</w:t>
      </w:r>
    </w:p>
    <w:p w14:paraId="6130F725" w14:textId="77777777" w:rsidR="00CC1808" w:rsidRPr="00AD4C6D" w:rsidRDefault="00CC1808" w:rsidP="00CC1808">
      <w:pPr>
        <w:pStyle w:val="Heading1"/>
        <w:rPr>
          <w:sz w:val="22"/>
          <w:szCs w:val="22"/>
        </w:rPr>
      </w:pPr>
      <w:bookmarkStart w:id="4" w:name="_Toc223113048"/>
      <w:r w:rsidRPr="00AD4C6D">
        <w:rPr>
          <w:sz w:val="22"/>
          <w:szCs w:val="22"/>
        </w:rPr>
        <w:lastRenderedPageBreak/>
        <w:t>2. Impact on the Workforce</w:t>
      </w:r>
      <w:bookmarkEnd w:id="4"/>
    </w:p>
    <w:p w14:paraId="2E8634F6" w14:textId="77777777" w:rsidR="00CC1808" w:rsidRPr="00AD4C6D" w:rsidRDefault="00CC1808" w:rsidP="00CC1808">
      <w:pPr>
        <w:pStyle w:val="Heading2"/>
        <w:rPr>
          <w:sz w:val="22"/>
          <w:szCs w:val="22"/>
        </w:rPr>
      </w:pPr>
      <w:bookmarkStart w:id="5" w:name="_Toc223113049"/>
      <w:r w:rsidRPr="00AD4C6D">
        <w:rPr>
          <w:sz w:val="22"/>
          <w:szCs w:val="22"/>
        </w:rPr>
        <w:t>2.1 Changes in Job Roles</w:t>
      </w:r>
      <w:bookmarkEnd w:id="5"/>
    </w:p>
    <w:p w14:paraId="71E55102" w14:textId="77777777" w:rsidR="00CC1808" w:rsidRPr="00AD4C6D" w:rsidRDefault="00CC1808" w:rsidP="00CC1808">
      <w:pPr>
        <w:rPr>
          <w:sz w:val="22"/>
        </w:rPr>
      </w:pPr>
      <w:r w:rsidRPr="00AD4C6D">
        <w:rPr>
          <w:sz w:val="22"/>
        </w:rPr>
        <w:t>EHR systems transfer professional roles in health services. Employees replace paper-based records with electronic record systems. The assessment is written on electronic record systems by nurses. Doctors document the diagnoses in electronic templates. Social workers refresh protection data on shared systems. Professionals use secure networks to obtain patient histories. Sharing clinical notes across teams is also observed across departments. Digital reports and dashboards are used by managers to monitor performance. Organisations bring new digital leadership positions. Hospitals are staffed with Chief Clinical Information Officers (</w:t>
      </w:r>
      <w:proofErr w:type="spellStart"/>
      <w:r w:rsidRPr="00AD4C6D">
        <w:rPr>
          <w:sz w:val="22"/>
        </w:rPr>
        <w:t>Schunkert</w:t>
      </w:r>
      <w:proofErr w:type="spellEnd"/>
      <w:r w:rsidRPr="00AD4C6D">
        <w:rPr>
          <w:sz w:val="22"/>
        </w:rPr>
        <w:t xml:space="preserve"> et al., 2025).</w:t>
      </w:r>
    </w:p>
    <w:p w14:paraId="3671DB32" w14:textId="77777777" w:rsidR="00CC1808" w:rsidRPr="00AD4C6D" w:rsidRDefault="00CC1808" w:rsidP="00CC1808">
      <w:pPr>
        <w:rPr>
          <w:sz w:val="22"/>
        </w:rPr>
      </w:pPr>
      <w:r w:rsidRPr="00AD4C6D">
        <w:rPr>
          <w:sz w:val="22"/>
        </w:rPr>
        <w:t>Services recruit clinical informaticians to improve systems. Data governance officers are used to enforce compliance through trusts. Digital leads support the departmental adoption of the system. These functions improve clinical and technical team coordination. IT specialists cooperate with specialists. Staff carry out documentation duties with formal templates. Electronic systems normalise documentation in medical institutions. New systems, though, make staff roles more detailed.</w:t>
      </w:r>
    </w:p>
    <w:p w14:paraId="6DAA9822" w14:textId="0DCE17C0" w:rsidR="00CC1808" w:rsidRPr="00AD4C6D" w:rsidRDefault="00CC1808" w:rsidP="00CC1808">
      <w:pPr>
        <w:rPr>
          <w:sz w:val="22"/>
        </w:rPr>
      </w:pPr>
      <w:r w:rsidRPr="00AD4C6D">
        <w:rPr>
          <w:sz w:val="22"/>
        </w:rPr>
        <w:t>Some employees experience stress during the early stages of implementation. Companies provide support in role shifts. Training programmes are also in place to facilitate the staff in adapting to the new systems. In addition, regular feedback and communication systems are established to address any issues or difficulties that may arise in the transition phase.</w:t>
      </w:r>
    </w:p>
    <w:p w14:paraId="449B373A" w14:textId="77777777" w:rsidR="00CC1808" w:rsidRPr="00AD4C6D" w:rsidRDefault="00CC1808" w:rsidP="00CC1808">
      <w:pPr>
        <w:pStyle w:val="Heading2"/>
        <w:rPr>
          <w:sz w:val="22"/>
          <w:szCs w:val="22"/>
        </w:rPr>
      </w:pPr>
      <w:bookmarkStart w:id="6" w:name="_Toc223113050"/>
      <w:r w:rsidRPr="00AD4C6D">
        <w:rPr>
          <w:sz w:val="22"/>
          <w:szCs w:val="22"/>
        </w:rPr>
        <w:t>2.2 Role Competency and Digital Literacy</w:t>
      </w:r>
      <w:bookmarkEnd w:id="6"/>
    </w:p>
    <w:p w14:paraId="11A2950C" w14:textId="77777777" w:rsidR="00CC1808" w:rsidRPr="00AD4C6D" w:rsidRDefault="00CC1808" w:rsidP="00CC1808">
      <w:pPr>
        <w:rPr>
          <w:sz w:val="22"/>
        </w:rPr>
      </w:pPr>
      <w:r w:rsidRPr="00AD4C6D">
        <w:rPr>
          <w:sz w:val="22"/>
        </w:rPr>
        <w:t>To embrace EHR, professionals require high levels of digital skills. Employees are skilled in electronic records. Workers know about cybersecurity laws in the virtual world. Secure passwords are used by professionals to protect patient information. Health Education England promotes digital capability frameworks in England. Training programmes result in confidence in system navigation. Digital systems facilitate access to patient data. Electronic alerts help in safer prescription choices. Systems reduce handwriting errors in medical records. These improvements enhance patient safety.</w:t>
      </w:r>
    </w:p>
    <w:p w14:paraId="253CB332" w14:textId="77777777" w:rsidR="00CC1808" w:rsidRPr="00AD4C6D" w:rsidRDefault="00CC1808" w:rsidP="00CC1808">
      <w:pPr>
        <w:rPr>
          <w:sz w:val="22"/>
        </w:rPr>
      </w:pPr>
      <w:r w:rsidRPr="00AD4C6D">
        <w:rPr>
          <w:sz w:val="22"/>
        </w:rPr>
        <w:t xml:space="preserve">However, the first effect of EHR implementation is a strain on productivity. Employees are trained during working hours. Workers waste their time on electronic paperwork (Choi et al., 2023). Clinicians record increased screen time during consultation. Some practitioners experience </w:t>
      </w:r>
      <w:r w:rsidRPr="00AD4C6D">
        <w:rPr>
          <w:sz w:val="22"/>
        </w:rPr>
        <w:lastRenderedPageBreak/>
        <w:t xml:space="preserve">computer fatigue </w:t>
      </w:r>
      <w:proofErr w:type="gramStart"/>
      <w:r w:rsidRPr="00AD4C6D">
        <w:rPr>
          <w:sz w:val="22"/>
        </w:rPr>
        <w:t>as a result of</w:t>
      </w:r>
      <w:proofErr w:type="gramEnd"/>
      <w:r w:rsidRPr="00AD4C6D">
        <w:rPr>
          <w:sz w:val="22"/>
        </w:rPr>
        <w:t xml:space="preserve"> the widespread use of computers. Poor interface design is a strain on the brain. Older workers might require additional technology support. Young staff learn new systems more quickly. Organisations develop skills continuously. Managers invest in workforce life learning.</w:t>
      </w:r>
    </w:p>
    <w:p w14:paraId="7BF940BE" w14:textId="19AD0C53" w:rsidR="00A563C0" w:rsidRPr="00AD4C6D" w:rsidRDefault="00CC1808" w:rsidP="00CC1808">
      <w:pPr>
        <w:rPr>
          <w:sz w:val="22"/>
        </w:rPr>
      </w:pPr>
      <w:r w:rsidRPr="00AD4C6D">
        <w:rPr>
          <w:sz w:val="22"/>
        </w:rPr>
        <w:t>In total, EHR systems change the workforce practise standards. IT solutions strengthen inter-clinical collaboration. However, systems also increase the workload pressure in the short term. Good leadership helps to adapt the workforce.</w:t>
      </w:r>
    </w:p>
    <w:p w14:paraId="3819532C" w14:textId="77777777" w:rsidR="00F06B45" w:rsidRPr="00AD4C6D" w:rsidRDefault="00F06B45" w:rsidP="00F06B45">
      <w:pPr>
        <w:pStyle w:val="Heading1"/>
        <w:rPr>
          <w:sz w:val="22"/>
          <w:szCs w:val="22"/>
        </w:rPr>
      </w:pPr>
      <w:bookmarkStart w:id="7" w:name="_Toc223113051"/>
      <w:r w:rsidRPr="00AD4C6D">
        <w:rPr>
          <w:sz w:val="22"/>
          <w:szCs w:val="22"/>
        </w:rPr>
        <w:t>3. Impact on Service Delivery</w:t>
      </w:r>
      <w:bookmarkEnd w:id="7"/>
    </w:p>
    <w:p w14:paraId="3E987F46" w14:textId="77777777" w:rsidR="00F06B45" w:rsidRPr="00AD4C6D" w:rsidRDefault="00F06B45" w:rsidP="00F06B45">
      <w:pPr>
        <w:pStyle w:val="Heading2"/>
        <w:rPr>
          <w:sz w:val="22"/>
          <w:szCs w:val="22"/>
        </w:rPr>
      </w:pPr>
      <w:bookmarkStart w:id="8" w:name="_Toc223113052"/>
      <w:r w:rsidRPr="00AD4C6D">
        <w:rPr>
          <w:sz w:val="22"/>
          <w:szCs w:val="22"/>
        </w:rPr>
        <w:t>3.1 Changes in Day-to-Day Service Operations</w:t>
      </w:r>
      <w:bookmarkEnd w:id="8"/>
    </w:p>
    <w:p w14:paraId="7B57746C" w14:textId="77777777" w:rsidR="00F06B45" w:rsidRPr="00AD4C6D" w:rsidRDefault="00F06B45" w:rsidP="00F06B45">
      <w:pPr>
        <w:rPr>
          <w:sz w:val="22"/>
        </w:rPr>
      </w:pPr>
      <w:r w:rsidRPr="00AD4C6D">
        <w:rPr>
          <w:sz w:val="22"/>
        </w:rPr>
        <w:t>EHR systems transform everyday service delivery in healthcare organisations. Online clinical records are in use by NHS Trusts. Community services can access shared patient records electronically. The review of laboratory results is done through secure systems by the clinicians. In integrated systems, physicians analyse imaging data. Nurses update medication records when attending to patients. Teams do not have to wait days to access referral notes. Faster interdepartmental communication can be achieved through online connectivity. Shared data helps professionals make faster clinical decisions. Services reduce repetition of diagnostic test procedures. The workforce improves discharge planning through integrated recordings.</w:t>
      </w:r>
    </w:p>
    <w:p w14:paraId="651A44D3" w14:textId="77777777" w:rsidR="00F06B45" w:rsidRPr="00AD4C6D" w:rsidRDefault="00F06B45" w:rsidP="00F06B45">
      <w:pPr>
        <w:rPr>
          <w:sz w:val="22"/>
        </w:rPr>
      </w:pPr>
      <w:r w:rsidRPr="00AD4C6D">
        <w:rPr>
          <w:sz w:val="22"/>
        </w:rPr>
        <w:t>Cohesive systems exchange information on multidisciplinary teams (Roy et al., 2023). E-prescribing systems reduce medication errors. Drug interactions are signalled to clinicians in real time. These alerts improve patient safety standards. Digital systems facilitated rapid data sharing during COVID-19. Patients were monitored remotely using digital means. On EHR systems, immunisation records were tracked by vaccination teams. These systems improved the national response to the crisis. Digital reporting allows managers to monitor the performance of the services offered.</w:t>
      </w:r>
    </w:p>
    <w:p w14:paraId="3BCF3A94" w14:textId="77777777" w:rsidR="00F06B45" w:rsidRPr="00AD4C6D" w:rsidRDefault="00F06B45" w:rsidP="00F06B45">
      <w:pPr>
        <w:rPr>
          <w:sz w:val="22"/>
        </w:rPr>
      </w:pPr>
      <w:r w:rsidRPr="00AD4C6D">
        <w:rPr>
          <w:sz w:val="22"/>
        </w:rPr>
        <w:t>Administrators track patient traffic using electronic dashboards. Digital systems reduce paperwork in hospital departments. Appointments are made by employees using reservation systems. Reception teams update patient details in common databases. Urgent care is important information sought by emergency departments. The use of digital tools improves communication with primary care providers. Shared systems promote continuity in hospital and community services.</w:t>
      </w:r>
    </w:p>
    <w:p w14:paraId="18071723" w14:textId="77777777" w:rsidR="00F06B45" w:rsidRPr="00AD4C6D" w:rsidRDefault="00F06B45" w:rsidP="00F06B45">
      <w:pPr>
        <w:pStyle w:val="Heading2"/>
        <w:rPr>
          <w:sz w:val="22"/>
          <w:szCs w:val="22"/>
        </w:rPr>
      </w:pPr>
      <w:bookmarkStart w:id="9" w:name="_Toc223113053"/>
      <w:r w:rsidRPr="00AD4C6D">
        <w:rPr>
          <w:sz w:val="22"/>
          <w:szCs w:val="22"/>
        </w:rPr>
        <w:lastRenderedPageBreak/>
        <w:t>3.2 Limitations and Risks in Service Delivery</w:t>
      </w:r>
      <w:bookmarkEnd w:id="9"/>
    </w:p>
    <w:p w14:paraId="630F453F" w14:textId="63E0DAC2" w:rsidR="00F06B45" w:rsidRPr="00AD4C6D" w:rsidRDefault="00F06B45" w:rsidP="00F06B45">
      <w:pPr>
        <w:rPr>
          <w:sz w:val="22"/>
        </w:rPr>
      </w:pPr>
      <w:r w:rsidRPr="00AD4C6D">
        <w:rPr>
          <w:sz w:val="22"/>
        </w:rPr>
        <w:t xml:space="preserve">However, EHRs cause sustained service problems. Different organisations work on different digital platforms. Not every system is </w:t>
      </w:r>
      <w:r w:rsidR="00AD4C6D" w:rsidRPr="00AD4C6D">
        <w:rPr>
          <w:sz w:val="22"/>
        </w:rPr>
        <w:t>provider interoperable</w:t>
      </w:r>
      <w:r w:rsidRPr="00AD4C6D">
        <w:rPr>
          <w:sz w:val="22"/>
        </w:rPr>
        <w:t>. Integration is inadequate and does not enable a free flow of information. Records are duplicated in various systems. Cybersecurity threats apply to digital infrastructure. WannaCry ransomware interfered with the National Health Service. Cyberattacks undermined system security. Information technology systems stability plays a crucial role in services. Technical failures delay appointments and treatments.</w:t>
      </w:r>
    </w:p>
    <w:p w14:paraId="5BE0702E" w14:textId="77777777" w:rsidR="00F06B45" w:rsidRPr="00AD4C6D" w:rsidRDefault="00F06B45" w:rsidP="00F06B45">
      <w:pPr>
        <w:rPr>
          <w:sz w:val="22"/>
        </w:rPr>
      </w:pPr>
      <w:r w:rsidRPr="00AD4C6D">
        <w:rPr>
          <w:sz w:val="22"/>
        </w:rPr>
        <w:t>Implementing a system increases financial expenses. Organisations procure hardware and software licences regularly (</w:t>
      </w:r>
      <w:proofErr w:type="spellStart"/>
      <w:r w:rsidRPr="00AD4C6D">
        <w:rPr>
          <w:sz w:val="22"/>
        </w:rPr>
        <w:t>Seegert</w:t>
      </w:r>
      <w:proofErr w:type="spellEnd"/>
      <w:r w:rsidRPr="00AD4C6D">
        <w:rPr>
          <w:sz w:val="22"/>
        </w:rPr>
        <w:t>, 2024). Managers will invest in workforce training programmes. Smaller providers fight the high implementation costs. Poor system design disrupts clinical workflow patterns. Intricate navigation systems confuse employees. Early adoption decreases productivity.</w:t>
      </w:r>
    </w:p>
    <w:p w14:paraId="51611924" w14:textId="5CCA5B1C" w:rsidR="00A563C0" w:rsidRPr="00AD4C6D" w:rsidRDefault="00F06B45" w:rsidP="00F06B45">
      <w:pPr>
        <w:rPr>
          <w:sz w:val="22"/>
        </w:rPr>
      </w:pPr>
      <w:r w:rsidRPr="00AD4C6D">
        <w:rPr>
          <w:sz w:val="22"/>
        </w:rPr>
        <w:t>Change requires effective organisational leadership. To support the system, the services should be well-financed. The participation of employees leads to improvements in the long-term implementation outcomes. User-centred design enhances the efficiency of daily services. Constant assessment improves digital service.</w:t>
      </w:r>
    </w:p>
    <w:p w14:paraId="1A84033C" w14:textId="77777777" w:rsidR="0083759E" w:rsidRPr="00AD4C6D" w:rsidRDefault="0083759E" w:rsidP="0083759E">
      <w:pPr>
        <w:pStyle w:val="Heading1"/>
        <w:rPr>
          <w:sz w:val="22"/>
          <w:szCs w:val="22"/>
        </w:rPr>
      </w:pPr>
      <w:bookmarkStart w:id="10" w:name="_Toc223113054"/>
      <w:r w:rsidRPr="00AD4C6D">
        <w:rPr>
          <w:sz w:val="22"/>
          <w:szCs w:val="22"/>
        </w:rPr>
        <w:t>4. Impact on Patients and Service Users</w:t>
      </w:r>
      <w:bookmarkEnd w:id="10"/>
    </w:p>
    <w:p w14:paraId="557CD8AE" w14:textId="77777777" w:rsidR="0083759E" w:rsidRPr="00AD4C6D" w:rsidRDefault="0083759E" w:rsidP="0083759E">
      <w:pPr>
        <w:pStyle w:val="Heading2"/>
        <w:rPr>
          <w:sz w:val="22"/>
          <w:szCs w:val="22"/>
        </w:rPr>
      </w:pPr>
      <w:bookmarkStart w:id="11" w:name="_Toc223113055"/>
      <w:r w:rsidRPr="00AD4C6D">
        <w:rPr>
          <w:sz w:val="22"/>
          <w:szCs w:val="22"/>
        </w:rPr>
        <w:t>4.1 Patient Perceptions and Experiences</w:t>
      </w:r>
      <w:bookmarkEnd w:id="11"/>
    </w:p>
    <w:p w14:paraId="31917AC8" w14:textId="77777777" w:rsidR="0083759E" w:rsidRPr="00AD4C6D" w:rsidRDefault="0083759E" w:rsidP="0083759E">
      <w:pPr>
        <w:rPr>
          <w:sz w:val="22"/>
        </w:rPr>
      </w:pPr>
      <w:r w:rsidRPr="00AD4C6D">
        <w:rPr>
          <w:sz w:val="22"/>
        </w:rPr>
        <w:t>EHRs improve patient care within healthcare settings. Secure systems capture patients in digital records. Patients do not retell their medical histories over and over. Clinicians can easily access previous treatments during consultation. This access improves patient care continuity. Mutual records are useful when a patient is chronically ill. A team of professionals works together to assist with complex cases. Electronic systems reduce medical documentation errors. Medication administration errors are reduced through electronic prescribing. Joint records reduce confusion of health care providers. Correct documentation improves patient safety scores.</w:t>
      </w:r>
    </w:p>
    <w:p w14:paraId="35200FE4" w14:textId="77777777" w:rsidR="0083759E" w:rsidRPr="0083759E" w:rsidRDefault="0083759E" w:rsidP="0083759E">
      <w:r w:rsidRPr="00AD4C6D">
        <w:rPr>
          <w:sz w:val="22"/>
        </w:rPr>
        <w:t>The NHS provides online accessibility to online services. Records may be accessed by some patients through the NHS App. Patients also make appointments online. Service users electronically order repeat prescriptions (Keogh et al., 2022). Patients are becoming</w:t>
      </w:r>
      <w:r w:rsidRPr="0083759E">
        <w:t xml:space="preserve"> more independent through online access. Customers check the lab results through secure accounts. Online systems are used to treat long-term conditions. Patients give consent </w:t>
      </w:r>
      <w:r w:rsidRPr="0083759E">
        <w:lastRenderedPageBreak/>
        <w:t>to the family to provide relevant updates. Online communication improves service and patient transparency.</w:t>
      </w:r>
    </w:p>
    <w:p w14:paraId="2A0E7160" w14:textId="77777777" w:rsidR="0083759E" w:rsidRPr="00AD4C6D" w:rsidRDefault="0083759E" w:rsidP="0083759E">
      <w:pPr>
        <w:rPr>
          <w:sz w:val="22"/>
        </w:rPr>
      </w:pPr>
      <w:r w:rsidRPr="00AD4C6D">
        <w:rPr>
          <w:sz w:val="22"/>
        </w:rPr>
        <w:t>Digital records also allow patients to share information with multiple clinicians. Patients can attend other hospitals without retesting. Medics' past results in a rush. This saves time on treatment. Patients are more confident about care. Families can provide precise information to patients. Overall, electronic records have the potential to streamline and secure healthcare.</w:t>
      </w:r>
    </w:p>
    <w:p w14:paraId="072037A9" w14:textId="77777777" w:rsidR="0083759E" w:rsidRPr="00AD4C6D" w:rsidRDefault="0083759E" w:rsidP="0083759E">
      <w:pPr>
        <w:pStyle w:val="Heading2"/>
        <w:rPr>
          <w:sz w:val="22"/>
          <w:szCs w:val="22"/>
        </w:rPr>
      </w:pPr>
      <w:bookmarkStart w:id="12" w:name="_Toc223113056"/>
      <w:r w:rsidRPr="00AD4C6D">
        <w:rPr>
          <w:sz w:val="22"/>
          <w:szCs w:val="22"/>
        </w:rPr>
        <w:t>4.2 Digital Inequality and Patient Concerns</w:t>
      </w:r>
      <w:bookmarkEnd w:id="12"/>
    </w:p>
    <w:p w14:paraId="7A040251" w14:textId="77777777" w:rsidR="0083759E" w:rsidRPr="00AD4C6D" w:rsidRDefault="0083759E" w:rsidP="0083759E">
      <w:pPr>
        <w:rPr>
          <w:sz w:val="22"/>
        </w:rPr>
      </w:pPr>
      <w:r w:rsidRPr="00AD4C6D">
        <w:rPr>
          <w:sz w:val="22"/>
        </w:rPr>
        <w:t>However, EHR systems are unfair to some patients. Not all patients can access digital services. The elderly experience Internet usage issues. Other people lack good home internet. Poor digital literacy limits technology application in society. The language barrier cannot enable the comprehension of digital information. Persons with disabilities face accessibility challenges on the internet. These barriers contribute to the absence of inclusion in digital health services. Risk populations are vulnerable to less care.</w:t>
      </w:r>
    </w:p>
    <w:p w14:paraId="06D9D8E9" w14:textId="77777777" w:rsidR="0083759E" w:rsidRPr="00AD4C6D" w:rsidRDefault="0083759E" w:rsidP="0083759E">
      <w:pPr>
        <w:rPr>
          <w:sz w:val="22"/>
        </w:rPr>
      </w:pPr>
      <w:r w:rsidRPr="00AD4C6D">
        <w:rPr>
          <w:sz w:val="22"/>
        </w:rPr>
        <w:t>Some patients complain of reduced eye contact during consultations. Busy at the computer screens on appointments, clinicians. The practise has undesirable effects on therapeutic relationships. Patients are sometimes less able to hear visits. Data privacy is the factor that defines patient trust (Painter et al., 2023). Individuals are afraid of unauthorised access to records. Hacking destroys confidence in online systems. There is data security in healthcare organisations.</w:t>
      </w:r>
    </w:p>
    <w:p w14:paraId="48AF86A0" w14:textId="731E99D3" w:rsidR="00A563C0" w:rsidRPr="00AD4C6D" w:rsidRDefault="0083759E" w:rsidP="0083759E">
      <w:pPr>
        <w:rPr>
          <w:sz w:val="22"/>
        </w:rPr>
      </w:pPr>
      <w:r w:rsidRPr="00AD4C6D">
        <w:rPr>
          <w:sz w:val="22"/>
        </w:rPr>
        <w:t>Inclusive design improves access to different patients. Training programmes are used to build digital skills in the local area. Organisations provide other access to non-digital users. Patient-centred practises increase digital trust.</w:t>
      </w:r>
    </w:p>
    <w:p w14:paraId="311C5F4F" w14:textId="77777777" w:rsidR="00685DE7" w:rsidRPr="00AD4C6D" w:rsidRDefault="00685DE7" w:rsidP="00685DE7">
      <w:pPr>
        <w:pStyle w:val="Heading1"/>
        <w:rPr>
          <w:sz w:val="22"/>
          <w:szCs w:val="22"/>
        </w:rPr>
      </w:pPr>
      <w:bookmarkStart w:id="13" w:name="_Toc223113057"/>
      <w:r w:rsidRPr="00AD4C6D">
        <w:rPr>
          <w:sz w:val="22"/>
          <w:szCs w:val="22"/>
        </w:rPr>
        <w:t>5. Impact on Community</w:t>
      </w:r>
      <w:bookmarkEnd w:id="13"/>
    </w:p>
    <w:p w14:paraId="28812D9F" w14:textId="77777777" w:rsidR="00685DE7" w:rsidRPr="00AD4C6D" w:rsidRDefault="00685DE7" w:rsidP="00685DE7">
      <w:pPr>
        <w:pStyle w:val="Heading2"/>
        <w:rPr>
          <w:sz w:val="22"/>
          <w:szCs w:val="22"/>
        </w:rPr>
      </w:pPr>
      <w:bookmarkStart w:id="14" w:name="_Toc223113058"/>
      <w:r w:rsidRPr="00AD4C6D">
        <w:rPr>
          <w:sz w:val="22"/>
          <w:szCs w:val="22"/>
        </w:rPr>
        <w:t>5.1 Public Health and Population-Level Impact</w:t>
      </w:r>
      <w:bookmarkEnd w:id="14"/>
    </w:p>
    <w:p w14:paraId="7EBFF105" w14:textId="77777777" w:rsidR="00685DE7" w:rsidRPr="00AD4C6D" w:rsidRDefault="00685DE7" w:rsidP="00685DE7">
      <w:pPr>
        <w:rPr>
          <w:sz w:val="22"/>
        </w:rPr>
      </w:pPr>
      <w:r w:rsidRPr="00AD4C6D">
        <w:rPr>
          <w:sz w:val="22"/>
        </w:rPr>
        <w:t>EHRs provide useful information to the population. Digital records are used by healthcare organisations to collect population data. Aggregates show trends of diseases in communities. Services capture immunisation coverage using common data. Health authorities identify areas with higher health disparities. Public health teams plan preventative programmes that are based on data.</w:t>
      </w:r>
    </w:p>
    <w:p w14:paraId="248E38DD" w14:textId="77777777" w:rsidR="00685DE7" w:rsidRPr="00AD4C6D" w:rsidRDefault="00685DE7" w:rsidP="00685DE7">
      <w:pPr>
        <w:rPr>
          <w:sz w:val="22"/>
        </w:rPr>
      </w:pPr>
      <w:r w:rsidRPr="00AD4C6D">
        <w:rPr>
          <w:sz w:val="22"/>
        </w:rPr>
        <w:lastRenderedPageBreak/>
        <w:t>Population cheques improve resource distributions. The ICS is structured around shared records to organise services. There is sharing of information between professionals working in hospitals and community services. EHR data assists in the early intervention of at-risk groups (</w:t>
      </w:r>
      <w:proofErr w:type="spellStart"/>
      <w:r w:rsidRPr="00AD4C6D">
        <w:rPr>
          <w:sz w:val="22"/>
        </w:rPr>
        <w:t>Ferencova</w:t>
      </w:r>
      <w:proofErr w:type="spellEnd"/>
      <w:r w:rsidRPr="00AD4C6D">
        <w:rPr>
          <w:sz w:val="22"/>
        </w:rPr>
        <w:t xml:space="preserve"> et al., 2024). In COVID-19, the cases of infection were tracked through digital records. The rollout of vaccination was effectively monitored using electronic systems by authorities. Timely and correct information is a prerequisite in the decision-making of the public health.</w:t>
      </w:r>
    </w:p>
    <w:p w14:paraId="7F284D6C" w14:textId="77777777" w:rsidR="00685DE7" w:rsidRPr="00AD4C6D" w:rsidRDefault="00685DE7" w:rsidP="00685DE7">
      <w:pPr>
        <w:rPr>
          <w:sz w:val="22"/>
        </w:rPr>
      </w:pPr>
      <w:r w:rsidRPr="00AD4C6D">
        <w:rPr>
          <w:sz w:val="22"/>
        </w:rPr>
        <w:t>EHRs also support community health trend research. Patterns of chronic illnesses with time are identified by analysts. Services improve using digital records evidence. Evidence-based planning improves health plans in regions.</w:t>
      </w:r>
    </w:p>
    <w:p w14:paraId="482F31F4" w14:textId="77777777" w:rsidR="00685DE7" w:rsidRPr="00AD4C6D" w:rsidRDefault="00685DE7" w:rsidP="00685DE7">
      <w:pPr>
        <w:pStyle w:val="Heading2"/>
        <w:rPr>
          <w:sz w:val="22"/>
          <w:szCs w:val="22"/>
        </w:rPr>
      </w:pPr>
      <w:bookmarkStart w:id="15" w:name="_Toc223113059"/>
      <w:r w:rsidRPr="00AD4C6D">
        <w:rPr>
          <w:sz w:val="22"/>
          <w:szCs w:val="22"/>
        </w:rPr>
        <w:t>5.2 Effects on Families and Co-Production</w:t>
      </w:r>
      <w:bookmarkEnd w:id="15"/>
    </w:p>
    <w:p w14:paraId="559C3215" w14:textId="77777777" w:rsidR="00685DE7" w:rsidRPr="00AD4C6D" w:rsidRDefault="00685DE7" w:rsidP="00685DE7">
      <w:pPr>
        <w:rPr>
          <w:sz w:val="22"/>
        </w:rPr>
      </w:pPr>
      <w:r w:rsidRPr="00AD4C6D">
        <w:rPr>
          <w:sz w:val="22"/>
        </w:rPr>
        <w:t>Electronic records create more contact with the families and carers of the patients. Patients and their families are educated regarding their care progress. EHRs support collaboration between different medical professionals. Multidisciplinary teams plan care in hospitals and communities. EHRs can help plan long-term and end-of-life care. Decision-making at the family involves proper information (Napoli et al., 2025).</w:t>
      </w:r>
    </w:p>
    <w:p w14:paraId="643A44AA" w14:textId="77777777" w:rsidR="00685DE7" w:rsidRPr="00AD4C6D" w:rsidRDefault="00685DE7" w:rsidP="00685DE7">
      <w:pPr>
        <w:rPr>
          <w:sz w:val="22"/>
        </w:rPr>
      </w:pPr>
      <w:r w:rsidRPr="00AD4C6D">
        <w:rPr>
          <w:sz w:val="22"/>
        </w:rPr>
        <w:t>Local communities, however, have privacy risks when sharing data. The secondary use of personal data raises concerns among people. Effective digital change needs social confidence. Companies have strict rules that protect patient data. Ethical governance means fair access to digital health.</w:t>
      </w:r>
    </w:p>
    <w:p w14:paraId="659FCF30" w14:textId="04123EFC" w:rsidR="00A563C0" w:rsidRPr="00AD4C6D" w:rsidRDefault="00685DE7" w:rsidP="00685DE7">
      <w:pPr>
        <w:rPr>
          <w:sz w:val="22"/>
        </w:rPr>
      </w:pPr>
      <w:r w:rsidRPr="00AD4C6D">
        <w:rPr>
          <w:sz w:val="22"/>
        </w:rPr>
        <w:t>Overall, EHR systems increase health intelligence at population levels. Shared records aid in coordinated care and informed decision-making. Access online promotes collaboration of families among health services. Societies benefit through safe, integrative and dependable systems.</w:t>
      </w:r>
    </w:p>
    <w:p w14:paraId="3EDC46AB" w14:textId="265D91CC" w:rsidR="00A563C0" w:rsidRPr="00AD4C6D" w:rsidRDefault="00A563C0" w:rsidP="00151AA2">
      <w:pPr>
        <w:pStyle w:val="Heading1"/>
        <w:rPr>
          <w:sz w:val="22"/>
          <w:szCs w:val="22"/>
        </w:rPr>
      </w:pPr>
      <w:bookmarkStart w:id="16" w:name="_Toc223113060"/>
      <w:r w:rsidRPr="00AD4C6D">
        <w:rPr>
          <w:sz w:val="22"/>
          <w:szCs w:val="22"/>
        </w:rPr>
        <w:t>6. Conclusion</w:t>
      </w:r>
      <w:bookmarkEnd w:id="16"/>
    </w:p>
    <w:p w14:paraId="43BFB977" w14:textId="05403340" w:rsidR="00D723AE" w:rsidRPr="00AD4C6D" w:rsidRDefault="00151AA2">
      <w:pPr>
        <w:rPr>
          <w:sz w:val="22"/>
        </w:rPr>
      </w:pPr>
      <w:r w:rsidRPr="00AD4C6D">
        <w:rPr>
          <w:sz w:val="22"/>
        </w:rPr>
        <w:t xml:space="preserve">To conclude, electronic health records are an important change in UK healthcare. EHR improves the way professionals work with patient information. The staff can access records in real time and across different services. This improves coordination between hospitals, primary care and community care. The digital records prevent errors and enhance patient safety. Services plan care better with the help of information. EHRs can also be used in public health surveillance and research. However, there are challenges associated with the complete adoption of these systems (Wang et al., 2022). We also have digitally excluded patients due to abilities or access. </w:t>
      </w:r>
      <w:r w:rsidRPr="00AD4C6D">
        <w:rPr>
          <w:sz w:val="22"/>
        </w:rPr>
        <w:lastRenderedPageBreak/>
        <w:t xml:space="preserve">Cybersecurity threats face sensitive data. EHRs require financial investment and staff training. Workforce pressures may occur with system adoption. All users should be given constant support by organisations. Even now, there are areas where interoperability across systems remains a challenge. Digital change is a question of successful leadership and strategy. They must ensure that systems remain human and friendly to every patient. Trust and equity in healthcare delivery should remain the priority. The UK healthcare system has changed quite interestingly with the use of EHRs. Ongoing evaluation will ensure that systems are patient, staff, and </w:t>
      </w:r>
      <w:proofErr w:type="gramStart"/>
      <w:r w:rsidRPr="00AD4C6D">
        <w:rPr>
          <w:sz w:val="22"/>
        </w:rPr>
        <w:t>community-based</w:t>
      </w:r>
      <w:proofErr w:type="gramEnd"/>
      <w:r w:rsidRPr="00AD4C6D">
        <w:rPr>
          <w:sz w:val="22"/>
        </w:rPr>
        <w:t>. Safety, efficiency and long-run success will be achieved through effective management.</w:t>
      </w:r>
    </w:p>
    <w:p w14:paraId="5C1FA8D1" w14:textId="77777777" w:rsidR="00D723AE" w:rsidRPr="00AD4C6D" w:rsidRDefault="00D723AE">
      <w:pPr>
        <w:rPr>
          <w:sz w:val="22"/>
        </w:rPr>
      </w:pPr>
      <w:r w:rsidRPr="00AD4C6D">
        <w:rPr>
          <w:sz w:val="22"/>
        </w:rPr>
        <w:br w:type="page"/>
      </w:r>
    </w:p>
    <w:p w14:paraId="5A748D37" w14:textId="739F6426" w:rsidR="00817077" w:rsidRPr="00AD4C6D" w:rsidRDefault="00083838" w:rsidP="00151AA2">
      <w:pPr>
        <w:pStyle w:val="Heading1"/>
        <w:rPr>
          <w:sz w:val="22"/>
          <w:szCs w:val="22"/>
        </w:rPr>
      </w:pPr>
      <w:bookmarkStart w:id="17" w:name="_Toc223113061"/>
      <w:r w:rsidRPr="00AD4C6D">
        <w:rPr>
          <w:sz w:val="22"/>
          <w:szCs w:val="22"/>
        </w:rPr>
        <w:lastRenderedPageBreak/>
        <w:t xml:space="preserve">7. </w:t>
      </w:r>
      <w:r w:rsidR="00D723AE" w:rsidRPr="00AD4C6D">
        <w:rPr>
          <w:sz w:val="22"/>
          <w:szCs w:val="22"/>
        </w:rPr>
        <w:t>References</w:t>
      </w:r>
      <w:bookmarkEnd w:id="17"/>
    </w:p>
    <w:p w14:paraId="690B0060" w14:textId="77777777" w:rsidR="00EE7A98" w:rsidRPr="00AD4C6D" w:rsidRDefault="00EE7A98" w:rsidP="00EE7A98">
      <w:pPr>
        <w:rPr>
          <w:sz w:val="22"/>
        </w:rPr>
      </w:pPr>
      <w:r w:rsidRPr="00AD4C6D">
        <w:rPr>
          <w:sz w:val="22"/>
        </w:rPr>
        <w:t xml:space="preserve">Choi, J., Choi, S., Song, K., Baek, J., Kim, H., Choi, M., Kim, Y., Chu, S.H. &amp; Shin, J., 2023. Everyday Digital Literacy Questionnaire for Older Adults: Instrument Development and Validation Study. </w:t>
      </w:r>
      <w:r w:rsidRPr="00AD4C6D">
        <w:rPr>
          <w:i/>
          <w:iCs/>
          <w:sz w:val="22"/>
        </w:rPr>
        <w:t>Journal of Medical Internet Research</w:t>
      </w:r>
      <w:r w:rsidRPr="00AD4C6D">
        <w:rPr>
          <w:sz w:val="22"/>
        </w:rPr>
        <w:t xml:space="preserve">, 25, p.e51616. </w:t>
      </w:r>
      <w:proofErr w:type="spellStart"/>
      <w:r w:rsidRPr="00AD4C6D">
        <w:rPr>
          <w:sz w:val="22"/>
        </w:rPr>
        <w:t>doi</w:t>
      </w:r>
      <w:proofErr w:type="spellEnd"/>
      <w:r w:rsidRPr="00AD4C6D">
        <w:rPr>
          <w:sz w:val="22"/>
        </w:rPr>
        <w:t>: 10.2196/51616. PMID: 38095999; PMCID: PMC10755654.</w:t>
      </w:r>
    </w:p>
    <w:p w14:paraId="661A49E6" w14:textId="77777777" w:rsidR="00EE7A98" w:rsidRPr="00AD4C6D" w:rsidRDefault="00EE7A98" w:rsidP="00EE7A98">
      <w:pPr>
        <w:rPr>
          <w:sz w:val="22"/>
        </w:rPr>
      </w:pPr>
      <w:proofErr w:type="spellStart"/>
      <w:r w:rsidRPr="00AD4C6D">
        <w:rPr>
          <w:sz w:val="22"/>
        </w:rPr>
        <w:t>Ferencova</w:t>
      </w:r>
      <w:proofErr w:type="spellEnd"/>
      <w:r w:rsidRPr="00AD4C6D">
        <w:rPr>
          <w:sz w:val="22"/>
        </w:rPr>
        <w:t xml:space="preserve">, N., </w:t>
      </w:r>
      <w:proofErr w:type="spellStart"/>
      <w:r w:rsidRPr="00AD4C6D">
        <w:rPr>
          <w:sz w:val="22"/>
        </w:rPr>
        <w:t>Visnovcova</w:t>
      </w:r>
      <w:proofErr w:type="spellEnd"/>
      <w:r w:rsidRPr="00AD4C6D">
        <w:rPr>
          <w:sz w:val="22"/>
        </w:rPr>
        <w:t xml:space="preserve">, Z., </w:t>
      </w:r>
      <w:proofErr w:type="spellStart"/>
      <w:r w:rsidRPr="00AD4C6D">
        <w:rPr>
          <w:sz w:val="22"/>
        </w:rPr>
        <w:t>Ondrejka</w:t>
      </w:r>
      <w:proofErr w:type="spellEnd"/>
      <w:r w:rsidRPr="00AD4C6D">
        <w:rPr>
          <w:sz w:val="22"/>
        </w:rPr>
        <w:t xml:space="preserve">, I. &amp; </w:t>
      </w:r>
      <w:proofErr w:type="spellStart"/>
      <w:r w:rsidRPr="00AD4C6D">
        <w:rPr>
          <w:sz w:val="22"/>
        </w:rPr>
        <w:t>Tonhajzerova</w:t>
      </w:r>
      <w:proofErr w:type="spellEnd"/>
      <w:r w:rsidRPr="00AD4C6D">
        <w:rPr>
          <w:sz w:val="22"/>
        </w:rPr>
        <w:t xml:space="preserve">, I., 2024. COVID-19 pandemic as a huge stressor of the 21st century. </w:t>
      </w:r>
      <w:proofErr w:type="spellStart"/>
      <w:r w:rsidRPr="00AD4C6D">
        <w:rPr>
          <w:i/>
          <w:iCs/>
          <w:sz w:val="22"/>
        </w:rPr>
        <w:t>Bratislavské</w:t>
      </w:r>
      <w:proofErr w:type="spellEnd"/>
      <w:r w:rsidRPr="00AD4C6D">
        <w:rPr>
          <w:i/>
          <w:iCs/>
          <w:sz w:val="22"/>
        </w:rPr>
        <w:t xml:space="preserve"> </w:t>
      </w:r>
      <w:proofErr w:type="spellStart"/>
      <w:r w:rsidRPr="00AD4C6D">
        <w:rPr>
          <w:i/>
          <w:iCs/>
          <w:sz w:val="22"/>
        </w:rPr>
        <w:t>lekárske</w:t>
      </w:r>
      <w:proofErr w:type="spellEnd"/>
      <w:r w:rsidRPr="00AD4C6D">
        <w:rPr>
          <w:i/>
          <w:iCs/>
          <w:sz w:val="22"/>
        </w:rPr>
        <w:t xml:space="preserve"> </w:t>
      </w:r>
      <w:proofErr w:type="spellStart"/>
      <w:r w:rsidRPr="00AD4C6D">
        <w:rPr>
          <w:i/>
          <w:iCs/>
          <w:sz w:val="22"/>
        </w:rPr>
        <w:t>listy</w:t>
      </w:r>
      <w:proofErr w:type="spellEnd"/>
      <w:r w:rsidRPr="00AD4C6D">
        <w:rPr>
          <w:sz w:val="22"/>
        </w:rPr>
        <w:t xml:space="preserve">, 125(11), pp.677–684. </w:t>
      </w:r>
      <w:proofErr w:type="spellStart"/>
      <w:r w:rsidRPr="00AD4C6D">
        <w:rPr>
          <w:sz w:val="22"/>
        </w:rPr>
        <w:t>doi</w:t>
      </w:r>
      <w:proofErr w:type="spellEnd"/>
      <w:r w:rsidRPr="00AD4C6D">
        <w:rPr>
          <w:sz w:val="22"/>
        </w:rPr>
        <w:t>: 10.4149/BLL_2024_103. PMID: 39487836.</w:t>
      </w:r>
    </w:p>
    <w:p w14:paraId="1991F365" w14:textId="77777777" w:rsidR="00EE7A98" w:rsidRPr="00AD4C6D" w:rsidRDefault="00EE7A98" w:rsidP="00EE7A98">
      <w:pPr>
        <w:rPr>
          <w:sz w:val="22"/>
        </w:rPr>
      </w:pPr>
      <w:r w:rsidRPr="00AD4C6D">
        <w:rPr>
          <w:sz w:val="22"/>
        </w:rPr>
        <w:t xml:space="preserve">Kraft van </w:t>
      </w:r>
      <w:proofErr w:type="spellStart"/>
      <w:r w:rsidRPr="00AD4C6D">
        <w:rPr>
          <w:sz w:val="22"/>
        </w:rPr>
        <w:t>Ermel</w:t>
      </w:r>
      <w:proofErr w:type="spellEnd"/>
      <w:r w:rsidRPr="00AD4C6D">
        <w:rPr>
          <w:sz w:val="22"/>
        </w:rPr>
        <w:t xml:space="preserve">, L., </w:t>
      </w:r>
      <w:proofErr w:type="spellStart"/>
      <w:r w:rsidRPr="00AD4C6D">
        <w:rPr>
          <w:sz w:val="22"/>
        </w:rPr>
        <w:t>Noordman</w:t>
      </w:r>
      <w:proofErr w:type="spellEnd"/>
      <w:r w:rsidRPr="00AD4C6D">
        <w:rPr>
          <w:sz w:val="22"/>
        </w:rPr>
        <w:t xml:space="preserve">, J., </w:t>
      </w:r>
      <w:proofErr w:type="spellStart"/>
      <w:r w:rsidRPr="00AD4C6D">
        <w:rPr>
          <w:sz w:val="22"/>
        </w:rPr>
        <w:t>Brinkkemper</w:t>
      </w:r>
      <w:proofErr w:type="spellEnd"/>
      <w:r w:rsidRPr="00AD4C6D">
        <w:rPr>
          <w:sz w:val="22"/>
        </w:rPr>
        <w:t xml:space="preserve">, S., Schoon, Y. &amp; van </w:t>
      </w:r>
      <w:proofErr w:type="spellStart"/>
      <w:r w:rsidRPr="00AD4C6D">
        <w:rPr>
          <w:sz w:val="22"/>
        </w:rPr>
        <w:t>Dulmen</w:t>
      </w:r>
      <w:proofErr w:type="spellEnd"/>
      <w:r w:rsidRPr="00AD4C6D">
        <w:rPr>
          <w:sz w:val="22"/>
        </w:rPr>
        <w:t xml:space="preserve">, S., 2026. Methods for investigating electronic health records and patient-provider interaction: A scoping review. </w:t>
      </w:r>
      <w:r w:rsidRPr="00AD4C6D">
        <w:rPr>
          <w:i/>
          <w:iCs/>
          <w:sz w:val="22"/>
        </w:rPr>
        <w:t>International Journal of Medical Informatics</w:t>
      </w:r>
      <w:r w:rsidRPr="00AD4C6D">
        <w:rPr>
          <w:sz w:val="22"/>
        </w:rPr>
        <w:t xml:space="preserve">, 205, p.106106. </w:t>
      </w:r>
      <w:proofErr w:type="spellStart"/>
      <w:r w:rsidRPr="00AD4C6D">
        <w:rPr>
          <w:sz w:val="22"/>
        </w:rPr>
        <w:t>doi</w:t>
      </w:r>
      <w:proofErr w:type="spellEnd"/>
      <w:r w:rsidRPr="00AD4C6D">
        <w:rPr>
          <w:sz w:val="22"/>
        </w:rPr>
        <w:t xml:space="preserve">: 10.1016/j.ijmedinf.2025.106106. </w:t>
      </w:r>
      <w:proofErr w:type="spellStart"/>
      <w:r w:rsidRPr="00AD4C6D">
        <w:rPr>
          <w:sz w:val="22"/>
        </w:rPr>
        <w:t>Epub</w:t>
      </w:r>
      <w:proofErr w:type="spellEnd"/>
      <w:r w:rsidRPr="00AD4C6D">
        <w:rPr>
          <w:sz w:val="22"/>
        </w:rPr>
        <w:t xml:space="preserve"> 2025 Sep 2. PMID: 40945185.</w:t>
      </w:r>
    </w:p>
    <w:p w14:paraId="0F332051" w14:textId="77777777" w:rsidR="00EE7A98" w:rsidRPr="00AD4C6D" w:rsidRDefault="00EE7A98" w:rsidP="00EE7A98">
      <w:pPr>
        <w:rPr>
          <w:sz w:val="22"/>
        </w:rPr>
      </w:pPr>
      <w:r w:rsidRPr="00AD4C6D">
        <w:rPr>
          <w:sz w:val="22"/>
        </w:rPr>
        <w:t xml:space="preserve">Keogh, B., Murphy, E., Doyle, L., Sheaf, G., Watts, M. &amp; Higgins, A., 2022. Mental health service </w:t>
      </w:r>
      <w:proofErr w:type="gramStart"/>
      <w:r w:rsidRPr="00AD4C6D">
        <w:rPr>
          <w:sz w:val="22"/>
        </w:rPr>
        <w:t>users</w:t>
      </w:r>
      <w:proofErr w:type="gramEnd"/>
      <w:r w:rsidRPr="00AD4C6D">
        <w:rPr>
          <w:sz w:val="22"/>
        </w:rPr>
        <w:t xml:space="preserve"> experiences of medication discontinuation: a systematic review of qualitative studies. </w:t>
      </w:r>
      <w:r w:rsidRPr="00AD4C6D">
        <w:rPr>
          <w:i/>
          <w:iCs/>
          <w:sz w:val="22"/>
        </w:rPr>
        <w:t>Journal of Mental Health</w:t>
      </w:r>
      <w:r w:rsidRPr="00AD4C6D">
        <w:rPr>
          <w:sz w:val="22"/>
        </w:rPr>
        <w:t xml:space="preserve">, 31(2), pp.227–238. </w:t>
      </w:r>
      <w:proofErr w:type="spellStart"/>
      <w:r w:rsidRPr="00AD4C6D">
        <w:rPr>
          <w:sz w:val="22"/>
        </w:rPr>
        <w:t>doi</w:t>
      </w:r>
      <w:proofErr w:type="spellEnd"/>
      <w:r w:rsidRPr="00AD4C6D">
        <w:rPr>
          <w:sz w:val="22"/>
        </w:rPr>
        <w:t xml:space="preserve">: 10.1080/09638237.2021.1922644. </w:t>
      </w:r>
      <w:proofErr w:type="spellStart"/>
      <w:r w:rsidRPr="00AD4C6D">
        <w:rPr>
          <w:sz w:val="22"/>
        </w:rPr>
        <w:t>Epub</w:t>
      </w:r>
      <w:proofErr w:type="spellEnd"/>
      <w:r w:rsidRPr="00AD4C6D">
        <w:rPr>
          <w:sz w:val="22"/>
        </w:rPr>
        <w:t xml:space="preserve"> 2021 Jun 14. PMID: 34126035.</w:t>
      </w:r>
    </w:p>
    <w:p w14:paraId="376B86DD" w14:textId="77777777" w:rsidR="00EE7A98" w:rsidRPr="00AD4C6D" w:rsidRDefault="00EE7A98" w:rsidP="00EE7A98">
      <w:pPr>
        <w:rPr>
          <w:sz w:val="22"/>
        </w:rPr>
      </w:pPr>
      <w:r w:rsidRPr="00AD4C6D">
        <w:rPr>
          <w:sz w:val="22"/>
        </w:rPr>
        <w:t xml:space="preserve">Napoli Ward, W., </w:t>
      </w:r>
      <w:proofErr w:type="spellStart"/>
      <w:r w:rsidRPr="00AD4C6D">
        <w:rPr>
          <w:sz w:val="22"/>
        </w:rPr>
        <w:t>Scordato</w:t>
      </w:r>
      <w:proofErr w:type="spellEnd"/>
      <w:r w:rsidRPr="00AD4C6D">
        <w:rPr>
          <w:sz w:val="22"/>
        </w:rPr>
        <w:t xml:space="preserve">, D., </w:t>
      </w:r>
      <w:proofErr w:type="spellStart"/>
      <w:r w:rsidRPr="00AD4C6D">
        <w:rPr>
          <w:sz w:val="22"/>
        </w:rPr>
        <w:t>Andreatta</w:t>
      </w:r>
      <w:proofErr w:type="spellEnd"/>
      <w:r w:rsidRPr="00AD4C6D">
        <w:rPr>
          <w:sz w:val="22"/>
        </w:rPr>
        <w:t xml:space="preserve">, O., Biasi, S., </w:t>
      </w:r>
      <w:proofErr w:type="spellStart"/>
      <w:r w:rsidRPr="00AD4C6D">
        <w:rPr>
          <w:sz w:val="22"/>
        </w:rPr>
        <w:t>Pederzolli</w:t>
      </w:r>
      <w:proofErr w:type="spellEnd"/>
      <w:r w:rsidRPr="00AD4C6D">
        <w:rPr>
          <w:sz w:val="22"/>
        </w:rPr>
        <w:t>, R. &amp; Agostini, C., 2025. "</w:t>
      </w:r>
      <w:proofErr w:type="spellStart"/>
      <w:r w:rsidRPr="00AD4C6D">
        <w:rPr>
          <w:sz w:val="22"/>
        </w:rPr>
        <w:t>FareAssieme</w:t>
      </w:r>
      <w:proofErr w:type="spellEnd"/>
      <w:r w:rsidRPr="00AD4C6D">
        <w:rPr>
          <w:sz w:val="22"/>
        </w:rPr>
        <w:t xml:space="preserve">". A model of participatory co-production by users and families in mental health services. </w:t>
      </w:r>
      <w:proofErr w:type="spellStart"/>
      <w:r w:rsidRPr="00AD4C6D">
        <w:rPr>
          <w:i/>
          <w:iCs/>
          <w:sz w:val="22"/>
        </w:rPr>
        <w:t>Psychiatria</w:t>
      </w:r>
      <w:proofErr w:type="spellEnd"/>
      <w:r w:rsidRPr="00AD4C6D">
        <w:rPr>
          <w:i/>
          <w:iCs/>
          <w:sz w:val="22"/>
        </w:rPr>
        <w:t xml:space="preserve"> </w:t>
      </w:r>
      <w:proofErr w:type="spellStart"/>
      <w:r w:rsidRPr="00AD4C6D">
        <w:rPr>
          <w:i/>
          <w:iCs/>
          <w:sz w:val="22"/>
        </w:rPr>
        <w:t>Danubina</w:t>
      </w:r>
      <w:proofErr w:type="spellEnd"/>
      <w:r w:rsidRPr="00AD4C6D">
        <w:rPr>
          <w:sz w:val="22"/>
        </w:rPr>
        <w:t>, 37(</w:t>
      </w:r>
      <w:proofErr w:type="spellStart"/>
      <w:r w:rsidRPr="00AD4C6D">
        <w:rPr>
          <w:sz w:val="22"/>
        </w:rPr>
        <w:t>Suppl</w:t>
      </w:r>
      <w:proofErr w:type="spellEnd"/>
      <w:r w:rsidRPr="00AD4C6D">
        <w:rPr>
          <w:sz w:val="22"/>
        </w:rPr>
        <w:t xml:space="preserve"> 1), pp.429–433. PMID: 40982867.</w:t>
      </w:r>
    </w:p>
    <w:p w14:paraId="3321920B" w14:textId="77777777" w:rsidR="00EE7A98" w:rsidRPr="00AD4C6D" w:rsidRDefault="00EE7A98" w:rsidP="00EE7A98">
      <w:pPr>
        <w:rPr>
          <w:sz w:val="22"/>
        </w:rPr>
      </w:pPr>
      <w:r w:rsidRPr="00AD4C6D">
        <w:rPr>
          <w:sz w:val="22"/>
        </w:rPr>
        <w:t xml:space="preserve">Painter, A., van Dael, J., Neves, A.L., </w:t>
      </w:r>
      <w:proofErr w:type="spellStart"/>
      <w:r w:rsidRPr="00AD4C6D">
        <w:rPr>
          <w:sz w:val="22"/>
        </w:rPr>
        <w:t>Bachtiger</w:t>
      </w:r>
      <w:proofErr w:type="spellEnd"/>
      <w:r w:rsidRPr="00AD4C6D">
        <w:rPr>
          <w:sz w:val="22"/>
        </w:rPr>
        <w:t xml:space="preserve">, P., O'Brien, N., Gardner, C., Quint, J., Adamson, A., Peters, N., Darzi, A. &amp; </w:t>
      </w:r>
      <w:proofErr w:type="spellStart"/>
      <w:r w:rsidRPr="00AD4C6D">
        <w:rPr>
          <w:sz w:val="22"/>
        </w:rPr>
        <w:t>Ghafur</w:t>
      </w:r>
      <w:proofErr w:type="spellEnd"/>
      <w:r w:rsidRPr="00AD4C6D">
        <w:rPr>
          <w:sz w:val="22"/>
        </w:rPr>
        <w:t xml:space="preserve">, S., 2023. Identifying benefits and concerns with using digital health services during COVID-19: Evidence from a hospital-based patient survey. </w:t>
      </w:r>
      <w:r w:rsidRPr="00AD4C6D">
        <w:rPr>
          <w:i/>
          <w:iCs/>
          <w:sz w:val="22"/>
        </w:rPr>
        <w:t>Health Informatics Journal</w:t>
      </w:r>
      <w:r w:rsidRPr="00AD4C6D">
        <w:rPr>
          <w:sz w:val="22"/>
        </w:rPr>
        <w:t xml:space="preserve">, 29(4), p.14604582231217339. </w:t>
      </w:r>
      <w:proofErr w:type="spellStart"/>
      <w:r w:rsidRPr="00AD4C6D">
        <w:rPr>
          <w:sz w:val="22"/>
        </w:rPr>
        <w:t>doi</w:t>
      </w:r>
      <w:proofErr w:type="spellEnd"/>
      <w:r w:rsidRPr="00AD4C6D">
        <w:rPr>
          <w:sz w:val="22"/>
        </w:rPr>
        <w:t>: 10.1177/14604582231217339. PMID: 38011503.</w:t>
      </w:r>
    </w:p>
    <w:p w14:paraId="29EC8DF5" w14:textId="77777777" w:rsidR="00EE7A98" w:rsidRPr="00AD4C6D" w:rsidRDefault="00EE7A98" w:rsidP="00EE7A98">
      <w:pPr>
        <w:rPr>
          <w:sz w:val="22"/>
        </w:rPr>
      </w:pPr>
      <w:r w:rsidRPr="00AD4C6D">
        <w:rPr>
          <w:sz w:val="22"/>
        </w:rPr>
        <w:t xml:space="preserve">Rayment-Jones, H., Burton, S., Dasgupta, T., Barry, Z., De Backer, K., Baker, N., Wilson, C.A., Stevenson, K., </w:t>
      </w:r>
      <w:proofErr w:type="spellStart"/>
      <w:r w:rsidRPr="00AD4C6D">
        <w:rPr>
          <w:sz w:val="22"/>
        </w:rPr>
        <w:t>Vowles</w:t>
      </w:r>
      <w:proofErr w:type="spellEnd"/>
      <w:r w:rsidRPr="00AD4C6D">
        <w:rPr>
          <w:sz w:val="22"/>
        </w:rPr>
        <w:t>, Z., Kitchen, K., Easter, A., Jolly, A., Rankin, J., Fernandez-</w:t>
      </w:r>
      <w:proofErr w:type="spellStart"/>
      <w:r w:rsidRPr="00AD4C6D">
        <w:rPr>
          <w:sz w:val="22"/>
        </w:rPr>
        <w:t>Turienzo</w:t>
      </w:r>
      <w:proofErr w:type="spellEnd"/>
      <w:r w:rsidRPr="00AD4C6D">
        <w:rPr>
          <w:sz w:val="22"/>
        </w:rPr>
        <w:t xml:space="preserve">, C., Sandall, J., Poston, L., Magee, L.A., Stewart, R., Edwards, D., Ashworth, M., Wolfe, I., Gillett, C., </w:t>
      </w:r>
      <w:proofErr w:type="spellStart"/>
      <w:r w:rsidRPr="00AD4C6D">
        <w:rPr>
          <w:sz w:val="22"/>
        </w:rPr>
        <w:t>Absoud</w:t>
      </w:r>
      <w:proofErr w:type="spellEnd"/>
      <w:r w:rsidRPr="00AD4C6D">
        <w:rPr>
          <w:sz w:val="22"/>
        </w:rPr>
        <w:t xml:space="preserve">, M., Pickard, L., Grey, A., Spring, S., Kazeem, T., Jewell, A., Broadbent, M. &amp; Higgins, F., 2026. Access and engagement with maternity, social care and mental health services for perinatal migrant women with no recourse to public funds and irregular status: A cross-sectional study using </w:t>
      </w:r>
      <w:r w:rsidRPr="00AD4C6D">
        <w:rPr>
          <w:sz w:val="22"/>
        </w:rPr>
        <w:lastRenderedPageBreak/>
        <w:t xml:space="preserve">the </w:t>
      </w:r>
      <w:proofErr w:type="spellStart"/>
      <w:r w:rsidRPr="00AD4C6D">
        <w:rPr>
          <w:sz w:val="22"/>
        </w:rPr>
        <w:t>eLIXIR</w:t>
      </w:r>
      <w:proofErr w:type="spellEnd"/>
      <w:r w:rsidRPr="00AD4C6D">
        <w:rPr>
          <w:sz w:val="22"/>
        </w:rPr>
        <w:t xml:space="preserve"> born in South London, UK, maternity-child data linkage. </w:t>
      </w:r>
      <w:r w:rsidRPr="00AD4C6D">
        <w:rPr>
          <w:i/>
          <w:iCs/>
          <w:sz w:val="22"/>
        </w:rPr>
        <w:t>Public Health</w:t>
      </w:r>
      <w:r w:rsidRPr="00AD4C6D">
        <w:rPr>
          <w:sz w:val="22"/>
        </w:rPr>
        <w:t xml:space="preserve">, 252, p.106175. </w:t>
      </w:r>
      <w:proofErr w:type="spellStart"/>
      <w:r w:rsidRPr="00AD4C6D">
        <w:rPr>
          <w:sz w:val="22"/>
        </w:rPr>
        <w:t>doi</w:t>
      </w:r>
      <w:proofErr w:type="spellEnd"/>
      <w:r w:rsidRPr="00AD4C6D">
        <w:rPr>
          <w:sz w:val="22"/>
        </w:rPr>
        <w:t xml:space="preserve">: 10.1016/j.puhe.2026.106175. </w:t>
      </w:r>
      <w:proofErr w:type="spellStart"/>
      <w:r w:rsidRPr="00AD4C6D">
        <w:rPr>
          <w:sz w:val="22"/>
        </w:rPr>
        <w:t>Epub</w:t>
      </w:r>
      <w:proofErr w:type="spellEnd"/>
      <w:r w:rsidRPr="00AD4C6D">
        <w:rPr>
          <w:sz w:val="22"/>
        </w:rPr>
        <w:t xml:space="preserve"> 2026 Feb 3. PMID: 41637913.</w:t>
      </w:r>
    </w:p>
    <w:p w14:paraId="730EC14C" w14:textId="77777777" w:rsidR="00EE7A98" w:rsidRPr="00AD4C6D" w:rsidRDefault="00EE7A98" w:rsidP="00EE7A98">
      <w:pPr>
        <w:rPr>
          <w:sz w:val="22"/>
        </w:rPr>
      </w:pPr>
      <w:r w:rsidRPr="00AD4C6D">
        <w:rPr>
          <w:sz w:val="22"/>
        </w:rPr>
        <w:t xml:space="preserve">Roy, A.S., </w:t>
      </w:r>
      <w:proofErr w:type="spellStart"/>
      <w:r w:rsidRPr="00AD4C6D">
        <w:rPr>
          <w:sz w:val="22"/>
        </w:rPr>
        <w:t>Hagh</w:t>
      </w:r>
      <w:proofErr w:type="spellEnd"/>
      <w:r w:rsidRPr="00AD4C6D">
        <w:rPr>
          <w:sz w:val="22"/>
        </w:rPr>
        <w:t xml:space="preserve">-Doust, H., Abdul Azim, A., Caceres, J., Denholm, J.T., Dong, M.Q.D., King, M., Yen, C.F., Lee, T.C., McDonald, E.G., 2023. Multidisciplinary teams for the management of infective endocarditis: A systematic review and meta-analysis. </w:t>
      </w:r>
      <w:r w:rsidRPr="00AD4C6D">
        <w:rPr>
          <w:i/>
          <w:iCs/>
          <w:sz w:val="22"/>
        </w:rPr>
        <w:t>Open Forum Infectious Diseases</w:t>
      </w:r>
      <w:r w:rsidRPr="00AD4C6D">
        <w:rPr>
          <w:sz w:val="22"/>
        </w:rPr>
        <w:t xml:space="preserve">, 10(9), </w:t>
      </w:r>
      <w:proofErr w:type="gramStart"/>
      <w:r w:rsidRPr="00AD4C6D">
        <w:rPr>
          <w:sz w:val="22"/>
        </w:rPr>
        <w:t>p.ofad</w:t>
      </w:r>
      <w:proofErr w:type="gramEnd"/>
      <w:r w:rsidRPr="00AD4C6D">
        <w:rPr>
          <w:sz w:val="22"/>
        </w:rPr>
        <w:t xml:space="preserve">444. </w:t>
      </w:r>
      <w:proofErr w:type="spellStart"/>
      <w:r w:rsidRPr="00AD4C6D">
        <w:rPr>
          <w:sz w:val="22"/>
        </w:rPr>
        <w:t>doi</w:t>
      </w:r>
      <w:proofErr w:type="spellEnd"/>
      <w:r w:rsidRPr="00AD4C6D">
        <w:rPr>
          <w:sz w:val="22"/>
        </w:rPr>
        <w:t>: 10.1093/</w:t>
      </w:r>
      <w:proofErr w:type="spellStart"/>
      <w:r w:rsidRPr="00AD4C6D">
        <w:rPr>
          <w:sz w:val="22"/>
        </w:rPr>
        <w:t>ofid</w:t>
      </w:r>
      <w:proofErr w:type="spellEnd"/>
      <w:r w:rsidRPr="00AD4C6D">
        <w:rPr>
          <w:sz w:val="22"/>
        </w:rPr>
        <w:t>/ofad444. PMID: 37674631; PMCID: PMC10478154.</w:t>
      </w:r>
    </w:p>
    <w:p w14:paraId="181A83E3" w14:textId="77777777" w:rsidR="00EE7A98" w:rsidRPr="00AD4C6D" w:rsidRDefault="00EE7A98" w:rsidP="00EE7A98">
      <w:pPr>
        <w:rPr>
          <w:sz w:val="22"/>
        </w:rPr>
      </w:pPr>
      <w:proofErr w:type="spellStart"/>
      <w:r w:rsidRPr="00AD4C6D">
        <w:rPr>
          <w:sz w:val="22"/>
        </w:rPr>
        <w:t>Seegert</w:t>
      </w:r>
      <w:proofErr w:type="spellEnd"/>
      <w:r w:rsidRPr="00AD4C6D">
        <w:rPr>
          <w:sz w:val="22"/>
        </w:rPr>
        <w:t xml:space="preserve">, L., 2024. Hospital cyberattacks are on the rise. </w:t>
      </w:r>
      <w:r w:rsidRPr="00AD4C6D">
        <w:rPr>
          <w:i/>
          <w:iCs/>
          <w:sz w:val="22"/>
        </w:rPr>
        <w:t>American Journal of Nursing</w:t>
      </w:r>
      <w:r w:rsidRPr="00AD4C6D">
        <w:rPr>
          <w:sz w:val="22"/>
        </w:rPr>
        <w:t xml:space="preserve">, 124(11), pp.9–10. </w:t>
      </w:r>
      <w:proofErr w:type="spellStart"/>
      <w:r w:rsidRPr="00AD4C6D">
        <w:rPr>
          <w:sz w:val="22"/>
        </w:rPr>
        <w:t>doi</w:t>
      </w:r>
      <w:proofErr w:type="spellEnd"/>
      <w:r w:rsidRPr="00AD4C6D">
        <w:rPr>
          <w:sz w:val="22"/>
        </w:rPr>
        <w:t xml:space="preserve">: 10.1097/01.NAJ.0001081664.05431.7e. </w:t>
      </w:r>
      <w:proofErr w:type="spellStart"/>
      <w:r w:rsidRPr="00AD4C6D">
        <w:rPr>
          <w:sz w:val="22"/>
        </w:rPr>
        <w:t>Epub</w:t>
      </w:r>
      <w:proofErr w:type="spellEnd"/>
      <w:r w:rsidRPr="00AD4C6D">
        <w:rPr>
          <w:sz w:val="22"/>
        </w:rPr>
        <w:t xml:space="preserve"> 2024 Oct 24. PMID: 39446497.</w:t>
      </w:r>
    </w:p>
    <w:p w14:paraId="4C4257EE" w14:textId="77777777" w:rsidR="00EE7A98" w:rsidRPr="00AD4C6D" w:rsidRDefault="00EE7A98" w:rsidP="00EE7A98">
      <w:pPr>
        <w:rPr>
          <w:sz w:val="22"/>
        </w:rPr>
      </w:pPr>
      <w:proofErr w:type="spellStart"/>
      <w:r w:rsidRPr="00AD4C6D">
        <w:rPr>
          <w:sz w:val="22"/>
        </w:rPr>
        <w:t>Schunkert</w:t>
      </w:r>
      <w:proofErr w:type="spellEnd"/>
      <w:r w:rsidRPr="00AD4C6D">
        <w:rPr>
          <w:sz w:val="22"/>
        </w:rPr>
        <w:t xml:space="preserve">, H., Di </w:t>
      </w:r>
      <w:proofErr w:type="spellStart"/>
      <w:r w:rsidRPr="00AD4C6D">
        <w:rPr>
          <w:sz w:val="22"/>
        </w:rPr>
        <w:t>Angelantonio</w:t>
      </w:r>
      <w:proofErr w:type="spellEnd"/>
      <w:r w:rsidRPr="00AD4C6D">
        <w:rPr>
          <w:sz w:val="22"/>
        </w:rPr>
        <w:t xml:space="preserve">, E., Inouye, M., Patel, R.S., </w:t>
      </w:r>
      <w:proofErr w:type="spellStart"/>
      <w:r w:rsidRPr="00AD4C6D">
        <w:rPr>
          <w:sz w:val="22"/>
        </w:rPr>
        <w:t>Ripatti</w:t>
      </w:r>
      <w:proofErr w:type="spellEnd"/>
      <w:r w:rsidRPr="00AD4C6D">
        <w:rPr>
          <w:sz w:val="22"/>
        </w:rPr>
        <w:t xml:space="preserve">, S., Widen, E., Sanderson, S.C., Kaski, J.P., McEvoy, J.W., </w:t>
      </w:r>
      <w:proofErr w:type="spellStart"/>
      <w:r w:rsidRPr="00AD4C6D">
        <w:rPr>
          <w:sz w:val="22"/>
        </w:rPr>
        <w:t>Vardas</w:t>
      </w:r>
      <w:proofErr w:type="spellEnd"/>
      <w:r w:rsidRPr="00AD4C6D">
        <w:rPr>
          <w:sz w:val="22"/>
        </w:rPr>
        <w:t xml:space="preserve">, P., Wood, A., </w:t>
      </w:r>
      <w:proofErr w:type="spellStart"/>
      <w:r w:rsidRPr="00AD4C6D">
        <w:rPr>
          <w:sz w:val="22"/>
        </w:rPr>
        <w:t>Aboyans</w:t>
      </w:r>
      <w:proofErr w:type="spellEnd"/>
      <w:r w:rsidRPr="00AD4C6D">
        <w:rPr>
          <w:sz w:val="22"/>
        </w:rPr>
        <w:t xml:space="preserve">, V., Vassiliou, V.S., </w:t>
      </w:r>
      <w:proofErr w:type="spellStart"/>
      <w:r w:rsidRPr="00AD4C6D">
        <w:rPr>
          <w:sz w:val="22"/>
        </w:rPr>
        <w:t>Visseren</w:t>
      </w:r>
      <w:proofErr w:type="spellEnd"/>
      <w:r w:rsidRPr="00AD4C6D">
        <w:rPr>
          <w:sz w:val="22"/>
        </w:rPr>
        <w:t xml:space="preserve">, F.L.J., Lopes, L.R., Elliott, P., </w:t>
      </w:r>
      <w:proofErr w:type="spellStart"/>
      <w:r w:rsidRPr="00AD4C6D">
        <w:rPr>
          <w:sz w:val="22"/>
        </w:rPr>
        <w:t>Kavousi</w:t>
      </w:r>
      <w:proofErr w:type="spellEnd"/>
      <w:r w:rsidRPr="00AD4C6D">
        <w:rPr>
          <w:sz w:val="22"/>
        </w:rPr>
        <w:t xml:space="preserve">, M., 2025. Clinical utility and implementation of polygenic risk scores for predicting cardiovascular disease: A clinical consensus statement of the ESC Council on Cardiovascular Genomics, the ESC Cardiovascular Risk Collaboration, and the European Association of Preventive Cardiology. </w:t>
      </w:r>
      <w:r w:rsidRPr="00AD4C6D">
        <w:rPr>
          <w:i/>
          <w:iCs/>
          <w:sz w:val="22"/>
        </w:rPr>
        <w:t>European Heart Journal</w:t>
      </w:r>
      <w:r w:rsidRPr="00AD4C6D">
        <w:rPr>
          <w:sz w:val="22"/>
        </w:rPr>
        <w:t xml:space="preserve">, 46(15), pp.1372–1383. </w:t>
      </w:r>
      <w:proofErr w:type="spellStart"/>
      <w:r w:rsidRPr="00AD4C6D">
        <w:rPr>
          <w:sz w:val="22"/>
        </w:rPr>
        <w:t>doi</w:t>
      </w:r>
      <w:proofErr w:type="spellEnd"/>
      <w:r w:rsidRPr="00AD4C6D">
        <w:rPr>
          <w:sz w:val="22"/>
        </w:rPr>
        <w:t>: 10.1093/</w:t>
      </w:r>
      <w:proofErr w:type="spellStart"/>
      <w:r w:rsidRPr="00AD4C6D">
        <w:rPr>
          <w:sz w:val="22"/>
        </w:rPr>
        <w:t>eurheartj</w:t>
      </w:r>
      <w:proofErr w:type="spellEnd"/>
      <w:r w:rsidRPr="00AD4C6D">
        <w:rPr>
          <w:sz w:val="22"/>
        </w:rPr>
        <w:t>/ehae649. PMID: 39906985; PMCID: PMC11997548.</w:t>
      </w:r>
    </w:p>
    <w:p w14:paraId="283435B5" w14:textId="77777777" w:rsidR="00EE7A98" w:rsidRPr="00AD4C6D" w:rsidRDefault="00EE7A98" w:rsidP="00EE7A98">
      <w:pPr>
        <w:rPr>
          <w:sz w:val="22"/>
        </w:rPr>
      </w:pPr>
      <w:r w:rsidRPr="00AD4C6D">
        <w:rPr>
          <w:sz w:val="22"/>
        </w:rPr>
        <w:t xml:space="preserve">Wang, X., Mobley, A.R., </w:t>
      </w:r>
      <w:proofErr w:type="spellStart"/>
      <w:r w:rsidRPr="00AD4C6D">
        <w:rPr>
          <w:sz w:val="22"/>
        </w:rPr>
        <w:t>Tica</w:t>
      </w:r>
      <w:proofErr w:type="spellEnd"/>
      <w:r w:rsidRPr="00AD4C6D">
        <w:rPr>
          <w:sz w:val="22"/>
        </w:rPr>
        <w:t xml:space="preserve">, O., Okoth, K., Ghosh, R.E., Myles, P., Williams, T., Haynes, S., </w:t>
      </w:r>
      <w:proofErr w:type="spellStart"/>
      <w:r w:rsidRPr="00AD4C6D">
        <w:rPr>
          <w:sz w:val="22"/>
        </w:rPr>
        <w:t>Nirantharakumar</w:t>
      </w:r>
      <w:proofErr w:type="spellEnd"/>
      <w:r w:rsidRPr="00AD4C6D">
        <w:rPr>
          <w:sz w:val="22"/>
        </w:rPr>
        <w:t xml:space="preserve">, K., Shukla, D. &amp; Kotecha, D., 2022. Systematic approach to outcome assessment from coded electronic healthcare records in the DaRe2THINK NHS-embedded randomized trial. </w:t>
      </w:r>
      <w:r w:rsidRPr="00AD4C6D">
        <w:rPr>
          <w:i/>
          <w:iCs/>
          <w:sz w:val="22"/>
        </w:rPr>
        <w:t>European Heart Journal – Digital Health</w:t>
      </w:r>
      <w:r w:rsidRPr="00AD4C6D">
        <w:rPr>
          <w:sz w:val="22"/>
        </w:rPr>
        <w:t xml:space="preserve">, 3(3), pp.426–436. </w:t>
      </w:r>
      <w:proofErr w:type="spellStart"/>
      <w:r w:rsidRPr="00AD4C6D">
        <w:rPr>
          <w:sz w:val="22"/>
        </w:rPr>
        <w:t>doi</w:t>
      </w:r>
      <w:proofErr w:type="spellEnd"/>
      <w:r w:rsidRPr="00AD4C6D">
        <w:rPr>
          <w:sz w:val="22"/>
        </w:rPr>
        <w:t>: 10.1093/</w:t>
      </w:r>
      <w:proofErr w:type="spellStart"/>
      <w:r w:rsidRPr="00AD4C6D">
        <w:rPr>
          <w:sz w:val="22"/>
        </w:rPr>
        <w:t>ehjdh</w:t>
      </w:r>
      <w:proofErr w:type="spellEnd"/>
      <w:r w:rsidRPr="00AD4C6D">
        <w:rPr>
          <w:sz w:val="22"/>
        </w:rPr>
        <w:t>/ztac046. PMID: 36712153; PMCID: PMC9708037.</w:t>
      </w:r>
    </w:p>
    <w:p w14:paraId="0C5F80E7" w14:textId="77777777" w:rsidR="00B91048" w:rsidRPr="00AD4C6D" w:rsidRDefault="00B91048">
      <w:pPr>
        <w:rPr>
          <w:sz w:val="22"/>
        </w:rPr>
      </w:pPr>
    </w:p>
    <w:sectPr w:rsidR="00B91048" w:rsidRPr="00AD4C6D" w:rsidSect="00406C75">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BCCF9B" w14:textId="77777777" w:rsidR="00BD2D62" w:rsidRDefault="00BD2D62" w:rsidP="00A563C0">
      <w:pPr>
        <w:spacing w:before="0" w:after="0" w:line="240" w:lineRule="auto"/>
      </w:pPr>
      <w:r>
        <w:separator/>
      </w:r>
    </w:p>
  </w:endnote>
  <w:endnote w:type="continuationSeparator" w:id="0">
    <w:p w14:paraId="662EDA5F" w14:textId="77777777" w:rsidR="00BD2D62" w:rsidRDefault="00BD2D62" w:rsidP="00A563C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320089"/>
      <w:docPartObj>
        <w:docPartGallery w:val="Page Numbers (Bottom of Page)"/>
        <w:docPartUnique/>
      </w:docPartObj>
    </w:sdtPr>
    <w:sdtEndPr>
      <w:rPr>
        <w:noProof/>
      </w:rPr>
    </w:sdtEndPr>
    <w:sdtContent>
      <w:p w14:paraId="431ADA66" w14:textId="4830413F" w:rsidR="00A563C0" w:rsidRDefault="00A563C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06264D2" w14:textId="77777777" w:rsidR="00A563C0" w:rsidRDefault="00A563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312EA7" w14:textId="77777777" w:rsidR="00BD2D62" w:rsidRDefault="00BD2D62" w:rsidP="00A563C0">
      <w:pPr>
        <w:spacing w:before="0" w:after="0" w:line="240" w:lineRule="auto"/>
      </w:pPr>
      <w:r>
        <w:separator/>
      </w:r>
    </w:p>
  </w:footnote>
  <w:footnote w:type="continuationSeparator" w:id="0">
    <w:p w14:paraId="44C9BE7C" w14:textId="77777777" w:rsidR="00BD2D62" w:rsidRDefault="00BD2D62" w:rsidP="00A563C0">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BD0B3F"/>
    <w:multiLevelType w:val="multilevel"/>
    <w:tmpl w:val="4A086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8BD19A0"/>
    <w:multiLevelType w:val="multilevel"/>
    <w:tmpl w:val="9A8C6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DC57DE9"/>
    <w:multiLevelType w:val="multilevel"/>
    <w:tmpl w:val="4EACB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29620203">
    <w:abstractNumId w:val="1"/>
  </w:num>
  <w:num w:numId="2" w16cid:durableId="1461269386">
    <w:abstractNumId w:val="0"/>
  </w:num>
  <w:num w:numId="3" w16cid:durableId="2738299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5AE"/>
    <w:rsid w:val="000255AE"/>
    <w:rsid w:val="00052666"/>
    <w:rsid w:val="00083838"/>
    <w:rsid w:val="000D5139"/>
    <w:rsid w:val="001055A5"/>
    <w:rsid w:val="00145A72"/>
    <w:rsid w:val="00151AA2"/>
    <w:rsid w:val="001F7BE7"/>
    <w:rsid w:val="0023224B"/>
    <w:rsid w:val="00327BAC"/>
    <w:rsid w:val="00333BE9"/>
    <w:rsid w:val="003F6C48"/>
    <w:rsid w:val="00406C75"/>
    <w:rsid w:val="00407DD4"/>
    <w:rsid w:val="0047230F"/>
    <w:rsid w:val="004F2637"/>
    <w:rsid w:val="00566DEB"/>
    <w:rsid w:val="005F35E0"/>
    <w:rsid w:val="006547E1"/>
    <w:rsid w:val="00685DE7"/>
    <w:rsid w:val="00725E27"/>
    <w:rsid w:val="00743268"/>
    <w:rsid w:val="00784DDC"/>
    <w:rsid w:val="007D7C97"/>
    <w:rsid w:val="007F4283"/>
    <w:rsid w:val="00817077"/>
    <w:rsid w:val="008230D6"/>
    <w:rsid w:val="0083759E"/>
    <w:rsid w:val="0085687F"/>
    <w:rsid w:val="00953A38"/>
    <w:rsid w:val="009835EE"/>
    <w:rsid w:val="009B1A82"/>
    <w:rsid w:val="009B6D44"/>
    <w:rsid w:val="009C50D8"/>
    <w:rsid w:val="00A563C0"/>
    <w:rsid w:val="00A65DBE"/>
    <w:rsid w:val="00AD4C6D"/>
    <w:rsid w:val="00B91048"/>
    <w:rsid w:val="00BC0277"/>
    <w:rsid w:val="00BD2D62"/>
    <w:rsid w:val="00C61767"/>
    <w:rsid w:val="00CA5541"/>
    <w:rsid w:val="00CC1808"/>
    <w:rsid w:val="00CE7D88"/>
    <w:rsid w:val="00D70F5F"/>
    <w:rsid w:val="00D723AE"/>
    <w:rsid w:val="00E26C84"/>
    <w:rsid w:val="00EA0784"/>
    <w:rsid w:val="00EE7A98"/>
    <w:rsid w:val="00EF3D8A"/>
    <w:rsid w:val="00F003FA"/>
    <w:rsid w:val="00F041AC"/>
    <w:rsid w:val="00F06B45"/>
    <w:rsid w:val="00F17392"/>
    <w:rsid w:val="00FE737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7533D"/>
  <w15:chartTrackingRefBased/>
  <w15:docId w15:val="{31BFC86F-3A24-444D-B10E-5D6D9DDF8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before="12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63C0"/>
    <w:rPr>
      <w:rFonts w:ascii="Arial" w:hAnsi="Arial"/>
      <w:sz w:val="24"/>
    </w:rPr>
  </w:style>
  <w:style w:type="paragraph" w:styleId="Heading1">
    <w:name w:val="heading 1"/>
    <w:basedOn w:val="Normal"/>
    <w:next w:val="Normal"/>
    <w:link w:val="Heading1Char"/>
    <w:uiPriority w:val="9"/>
    <w:qFormat/>
    <w:rsid w:val="007F4283"/>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C61767"/>
    <w:pPr>
      <w:keepNext/>
      <w:keepLines/>
      <w:spacing w:before="40" w:after="0"/>
      <w:outlineLvl w:val="1"/>
    </w:pPr>
    <w:rPr>
      <w:rFonts w:eastAsiaTheme="majorEastAsia" w:cstheme="majorBidi"/>
      <w:b/>
      <w:i/>
      <w:sz w:val="26"/>
      <w:szCs w:val="26"/>
    </w:rPr>
  </w:style>
  <w:style w:type="paragraph" w:styleId="Heading3">
    <w:name w:val="heading 3"/>
    <w:basedOn w:val="Normal"/>
    <w:next w:val="Normal"/>
    <w:link w:val="Heading3Char"/>
    <w:uiPriority w:val="9"/>
    <w:unhideWhenUsed/>
    <w:qFormat/>
    <w:rsid w:val="00BC0277"/>
    <w:pPr>
      <w:keepNext/>
      <w:keepLines/>
      <w:spacing w:before="40" w:after="0"/>
      <w:outlineLvl w:val="2"/>
    </w:pPr>
    <w:rPr>
      <w:rFonts w:eastAsiaTheme="majorEastAsia" w:cstheme="majorBidi"/>
      <w:b/>
      <w:i/>
      <w:szCs w:val="24"/>
    </w:rPr>
  </w:style>
  <w:style w:type="paragraph" w:styleId="Heading4">
    <w:name w:val="heading 4"/>
    <w:basedOn w:val="Normal"/>
    <w:next w:val="Normal"/>
    <w:link w:val="Heading4Char"/>
    <w:uiPriority w:val="9"/>
    <w:unhideWhenUsed/>
    <w:qFormat/>
    <w:rsid w:val="00784DDC"/>
    <w:pPr>
      <w:keepNext/>
      <w:keepLines/>
      <w:spacing w:before="80" w:after="40"/>
      <w:outlineLvl w:val="3"/>
    </w:pPr>
    <w:rPr>
      <w:rFonts w:eastAsiaTheme="majorEastAsia" w:cstheme="majorBidi"/>
      <w:b/>
      <w:i/>
      <w:iCs/>
    </w:rPr>
  </w:style>
  <w:style w:type="paragraph" w:styleId="Heading5">
    <w:name w:val="heading 5"/>
    <w:basedOn w:val="Normal"/>
    <w:next w:val="Normal"/>
    <w:link w:val="Heading5Char"/>
    <w:uiPriority w:val="9"/>
    <w:semiHidden/>
    <w:unhideWhenUsed/>
    <w:qFormat/>
    <w:rsid w:val="000255AE"/>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0255AE"/>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255AE"/>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255AE"/>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255AE"/>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4283"/>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C61767"/>
    <w:rPr>
      <w:rFonts w:ascii="Times New Roman" w:eastAsiaTheme="majorEastAsia" w:hAnsi="Times New Roman" w:cstheme="majorBidi"/>
      <w:b/>
      <w:i/>
      <w:sz w:val="26"/>
      <w:szCs w:val="26"/>
    </w:rPr>
  </w:style>
  <w:style w:type="character" w:customStyle="1" w:styleId="Heading3Char">
    <w:name w:val="Heading 3 Char"/>
    <w:basedOn w:val="DefaultParagraphFont"/>
    <w:link w:val="Heading3"/>
    <w:uiPriority w:val="9"/>
    <w:rsid w:val="00BC0277"/>
    <w:rPr>
      <w:rFonts w:ascii="Times New Roman" w:eastAsiaTheme="majorEastAsia" w:hAnsi="Times New Roman" w:cstheme="majorBidi"/>
      <w:b/>
      <w:i/>
      <w:sz w:val="24"/>
      <w:szCs w:val="24"/>
    </w:rPr>
  </w:style>
  <w:style w:type="character" w:customStyle="1" w:styleId="Heading4Char">
    <w:name w:val="Heading 4 Char"/>
    <w:basedOn w:val="DefaultParagraphFont"/>
    <w:link w:val="Heading4"/>
    <w:uiPriority w:val="9"/>
    <w:rsid w:val="00784DDC"/>
    <w:rPr>
      <w:rFonts w:ascii="Times New Roman" w:eastAsiaTheme="majorEastAsia" w:hAnsi="Times New Roman" w:cstheme="majorBidi"/>
      <w:b/>
      <w:i/>
      <w:iCs/>
      <w:sz w:val="24"/>
    </w:rPr>
  </w:style>
  <w:style w:type="paragraph" w:styleId="TOC1">
    <w:name w:val="toc 1"/>
    <w:basedOn w:val="Normal"/>
    <w:next w:val="Normal"/>
    <w:autoRedefine/>
    <w:uiPriority w:val="39"/>
    <w:unhideWhenUsed/>
    <w:rsid w:val="00145A72"/>
    <w:pPr>
      <w:spacing w:after="100"/>
    </w:pPr>
    <w:rPr>
      <w:color w:val="000000" w:themeColor="text1"/>
    </w:rPr>
  </w:style>
  <w:style w:type="paragraph" w:customStyle="1" w:styleId="Style1">
    <w:name w:val="Style1"/>
    <w:basedOn w:val="TOCHeading"/>
    <w:link w:val="Style1Char"/>
    <w:rsid w:val="00327BAC"/>
    <w:rPr>
      <w:rFonts w:ascii="Times New Roman" w:hAnsi="Times New Roman"/>
      <w:b/>
      <w:color w:val="000000" w:themeColor="text1"/>
      <w:kern w:val="0"/>
      <w:sz w:val="28"/>
      <w:lang w:val="en-US"/>
      <w14:ligatures w14:val="none"/>
    </w:rPr>
  </w:style>
  <w:style w:type="character" w:customStyle="1" w:styleId="Style1Char">
    <w:name w:val="Style1 Char"/>
    <w:basedOn w:val="DefaultParagraphFont"/>
    <w:link w:val="Style1"/>
    <w:rsid w:val="00327BAC"/>
    <w:rPr>
      <w:rFonts w:ascii="Times New Roman" w:eastAsiaTheme="majorEastAsia" w:hAnsi="Times New Roman" w:cstheme="majorBidi"/>
      <w:b/>
      <w:color w:val="000000" w:themeColor="text1"/>
      <w:kern w:val="0"/>
      <w:sz w:val="28"/>
      <w:szCs w:val="32"/>
      <w:lang w:val="en-US"/>
      <w14:ligatures w14:val="none"/>
    </w:rPr>
  </w:style>
  <w:style w:type="paragraph" w:styleId="TOCHeading">
    <w:name w:val="TOC Heading"/>
    <w:basedOn w:val="Heading1"/>
    <w:next w:val="Normal"/>
    <w:uiPriority w:val="39"/>
    <w:unhideWhenUsed/>
    <w:qFormat/>
    <w:rsid w:val="00327BAC"/>
    <w:pPr>
      <w:outlineLvl w:val="9"/>
    </w:pPr>
    <w:rPr>
      <w:rFonts w:asciiTheme="majorHAnsi" w:hAnsiTheme="majorHAnsi"/>
      <w:b w:val="0"/>
      <w:color w:val="2F5496" w:themeColor="accent1" w:themeShade="BF"/>
      <w:sz w:val="32"/>
    </w:rPr>
  </w:style>
  <w:style w:type="paragraph" w:customStyle="1" w:styleId="H">
    <w:name w:val="H"/>
    <w:basedOn w:val="Heading1"/>
    <w:link w:val="HChar"/>
    <w:rsid w:val="009835EE"/>
    <w:rPr>
      <w:b w:val="0"/>
      <w:color w:val="000000" w:themeColor="text1"/>
      <w:kern w:val="0"/>
      <w:lang w:val="en-US"/>
      <w14:ligatures w14:val="none"/>
    </w:rPr>
  </w:style>
  <w:style w:type="character" w:customStyle="1" w:styleId="HChar">
    <w:name w:val="H Char"/>
    <w:basedOn w:val="DefaultParagraphFont"/>
    <w:link w:val="H"/>
    <w:rsid w:val="009835EE"/>
    <w:rPr>
      <w:rFonts w:ascii="Times New Roman" w:eastAsiaTheme="majorEastAsia" w:hAnsi="Times New Roman" w:cstheme="majorBidi"/>
      <w:color w:val="000000" w:themeColor="text1"/>
      <w:kern w:val="0"/>
      <w:sz w:val="28"/>
      <w:szCs w:val="32"/>
      <w:lang w:val="en-US"/>
      <w14:ligatures w14:val="none"/>
    </w:rPr>
  </w:style>
  <w:style w:type="character" w:customStyle="1" w:styleId="Heading5Char">
    <w:name w:val="Heading 5 Char"/>
    <w:basedOn w:val="DefaultParagraphFont"/>
    <w:link w:val="Heading5"/>
    <w:uiPriority w:val="9"/>
    <w:semiHidden/>
    <w:rsid w:val="000255AE"/>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0255AE"/>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0255AE"/>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0255AE"/>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0255AE"/>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0255AE"/>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55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55AE"/>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55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55A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255AE"/>
    <w:rPr>
      <w:rFonts w:ascii="Times New Roman" w:hAnsi="Times New Roman"/>
      <w:i/>
      <w:iCs/>
      <w:color w:val="404040" w:themeColor="text1" w:themeTint="BF"/>
      <w:sz w:val="24"/>
    </w:rPr>
  </w:style>
  <w:style w:type="paragraph" w:styleId="ListParagraph">
    <w:name w:val="List Paragraph"/>
    <w:basedOn w:val="Normal"/>
    <w:uiPriority w:val="34"/>
    <w:qFormat/>
    <w:rsid w:val="000255AE"/>
    <w:pPr>
      <w:ind w:left="720"/>
      <w:contextualSpacing/>
    </w:pPr>
  </w:style>
  <w:style w:type="character" w:styleId="IntenseEmphasis">
    <w:name w:val="Intense Emphasis"/>
    <w:basedOn w:val="DefaultParagraphFont"/>
    <w:uiPriority w:val="21"/>
    <w:qFormat/>
    <w:rsid w:val="000255AE"/>
    <w:rPr>
      <w:i/>
      <w:iCs/>
      <w:color w:val="2F5496" w:themeColor="accent1" w:themeShade="BF"/>
    </w:rPr>
  </w:style>
  <w:style w:type="paragraph" w:styleId="IntenseQuote">
    <w:name w:val="Intense Quote"/>
    <w:basedOn w:val="Normal"/>
    <w:next w:val="Normal"/>
    <w:link w:val="IntenseQuoteChar"/>
    <w:uiPriority w:val="30"/>
    <w:qFormat/>
    <w:rsid w:val="000255A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255AE"/>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0255AE"/>
    <w:rPr>
      <w:b/>
      <w:bCs/>
      <w:smallCaps/>
      <w:color w:val="2F5496" w:themeColor="accent1" w:themeShade="BF"/>
      <w:spacing w:val="5"/>
    </w:rPr>
  </w:style>
  <w:style w:type="paragraph" w:styleId="Header">
    <w:name w:val="header"/>
    <w:basedOn w:val="Normal"/>
    <w:link w:val="HeaderChar"/>
    <w:uiPriority w:val="99"/>
    <w:unhideWhenUsed/>
    <w:rsid w:val="00A563C0"/>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A563C0"/>
    <w:rPr>
      <w:rFonts w:ascii="Arial" w:hAnsi="Arial"/>
      <w:sz w:val="24"/>
    </w:rPr>
  </w:style>
  <w:style w:type="paragraph" w:styleId="Footer">
    <w:name w:val="footer"/>
    <w:basedOn w:val="Normal"/>
    <w:link w:val="FooterChar"/>
    <w:uiPriority w:val="99"/>
    <w:unhideWhenUsed/>
    <w:rsid w:val="00A563C0"/>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A563C0"/>
    <w:rPr>
      <w:rFonts w:ascii="Arial" w:hAnsi="Arial"/>
      <w:sz w:val="24"/>
    </w:rPr>
  </w:style>
  <w:style w:type="paragraph" w:styleId="NoSpacing">
    <w:name w:val="No Spacing"/>
    <w:uiPriority w:val="1"/>
    <w:qFormat/>
    <w:rsid w:val="00E26C84"/>
    <w:pPr>
      <w:spacing w:before="0" w:after="0" w:line="240" w:lineRule="auto"/>
    </w:pPr>
    <w:rPr>
      <w:rFonts w:ascii="Arial" w:hAnsi="Arial"/>
      <w:sz w:val="24"/>
    </w:rPr>
  </w:style>
  <w:style w:type="paragraph" w:styleId="NormalWeb">
    <w:name w:val="Normal (Web)"/>
    <w:basedOn w:val="Normal"/>
    <w:uiPriority w:val="99"/>
    <w:semiHidden/>
    <w:unhideWhenUsed/>
    <w:rsid w:val="00B91048"/>
    <w:rPr>
      <w:rFonts w:ascii="Times New Roman" w:hAnsi="Times New Roman" w:cs="Times New Roman"/>
      <w:szCs w:val="24"/>
    </w:rPr>
  </w:style>
  <w:style w:type="paragraph" w:styleId="TOC2">
    <w:name w:val="toc 2"/>
    <w:basedOn w:val="Normal"/>
    <w:next w:val="Normal"/>
    <w:autoRedefine/>
    <w:uiPriority w:val="39"/>
    <w:unhideWhenUsed/>
    <w:rsid w:val="00EE7A98"/>
    <w:pPr>
      <w:spacing w:after="100"/>
      <w:ind w:left="240"/>
    </w:pPr>
  </w:style>
  <w:style w:type="character" w:styleId="Hyperlink">
    <w:name w:val="Hyperlink"/>
    <w:basedOn w:val="DefaultParagraphFont"/>
    <w:uiPriority w:val="99"/>
    <w:unhideWhenUsed/>
    <w:rsid w:val="00EE7A9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11</Pages>
  <Words>2904</Words>
  <Characters>16559</Characters>
  <Application>Microsoft Office Word</Application>
  <DocSecurity>0</DocSecurity>
  <Lines>137</Lines>
  <Paragraphs>38</Paragraphs>
  <ScaleCrop>false</ScaleCrop>
  <Company/>
  <LinksUpToDate>false</LinksUpToDate>
  <CharactersWithSpaces>19425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Feven Jemaneh (2326708)</cp:lastModifiedBy>
  <cp:revision>2</cp:revision>
  <dcterms:created xsi:type="dcterms:W3CDTF">2026-03-23T09:56:00Z</dcterms:created>
  <dcterms:modified xsi:type="dcterms:W3CDTF">2026-03-23T09:56:00Z</dcterms:modified>
</cp:coreProperties>
</file>