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11176960"/>
        <w:docPartObj>
          <w:docPartGallery w:val="Table of Contents"/>
          <w:docPartUnique/>
        </w:docPartObj>
      </w:sdtPr>
      <w:sdtEndPr>
        <w:rPr>
          <w:b/>
          <w:bCs/>
          <w:noProof/>
        </w:rPr>
      </w:sdtEndPr>
      <w:sdtContent>
        <w:p w:rsidR="005B4B17" w:rsidRDefault="005B4B17">
          <w:pPr>
            <w:pStyle w:val="TOCHeading"/>
          </w:pPr>
          <w:r>
            <w:t>Contents</w:t>
          </w:r>
        </w:p>
        <w:p w:rsidR="00073639" w:rsidRDefault="005B4B1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5269179" w:history="1">
            <w:r w:rsidR="00073639" w:rsidRPr="001C7762">
              <w:rPr>
                <w:rStyle w:val="Hyperlink"/>
                <w:noProof/>
              </w:rPr>
              <w:t>Abstract</w:t>
            </w:r>
            <w:r w:rsidR="00073639">
              <w:rPr>
                <w:noProof/>
                <w:webHidden/>
              </w:rPr>
              <w:tab/>
            </w:r>
            <w:r w:rsidR="00073639">
              <w:rPr>
                <w:noProof/>
                <w:webHidden/>
              </w:rPr>
              <w:fldChar w:fldCharType="begin"/>
            </w:r>
            <w:r w:rsidR="00073639">
              <w:rPr>
                <w:noProof/>
                <w:webHidden/>
              </w:rPr>
              <w:instrText xml:space="preserve"> PAGEREF _Toc25269179 \h </w:instrText>
            </w:r>
            <w:r w:rsidR="00073639">
              <w:rPr>
                <w:noProof/>
                <w:webHidden/>
              </w:rPr>
            </w:r>
            <w:r w:rsidR="00073639">
              <w:rPr>
                <w:noProof/>
                <w:webHidden/>
              </w:rPr>
              <w:fldChar w:fldCharType="separate"/>
            </w:r>
            <w:r w:rsidR="00073639">
              <w:rPr>
                <w:noProof/>
                <w:webHidden/>
              </w:rPr>
              <w:t>1</w:t>
            </w:r>
            <w:r w:rsidR="00073639">
              <w:rPr>
                <w:noProof/>
                <w:webHidden/>
              </w:rPr>
              <w:fldChar w:fldCharType="end"/>
            </w:r>
          </w:hyperlink>
        </w:p>
        <w:p w:rsidR="00073639" w:rsidRDefault="00073639">
          <w:pPr>
            <w:pStyle w:val="TOC2"/>
            <w:tabs>
              <w:tab w:val="right" w:leader="dot" w:pos="9016"/>
            </w:tabs>
            <w:rPr>
              <w:rFonts w:eastAsiaTheme="minorEastAsia"/>
              <w:noProof/>
              <w:lang w:eastAsia="en-GB"/>
            </w:rPr>
          </w:pPr>
          <w:hyperlink w:anchor="_Toc25269180" w:history="1">
            <w:r w:rsidRPr="001C7762">
              <w:rPr>
                <w:rStyle w:val="Hyperlink"/>
                <w:noProof/>
              </w:rPr>
              <w:t>An Introduction to Coal Injection In Port Talbot Steelworks</w:t>
            </w:r>
            <w:r>
              <w:rPr>
                <w:noProof/>
                <w:webHidden/>
              </w:rPr>
              <w:tab/>
            </w:r>
            <w:r>
              <w:rPr>
                <w:noProof/>
                <w:webHidden/>
              </w:rPr>
              <w:fldChar w:fldCharType="begin"/>
            </w:r>
            <w:r>
              <w:rPr>
                <w:noProof/>
                <w:webHidden/>
              </w:rPr>
              <w:instrText xml:space="preserve"> PAGEREF _Toc25269180 \h </w:instrText>
            </w:r>
            <w:r>
              <w:rPr>
                <w:noProof/>
                <w:webHidden/>
              </w:rPr>
            </w:r>
            <w:r>
              <w:rPr>
                <w:noProof/>
                <w:webHidden/>
              </w:rPr>
              <w:fldChar w:fldCharType="separate"/>
            </w:r>
            <w:r>
              <w:rPr>
                <w:noProof/>
                <w:webHidden/>
              </w:rPr>
              <w:t>1</w:t>
            </w:r>
            <w:r>
              <w:rPr>
                <w:noProof/>
                <w:webHidden/>
              </w:rPr>
              <w:fldChar w:fldCharType="end"/>
            </w:r>
          </w:hyperlink>
        </w:p>
        <w:p w:rsidR="00073639" w:rsidRDefault="00073639">
          <w:pPr>
            <w:pStyle w:val="TOC2"/>
            <w:tabs>
              <w:tab w:val="right" w:leader="dot" w:pos="9016"/>
            </w:tabs>
            <w:rPr>
              <w:rFonts w:eastAsiaTheme="minorEastAsia"/>
              <w:noProof/>
              <w:lang w:eastAsia="en-GB"/>
            </w:rPr>
          </w:pPr>
          <w:hyperlink w:anchor="_Toc25269181" w:history="1">
            <w:r w:rsidRPr="001C7762">
              <w:rPr>
                <w:rStyle w:val="Hyperlink"/>
                <w:noProof/>
              </w:rPr>
              <w:t>Literature Review</w:t>
            </w:r>
            <w:r>
              <w:rPr>
                <w:noProof/>
                <w:webHidden/>
              </w:rPr>
              <w:tab/>
            </w:r>
            <w:r>
              <w:rPr>
                <w:noProof/>
                <w:webHidden/>
              </w:rPr>
              <w:fldChar w:fldCharType="begin"/>
            </w:r>
            <w:r>
              <w:rPr>
                <w:noProof/>
                <w:webHidden/>
              </w:rPr>
              <w:instrText xml:space="preserve"> PAGEREF _Toc25269181 \h </w:instrText>
            </w:r>
            <w:r>
              <w:rPr>
                <w:noProof/>
                <w:webHidden/>
              </w:rPr>
            </w:r>
            <w:r>
              <w:rPr>
                <w:noProof/>
                <w:webHidden/>
              </w:rPr>
              <w:fldChar w:fldCharType="separate"/>
            </w:r>
            <w:r>
              <w:rPr>
                <w:noProof/>
                <w:webHidden/>
              </w:rPr>
              <w:t>2</w:t>
            </w:r>
            <w:r>
              <w:rPr>
                <w:noProof/>
                <w:webHidden/>
              </w:rPr>
              <w:fldChar w:fldCharType="end"/>
            </w:r>
          </w:hyperlink>
        </w:p>
        <w:p w:rsidR="00073639" w:rsidRDefault="00073639">
          <w:pPr>
            <w:pStyle w:val="TOC3"/>
            <w:tabs>
              <w:tab w:val="right" w:leader="dot" w:pos="9016"/>
            </w:tabs>
            <w:rPr>
              <w:rFonts w:eastAsiaTheme="minorEastAsia"/>
              <w:noProof/>
              <w:lang w:eastAsia="en-GB"/>
            </w:rPr>
          </w:pPr>
          <w:hyperlink w:anchor="_Toc25269182" w:history="1">
            <w:r w:rsidRPr="001C7762">
              <w:rPr>
                <w:rStyle w:val="Hyperlink"/>
                <w:noProof/>
              </w:rPr>
              <w:t>Advantages of Coal Injection</w:t>
            </w:r>
            <w:r>
              <w:rPr>
                <w:noProof/>
                <w:webHidden/>
              </w:rPr>
              <w:tab/>
            </w:r>
            <w:r>
              <w:rPr>
                <w:noProof/>
                <w:webHidden/>
              </w:rPr>
              <w:fldChar w:fldCharType="begin"/>
            </w:r>
            <w:r>
              <w:rPr>
                <w:noProof/>
                <w:webHidden/>
              </w:rPr>
              <w:instrText xml:space="preserve"> PAGEREF _Toc25269182 \h </w:instrText>
            </w:r>
            <w:r>
              <w:rPr>
                <w:noProof/>
                <w:webHidden/>
              </w:rPr>
            </w:r>
            <w:r>
              <w:rPr>
                <w:noProof/>
                <w:webHidden/>
              </w:rPr>
              <w:fldChar w:fldCharType="separate"/>
            </w:r>
            <w:r>
              <w:rPr>
                <w:noProof/>
                <w:webHidden/>
              </w:rPr>
              <w:t>2</w:t>
            </w:r>
            <w:r>
              <w:rPr>
                <w:noProof/>
                <w:webHidden/>
              </w:rPr>
              <w:fldChar w:fldCharType="end"/>
            </w:r>
          </w:hyperlink>
        </w:p>
        <w:p w:rsidR="00073639" w:rsidRDefault="00073639">
          <w:pPr>
            <w:pStyle w:val="TOC3"/>
            <w:tabs>
              <w:tab w:val="right" w:leader="dot" w:pos="9016"/>
            </w:tabs>
            <w:rPr>
              <w:rFonts w:eastAsiaTheme="minorEastAsia"/>
              <w:noProof/>
              <w:lang w:eastAsia="en-GB"/>
            </w:rPr>
          </w:pPr>
          <w:hyperlink w:anchor="_Toc25269183" w:history="1">
            <w:r w:rsidRPr="001C7762">
              <w:rPr>
                <w:rStyle w:val="Hyperlink"/>
                <w:noProof/>
              </w:rPr>
              <w:t>Disadvantages of Coal Injection</w:t>
            </w:r>
            <w:r>
              <w:rPr>
                <w:noProof/>
                <w:webHidden/>
              </w:rPr>
              <w:tab/>
            </w:r>
            <w:r>
              <w:rPr>
                <w:noProof/>
                <w:webHidden/>
              </w:rPr>
              <w:fldChar w:fldCharType="begin"/>
            </w:r>
            <w:r>
              <w:rPr>
                <w:noProof/>
                <w:webHidden/>
              </w:rPr>
              <w:instrText xml:space="preserve"> PAGEREF _Toc25269183 \h </w:instrText>
            </w:r>
            <w:r>
              <w:rPr>
                <w:noProof/>
                <w:webHidden/>
              </w:rPr>
            </w:r>
            <w:r>
              <w:rPr>
                <w:noProof/>
                <w:webHidden/>
              </w:rPr>
              <w:fldChar w:fldCharType="separate"/>
            </w:r>
            <w:r>
              <w:rPr>
                <w:noProof/>
                <w:webHidden/>
              </w:rPr>
              <w:t>2</w:t>
            </w:r>
            <w:r>
              <w:rPr>
                <w:noProof/>
                <w:webHidden/>
              </w:rPr>
              <w:fldChar w:fldCharType="end"/>
            </w:r>
          </w:hyperlink>
        </w:p>
        <w:p w:rsidR="00073639" w:rsidRDefault="00073639">
          <w:pPr>
            <w:pStyle w:val="TOC2"/>
            <w:tabs>
              <w:tab w:val="right" w:leader="dot" w:pos="9016"/>
            </w:tabs>
            <w:rPr>
              <w:rFonts w:eastAsiaTheme="minorEastAsia"/>
              <w:noProof/>
              <w:lang w:eastAsia="en-GB"/>
            </w:rPr>
          </w:pPr>
          <w:hyperlink w:anchor="_Toc25269184" w:history="1">
            <w:r w:rsidRPr="001C7762">
              <w:rPr>
                <w:rStyle w:val="Hyperlink"/>
                <w:noProof/>
              </w:rPr>
              <w:t>Conclusion</w:t>
            </w:r>
            <w:r>
              <w:rPr>
                <w:noProof/>
                <w:webHidden/>
              </w:rPr>
              <w:tab/>
            </w:r>
            <w:r>
              <w:rPr>
                <w:noProof/>
                <w:webHidden/>
              </w:rPr>
              <w:fldChar w:fldCharType="begin"/>
            </w:r>
            <w:r>
              <w:rPr>
                <w:noProof/>
                <w:webHidden/>
              </w:rPr>
              <w:instrText xml:space="preserve"> PAGEREF _Toc25269184 \h </w:instrText>
            </w:r>
            <w:r>
              <w:rPr>
                <w:noProof/>
                <w:webHidden/>
              </w:rPr>
            </w:r>
            <w:r>
              <w:rPr>
                <w:noProof/>
                <w:webHidden/>
              </w:rPr>
              <w:fldChar w:fldCharType="separate"/>
            </w:r>
            <w:r>
              <w:rPr>
                <w:noProof/>
                <w:webHidden/>
              </w:rPr>
              <w:t>3</w:t>
            </w:r>
            <w:r>
              <w:rPr>
                <w:noProof/>
                <w:webHidden/>
              </w:rPr>
              <w:fldChar w:fldCharType="end"/>
            </w:r>
          </w:hyperlink>
        </w:p>
        <w:p w:rsidR="00073639" w:rsidRDefault="00073639">
          <w:pPr>
            <w:pStyle w:val="TOC1"/>
            <w:tabs>
              <w:tab w:val="right" w:leader="dot" w:pos="9016"/>
            </w:tabs>
            <w:rPr>
              <w:rFonts w:eastAsiaTheme="minorEastAsia"/>
              <w:noProof/>
              <w:lang w:eastAsia="en-GB"/>
            </w:rPr>
          </w:pPr>
          <w:hyperlink w:anchor="_Toc25269185" w:history="1">
            <w:r w:rsidRPr="001C7762">
              <w:rPr>
                <w:rStyle w:val="Hyperlink"/>
                <w:noProof/>
              </w:rPr>
              <w:t>References</w:t>
            </w:r>
            <w:r>
              <w:rPr>
                <w:noProof/>
                <w:webHidden/>
              </w:rPr>
              <w:tab/>
            </w:r>
            <w:r>
              <w:rPr>
                <w:noProof/>
                <w:webHidden/>
              </w:rPr>
              <w:fldChar w:fldCharType="begin"/>
            </w:r>
            <w:r>
              <w:rPr>
                <w:noProof/>
                <w:webHidden/>
              </w:rPr>
              <w:instrText xml:space="preserve"> PAGEREF _Toc25269185 \h </w:instrText>
            </w:r>
            <w:r>
              <w:rPr>
                <w:noProof/>
                <w:webHidden/>
              </w:rPr>
            </w:r>
            <w:r>
              <w:rPr>
                <w:noProof/>
                <w:webHidden/>
              </w:rPr>
              <w:fldChar w:fldCharType="separate"/>
            </w:r>
            <w:r>
              <w:rPr>
                <w:noProof/>
                <w:webHidden/>
              </w:rPr>
              <w:t>5</w:t>
            </w:r>
            <w:r>
              <w:rPr>
                <w:noProof/>
                <w:webHidden/>
              </w:rPr>
              <w:fldChar w:fldCharType="end"/>
            </w:r>
          </w:hyperlink>
        </w:p>
        <w:p w:rsidR="005B4B17" w:rsidRDefault="005B4B17">
          <w:r>
            <w:rPr>
              <w:b/>
              <w:bCs/>
              <w:noProof/>
            </w:rPr>
            <w:fldChar w:fldCharType="end"/>
          </w:r>
        </w:p>
      </w:sdtContent>
    </w:sdt>
    <w:p w:rsidR="005B4B17" w:rsidRDefault="007F66E6" w:rsidP="00EA6456">
      <w:pPr>
        <w:pStyle w:val="Heading2"/>
        <w:jc w:val="both"/>
      </w:pPr>
      <w:bookmarkStart w:id="0" w:name="_Toc25269179"/>
      <w:r>
        <w:t>Abstract</w:t>
      </w:r>
      <w:bookmarkEnd w:id="0"/>
    </w:p>
    <w:p w:rsidR="002630DE" w:rsidRDefault="00FE12D2" w:rsidP="00EA6456">
      <w:pPr>
        <w:jc w:val="both"/>
      </w:pPr>
      <w:r>
        <w:t xml:space="preserve">In </w:t>
      </w:r>
      <w:r w:rsidR="008910C4">
        <w:t>ironmaking blast furnaces the predominant fuel is coke.  Coke provides a perfect fuel as its porosity allows the gases in the blast furnace to slowly break it down.  Although coke is the ideal fuel, its price tag has prompted companies to look for cost effective alter</w:t>
      </w:r>
      <w:r w:rsidR="00F37000">
        <w:t>natives to use alongside the</w:t>
      </w:r>
      <w:r w:rsidR="008910C4">
        <w:t xml:space="preserve"> charging of coke.  </w:t>
      </w:r>
      <w:r w:rsidR="002241AE">
        <w:t>In years gone by, many blast furnaces reduced costs of fuels by injecting oil as an alternative to an all coke fuel burden.</w:t>
      </w:r>
      <w:r w:rsidR="00AF40F5">
        <w:t xml:space="preserve">  In recent times companies have preferred to inject coal.  This report will</w:t>
      </w:r>
      <w:r w:rsidR="00864DE5">
        <w:t xml:space="preserve"> give a background on coal injection systems and</w:t>
      </w:r>
      <w:r w:rsidR="00AF40F5">
        <w:t xml:space="preserve"> identify the benefits and the shortcomings of injecting granulated coal into the blast furnace</w:t>
      </w:r>
      <w:r w:rsidR="008910C4">
        <w:t xml:space="preserve"> and offer a judgement on whether coal injection can be deemed a worthwhile investment.</w:t>
      </w:r>
      <w:r w:rsidR="00864DE5">
        <w:t xml:space="preserve">  Both the coal injection plant and blast furnaces in Port Talbot steelworks will be repeatedly referred to, as knowledge of these two processes provides the basis for this report</w:t>
      </w:r>
      <w:r w:rsidR="000C4FFD">
        <w:t xml:space="preserve"> along with relevant reading</w:t>
      </w:r>
      <w:r w:rsidR="00864DE5">
        <w:t xml:space="preserve">.  </w:t>
      </w:r>
    </w:p>
    <w:p w:rsidR="000370EF" w:rsidRDefault="001B5171" w:rsidP="00864DE5">
      <w:pPr>
        <w:pStyle w:val="Heading2"/>
      </w:pPr>
      <w:bookmarkStart w:id="1" w:name="_Toc25269180"/>
      <w:r>
        <w:t xml:space="preserve">An Introduction to </w:t>
      </w:r>
      <w:r w:rsidR="000370EF" w:rsidRPr="00574995">
        <w:t xml:space="preserve">Coal Injection </w:t>
      </w:r>
      <w:proofErr w:type="gramStart"/>
      <w:r w:rsidR="000370EF" w:rsidRPr="00574995">
        <w:t>In</w:t>
      </w:r>
      <w:proofErr w:type="gramEnd"/>
      <w:r w:rsidR="000370EF" w:rsidRPr="00574995">
        <w:t xml:space="preserve"> Port Ta</w:t>
      </w:r>
      <w:r w:rsidR="000370EF">
        <w:t>lbot Steelworks</w:t>
      </w:r>
      <w:bookmarkEnd w:id="1"/>
      <w:r w:rsidR="000370EF">
        <w:t xml:space="preserve"> </w:t>
      </w:r>
    </w:p>
    <w:p w:rsidR="000370EF" w:rsidRDefault="000370EF" w:rsidP="000370EF">
      <w:pPr>
        <w:jc w:val="both"/>
      </w:pPr>
      <w:r>
        <w:t xml:space="preserve">Port Talbot steelworks has its very own Granulated Coal Injection (GCI) plant.  This plant takes in raw coal, crushes it to a fine powder and dries it before it is injected into the blast furnace.  The GCI plant has 3 different departments, the Screen House where coal is pulverised in the crushers.  The crushers consist of two steel cages, an outer cage and an inner cage.  Each cage has hammers attached inside and the cages rotate in opposite directions to crush the coal.  The crushed coal is then sent via conveyor to the raw coal silos which store the coal before it is dried.  The raw coal silos then release the crushed coal onto the transfer conveyor which carries the coal to the second department, the Process Plant, and in to a series of feed screws which push the coal into the drying units.  These drying units consist of a large steel chamber with a perforated steel bed plate which allows the hot gas to rise and dry the granulated coal.  Once the coal has travelled along the bed plate and been dried, it falls off the edge of the drier and is carried through </w:t>
      </w:r>
      <w:r w:rsidR="00F37000">
        <w:t xml:space="preserve">the </w:t>
      </w:r>
      <w:r>
        <w:t>pneumatic conveyor to the product coal silos.  The third and final department in the GCI plant i</w:t>
      </w:r>
      <w:r w:rsidR="00F37000">
        <w:t>s</w:t>
      </w:r>
      <w:r>
        <w:t xml:space="preserve"> the New Mill.  The New Mill combines the crushing and drying of the Screen House and Process Plant to create one smooth process which carries out both functions at the same time before conveying the coal to the product silos.  The product coal silos are directly linked to the blast furnaces and when coal is demanded, it is released from the silos and carried to the furnaces using the same pneumatic conveying system where it is injected into the blast furnace at the </w:t>
      </w:r>
      <w:proofErr w:type="spellStart"/>
      <w:r>
        <w:t>tuyeres</w:t>
      </w:r>
      <w:proofErr w:type="spellEnd"/>
      <w:r>
        <w:t xml:space="preserve">.   </w:t>
      </w:r>
    </w:p>
    <w:p w:rsidR="000370EF" w:rsidRPr="002630DE" w:rsidRDefault="000370EF" w:rsidP="00EA6456">
      <w:pPr>
        <w:jc w:val="both"/>
      </w:pPr>
    </w:p>
    <w:p w:rsidR="002630DE" w:rsidRDefault="000370EF" w:rsidP="00EA6456">
      <w:pPr>
        <w:pStyle w:val="Heading2"/>
        <w:jc w:val="both"/>
      </w:pPr>
      <w:bookmarkStart w:id="2" w:name="_Toc25269181"/>
      <w:r>
        <w:lastRenderedPageBreak/>
        <w:t>Literature Review</w:t>
      </w:r>
      <w:bookmarkEnd w:id="2"/>
    </w:p>
    <w:p w:rsidR="00574995" w:rsidRDefault="001F64CD" w:rsidP="00EA6456">
      <w:pPr>
        <w:pStyle w:val="Heading3"/>
        <w:jc w:val="both"/>
      </w:pPr>
      <w:bookmarkStart w:id="3" w:name="_Toc25269182"/>
      <w:r>
        <w:t>Advantages of Coal Injection</w:t>
      </w:r>
      <w:bookmarkEnd w:id="3"/>
    </w:p>
    <w:p w:rsidR="005B4B17" w:rsidRDefault="00302606" w:rsidP="00EA6456">
      <w:pPr>
        <w:jc w:val="both"/>
      </w:pPr>
      <w:r>
        <w:t>Granulated coal injection has become increasingly popular for companies with iron making blast furnaces.  This is for a range of reason</w:t>
      </w:r>
      <w:r w:rsidR="007A3781">
        <w:t>s</w:t>
      </w:r>
      <w:r>
        <w:t xml:space="preserve">, not least the </w:t>
      </w:r>
      <w:r w:rsidR="005513A2">
        <w:t xml:space="preserve">high </w:t>
      </w:r>
      <w:r>
        <w:t>cost of</w:t>
      </w:r>
      <w:r w:rsidR="005513A2">
        <w:t xml:space="preserve"> coke,</w:t>
      </w:r>
      <w:r>
        <w:t xml:space="preserve"> </w:t>
      </w:r>
      <w:r w:rsidR="00BF1AFA">
        <w:t>the traditional fuel in iron making.</w:t>
      </w:r>
      <w:r w:rsidR="007A3781">
        <w:t xml:space="preserve"> When one of Port Talbot steelworks’ blast furnaces is running on all coke operation without the subsidisation of coal, it costs £240,000 for 12 hours.  This means that if both of the furnaces were operating on all coke for a </w:t>
      </w:r>
      <w:proofErr w:type="gramStart"/>
      <w:r w:rsidR="007A3781">
        <w:t>24 hour</w:t>
      </w:r>
      <w:proofErr w:type="gramEnd"/>
      <w:r w:rsidR="007A3781">
        <w:t xml:space="preserve"> period, it would cost Tata Steel £960,000.  </w:t>
      </w:r>
      <w:r w:rsidR="005266E9">
        <w:rPr>
          <w:b/>
        </w:rPr>
        <w:t xml:space="preserve"> </w:t>
      </w:r>
      <w:r w:rsidR="005266E9">
        <w:t xml:space="preserve">Although coke is the superior fuel in term of iron making, its main drawback is its price.  Steelworks have found that </w:t>
      </w:r>
      <w:r w:rsidR="00AD6EFF">
        <w:t xml:space="preserve">by introducing coal injection they are able to have greater control over the balance of the blast furnace </w:t>
      </w:r>
      <w:sdt>
        <w:sdtPr>
          <w:id w:val="-691914200"/>
          <w:citation/>
        </w:sdtPr>
        <w:sdtContent>
          <w:r w:rsidR="008A5C98">
            <w:fldChar w:fldCharType="begin"/>
          </w:r>
          <w:r w:rsidR="008A5C98">
            <w:instrText xml:space="preserve"> CITATION She12 \l 2057 </w:instrText>
          </w:r>
          <w:r w:rsidR="008A5C98">
            <w:fldChar w:fldCharType="separate"/>
          </w:r>
          <w:r w:rsidR="00073639">
            <w:rPr>
              <w:noProof/>
            </w:rPr>
            <w:t>(Shen, 2012)</w:t>
          </w:r>
          <w:r w:rsidR="008A5C98">
            <w:fldChar w:fldCharType="end"/>
          </w:r>
        </w:sdtContent>
      </w:sdt>
      <w:r w:rsidR="007A3781">
        <w:t xml:space="preserve">.  Using coal injection allows </w:t>
      </w:r>
      <w:r w:rsidR="004047C6">
        <w:t xml:space="preserve">operators to adjust the temperature of the furnace with greater urgency.  This is because when charging additional coke into the furnace to increase temperature the effects will not be seen until this coke reaches the </w:t>
      </w:r>
      <w:proofErr w:type="spellStart"/>
      <w:r w:rsidR="004047C6">
        <w:t>tuyeres</w:t>
      </w:r>
      <w:proofErr w:type="spellEnd"/>
      <w:r w:rsidR="004047C6">
        <w:t xml:space="preserve"> which can take 6 hours.  However, coal enters the furnace at the </w:t>
      </w:r>
      <w:proofErr w:type="spellStart"/>
      <w:r w:rsidR="004047C6">
        <w:t>tuyeres</w:t>
      </w:r>
      <w:proofErr w:type="spellEnd"/>
      <w:r w:rsidR="004047C6">
        <w:t xml:space="preserve"> meaning that when the coal injection rate is increased, benefits can be seen much more rapidly.  </w:t>
      </w:r>
    </w:p>
    <w:p w:rsidR="007049B4" w:rsidRDefault="00740886" w:rsidP="00EA6456">
      <w:pPr>
        <w:jc w:val="both"/>
      </w:pPr>
      <w:r>
        <w:t>The introduction of coal injection systems also increases the life expectancy of coke ovens.  This is due to a reduced demand in coke</w:t>
      </w:r>
      <w:r w:rsidR="007049B4">
        <w:t xml:space="preserve"> also reducing the pressure on the coke ovens and its staff.  This means that the operators in the coke ovens are not pressured into pushing the ovens beyond normal operating parameters.  Increasing coke production could also cause increased wear in the ovens and reduce its life expectancy.</w:t>
      </w:r>
    </w:p>
    <w:p w:rsidR="004047C6" w:rsidRDefault="00D027FB" w:rsidP="00EA6456">
      <w:pPr>
        <w:jc w:val="both"/>
      </w:pPr>
      <w:r>
        <w:t>Many blast furnaces have previously utilised t</w:t>
      </w:r>
      <w:r w:rsidR="005513A2">
        <w:t>he</w:t>
      </w:r>
      <w:r>
        <w:t xml:space="preserve"> injection of heavy fuel oils.  This practice however has largely been disused for </w:t>
      </w:r>
      <w:r w:rsidR="005513A2">
        <w:t>several</w:t>
      </w:r>
      <w:r>
        <w:t xml:space="preserve"> reasons.  One of the key reasons for trading oil injection for coal injection was the rising cost of the heavy fuel oil used which encouraged companies to look for cheaper alternatives </w:t>
      </w:r>
      <w:sdt>
        <w:sdtPr>
          <w:id w:val="-1992009290"/>
          <w:citation/>
        </w:sdtPr>
        <w:sdtContent>
          <w:r w:rsidR="007C1BB9">
            <w:fldChar w:fldCharType="begin"/>
          </w:r>
          <w:r w:rsidR="007C1BB9">
            <w:instrText xml:space="preserve"> CITATION Cam19 \l 2057 </w:instrText>
          </w:r>
          <w:r w:rsidR="007C1BB9">
            <w:fldChar w:fldCharType="separate"/>
          </w:r>
          <w:r w:rsidR="00073639">
            <w:rPr>
              <w:noProof/>
            </w:rPr>
            <w:t>(Cameron, 2019)</w:t>
          </w:r>
          <w:r w:rsidR="007C1BB9">
            <w:fldChar w:fldCharType="end"/>
          </w:r>
        </w:sdtContent>
      </w:sdt>
      <w:r w:rsidR="005513A2">
        <w:t>,</w:t>
      </w:r>
      <w:r w:rsidR="008012ED">
        <w:t xml:space="preserve"> leading them to granulated coal injection.  Oil injection has also been found to be less efficient</w:t>
      </w:r>
      <w:r w:rsidR="007C3CEE">
        <w:t xml:space="preserve">, the heavy oil struggles to blend with the air in the blast furnace and as a result takes much longer to have a positive effect on temperature </w:t>
      </w:r>
      <w:sdt>
        <w:sdtPr>
          <w:id w:val="1875956869"/>
          <w:citation/>
        </w:sdtPr>
        <w:sdtContent>
          <w:r w:rsidR="00141729">
            <w:fldChar w:fldCharType="begin"/>
          </w:r>
          <w:r w:rsidR="00141729">
            <w:instrText xml:space="preserve"> CITATION Bor83 \l 2057 </w:instrText>
          </w:r>
          <w:r w:rsidR="00141729">
            <w:fldChar w:fldCharType="separate"/>
          </w:r>
          <w:r w:rsidR="00073639">
            <w:rPr>
              <w:noProof/>
            </w:rPr>
            <w:t>(Bortz, 1983)</w:t>
          </w:r>
          <w:r w:rsidR="00141729">
            <w:fldChar w:fldCharType="end"/>
          </w:r>
        </w:sdtContent>
      </w:sdt>
      <w:r w:rsidR="006C1023">
        <w:t>.</w:t>
      </w:r>
      <w:r w:rsidR="00A31805">
        <w:t xml:space="preserve">  </w:t>
      </w:r>
    </w:p>
    <w:p w:rsidR="00A31805" w:rsidRDefault="00A31805" w:rsidP="00EA6456">
      <w:pPr>
        <w:jc w:val="both"/>
      </w:pPr>
      <w:r>
        <w:t xml:space="preserve">The GCI plant in Port Talbot steelworks is largely a non-polluting system.  Aside from rare occasions when transport lines fracture and release coal dust into the atmosphere, there are no harmful products used or biproducts created from the preparation of coal for injection.  Coke making on the other hand can be extremely harmful for </w:t>
      </w:r>
      <w:r w:rsidR="009949BC">
        <w:t xml:space="preserve">humans, wildlife and </w:t>
      </w:r>
      <w:r>
        <w:t>the environment.</w:t>
      </w:r>
      <w:r w:rsidR="00081674">
        <w:t xml:space="preserve">  Substances such as ‘Sulphur, Ammonium Sulphate, Benzene, Xylene and Naphthalene’ </w:t>
      </w:r>
      <w:sdt>
        <w:sdtPr>
          <w:id w:val="800580015"/>
          <w:citation/>
        </w:sdtPr>
        <w:sdtContent>
          <w:r w:rsidR="00081674">
            <w:fldChar w:fldCharType="begin"/>
          </w:r>
          <w:r w:rsidR="00081674">
            <w:instrText xml:space="preserve"> CITATION Hum12 \l 2057 </w:instrText>
          </w:r>
          <w:r w:rsidR="00081674">
            <w:fldChar w:fldCharType="separate"/>
          </w:r>
          <w:r w:rsidR="00073639">
            <w:rPr>
              <w:noProof/>
            </w:rPr>
            <w:t>(Humans, 2012)</w:t>
          </w:r>
          <w:r w:rsidR="00081674">
            <w:fldChar w:fldCharType="end"/>
          </w:r>
        </w:sdtContent>
      </w:sdt>
      <w:r w:rsidR="00081674">
        <w:t xml:space="preserve"> </w:t>
      </w:r>
      <w:r w:rsidR="009949BC">
        <w:t xml:space="preserve">are all present in the coke making process and can have an extreme effect on human health and the environment.  The introduction of coal injection can reduce the effects that these substances have because the coke ovens are not required to use or create these substances in such high volumes.  </w:t>
      </w:r>
    </w:p>
    <w:p w:rsidR="00CB3980" w:rsidRDefault="00CB3980" w:rsidP="00EA6456">
      <w:pPr>
        <w:pStyle w:val="Heading3"/>
        <w:jc w:val="both"/>
      </w:pPr>
      <w:bookmarkStart w:id="4" w:name="_Toc25269183"/>
      <w:r>
        <w:t>Disadvantages of Coal Injection</w:t>
      </w:r>
      <w:bookmarkEnd w:id="4"/>
    </w:p>
    <w:p w:rsidR="00EB7CF5" w:rsidRDefault="00CB3980" w:rsidP="00EA6456">
      <w:pPr>
        <w:jc w:val="both"/>
      </w:pPr>
      <w:r>
        <w:t xml:space="preserve">Although the many advantages of coal injection make it seem an attractive prospect for use in a blast furnace, it also has its drawbacks.  Companies may be discouraged from introducing a coal injection system due to </w:t>
      </w:r>
      <w:r w:rsidR="00F3190D">
        <w:t xml:space="preserve">the high start up cost.  As well as introducing coal lances and transport lines to transfer the granulated coal to the furnace, companies would also be required to construct an entire plant to prepare the coal.  </w:t>
      </w:r>
      <w:r w:rsidR="00145165">
        <w:t>From 1993-1999 a coal injection project was undertaken in the United States and between these years a total of $194 million was spent on the construction and implementation of the system</w:t>
      </w:r>
      <w:r w:rsidR="00A57E9B">
        <w:t xml:space="preserve"> </w:t>
      </w:r>
      <w:r w:rsidR="00EB7CF5">
        <w:rPr>
          <w:noProof/>
        </w:rPr>
        <w:t>(U.S Department of Energy, 2000)</w:t>
      </w:r>
      <w:r w:rsidR="00EB7CF5">
        <w:t>.  Due to rates of inflation this figure can be dramatically increased in 2019.  Figure 1 shows the U.S dollars in 1993 and the equivalent values in 2019.</w:t>
      </w:r>
    </w:p>
    <w:p w:rsidR="00484EA0" w:rsidRDefault="00484EA0" w:rsidP="00EA6456">
      <w:pPr>
        <w:jc w:val="both"/>
      </w:pPr>
    </w:p>
    <w:p w:rsidR="00484EA0" w:rsidRDefault="00484EA0" w:rsidP="00EA6456">
      <w:pPr>
        <w:jc w:val="both"/>
      </w:pPr>
    </w:p>
    <w:p w:rsidR="00EB7CF5" w:rsidRDefault="00EB7CF5" w:rsidP="00EA6456">
      <w:pPr>
        <w:jc w:val="both"/>
      </w:pPr>
      <w:r>
        <w:lastRenderedPageBreak/>
        <w:t xml:space="preserve">Fig.1 </w:t>
      </w:r>
    </w:p>
    <w:tbl>
      <w:tblPr>
        <w:tblW w:w="4800" w:type="dxa"/>
        <w:tblLook w:val="04A0" w:firstRow="1" w:lastRow="0" w:firstColumn="1" w:lastColumn="0" w:noHBand="0" w:noVBand="1"/>
      </w:tblPr>
      <w:tblGrid>
        <w:gridCol w:w="2260"/>
        <w:gridCol w:w="2540"/>
      </w:tblGrid>
      <w:tr w:rsidR="00EB7CF5" w:rsidRPr="00EB7CF5" w:rsidTr="00EB7CF5">
        <w:trPr>
          <w:trHeight w:val="315"/>
        </w:trPr>
        <w:tc>
          <w:tcPr>
            <w:tcW w:w="226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b/>
                <w:bCs/>
                <w:color w:val="000000"/>
                <w:lang w:eastAsia="en-GB"/>
              </w:rPr>
            </w:pPr>
            <w:r w:rsidRPr="00EB7CF5">
              <w:rPr>
                <w:rFonts w:ascii="Arial" w:eastAsia="Times New Roman" w:hAnsi="Arial" w:cs="Arial"/>
                <w:b/>
                <w:bCs/>
                <w:color w:val="000000"/>
                <w:lang w:eastAsia="en-GB"/>
              </w:rPr>
              <w:t>1993</w:t>
            </w:r>
          </w:p>
        </w:tc>
        <w:tc>
          <w:tcPr>
            <w:tcW w:w="2540" w:type="dxa"/>
            <w:tcBorders>
              <w:top w:val="single" w:sz="8" w:space="0" w:color="auto"/>
              <w:left w:val="nil"/>
              <w:bottom w:val="single" w:sz="8"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b/>
                <w:bCs/>
                <w:color w:val="000000"/>
                <w:lang w:eastAsia="en-GB"/>
              </w:rPr>
            </w:pPr>
            <w:r w:rsidRPr="00EB7CF5">
              <w:rPr>
                <w:rFonts w:ascii="Arial" w:eastAsia="Times New Roman" w:hAnsi="Arial" w:cs="Arial"/>
                <w:b/>
                <w:bCs/>
                <w:color w:val="000000"/>
                <w:lang w:eastAsia="en-GB"/>
              </w:rPr>
              <w:t>2019</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$178.09</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$1,000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$1,780.94</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$10,000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£17,809.41</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$1,000,000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$1,780,941.18</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$100,000,000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$178,094,117.65</w:t>
            </w:r>
          </w:p>
        </w:tc>
      </w:tr>
      <w:tr w:rsidR="00EB7CF5" w:rsidRPr="00EB7CF5" w:rsidTr="00EB7CF5">
        <w:trPr>
          <w:trHeight w:val="285"/>
        </w:trPr>
        <w:tc>
          <w:tcPr>
            <w:tcW w:w="2260" w:type="dxa"/>
            <w:tcBorders>
              <w:top w:val="nil"/>
              <w:left w:val="single" w:sz="8" w:space="0" w:color="auto"/>
              <w:bottom w:val="single" w:sz="4" w:space="0" w:color="auto"/>
              <w:right w:val="single" w:sz="4"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$194,000,000</w:t>
            </w:r>
          </w:p>
        </w:tc>
        <w:tc>
          <w:tcPr>
            <w:tcW w:w="2540" w:type="dxa"/>
            <w:tcBorders>
              <w:top w:val="nil"/>
              <w:left w:val="nil"/>
              <w:bottom w:val="single" w:sz="4" w:space="0" w:color="auto"/>
              <w:right w:val="single" w:sz="8" w:space="0" w:color="auto"/>
            </w:tcBorders>
            <w:shd w:val="clear" w:color="auto" w:fill="auto"/>
            <w:noWrap/>
            <w:vAlign w:val="center"/>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$345,502,588.24</w:t>
            </w:r>
          </w:p>
        </w:tc>
      </w:tr>
      <w:tr w:rsidR="00EB7CF5" w:rsidRPr="00EB7CF5" w:rsidTr="00EB7CF5">
        <w:trPr>
          <w:trHeight w:val="300"/>
        </w:trPr>
        <w:tc>
          <w:tcPr>
            <w:tcW w:w="4800" w:type="dxa"/>
            <w:gridSpan w:val="2"/>
            <w:tcBorders>
              <w:top w:val="single" w:sz="4" w:space="0" w:color="auto"/>
              <w:left w:val="single" w:sz="8" w:space="0" w:color="auto"/>
              <w:bottom w:val="single" w:sz="8" w:space="0" w:color="auto"/>
              <w:right w:val="single" w:sz="8" w:space="0" w:color="000000"/>
            </w:tcBorders>
            <w:shd w:val="clear" w:color="auto" w:fill="auto"/>
            <w:noWrap/>
            <w:vAlign w:val="bottom"/>
            <w:hideMark/>
          </w:tcPr>
          <w:p w:rsidR="00EB7CF5" w:rsidRPr="00EB7CF5" w:rsidRDefault="00EB7CF5" w:rsidP="00EA6456">
            <w:pPr>
              <w:spacing w:after="0" w:line="240" w:lineRule="auto"/>
              <w:jc w:val="both"/>
              <w:rPr>
                <w:rFonts w:ascii="Arial" w:eastAsia="Times New Roman" w:hAnsi="Arial" w:cs="Arial"/>
                <w:color w:val="000000"/>
                <w:lang w:eastAsia="en-GB"/>
              </w:rPr>
            </w:pPr>
            <w:r w:rsidRPr="00EB7CF5">
              <w:rPr>
                <w:rFonts w:ascii="Arial" w:eastAsia="Times New Roman" w:hAnsi="Arial" w:cs="Arial"/>
                <w:color w:val="000000"/>
                <w:lang w:eastAsia="en-GB"/>
              </w:rPr>
              <w:t>*considering an average inflation rate of 2.24%</w:t>
            </w:r>
            <w:r>
              <w:rPr>
                <w:rFonts w:ascii="Arial" w:eastAsia="Times New Roman" w:hAnsi="Arial" w:cs="Arial"/>
                <w:color w:val="000000"/>
                <w:lang w:eastAsia="en-GB"/>
              </w:rPr>
              <w:t xml:space="preserve"> </w:t>
            </w:r>
            <w:sdt>
              <w:sdtPr>
                <w:rPr>
                  <w:rFonts w:ascii="Arial" w:eastAsia="Times New Roman" w:hAnsi="Arial" w:cs="Arial"/>
                  <w:color w:val="000000"/>
                  <w:lang w:eastAsia="en-GB"/>
                </w:rPr>
                <w:id w:val="1460532701"/>
                <w:citation/>
              </w:sdtPr>
              <w:sdtContent>
                <w:r>
                  <w:rPr>
                    <w:rFonts w:ascii="Arial" w:eastAsia="Times New Roman" w:hAnsi="Arial" w:cs="Arial"/>
                    <w:color w:val="000000"/>
                    <w:lang w:eastAsia="en-GB"/>
                  </w:rPr>
                  <w:fldChar w:fldCharType="begin"/>
                </w:r>
                <w:r>
                  <w:rPr>
                    <w:rFonts w:ascii="Arial" w:eastAsia="Times New Roman" w:hAnsi="Arial" w:cs="Arial"/>
                    <w:color w:val="000000"/>
                    <w:lang w:eastAsia="en-GB"/>
                  </w:rPr>
                  <w:instrText xml:space="preserve"> CITATION Web19 \l 2057 </w:instrText>
                </w:r>
                <w:r>
                  <w:rPr>
                    <w:rFonts w:ascii="Arial" w:eastAsia="Times New Roman" w:hAnsi="Arial" w:cs="Arial"/>
                    <w:color w:val="000000"/>
                    <w:lang w:eastAsia="en-GB"/>
                  </w:rPr>
                  <w:fldChar w:fldCharType="separate"/>
                </w:r>
                <w:r w:rsidR="00073639" w:rsidRPr="00073639">
                  <w:rPr>
                    <w:rFonts w:ascii="Arial" w:eastAsia="Times New Roman" w:hAnsi="Arial" w:cs="Arial"/>
                    <w:noProof/>
                    <w:color w:val="000000"/>
                    <w:lang w:eastAsia="en-GB"/>
                  </w:rPr>
                  <w:t>(Webster, 2019)</w:t>
                </w:r>
                <w:r>
                  <w:rPr>
                    <w:rFonts w:ascii="Arial" w:eastAsia="Times New Roman" w:hAnsi="Arial" w:cs="Arial"/>
                    <w:color w:val="000000"/>
                    <w:lang w:eastAsia="en-GB"/>
                  </w:rPr>
                  <w:fldChar w:fldCharType="end"/>
                </w:r>
              </w:sdtContent>
            </w:sdt>
          </w:p>
        </w:tc>
      </w:tr>
    </w:tbl>
    <w:p w:rsidR="00EB7CF5" w:rsidRDefault="00EB7CF5" w:rsidP="00EA6456">
      <w:pPr>
        <w:jc w:val="both"/>
      </w:pPr>
    </w:p>
    <w:p w:rsidR="005A77B3" w:rsidRDefault="00605D3D" w:rsidP="00EA6456">
      <w:pPr>
        <w:jc w:val="both"/>
      </w:pPr>
      <w:r>
        <w:t xml:space="preserve">If a UK </w:t>
      </w:r>
      <w:r w:rsidR="00083819">
        <w:t xml:space="preserve">based steel company wanted to introduce a coal injection system in 2019, assuming all costs would be the same as in the United States, it would cost the UK company £266,036,992.90 based on a </w:t>
      </w:r>
      <w:r w:rsidR="007579FA">
        <w:t>dollar</w:t>
      </w:r>
      <w:r w:rsidR="00083819">
        <w:t xml:space="preserve"> to pound exchange rate of 0.77.</w:t>
      </w:r>
      <w:r w:rsidR="007579FA">
        <w:t xml:space="preserve">  As well as having the money to fund this extreme start-up cost, companies would also need to assess whether they have the room required to construct the coal injection plant in a suitable location.  Coal injection plants should ideally be positioned </w:t>
      </w:r>
      <w:proofErr w:type="gramStart"/>
      <w:r w:rsidR="007579FA">
        <w:t>in close proximity to</w:t>
      </w:r>
      <w:proofErr w:type="gramEnd"/>
      <w:r w:rsidR="007579FA">
        <w:t xml:space="preserve"> their blast furnace customers.  The GCI plant in Port Talbot Steelworks is positioned directly behind the blast furnaces that use </w:t>
      </w:r>
      <w:r w:rsidR="005A77B3">
        <w:t xml:space="preserve">the coal.  This is to reduce the length of pipe required for the transport lines between the GCI plant and blast furnaces, thus reducing costs as well as reducing the energy used to convey the coal to the furnaces.  Shorter transport lines also reduce the amount of potential blocking points.  In a longer length of pipe, it can take an extremely long time to locate a blockage, whereas in shorter pipes it is quicker and easier to find blockages that need to be cleared in order to deliver the coal to the furnaces.  </w:t>
      </w:r>
    </w:p>
    <w:p w:rsidR="00605D3D" w:rsidRDefault="00F366F0" w:rsidP="00EA6456">
      <w:pPr>
        <w:jc w:val="both"/>
      </w:pPr>
      <w:r>
        <w:t xml:space="preserve">As well as the cost of installation, coal injection systems have a persistent issue with blockages.   </w:t>
      </w:r>
      <w:r w:rsidR="00C17AC0">
        <w:t>Blockages are caused by a large build</w:t>
      </w:r>
      <w:r w:rsidR="00C67B25">
        <w:t>-</w:t>
      </w:r>
      <w:r w:rsidR="00C17AC0">
        <w:t>up of</w:t>
      </w:r>
      <w:r w:rsidR="00C67B25">
        <w:t xml:space="preserve"> granulated coal clogging in the transport lines.  This build up can be due to </w:t>
      </w:r>
      <w:proofErr w:type="gramStart"/>
      <w:r w:rsidR="00C67B25">
        <w:t>a number of</w:t>
      </w:r>
      <w:proofErr w:type="gramEnd"/>
      <w:r w:rsidR="00C67B25">
        <w:t xml:space="preserve"> reasons including, coal with a high moisture content, larger particles of coal or even foreign objects finding their way into the system.  A blockage in a single line in Port Talbot steelworks is not a major issue as there are 29 other lines feeding the coal lances, however, persistent blockages can prove to be challenging for one employee to handle.</w:t>
      </w:r>
      <w:r w:rsidR="0083432E">
        <w:t xml:space="preserve">  Maintaining coal to the blast furnace is vital as the coal cools the </w:t>
      </w:r>
      <w:proofErr w:type="spellStart"/>
      <w:r w:rsidR="0083432E">
        <w:t>tuyeres</w:t>
      </w:r>
      <w:proofErr w:type="spellEnd"/>
      <w:r w:rsidR="0083432E">
        <w:t xml:space="preserve">.  </w:t>
      </w:r>
      <w:proofErr w:type="spellStart"/>
      <w:r w:rsidR="0083432E">
        <w:t>Tuyeres</w:t>
      </w:r>
      <w:proofErr w:type="spellEnd"/>
      <w:r w:rsidR="0083432E">
        <w:t xml:space="preserve"> do not have a </w:t>
      </w:r>
      <w:proofErr w:type="gramStart"/>
      <w:r w:rsidR="0083432E">
        <w:t>long life</w:t>
      </w:r>
      <w:proofErr w:type="gramEnd"/>
      <w:r w:rsidR="0083432E">
        <w:t xml:space="preserve"> expectancy when not pushing coal as the extreme heat that they are exposed to can increase wear.  As previously mentioned, blockages can also be difficult to locate, and the knowledge that </w:t>
      </w:r>
      <w:proofErr w:type="spellStart"/>
      <w:r w:rsidR="0083432E">
        <w:t>tuyeres</w:t>
      </w:r>
      <w:proofErr w:type="spellEnd"/>
      <w:r w:rsidR="0083432E">
        <w:t xml:space="preserve"> do not last long when they aren’t pushing coal puts great pressure on employees to work quickly and accurately to locate and clear blockages.   </w:t>
      </w:r>
      <w:r w:rsidR="00C67B25">
        <w:t xml:space="preserve"> </w:t>
      </w:r>
      <w:r w:rsidR="00C17AC0">
        <w:t xml:space="preserve"> </w:t>
      </w:r>
    </w:p>
    <w:p w:rsidR="004A1C22" w:rsidRDefault="004A1C22" w:rsidP="002630DE"/>
    <w:p w:rsidR="004A1C22" w:rsidRDefault="004A1C22" w:rsidP="004A1C22">
      <w:pPr>
        <w:pStyle w:val="Heading2"/>
      </w:pPr>
      <w:bookmarkStart w:id="5" w:name="_Toc25269184"/>
      <w:r>
        <w:t>Conclusion</w:t>
      </w:r>
      <w:bookmarkEnd w:id="5"/>
    </w:p>
    <w:p w:rsidR="004A1C22" w:rsidRDefault="00214546" w:rsidP="00864DE5">
      <w:pPr>
        <w:jc w:val="both"/>
      </w:pPr>
      <w:r>
        <w:t xml:space="preserve">Considering the high price of </w:t>
      </w:r>
      <w:r w:rsidR="008A01BC">
        <w:t xml:space="preserve">coke, </w:t>
      </w:r>
      <w:r>
        <w:t xml:space="preserve">the main fuel in blast </w:t>
      </w:r>
      <w:proofErr w:type="gramStart"/>
      <w:r>
        <w:t>furnaces,  the</w:t>
      </w:r>
      <w:proofErr w:type="gramEnd"/>
      <w:r>
        <w:t xml:space="preserve"> introduction of coal injection could have been considered a welcome money saver as it had no negative effect on the quality of </w:t>
      </w:r>
      <w:r w:rsidR="006B2F06">
        <w:t xml:space="preserve">the </w:t>
      </w:r>
      <w:r>
        <w:t xml:space="preserve">iron produced.  In fact, it has been discovered that the use of coal gave blast furnace operators greater control over the thermal state of the furnace as changes could be implemented when required rather than waiting for additional coke to reach the </w:t>
      </w:r>
      <w:proofErr w:type="spellStart"/>
      <w:r>
        <w:t>tuyeres</w:t>
      </w:r>
      <w:proofErr w:type="spellEnd"/>
      <w:r>
        <w:t xml:space="preserve">.  It can also be assumed that the life expectancy of coke ovens can be increased as there is less pressure on them to produce the sole fuel source used in the blast furnaces.  Although subsidising the use of coke with an additional </w:t>
      </w:r>
      <w:r w:rsidR="005D6805">
        <w:t xml:space="preserve">fuel source seemed practical, it still had to be decided why coal injection should be used rather than the injection of heavy fuel oil.  It was discovered that coal has a greater efficiency in the furnaces as oil takes longer to react </w:t>
      </w:r>
      <w:r w:rsidR="005D6805">
        <w:lastRenderedPageBreak/>
        <w:t xml:space="preserve">with the air causing a delay in effect, this delay coupled with the rising price of oil justifies a decision </w:t>
      </w:r>
      <w:r w:rsidR="00DB5E84">
        <w:t>in favour of</w:t>
      </w:r>
      <w:r w:rsidR="005D6805">
        <w:t xml:space="preserve"> coal injection rather than oil injection.  Coal injection systems are also largely non-polluting as opposed to the highly polluting and extremely harmful process of producing coke.  The use of coal injection could be deemed to reduce the harmful effects on the environment caused by the coke ovens as they are not required to produce coke in the quantities that they previously had to.  </w:t>
      </w:r>
      <w:r w:rsidR="003B1B95">
        <w:t xml:space="preserve">Although the use of coal injection can be extremely useful, the high start-up costs could discourage companies from introducing the systems.  High start-up costs coupled with challenges setting up a plant near blast furnaces can prove to be obstacles too high for some companies.  Coal injection can also prove to increase work load for some employees as blockages can be regular occurrences.  Blockages require time to locate and fix and this can be a challenging and lengthy process.  Although coal injection has its drawbacks, it could be deemed to be a worthwhile investment.  Its main disadvantage is a high start up cost, however, the system could pay for itself over time as the money saved on purchasing or producing less coke accumulates.  </w:t>
      </w:r>
    </w:p>
    <w:p w:rsidR="004A1C22" w:rsidRDefault="004A1C22" w:rsidP="00864DE5">
      <w:pPr>
        <w:jc w:val="both"/>
      </w:pPr>
    </w:p>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Default="004A1C22" w:rsidP="002630DE"/>
    <w:p w:rsidR="004A1C22" w:rsidRPr="002630DE" w:rsidRDefault="004A1C22" w:rsidP="002630DE"/>
    <w:bookmarkStart w:id="6" w:name="_Toc25269185" w:displacedByCustomXml="next"/>
    <w:sdt>
      <w:sdtPr>
        <w:id w:val="-1240779081"/>
        <w:docPartObj>
          <w:docPartGallery w:val="Bibliographies"/>
          <w:docPartUnique/>
        </w:docPartObj>
      </w:sdtPr>
      <w:sdtEndPr>
        <w:rPr>
          <w:rFonts w:asciiTheme="minorHAnsi" w:eastAsiaTheme="minorHAnsi" w:hAnsiTheme="minorHAnsi" w:cstheme="minorBidi"/>
          <w:color w:val="auto"/>
          <w:sz w:val="22"/>
          <w:szCs w:val="22"/>
        </w:rPr>
      </w:sdtEndPr>
      <w:sdtContent>
        <w:p w:rsidR="004A1C22" w:rsidRDefault="004A1C22">
          <w:pPr>
            <w:pStyle w:val="Heading1"/>
          </w:pPr>
          <w:r>
            <w:t>References</w:t>
          </w:r>
          <w:bookmarkEnd w:id="6"/>
        </w:p>
        <w:sdt>
          <w:sdtPr>
            <w:id w:val="-573587230"/>
            <w:bibliography/>
          </w:sdtPr>
          <w:sdtContent>
            <w:p w:rsidR="00073639" w:rsidRDefault="004A1C22" w:rsidP="00073639">
              <w:pPr>
                <w:pStyle w:val="Bibliography"/>
                <w:ind w:left="720" w:hanging="720"/>
                <w:rPr>
                  <w:noProof/>
                  <w:sz w:val="24"/>
                  <w:szCs w:val="24"/>
                </w:rPr>
              </w:pPr>
              <w:r>
                <w:fldChar w:fldCharType="begin"/>
              </w:r>
              <w:r>
                <w:instrText xml:space="preserve"> BIBLIOGRAPHY </w:instrText>
              </w:r>
              <w:r>
                <w:fldChar w:fldCharType="separate"/>
              </w:r>
              <w:r w:rsidR="00073639">
                <w:rPr>
                  <w:noProof/>
                </w:rPr>
                <w:t xml:space="preserve">Bortz, S. (1983). </w:t>
              </w:r>
              <w:r w:rsidR="00073639">
                <w:rPr>
                  <w:i/>
                  <w:iCs/>
                  <w:noProof/>
                </w:rPr>
                <w:t>Coal injection into the blast furnace.</w:t>
              </w:r>
              <w:r w:rsidR="00073639">
                <w:rPr>
                  <w:noProof/>
                </w:rPr>
                <w:t xml:space="preserve"> Brussels: Commission of the European Communities.</w:t>
              </w:r>
            </w:p>
            <w:p w:rsidR="00073639" w:rsidRDefault="00073639" w:rsidP="00073639">
              <w:pPr>
                <w:pStyle w:val="Bibliography"/>
                <w:ind w:left="720" w:hanging="720"/>
                <w:rPr>
                  <w:noProof/>
                </w:rPr>
              </w:pPr>
              <w:r>
                <w:rPr>
                  <w:noProof/>
                </w:rPr>
                <w:t xml:space="preserve">Cameron, I. D. (2019). Chapter 56 - Blast Furnace Fuel Injection . </w:t>
              </w:r>
              <w:r>
                <w:rPr>
                  <w:i/>
                  <w:iCs/>
                  <w:noProof/>
                </w:rPr>
                <w:t>Blast Furnace Ironmaking - Analysis, Control and Optimization</w:t>
              </w:r>
              <w:r>
                <w:rPr>
                  <w:noProof/>
                </w:rPr>
                <w:t>, 573-600.</w:t>
              </w:r>
            </w:p>
            <w:p w:rsidR="00073639" w:rsidRDefault="00073639" w:rsidP="00073639">
              <w:pPr>
                <w:pStyle w:val="Bibliography"/>
                <w:ind w:left="720" w:hanging="720"/>
                <w:rPr>
                  <w:noProof/>
                </w:rPr>
              </w:pPr>
              <w:r>
                <w:rPr>
                  <w:noProof/>
                </w:rPr>
                <w:t xml:space="preserve">Energy, U. D. (2000). </w:t>
              </w:r>
              <w:r>
                <w:rPr>
                  <w:i/>
                  <w:iCs/>
                  <w:noProof/>
                </w:rPr>
                <w:t>Blast Furnace Granulated Coal Injection.</w:t>
              </w:r>
              <w:r>
                <w:rPr>
                  <w:noProof/>
                </w:rPr>
                <w:t xml:space="preserve"> Pittsburgh: U.S Department of Energy.</w:t>
              </w:r>
            </w:p>
            <w:p w:rsidR="00073639" w:rsidRDefault="00073639" w:rsidP="00073639">
              <w:pPr>
                <w:pStyle w:val="Bibliography"/>
                <w:ind w:left="720" w:hanging="720"/>
                <w:rPr>
                  <w:noProof/>
                </w:rPr>
              </w:pPr>
              <w:r>
                <w:rPr>
                  <w:noProof/>
                </w:rPr>
                <w:t>Humans, I</w:t>
              </w:r>
              <w:r w:rsidR="00456520">
                <w:rPr>
                  <w:noProof/>
                </w:rPr>
                <w:t>ARC</w:t>
              </w:r>
              <w:r>
                <w:rPr>
                  <w:noProof/>
                </w:rPr>
                <w:t xml:space="preserve">. (2012). </w:t>
              </w:r>
              <w:r>
                <w:rPr>
                  <w:i/>
                  <w:iCs/>
                  <w:noProof/>
                </w:rPr>
                <w:t>Chemical Agents and Related Occupations.</w:t>
              </w:r>
              <w:r>
                <w:rPr>
                  <w:noProof/>
                </w:rPr>
                <w:t xml:space="preserve"> Lyon: International Agency for Research on Cancer .</w:t>
              </w:r>
            </w:p>
            <w:p w:rsidR="00073639" w:rsidRDefault="00073639" w:rsidP="00073639">
              <w:pPr>
                <w:pStyle w:val="Bibliography"/>
                <w:ind w:left="720" w:hanging="720"/>
                <w:rPr>
                  <w:noProof/>
                </w:rPr>
              </w:pPr>
              <w:r>
                <w:rPr>
                  <w:noProof/>
                </w:rPr>
                <w:t xml:space="preserve">Shen, Y. Z. (2012). Modelling in-furnace phenomena of pulverized coal injection in ironmaking blast furnace: Effect of coke bed porosities. </w:t>
              </w:r>
              <w:r>
                <w:rPr>
                  <w:i/>
                  <w:iCs/>
                  <w:noProof/>
                </w:rPr>
                <w:t>Minerals Engineering, 33</w:t>
              </w:r>
              <w:r>
                <w:rPr>
                  <w:noProof/>
                </w:rPr>
                <w:t>, 54-65.</w:t>
              </w:r>
            </w:p>
            <w:p w:rsidR="00073639" w:rsidRDefault="00073639" w:rsidP="00073639">
              <w:pPr>
                <w:pStyle w:val="Bibliography"/>
                <w:ind w:left="720" w:hanging="720"/>
                <w:rPr>
                  <w:noProof/>
                </w:rPr>
              </w:pPr>
              <w:r>
                <w:rPr>
                  <w:noProof/>
                </w:rPr>
                <w:t xml:space="preserve">Webster, I. (2019). </w:t>
              </w:r>
              <w:r>
                <w:rPr>
                  <w:i/>
                  <w:iCs/>
                  <w:noProof/>
                </w:rPr>
                <w:t>CPI Calculator</w:t>
              </w:r>
              <w:r>
                <w:rPr>
                  <w:noProof/>
                </w:rPr>
                <w:t>. Retrieved November 2019, from www.in2013dollars.com: https://www.in2013dollars.com/us/inflation/1993?amount=100</w:t>
              </w:r>
            </w:p>
            <w:p w:rsidR="005B4B17" w:rsidRPr="005B4B17" w:rsidRDefault="004A1C22" w:rsidP="00073639">
              <w:r>
                <w:rPr>
                  <w:b/>
                  <w:bCs/>
                  <w:noProof/>
                </w:rPr>
                <w:fldChar w:fldCharType="end"/>
              </w:r>
              <w:r w:rsidR="005B4B17">
                <w:t xml:space="preserve"> </w:t>
              </w:r>
              <w:bookmarkStart w:id="7" w:name="_GoBack"/>
              <w:bookmarkEnd w:id="7"/>
            </w:p>
          </w:sdtContent>
        </w:sdt>
      </w:sdtContent>
    </w:sdt>
    <w:sectPr w:rsidR="005B4B17" w:rsidRPr="005B4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C1"/>
    <w:rsid w:val="000370EF"/>
    <w:rsid w:val="00073639"/>
    <w:rsid w:val="00081674"/>
    <w:rsid w:val="00083819"/>
    <w:rsid w:val="000C4FFD"/>
    <w:rsid w:val="00141729"/>
    <w:rsid w:val="00145165"/>
    <w:rsid w:val="001B5171"/>
    <w:rsid w:val="001F64CD"/>
    <w:rsid w:val="00214546"/>
    <w:rsid w:val="002241AE"/>
    <w:rsid w:val="002630DE"/>
    <w:rsid w:val="00302606"/>
    <w:rsid w:val="003B1B95"/>
    <w:rsid w:val="003C111F"/>
    <w:rsid w:val="003C1535"/>
    <w:rsid w:val="003D0F2D"/>
    <w:rsid w:val="004047C6"/>
    <w:rsid w:val="00456520"/>
    <w:rsid w:val="00484EA0"/>
    <w:rsid w:val="004A1C22"/>
    <w:rsid w:val="005266E9"/>
    <w:rsid w:val="005513A2"/>
    <w:rsid w:val="00561AD2"/>
    <w:rsid w:val="00574995"/>
    <w:rsid w:val="005A77B3"/>
    <w:rsid w:val="005B4B17"/>
    <w:rsid w:val="005B709C"/>
    <w:rsid w:val="005D6805"/>
    <w:rsid w:val="00605D3D"/>
    <w:rsid w:val="006B2F06"/>
    <w:rsid w:val="006C1023"/>
    <w:rsid w:val="006F5133"/>
    <w:rsid w:val="007049B4"/>
    <w:rsid w:val="00712B34"/>
    <w:rsid w:val="00740886"/>
    <w:rsid w:val="007579FA"/>
    <w:rsid w:val="007A3781"/>
    <w:rsid w:val="007B20B6"/>
    <w:rsid w:val="007C1BB9"/>
    <w:rsid w:val="007C3CEE"/>
    <w:rsid w:val="007F66E6"/>
    <w:rsid w:val="008012ED"/>
    <w:rsid w:val="0083432E"/>
    <w:rsid w:val="00864DE5"/>
    <w:rsid w:val="008910C4"/>
    <w:rsid w:val="008A01BC"/>
    <w:rsid w:val="008A5C98"/>
    <w:rsid w:val="009059D7"/>
    <w:rsid w:val="009949BC"/>
    <w:rsid w:val="009C45ED"/>
    <w:rsid w:val="00A31805"/>
    <w:rsid w:val="00A57E9B"/>
    <w:rsid w:val="00AD654B"/>
    <w:rsid w:val="00AD6EFF"/>
    <w:rsid w:val="00AF40F5"/>
    <w:rsid w:val="00AF7E13"/>
    <w:rsid w:val="00B72A04"/>
    <w:rsid w:val="00B92DFB"/>
    <w:rsid w:val="00BF1AFA"/>
    <w:rsid w:val="00C17AC0"/>
    <w:rsid w:val="00C67B25"/>
    <w:rsid w:val="00CB3980"/>
    <w:rsid w:val="00D01284"/>
    <w:rsid w:val="00D027FB"/>
    <w:rsid w:val="00DB5E84"/>
    <w:rsid w:val="00E42F02"/>
    <w:rsid w:val="00E75DA1"/>
    <w:rsid w:val="00EA00C7"/>
    <w:rsid w:val="00EA09C1"/>
    <w:rsid w:val="00EA6456"/>
    <w:rsid w:val="00EB7C9B"/>
    <w:rsid w:val="00EB7CF5"/>
    <w:rsid w:val="00F3190D"/>
    <w:rsid w:val="00F31B17"/>
    <w:rsid w:val="00F366F0"/>
    <w:rsid w:val="00F37000"/>
    <w:rsid w:val="00FE12D2"/>
    <w:rsid w:val="00FF4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D8AF3"/>
  <w15:chartTrackingRefBased/>
  <w15:docId w15:val="{776E8279-4F17-41A8-9208-9C555B4AD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B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B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49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4B1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B4B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B17"/>
    <w:pPr>
      <w:outlineLvl w:val="9"/>
    </w:pPr>
    <w:rPr>
      <w:lang w:val="en-US"/>
    </w:rPr>
  </w:style>
  <w:style w:type="paragraph" w:styleId="TOC2">
    <w:name w:val="toc 2"/>
    <w:basedOn w:val="Normal"/>
    <w:next w:val="Normal"/>
    <w:autoRedefine/>
    <w:uiPriority w:val="39"/>
    <w:unhideWhenUsed/>
    <w:rsid w:val="005B4B17"/>
    <w:pPr>
      <w:spacing w:after="100"/>
      <w:ind w:left="220"/>
    </w:pPr>
  </w:style>
  <w:style w:type="character" w:styleId="Hyperlink">
    <w:name w:val="Hyperlink"/>
    <w:basedOn w:val="DefaultParagraphFont"/>
    <w:uiPriority w:val="99"/>
    <w:unhideWhenUsed/>
    <w:rsid w:val="005B4B17"/>
    <w:rPr>
      <w:color w:val="0563C1" w:themeColor="hyperlink"/>
      <w:u w:val="single"/>
    </w:rPr>
  </w:style>
  <w:style w:type="character" w:customStyle="1" w:styleId="Heading3Char">
    <w:name w:val="Heading 3 Char"/>
    <w:basedOn w:val="DefaultParagraphFont"/>
    <w:link w:val="Heading3"/>
    <w:uiPriority w:val="9"/>
    <w:rsid w:val="0057499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74995"/>
    <w:pPr>
      <w:spacing w:after="100"/>
      <w:ind w:left="440"/>
    </w:pPr>
  </w:style>
  <w:style w:type="paragraph" w:styleId="Bibliography">
    <w:name w:val="Bibliography"/>
    <w:basedOn w:val="Normal"/>
    <w:next w:val="Normal"/>
    <w:uiPriority w:val="37"/>
    <w:unhideWhenUsed/>
    <w:rsid w:val="004A1C22"/>
  </w:style>
  <w:style w:type="paragraph" w:styleId="TOC1">
    <w:name w:val="toc 1"/>
    <w:basedOn w:val="Normal"/>
    <w:next w:val="Normal"/>
    <w:autoRedefine/>
    <w:uiPriority w:val="39"/>
    <w:unhideWhenUsed/>
    <w:rsid w:val="004A1C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01257">
      <w:bodyDiv w:val="1"/>
      <w:marLeft w:val="0"/>
      <w:marRight w:val="0"/>
      <w:marTop w:val="0"/>
      <w:marBottom w:val="0"/>
      <w:divBdr>
        <w:top w:val="none" w:sz="0" w:space="0" w:color="auto"/>
        <w:left w:val="none" w:sz="0" w:space="0" w:color="auto"/>
        <w:bottom w:val="none" w:sz="0" w:space="0" w:color="auto"/>
        <w:right w:val="none" w:sz="0" w:space="0" w:color="auto"/>
      </w:divBdr>
    </w:div>
    <w:div w:id="48460040">
      <w:bodyDiv w:val="1"/>
      <w:marLeft w:val="0"/>
      <w:marRight w:val="0"/>
      <w:marTop w:val="0"/>
      <w:marBottom w:val="0"/>
      <w:divBdr>
        <w:top w:val="none" w:sz="0" w:space="0" w:color="auto"/>
        <w:left w:val="none" w:sz="0" w:space="0" w:color="auto"/>
        <w:bottom w:val="none" w:sz="0" w:space="0" w:color="auto"/>
        <w:right w:val="none" w:sz="0" w:space="0" w:color="auto"/>
      </w:divBdr>
    </w:div>
    <w:div w:id="142700120">
      <w:bodyDiv w:val="1"/>
      <w:marLeft w:val="0"/>
      <w:marRight w:val="0"/>
      <w:marTop w:val="0"/>
      <w:marBottom w:val="0"/>
      <w:divBdr>
        <w:top w:val="none" w:sz="0" w:space="0" w:color="auto"/>
        <w:left w:val="none" w:sz="0" w:space="0" w:color="auto"/>
        <w:bottom w:val="none" w:sz="0" w:space="0" w:color="auto"/>
        <w:right w:val="none" w:sz="0" w:space="0" w:color="auto"/>
      </w:divBdr>
    </w:div>
    <w:div w:id="182478387">
      <w:bodyDiv w:val="1"/>
      <w:marLeft w:val="0"/>
      <w:marRight w:val="0"/>
      <w:marTop w:val="0"/>
      <w:marBottom w:val="0"/>
      <w:divBdr>
        <w:top w:val="none" w:sz="0" w:space="0" w:color="auto"/>
        <w:left w:val="none" w:sz="0" w:space="0" w:color="auto"/>
        <w:bottom w:val="none" w:sz="0" w:space="0" w:color="auto"/>
        <w:right w:val="none" w:sz="0" w:space="0" w:color="auto"/>
      </w:divBdr>
    </w:div>
    <w:div w:id="263880092">
      <w:bodyDiv w:val="1"/>
      <w:marLeft w:val="0"/>
      <w:marRight w:val="0"/>
      <w:marTop w:val="0"/>
      <w:marBottom w:val="0"/>
      <w:divBdr>
        <w:top w:val="none" w:sz="0" w:space="0" w:color="auto"/>
        <w:left w:val="none" w:sz="0" w:space="0" w:color="auto"/>
        <w:bottom w:val="none" w:sz="0" w:space="0" w:color="auto"/>
        <w:right w:val="none" w:sz="0" w:space="0" w:color="auto"/>
      </w:divBdr>
    </w:div>
    <w:div w:id="339935516">
      <w:bodyDiv w:val="1"/>
      <w:marLeft w:val="0"/>
      <w:marRight w:val="0"/>
      <w:marTop w:val="0"/>
      <w:marBottom w:val="0"/>
      <w:divBdr>
        <w:top w:val="none" w:sz="0" w:space="0" w:color="auto"/>
        <w:left w:val="none" w:sz="0" w:space="0" w:color="auto"/>
        <w:bottom w:val="none" w:sz="0" w:space="0" w:color="auto"/>
        <w:right w:val="none" w:sz="0" w:space="0" w:color="auto"/>
      </w:divBdr>
    </w:div>
    <w:div w:id="528446809">
      <w:bodyDiv w:val="1"/>
      <w:marLeft w:val="0"/>
      <w:marRight w:val="0"/>
      <w:marTop w:val="0"/>
      <w:marBottom w:val="0"/>
      <w:divBdr>
        <w:top w:val="none" w:sz="0" w:space="0" w:color="auto"/>
        <w:left w:val="none" w:sz="0" w:space="0" w:color="auto"/>
        <w:bottom w:val="none" w:sz="0" w:space="0" w:color="auto"/>
        <w:right w:val="none" w:sz="0" w:space="0" w:color="auto"/>
      </w:divBdr>
    </w:div>
    <w:div w:id="531696241">
      <w:bodyDiv w:val="1"/>
      <w:marLeft w:val="0"/>
      <w:marRight w:val="0"/>
      <w:marTop w:val="0"/>
      <w:marBottom w:val="0"/>
      <w:divBdr>
        <w:top w:val="none" w:sz="0" w:space="0" w:color="auto"/>
        <w:left w:val="none" w:sz="0" w:space="0" w:color="auto"/>
        <w:bottom w:val="none" w:sz="0" w:space="0" w:color="auto"/>
        <w:right w:val="none" w:sz="0" w:space="0" w:color="auto"/>
      </w:divBdr>
    </w:div>
    <w:div w:id="532040046">
      <w:bodyDiv w:val="1"/>
      <w:marLeft w:val="0"/>
      <w:marRight w:val="0"/>
      <w:marTop w:val="0"/>
      <w:marBottom w:val="0"/>
      <w:divBdr>
        <w:top w:val="none" w:sz="0" w:space="0" w:color="auto"/>
        <w:left w:val="none" w:sz="0" w:space="0" w:color="auto"/>
        <w:bottom w:val="none" w:sz="0" w:space="0" w:color="auto"/>
        <w:right w:val="none" w:sz="0" w:space="0" w:color="auto"/>
      </w:divBdr>
    </w:div>
    <w:div w:id="578639804">
      <w:bodyDiv w:val="1"/>
      <w:marLeft w:val="0"/>
      <w:marRight w:val="0"/>
      <w:marTop w:val="0"/>
      <w:marBottom w:val="0"/>
      <w:divBdr>
        <w:top w:val="none" w:sz="0" w:space="0" w:color="auto"/>
        <w:left w:val="none" w:sz="0" w:space="0" w:color="auto"/>
        <w:bottom w:val="none" w:sz="0" w:space="0" w:color="auto"/>
        <w:right w:val="none" w:sz="0" w:space="0" w:color="auto"/>
      </w:divBdr>
    </w:div>
    <w:div w:id="655647430">
      <w:bodyDiv w:val="1"/>
      <w:marLeft w:val="0"/>
      <w:marRight w:val="0"/>
      <w:marTop w:val="0"/>
      <w:marBottom w:val="0"/>
      <w:divBdr>
        <w:top w:val="none" w:sz="0" w:space="0" w:color="auto"/>
        <w:left w:val="none" w:sz="0" w:space="0" w:color="auto"/>
        <w:bottom w:val="none" w:sz="0" w:space="0" w:color="auto"/>
        <w:right w:val="none" w:sz="0" w:space="0" w:color="auto"/>
      </w:divBdr>
    </w:div>
    <w:div w:id="655885649">
      <w:bodyDiv w:val="1"/>
      <w:marLeft w:val="0"/>
      <w:marRight w:val="0"/>
      <w:marTop w:val="0"/>
      <w:marBottom w:val="0"/>
      <w:divBdr>
        <w:top w:val="none" w:sz="0" w:space="0" w:color="auto"/>
        <w:left w:val="none" w:sz="0" w:space="0" w:color="auto"/>
        <w:bottom w:val="none" w:sz="0" w:space="0" w:color="auto"/>
        <w:right w:val="none" w:sz="0" w:space="0" w:color="auto"/>
      </w:divBdr>
    </w:div>
    <w:div w:id="715276030">
      <w:bodyDiv w:val="1"/>
      <w:marLeft w:val="0"/>
      <w:marRight w:val="0"/>
      <w:marTop w:val="0"/>
      <w:marBottom w:val="0"/>
      <w:divBdr>
        <w:top w:val="none" w:sz="0" w:space="0" w:color="auto"/>
        <w:left w:val="none" w:sz="0" w:space="0" w:color="auto"/>
        <w:bottom w:val="none" w:sz="0" w:space="0" w:color="auto"/>
        <w:right w:val="none" w:sz="0" w:space="0" w:color="auto"/>
      </w:divBdr>
    </w:div>
    <w:div w:id="719986719">
      <w:bodyDiv w:val="1"/>
      <w:marLeft w:val="0"/>
      <w:marRight w:val="0"/>
      <w:marTop w:val="0"/>
      <w:marBottom w:val="0"/>
      <w:divBdr>
        <w:top w:val="none" w:sz="0" w:space="0" w:color="auto"/>
        <w:left w:val="none" w:sz="0" w:space="0" w:color="auto"/>
        <w:bottom w:val="none" w:sz="0" w:space="0" w:color="auto"/>
        <w:right w:val="none" w:sz="0" w:space="0" w:color="auto"/>
      </w:divBdr>
    </w:div>
    <w:div w:id="722826213">
      <w:bodyDiv w:val="1"/>
      <w:marLeft w:val="0"/>
      <w:marRight w:val="0"/>
      <w:marTop w:val="0"/>
      <w:marBottom w:val="0"/>
      <w:divBdr>
        <w:top w:val="none" w:sz="0" w:space="0" w:color="auto"/>
        <w:left w:val="none" w:sz="0" w:space="0" w:color="auto"/>
        <w:bottom w:val="none" w:sz="0" w:space="0" w:color="auto"/>
        <w:right w:val="none" w:sz="0" w:space="0" w:color="auto"/>
      </w:divBdr>
    </w:div>
    <w:div w:id="723480097">
      <w:bodyDiv w:val="1"/>
      <w:marLeft w:val="0"/>
      <w:marRight w:val="0"/>
      <w:marTop w:val="0"/>
      <w:marBottom w:val="0"/>
      <w:divBdr>
        <w:top w:val="none" w:sz="0" w:space="0" w:color="auto"/>
        <w:left w:val="none" w:sz="0" w:space="0" w:color="auto"/>
        <w:bottom w:val="none" w:sz="0" w:space="0" w:color="auto"/>
        <w:right w:val="none" w:sz="0" w:space="0" w:color="auto"/>
      </w:divBdr>
    </w:div>
    <w:div w:id="775489669">
      <w:bodyDiv w:val="1"/>
      <w:marLeft w:val="0"/>
      <w:marRight w:val="0"/>
      <w:marTop w:val="0"/>
      <w:marBottom w:val="0"/>
      <w:divBdr>
        <w:top w:val="none" w:sz="0" w:space="0" w:color="auto"/>
        <w:left w:val="none" w:sz="0" w:space="0" w:color="auto"/>
        <w:bottom w:val="none" w:sz="0" w:space="0" w:color="auto"/>
        <w:right w:val="none" w:sz="0" w:space="0" w:color="auto"/>
      </w:divBdr>
    </w:div>
    <w:div w:id="808398494">
      <w:bodyDiv w:val="1"/>
      <w:marLeft w:val="0"/>
      <w:marRight w:val="0"/>
      <w:marTop w:val="0"/>
      <w:marBottom w:val="0"/>
      <w:divBdr>
        <w:top w:val="none" w:sz="0" w:space="0" w:color="auto"/>
        <w:left w:val="none" w:sz="0" w:space="0" w:color="auto"/>
        <w:bottom w:val="none" w:sz="0" w:space="0" w:color="auto"/>
        <w:right w:val="none" w:sz="0" w:space="0" w:color="auto"/>
      </w:divBdr>
    </w:div>
    <w:div w:id="847014786">
      <w:bodyDiv w:val="1"/>
      <w:marLeft w:val="0"/>
      <w:marRight w:val="0"/>
      <w:marTop w:val="0"/>
      <w:marBottom w:val="0"/>
      <w:divBdr>
        <w:top w:val="none" w:sz="0" w:space="0" w:color="auto"/>
        <w:left w:val="none" w:sz="0" w:space="0" w:color="auto"/>
        <w:bottom w:val="none" w:sz="0" w:space="0" w:color="auto"/>
        <w:right w:val="none" w:sz="0" w:space="0" w:color="auto"/>
      </w:divBdr>
    </w:div>
    <w:div w:id="976955203">
      <w:bodyDiv w:val="1"/>
      <w:marLeft w:val="0"/>
      <w:marRight w:val="0"/>
      <w:marTop w:val="0"/>
      <w:marBottom w:val="0"/>
      <w:divBdr>
        <w:top w:val="none" w:sz="0" w:space="0" w:color="auto"/>
        <w:left w:val="none" w:sz="0" w:space="0" w:color="auto"/>
        <w:bottom w:val="none" w:sz="0" w:space="0" w:color="auto"/>
        <w:right w:val="none" w:sz="0" w:space="0" w:color="auto"/>
      </w:divBdr>
    </w:div>
    <w:div w:id="992298158">
      <w:bodyDiv w:val="1"/>
      <w:marLeft w:val="0"/>
      <w:marRight w:val="0"/>
      <w:marTop w:val="0"/>
      <w:marBottom w:val="0"/>
      <w:divBdr>
        <w:top w:val="none" w:sz="0" w:space="0" w:color="auto"/>
        <w:left w:val="none" w:sz="0" w:space="0" w:color="auto"/>
        <w:bottom w:val="none" w:sz="0" w:space="0" w:color="auto"/>
        <w:right w:val="none" w:sz="0" w:space="0" w:color="auto"/>
      </w:divBdr>
    </w:div>
    <w:div w:id="1161701958">
      <w:bodyDiv w:val="1"/>
      <w:marLeft w:val="0"/>
      <w:marRight w:val="0"/>
      <w:marTop w:val="0"/>
      <w:marBottom w:val="0"/>
      <w:divBdr>
        <w:top w:val="none" w:sz="0" w:space="0" w:color="auto"/>
        <w:left w:val="none" w:sz="0" w:space="0" w:color="auto"/>
        <w:bottom w:val="none" w:sz="0" w:space="0" w:color="auto"/>
        <w:right w:val="none" w:sz="0" w:space="0" w:color="auto"/>
      </w:divBdr>
    </w:div>
    <w:div w:id="1199784355">
      <w:bodyDiv w:val="1"/>
      <w:marLeft w:val="0"/>
      <w:marRight w:val="0"/>
      <w:marTop w:val="0"/>
      <w:marBottom w:val="0"/>
      <w:divBdr>
        <w:top w:val="none" w:sz="0" w:space="0" w:color="auto"/>
        <w:left w:val="none" w:sz="0" w:space="0" w:color="auto"/>
        <w:bottom w:val="none" w:sz="0" w:space="0" w:color="auto"/>
        <w:right w:val="none" w:sz="0" w:space="0" w:color="auto"/>
      </w:divBdr>
    </w:div>
    <w:div w:id="1240209648">
      <w:bodyDiv w:val="1"/>
      <w:marLeft w:val="0"/>
      <w:marRight w:val="0"/>
      <w:marTop w:val="0"/>
      <w:marBottom w:val="0"/>
      <w:divBdr>
        <w:top w:val="none" w:sz="0" w:space="0" w:color="auto"/>
        <w:left w:val="none" w:sz="0" w:space="0" w:color="auto"/>
        <w:bottom w:val="none" w:sz="0" w:space="0" w:color="auto"/>
        <w:right w:val="none" w:sz="0" w:space="0" w:color="auto"/>
      </w:divBdr>
    </w:div>
    <w:div w:id="1275673162">
      <w:bodyDiv w:val="1"/>
      <w:marLeft w:val="0"/>
      <w:marRight w:val="0"/>
      <w:marTop w:val="0"/>
      <w:marBottom w:val="0"/>
      <w:divBdr>
        <w:top w:val="none" w:sz="0" w:space="0" w:color="auto"/>
        <w:left w:val="none" w:sz="0" w:space="0" w:color="auto"/>
        <w:bottom w:val="none" w:sz="0" w:space="0" w:color="auto"/>
        <w:right w:val="none" w:sz="0" w:space="0" w:color="auto"/>
      </w:divBdr>
    </w:div>
    <w:div w:id="1275937342">
      <w:bodyDiv w:val="1"/>
      <w:marLeft w:val="0"/>
      <w:marRight w:val="0"/>
      <w:marTop w:val="0"/>
      <w:marBottom w:val="0"/>
      <w:divBdr>
        <w:top w:val="none" w:sz="0" w:space="0" w:color="auto"/>
        <w:left w:val="none" w:sz="0" w:space="0" w:color="auto"/>
        <w:bottom w:val="none" w:sz="0" w:space="0" w:color="auto"/>
        <w:right w:val="none" w:sz="0" w:space="0" w:color="auto"/>
      </w:divBdr>
    </w:div>
    <w:div w:id="1277523549">
      <w:bodyDiv w:val="1"/>
      <w:marLeft w:val="0"/>
      <w:marRight w:val="0"/>
      <w:marTop w:val="0"/>
      <w:marBottom w:val="0"/>
      <w:divBdr>
        <w:top w:val="none" w:sz="0" w:space="0" w:color="auto"/>
        <w:left w:val="none" w:sz="0" w:space="0" w:color="auto"/>
        <w:bottom w:val="none" w:sz="0" w:space="0" w:color="auto"/>
        <w:right w:val="none" w:sz="0" w:space="0" w:color="auto"/>
      </w:divBdr>
    </w:div>
    <w:div w:id="1295603006">
      <w:bodyDiv w:val="1"/>
      <w:marLeft w:val="0"/>
      <w:marRight w:val="0"/>
      <w:marTop w:val="0"/>
      <w:marBottom w:val="0"/>
      <w:divBdr>
        <w:top w:val="none" w:sz="0" w:space="0" w:color="auto"/>
        <w:left w:val="none" w:sz="0" w:space="0" w:color="auto"/>
        <w:bottom w:val="none" w:sz="0" w:space="0" w:color="auto"/>
        <w:right w:val="none" w:sz="0" w:space="0" w:color="auto"/>
      </w:divBdr>
    </w:div>
    <w:div w:id="1309283934">
      <w:bodyDiv w:val="1"/>
      <w:marLeft w:val="0"/>
      <w:marRight w:val="0"/>
      <w:marTop w:val="0"/>
      <w:marBottom w:val="0"/>
      <w:divBdr>
        <w:top w:val="none" w:sz="0" w:space="0" w:color="auto"/>
        <w:left w:val="none" w:sz="0" w:space="0" w:color="auto"/>
        <w:bottom w:val="none" w:sz="0" w:space="0" w:color="auto"/>
        <w:right w:val="none" w:sz="0" w:space="0" w:color="auto"/>
      </w:divBdr>
      <w:divsChild>
        <w:div w:id="723678100">
          <w:marLeft w:val="0"/>
          <w:marRight w:val="0"/>
          <w:marTop w:val="0"/>
          <w:marBottom w:val="0"/>
          <w:divBdr>
            <w:top w:val="none" w:sz="0" w:space="0" w:color="auto"/>
            <w:left w:val="none" w:sz="0" w:space="0" w:color="auto"/>
            <w:bottom w:val="none" w:sz="0" w:space="0" w:color="auto"/>
            <w:right w:val="none" w:sz="0" w:space="0" w:color="auto"/>
          </w:divBdr>
          <w:divsChild>
            <w:div w:id="122683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675861">
      <w:bodyDiv w:val="1"/>
      <w:marLeft w:val="0"/>
      <w:marRight w:val="0"/>
      <w:marTop w:val="0"/>
      <w:marBottom w:val="0"/>
      <w:divBdr>
        <w:top w:val="none" w:sz="0" w:space="0" w:color="auto"/>
        <w:left w:val="none" w:sz="0" w:space="0" w:color="auto"/>
        <w:bottom w:val="none" w:sz="0" w:space="0" w:color="auto"/>
        <w:right w:val="none" w:sz="0" w:space="0" w:color="auto"/>
      </w:divBdr>
    </w:div>
    <w:div w:id="1507283239">
      <w:bodyDiv w:val="1"/>
      <w:marLeft w:val="0"/>
      <w:marRight w:val="0"/>
      <w:marTop w:val="0"/>
      <w:marBottom w:val="0"/>
      <w:divBdr>
        <w:top w:val="none" w:sz="0" w:space="0" w:color="auto"/>
        <w:left w:val="none" w:sz="0" w:space="0" w:color="auto"/>
        <w:bottom w:val="none" w:sz="0" w:space="0" w:color="auto"/>
        <w:right w:val="none" w:sz="0" w:space="0" w:color="auto"/>
      </w:divBdr>
    </w:div>
    <w:div w:id="1627421878">
      <w:bodyDiv w:val="1"/>
      <w:marLeft w:val="0"/>
      <w:marRight w:val="0"/>
      <w:marTop w:val="0"/>
      <w:marBottom w:val="0"/>
      <w:divBdr>
        <w:top w:val="none" w:sz="0" w:space="0" w:color="auto"/>
        <w:left w:val="none" w:sz="0" w:space="0" w:color="auto"/>
        <w:bottom w:val="none" w:sz="0" w:space="0" w:color="auto"/>
        <w:right w:val="none" w:sz="0" w:space="0" w:color="auto"/>
      </w:divBdr>
    </w:div>
    <w:div w:id="1668746596">
      <w:bodyDiv w:val="1"/>
      <w:marLeft w:val="0"/>
      <w:marRight w:val="0"/>
      <w:marTop w:val="0"/>
      <w:marBottom w:val="0"/>
      <w:divBdr>
        <w:top w:val="none" w:sz="0" w:space="0" w:color="auto"/>
        <w:left w:val="none" w:sz="0" w:space="0" w:color="auto"/>
        <w:bottom w:val="none" w:sz="0" w:space="0" w:color="auto"/>
        <w:right w:val="none" w:sz="0" w:space="0" w:color="auto"/>
      </w:divBdr>
    </w:div>
    <w:div w:id="1827815539">
      <w:bodyDiv w:val="1"/>
      <w:marLeft w:val="0"/>
      <w:marRight w:val="0"/>
      <w:marTop w:val="0"/>
      <w:marBottom w:val="0"/>
      <w:divBdr>
        <w:top w:val="none" w:sz="0" w:space="0" w:color="auto"/>
        <w:left w:val="none" w:sz="0" w:space="0" w:color="auto"/>
        <w:bottom w:val="none" w:sz="0" w:space="0" w:color="auto"/>
        <w:right w:val="none" w:sz="0" w:space="0" w:color="auto"/>
      </w:divBdr>
    </w:div>
    <w:div w:id="1833907228">
      <w:bodyDiv w:val="1"/>
      <w:marLeft w:val="0"/>
      <w:marRight w:val="0"/>
      <w:marTop w:val="0"/>
      <w:marBottom w:val="0"/>
      <w:divBdr>
        <w:top w:val="none" w:sz="0" w:space="0" w:color="auto"/>
        <w:left w:val="none" w:sz="0" w:space="0" w:color="auto"/>
        <w:bottom w:val="none" w:sz="0" w:space="0" w:color="auto"/>
        <w:right w:val="none" w:sz="0" w:space="0" w:color="auto"/>
      </w:divBdr>
    </w:div>
    <w:div w:id="1852645111">
      <w:bodyDiv w:val="1"/>
      <w:marLeft w:val="0"/>
      <w:marRight w:val="0"/>
      <w:marTop w:val="0"/>
      <w:marBottom w:val="0"/>
      <w:divBdr>
        <w:top w:val="none" w:sz="0" w:space="0" w:color="auto"/>
        <w:left w:val="none" w:sz="0" w:space="0" w:color="auto"/>
        <w:bottom w:val="none" w:sz="0" w:space="0" w:color="auto"/>
        <w:right w:val="none" w:sz="0" w:space="0" w:color="auto"/>
      </w:divBdr>
    </w:div>
    <w:div w:id="1948780100">
      <w:bodyDiv w:val="1"/>
      <w:marLeft w:val="0"/>
      <w:marRight w:val="0"/>
      <w:marTop w:val="0"/>
      <w:marBottom w:val="0"/>
      <w:divBdr>
        <w:top w:val="none" w:sz="0" w:space="0" w:color="auto"/>
        <w:left w:val="none" w:sz="0" w:space="0" w:color="auto"/>
        <w:bottom w:val="none" w:sz="0" w:space="0" w:color="auto"/>
        <w:right w:val="none" w:sz="0" w:space="0" w:color="auto"/>
      </w:divBdr>
    </w:div>
    <w:div w:id="2023385940">
      <w:bodyDiv w:val="1"/>
      <w:marLeft w:val="0"/>
      <w:marRight w:val="0"/>
      <w:marTop w:val="0"/>
      <w:marBottom w:val="0"/>
      <w:divBdr>
        <w:top w:val="none" w:sz="0" w:space="0" w:color="auto"/>
        <w:left w:val="none" w:sz="0" w:space="0" w:color="auto"/>
        <w:bottom w:val="none" w:sz="0" w:space="0" w:color="auto"/>
        <w:right w:val="none" w:sz="0" w:space="0" w:color="auto"/>
      </w:divBdr>
    </w:div>
    <w:div w:id="2099860896">
      <w:bodyDiv w:val="1"/>
      <w:marLeft w:val="0"/>
      <w:marRight w:val="0"/>
      <w:marTop w:val="0"/>
      <w:marBottom w:val="0"/>
      <w:divBdr>
        <w:top w:val="none" w:sz="0" w:space="0" w:color="auto"/>
        <w:left w:val="none" w:sz="0" w:space="0" w:color="auto"/>
        <w:bottom w:val="none" w:sz="0" w:space="0" w:color="auto"/>
        <w:right w:val="none" w:sz="0" w:space="0" w:color="auto"/>
      </w:divBdr>
    </w:div>
    <w:div w:id="2104640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She12</b:Tag>
    <b:SourceType>JournalArticle</b:SourceType>
    <b:Guid>{54953BAC-C5C5-4D83-81D8-24B883C7F670}</b:Guid>
    <b:Title>Modelling in-furnace phenomena of pulverized coal injection in ironmaking blast furnace: Effect of coke bed porosities</b:Title>
    <b:JournalName>Minerals Engineering</b:JournalName>
    <b:Year>2012</b:Year>
    <b:Pages>54-65</b:Pages>
    <b:Author>
      <b:Author>
        <b:NameList>
          <b:Person>
            <b:Last>Shen</b:Last>
            <b:First>Y.</b:First>
            <b:Middle>Zuilli, P.</b:Middle>
          </b:Person>
        </b:NameList>
      </b:Author>
    </b:Author>
    <b:Publisher>Elsevier</b:Publisher>
    <b:Volume>33</b:Volume>
    <b:RefOrder>1</b:RefOrder>
  </b:Source>
  <b:Source>
    <b:Tag>Cam19</b:Tag>
    <b:SourceType>JournalArticle</b:SourceType>
    <b:Guid>{93D50148-EA0D-4000-AF2E-D82A07029060}</b:Guid>
    <b:Author>
      <b:Author>
        <b:NameList>
          <b:Person>
            <b:Last>Cameron</b:Last>
            <b:First>I.</b:First>
            <b:Middle>Davenport, W.</b:Middle>
          </b:Person>
        </b:NameList>
      </b:Author>
    </b:Author>
    <b:Title>Chapter 56 - Blast Furnace Fuel Injection </b:Title>
    <b:JournalName>Blast Furnace Ironmaking - Analysis, Control and Optimization</b:JournalName>
    <b:Year>2019</b:Year>
    <b:Pages>573-600</b:Pages>
    <b:Publisher>Elsevier</b:Publisher>
    <b:RefOrder>2</b:RefOrder>
  </b:Source>
  <b:Source>
    <b:Tag>Bor83</b:Tag>
    <b:SourceType>Report</b:SourceType>
    <b:Guid>{7AC33BB4-C98F-4ED0-9A16-BCECB25BEF3C}</b:Guid>
    <b:Title>Coal injection into the blast furnace</b:Title>
    <b:Year>1983</b:Year>
    <b:Publisher>Commission of the European Communities</b:Publisher>
    <b:City>Brussels</b:City>
    <b:Author>
      <b:Author>
        <b:NameList>
          <b:Person>
            <b:Last>Bortz</b:Last>
            <b:First>S</b:First>
          </b:Person>
        </b:NameList>
      </b:Author>
    </b:Author>
    <b:RefOrder>3</b:RefOrder>
  </b:Source>
  <b:Source>
    <b:Tag>Hum12</b:Tag>
    <b:SourceType>Book</b:SourceType>
    <b:Guid>{BD30806D-A405-43DA-A161-9CFFF9DEC808}</b:Guid>
    <b:Title>Chemical Agents and Related Occupations</b:Title>
    <b:Year>2012</b:Year>
    <b:Publisher>International Agency for Research on Cancer </b:Publisher>
    <b:City>Lyon</b:City>
    <b:Author>
      <b:Author>
        <b:NameList>
          <b:Person>
            <b:Last>Humans</b:Last>
            <b:First>IARC</b:First>
            <b:Middle>Working Group on the Evaluation of Carcinogenic Risk to</b:Middle>
          </b:Person>
        </b:NameList>
      </b:Author>
    </b:Author>
    <b:RefOrder>4</b:RefOrder>
  </b:Source>
  <b:Source>
    <b:Tag>USD00</b:Tag>
    <b:SourceType>Report</b:SourceType>
    <b:Guid>{EA888A1D-C396-4FA6-99EC-8EC2F9841FF4}</b:Guid>
    <b:Title>Blast Furnace Granulated Coal Injection</b:Title>
    <b:Year>2000</b:Year>
    <b:City>Pittsburgh</b:City>
    <b:Publisher>U.S Department of Energy</b:Publisher>
    <b:Author>
      <b:Author>
        <b:NameList>
          <b:Person>
            <b:Last>Energy</b:Last>
            <b:First>U.S</b:First>
            <b:Middle>Department of</b:Middle>
          </b:Person>
        </b:NameList>
      </b:Author>
    </b:Author>
    <b:Pages>5-6</b:Pages>
    <b:RefOrder>6</b:RefOrder>
  </b:Source>
  <b:Source>
    <b:Tag>Web19</b:Tag>
    <b:SourceType>InternetSite</b:SourceType>
    <b:Guid>{D5424470-8B3B-474B-9D70-C48C9B042BEF}</b:Guid>
    <b:Title>CPI Calculator</b:Title>
    <b:Year>2019</b:Year>
    <b:InternetSiteTitle>www.in2013dollars.com</b:InternetSiteTitle>
    <b:URL>https://www.in2013dollars.com/us/inflation/1993?amount=100</b:URL>
    <b:Author>
      <b:Author>
        <b:NameList>
          <b:Person>
            <b:Last>Webster</b:Last>
            <b:First>I</b:First>
          </b:Person>
        </b:NameList>
      </b:Author>
    </b:Author>
    <b:YearAccessed>2019</b:YearAccessed>
    <b:MonthAccessed>November</b:MonthAccessed>
    <b:RefOrder>5</b:RefOrder>
  </b:Source>
</b:Sources>
</file>

<file path=customXml/itemProps1.xml><?xml version="1.0" encoding="utf-8"?>
<ds:datastoreItem xmlns:ds="http://schemas.openxmlformats.org/officeDocument/2006/customXml" ds:itemID="{5155315A-E6DD-41E1-8B2B-9AAA3736B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96ABD9CB</Template>
  <TotalTime>0</TotalTime>
  <Pages>5</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Bateman (1809092)</dc:creator>
  <cp:keywords/>
  <dc:description/>
  <cp:lastModifiedBy>Bateman, Elliot</cp:lastModifiedBy>
  <cp:revision>2</cp:revision>
  <dcterms:created xsi:type="dcterms:W3CDTF">2019-11-21T22:53:00Z</dcterms:created>
  <dcterms:modified xsi:type="dcterms:W3CDTF">2019-11-21T22:53:00Z</dcterms:modified>
</cp:coreProperties>
</file>