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1AE43D3">
      <w:pPr>
        <w:pStyle w:val="9"/>
        <w:spacing w:before="1540" w:after="240" w:line="360" w:lineRule="auto"/>
        <w:jc w:val="center"/>
        <w:rPr>
          <w:rFonts w:ascii="Times New Roman" w:hAnsi="Times New Roman" w:cs="Times New Roman" w:eastAsiaTheme="majorEastAsia"/>
          <w:caps/>
          <w:sz w:val="24"/>
          <w:szCs w:val="24"/>
        </w:rPr>
      </w:pPr>
      <w:r>
        <w:rPr>
          <w:rFonts w:ascii="Times New Roman" w:hAnsi="Times New Roman" w:cs="Times New Roman" w:eastAsiaTheme="majorEastAsia"/>
          <w:b/>
          <w:bCs/>
          <w:caps/>
          <w:sz w:val="24"/>
          <w:szCs w:val="24"/>
        </w:rPr>
        <w:t>Artificial Intelligence and Risk Management.</w:t>
      </w:r>
    </w:p>
    <w:sdt>
      <w:sdtPr>
        <w:rPr>
          <w:rFonts w:ascii="Times New Roman" w:hAnsi="Times New Roman" w:cs="Times New Roman" w:eastAsiaTheme="majorEastAsia"/>
          <w:b/>
          <w:bCs/>
          <w:caps/>
          <w:sz w:val="24"/>
          <w:szCs w:val="24"/>
        </w:rPr>
        <w:alias w:val="Subtitle"/>
        <w:id w:val="328029620"/>
        <w:text/>
      </w:sdtPr>
      <w:sdtEndPr>
        <w:rPr>
          <w:rFonts w:ascii="Times New Roman" w:hAnsi="Times New Roman" w:cs="Times New Roman" w:eastAsiaTheme="majorEastAsia"/>
          <w:b/>
          <w:bCs/>
          <w:caps/>
          <w:sz w:val="24"/>
          <w:szCs w:val="24"/>
        </w:rPr>
      </w:sdtEndPr>
      <w:sdtContent>
        <w:p w14:paraId="475B7674">
          <w:pPr>
            <w:pStyle w:val="9"/>
            <w:spacing w:line="360" w:lineRule="auto"/>
            <w:jc w:val="center"/>
            <w:rPr>
              <w:rFonts w:ascii="Times New Roman" w:hAnsi="Times New Roman" w:cs="Times New Roman"/>
              <w:sz w:val="24"/>
              <w:szCs w:val="24"/>
            </w:rPr>
          </w:pPr>
          <w:r>
            <w:rPr>
              <w:rFonts w:ascii="Times New Roman" w:hAnsi="Times New Roman" w:cs="Times New Roman" w:eastAsiaTheme="majorEastAsia"/>
              <w:b/>
              <w:bCs/>
              <w:caps/>
              <w:sz w:val="24"/>
              <w:szCs w:val="24"/>
            </w:rPr>
            <w:t>A COMPARATIVE ANALYSIS OF MICROSOFT’S OPERATIONS IN THE UNITED KINGDOM AND THE UNITED STATES</w:t>
          </w:r>
        </w:p>
      </w:sdtContent>
    </w:sdt>
    <w:p w14:paraId="1ADC1124">
      <w:pPr>
        <w:pStyle w:val="9"/>
        <w:spacing w:before="480" w:line="360" w:lineRule="auto"/>
        <w:jc w:val="center"/>
        <w:rPr>
          <w:rFonts w:ascii="Times New Roman" w:hAnsi="Times New Roman" w:cs="Times New Roman"/>
          <w:color w:val="4874CB" w:themeColor="accent1"/>
          <w:sz w:val="24"/>
          <w:szCs w:val="24"/>
          <w14:textFill>
            <w14:solidFill>
              <w14:schemeClr w14:val="accent1"/>
            </w14:solidFill>
          </w14:textFill>
        </w:rPr>
      </w:pPr>
      <w:r>
        <w:rPr>
          <w:rFonts w:ascii="Times New Roman" w:hAnsi="Times New Roman" w:cs="Times New Roman"/>
          <w:color w:val="4874CB" w:themeColor="accent1"/>
          <w:sz w:val="24"/>
          <w:szCs w:val="24"/>
          <w:lang w:val="en-GB" w:eastAsia="en-GB"/>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BAF8D9">
                            <w:pPr>
                              <w:pStyle w:val="9"/>
                              <w:spacing w:after="40"/>
                              <w:jc w:val="center"/>
                              <w:rPr>
                                <w:caps/>
                                <w:color w:val="4874CB" w:themeColor="accent1"/>
                                <w:sz w:val="28"/>
                                <w:szCs w:val="28"/>
                                <w14:textFill>
                                  <w14:solidFill>
                                    <w14:schemeClr w14:val="accent1"/>
                                  </w14:solidFill>
                                </w14:textFill>
                              </w:rPr>
                            </w:pPr>
                          </w:p>
                          <w:p w14:paraId="69E98CB3">
                            <w:pPr>
                              <w:pStyle w:val="9"/>
                              <w:jc w:val="center"/>
                              <w:rPr>
                                <w:color w:val="4874CB" w:themeColor="accent1"/>
                                <w14:textFill>
                                  <w14:solidFill>
                                    <w14:schemeClr w14:val="accent1"/>
                                  </w14:solidFill>
                                </w14:textFill>
                              </w:rPr>
                            </w:pPr>
                            <w:sdt>
                              <w:sdtPr>
                                <w:rPr>
                                  <w:caps/>
                                  <w:color w:val="4874CB" w:themeColor="accent1"/>
                                  <w14:textFill>
                                    <w14:solidFill>
                                      <w14:schemeClr w14:val="accent1"/>
                                    </w14:solidFill>
                                  </w14:textFill>
                                </w:rPr>
                                <w:alias w:val="Company"/>
                                <w:id w:val="1390145197"/>
                                <w:text/>
                              </w:sdtPr>
                              <w:sdtEndPr>
                                <w:rPr>
                                  <w:caps/>
                                  <w:color w:val="4874CB" w:themeColor="accent1"/>
                                  <w14:textFill>
                                    <w14:solidFill>
                                      <w14:schemeClr w14:val="accent1"/>
                                    </w14:solidFill>
                                  </w14:textFill>
                                </w:rPr>
                              </w:sdtEndPr>
                              <w:sdtContent>
                                <w:r>
                                  <w:rPr>
                                    <w:caps/>
                                    <w:color w:val="4874CB" w:themeColor="accent1"/>
                                    <w:lang w:val="en-GB"/>
                                    <w14:textFill>
                                      <w14:solidFill>
                                        <w14:schemeClr w14:val="accent1"/>
                                      </w14:solidFill>
                                    </w14:textFill>
                                  </w:rPr>
                                  <w:t>University of Wales Trinity Saint David</w:t>
                                </w:r>
                              </w:sdtContent>
                            </w:sdt>
                          </w:p>
                          <w:p w14:paraId="3FC79022">
                            <w:pPr>
                              <w:pStyle w:val="9"/>
                              <w:jc w:val="center"/>
                              <w:rPr>
                                <w:color w:val="4874CB" w:themeColor="accent1"/>
                                <w14:textFill>
                                  <w14:solidFill>
                                    <w14:schemeClr w14:val="accent1"/>
                                  </w14:solidFill>
                                </w14:textFill>
                              </w:rPr>
                            </w:pPr>
                            <w:sdt>
                              <w:sdtPr>
                                <w:rPr>
                                  <w:color w:val="4874CB" w:themeColor="accent1"/>
                                  <w14:textFill>
                                    <w14:solidFill>
                                      <w14:schemeClr w14:val="accent1"/>
                                    </w14:solidFill>
                                  </w14:textFill>
                                </w:rPr>
                                <w:alias w:val="Address"/>
                                <w:id w:val="-1"/>
                                <w:showingPlcHdr/>
                                <w:text/>
                              </w:sdtPr>
                              <w:sdtEndPr>
                                <w:rPr>
                                  <w:color w:val="4874CB" w:themeColor="accent1"/>
                                  <w14:textFill>
                                    <w14:solidFill>
                                      <w14:schemeClr w14:val="accent1"/>
                                    </w14:solidFill>
                                  </w14:textFill>
                                </w:rPr>
                              </w:sdtEndPr>
                              <w:sdtContent>
                                <w:r>
                                  <w:rPr>
                                    <w:color w:val="4874CB"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Text Box 142" o:spid="_x0000_s1026" o:spt="202" type="#_x0000_t202" style="position:absolute;left:0pt;margin-left:90pt;margin-top:715.6pt;height:46.45pt;width:451.3pt;mso-position-horizontal-relative:page;mso-position-vertical-relative:page;z-index:251659264;v-text-anchor:bottom;mso-width-relative:margin;mso-height-relative:page;mso-width-percent:1000;" filled="f" stroked="f" coordsize="21600,21600" o:gfxdata="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JMIHEjWAAAABAEAAA8AAAAAAAAAAQAgAAAAIgAAAGRycy9kb3ducmV2LnhtbFBLAQIUABQA&#10;AAAIAIdO4kBmP0cWKwIAAGcEAAAOAAAAAAAAAAEAIAAAACUBAABkcnMvZTJvRG9jLnhtbFBLBQYA&#10;AAAABgAGAFkBAADCBQAAAAA=&#10;">
                <v:fill on="f" focussize="0,0"/>
                <v:stroke on="f" weight="0.5pt"/>
                <v:imagedata o:title=""/>
                <o:lock v:ext="edit" aspectratio="f"/>
                <v:textbox inset="0mm,0mm,0mm,0mm" style="mso-fit-shape-to-text:t;">
                  <w:txbxContent>
                    <w:p w14:paraId="52BAF8D9">
                      <w:pPr>
                        <w:pStyle w:val="9"/>
                        <w:spacing w:after="40"/>
                        <w:jc w:val="center"/>
                        <w:rPr>
                          <w:caps/>
                          <w:color w:val="4874CB" w:themeColor="accent1"/>
                          <w:sz w:val="28"/>
                          <w:szCs w:val="28"/>
                          <w14:textFill>
                            <w14:solidFill>
                              <w14:schemeClr w14:val="accent1"/>
                            </w14:solidFill>
                          </w14:textFill>
                        </w:rPr>
                      </w:pPr>
                    </w:p>
                    <w:p w14:paraId="69E98CB3">
                      <w:pPr>
                        <w:pStyle w:val="9"/>
                        <w:jc w:val="center"/>
                        <w:rPr>
                          <w:color w:val="4874CB" w:themeColor="accent1"/>
                          <w14:textFill>
                            <w14:solidFill>
                              <w14:schemeClr w14:val="accent1"/>
                            </w14:solidFill>
                          </w14:textFill>
                        </w:rPr>
                      </w:pPr>
                      <w:sdt>
                        <w:sdtPr>
                          <w:rPr>
                            <w:caps/>
                            <w:color w:val="4874CB" w:themeColor="accent1"/>
                            <w14:textFill>
                              <w14:solidFill>
                                <w14:schemeClr w14:val="accent1"/>
                              </w14:solidFill>
                            </w14:textFill>
                          </w:rPr>
                          <w:alias w:val="Company"/>
                          <w:id w:val="1390145197"/>
                          <w:text/>
                        </w:sdtPr>
                        <w:sdtEndPr>
                          <w:rPr>
                            <w:caps/>
                            <w:color w:val="4874CB" w:themeColor="accent1"/>
                            <w14:textFill>
                              <w14:solidFill>
                                <w14:schemeClr w14:val="accent1"/>
                              </w14:solidFill>
                            </w14:textFill>
                          </w:rPr>
                        </w:sdtEndPr>
                        <w:sdtContent>
                          <w:r>
                            <w:rPr>
                              <w:caps/>
                              <w:color w:val="4874CB" w:themeColor="accent1"/>
                              <w:lang w:val="en-GB"/>
                              <w14:textFill>
                                <w14:solidFill>
                                  <w14:schemeClr w14:val="accent1"/>
                                </w14:solidFill>
                              </w14:textFill>
                            </w:rPr>
                            <w:t>University of Wales Trinity Saint David</w:t>
                          </w:r>
                        </w:sdtContent>
                      </w:sdt>
                    </w:p>
                    <w:p w14:paraId="3FC79022">
                      <w:pPr>
                        <w:pStyle w:val="9"/>
                        <w:jc w:val="center"/>
                        <w:rPr>
                          <w:color w:val="4874CB" w:themeColor="accent1"/>
                          <w14:textFill>
                            <w14:solidFill>
                              <w14:schemeClr w14:val="accent1"/>
                            </w14:solidFill>
                          </w14:textFill>
                        </w:rPr>
                      </w:pPr>
                      <w:sdt>
                        <w:sdtPr>
                          <w:rPr>
                            <w:color w:val="4874CB" w:themeColor="accent1"/>
                            <w14:textFill>
                              <w14:solidFill>
                                <w14:schemeClr w14:val="accent1"/>
                              </w14:solidFill>
                            </w14:textFill>
                          </w:rPr>
                          <w:alias w:val="Address"/>
                          <w:id w:val="-1"/>
                          <w:showingPlcHdr/>
                          <w:text/>
                        </w:sdtPr>
                        <w:sdtEndPr>
                          <w:rPr>
                            <w:color w:val="4874CB" w:themeColor="accent1"/>
                            <w14:textFill>
                              <w14:solidFill>
                                <w14:schemeClr w14:val="accent1"/>
                              </w14:solidFill>
                            </w14:textFill>
                          </w:rPr>
                        </w:sdtEndPr>
                        <w:sdtContent>
                          <w:r>
                            <w:rPr>
                              <w:color w:val="4874CB" w:themeColor="accent1"/>
                              <w14:textFill>
                                <w14:solidFill>
                                  <w14:schemeClr w14:val="accent1"/>
                                </w14:solidFill>
                              </w14:textFill>
                            </w:rPr>
                            <w:t xml:space="preserve">     </w:t>
                          </w:r>
                        </w:sdtContent>
                      </w:sdt>
                    </w:p>
                  </w:txbxContent>
                </v:textbox>
              </v:shape>
            </w:pict>
          </mc:Fallback>
        </mc:AlternateContent>
      </w:r>
    </w:p>
    <w:p w14:paraId="078A531F">
      <w:pPr>
        <w:pStyle w:val="2"/>
        <w:spacing w:line="360" w:lineRule="auto"/>
        <w:jc w:val="both"/>
        <w:rPr>
          <w:rFonts w:ascii="Times New Roman" w:hAnsi="Times New Roman" w:cs="Times New Roman"/>
          <w:b/>
          <w:bCs/>
          <w:color w:val="auto"/>
          <w:sz w:val="24"/>
          <w:szCs w:val="24"/>
        </w:rPr>
      </w:pPr>
      <w:r>
        <w:rPr>
          <w:rFonts w:ascii="Times New Roman" w:hAnsi="Times New Roman" w:cs="Times New Roman"/>
          <w:sz w:val="24"/>
          <w:szCs w:val="24"/>
        </w:rPr>
        <w:br w:type="page"/>
      </w:r>
      <w:bookmarkStart w:id="0" w:name="_Toc226821914"/>
      <w:r>
        <w:rPr>
          <w:rFonts w:ascii="Times New Roman" w:hAnsi="Times New Roman" w:cs="Times New Roman"/>
          <w:b/>
          <w:bCs/>
          <w:color w:val="auto"/>
          <w:sz w:val="24"/>
          <w:szCs w:val="24"/>
        </w:rPr>
        <w:t>Executive Summary</w:t>
      </w:r>
      <w:bookmarkEnd w:id="0"/>
    </w:p>
    <w:p w14:paraId="7F12D999">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will look at how artificial intelligence affects risk management in Microsoft with a comparative case study to focus on the United Kingdom and the United States. Microsoft has become a world leader in AI with technologies like Azure AI and Copilot and incorporates advanced technologies into enterprise and consumer apps. Although this presents a lot of opportunities to innovate, to be efficient, and to have a competitive advantage, it also introduces complex and interdependent risks that must be governed and managed in order.</w:t>
      </w:r>
    </w:p>
    <w:p w14:paraId="611FF07B">
      <w:pPr>
        <w:spacing w:line="360" w:lineRule="auto"/>
        <w:jc w:val="both"/>
        <w:rPr>
          <w:rFonts w:ascii="Times New Roman" w:hAnsi="Times New Roman" w:cs="Times New Roman"/>
          <w:sz w:val="24"/>
          <w:szCs w:val="24"/>
        </w:rPr>
      </w:pPr>
      <w:r>
        <w:rPr>
          <w:rFonts w:ascii="Times New Roman" w:hAnsi="Times New Roman" w:cs="Times New Roman"/>
          <w:sz w:val="24"/>
          <w:szCs w:val="24"/>
        </w:rPr>
        <w:t>The analysis has revealed four main risk areas, including data governance, ethical AI, regulatory compliance and customer trust. The risks of data governance are based on the fact that Microsoft provides massive data processing of sensitive information via its cloud system, which can be associated in particular with cross-border data transfer between the UK and the US, where the regulatory frameworks vary considerably. The ethical risks such as algorithmic bias, and absence of transparency reveal the discrepancy between the theoretical AI principles and the practical use. The difference in the approaches to regulation between the UK and the US, which is based on principles and the divided administrative landscape, heightens regulatory compliance risks and complexity in operations and legal responsibility. The customer trust and reputational risk are also paramount, and the failures in the AI systems may severely influence the brand and enterprise relationships of Microsoft.</w:t>
      </w:r>
    </w:p>
    <w:p w14:paraId="04DB2B88">
      <w:pPr>
        <w:spacing w:line="360" w:lineRule="auto"/>
        <w:jc w:val="both"/>
        <w:rPr>
          <w:rFonts w:ascii="Times New Roman" w:hAnsi="Times New Roman" w:cs="Times New Roman"/>
          <w:sz w:val="24"/>
          <w:szCs w:val="24"/>
        </w:rPr>
      </w:pPr>
      <w:r>
        <w:rPr>
          <w:rFonts w:ascii="Times New Roman" w:hAnsi="Times New Roman" w:cs="Times New Roman"/>
          <w:sz w:val="24"/>
          <w:szCs w:val="24"/>
        </w:rPr>
        <w:t>The report uses theoretical concepts and industry statistics in the operation of Microsoft and compares its status with the other competitors like Google and Amazon. As Microsoft shows a high level of competitive advantage due to the integration of enterprise and focus on compliance, it encounters the same challenges associated with the industry in terms of governance and risk management.</w:t>
      </w:r>
    </w:p>
    <w:p w14:paraId="11AE65E8">
      <w:pPr>
        <w:spacing w:line="360" w:lineRule="auto"/>
        <w:jc w:val="both"/>
        <w:rPr>
          <w:rFonts w:ascii="Times New Roman" w:hAnsi="Times New Roman" w:cs="Times New Roman"/>
          <w:sz w:val="24"/>
          <w:szCs w:val="24"/>
        </w:rPr>
      </w:pPr>
      <w:r>
        <w:rPr>
          <w:rFonts w:ascii="Times New Roman" w:hAnsi="Times New Roman" w:cs="Times New Roman"/>
          <w:sz w:val="24"/>
          <w:szCs w:val="24"/>
        </w:rPr>
        <w:t>To mitigate all these problems, the report suggests implementing a unified AI governance system, stronger data security policies, and risk monitoring tools. It is suggested to implement it in a gradual manner with the use of performance indicators and allocation of resources. Future-proofing plans focus on flexibility to changing rules and ongoing risk evaluation.</w:t>
      </w:r>
    </w:p>
    <w:p w14:paraId="0EAD00A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report concludes that Microsoft will be successful in its use of AI in the long-term not alone due to the technological leadership but also because of its capacity to proactively manage risks through strong, flexible, and integrated systems of governance..  </w:t>
      </w:r>
    </w:p>
    <w:p w14:paraId="408467F2">
      <w:pPr>
        <w:spacing w:line="360" w:lineRule="auto"/>
        <w:jc w:val="both"/>
        <w:rPr>
          <w:rFonts w:ascii="Times New Roman" w:hAnsi="Times New Roman" w:cs="Times New Roman"/>
          <w:sz w:val="24"/>
          <w:szCs w:val="24"/>
        </w:rPr>
      </w:pPr>
    </w:p>
    <w:p w14:paraId="62D67544">
      <w:pPr>
        <w:spacing w:line="360" w:lineRule="auto"/>
        <w:jc w:val="both"/>
        <w:rPr>
          <w:rFonts w:ascii="Times New Roman" w:hAnsi="Times New Roman" w:cs="Times New Roman"/>
          <w:sz w:val="24"/>
          <w:szCs w:val="24"/>
        </w:rPr>
      </w:pPr>
    </w:p>
    <w:p w14:paraId="067E85EF">
      <w:pPr>
        <w:spacing w:line="360" w:lineRule="auto"/>
        <w:jc w:val="both"/>
        <w:rPr>
          <w:rFonts w:ascii="Times New Roman" w:hAnsi="Times New Roman" w:cs="Times New Roman"/>
          <w:sz w:val="24"/>
          <w:szCs w:val="24"/>
        </w:rPr>
      </w:pPr>
    </w:p>
    <w:p w14:paraId="6E40068D">
      <w:pPr>
        <w:spacing w:line="360" w:lineRule="auto"/>
        <w:jc w:val="both"/>
        <w:rPr>
          <w:rFonts w:ascii="Times New Roman" w:hAnsi="Times New Roman" w:cs="Times New Roman"/>
          <w:sz w:val="24"/>
          <w:szCs w:val="24"/>
        </w:rPr>
      </w:pPr>
    </w:p>
    <w:p w14:paraId="6E6F71FE">
      <w:pPr>
        <w:spacing w:line="360" w:lineRule="auto"/>
        <w:jc w:val="both"/>
        <w:rPr>
          <w:rFonts w:ascii="Times New Roman" w:hAnsi="Times New Roman" w:cs="Times New Roman"/>
          <w:sz w:val="24"/>
          <w:szCs w:val="24"/>
        </w:rPr>
      </w:pPr>
    </w:p>
    <w:p w14:paraId="39AF74AF">
      <w:pPr>
        <w:spacing w:line="360" w:lineRule="auto"/>
        <w:jc w:val="both"/>
        <w:rPr>
          <w:rFonts w:ascii="Times New Roman" w:hAnsi="Times New Roman" w:cs="Times New Roman"/>
          <w:sz w:val="24"/>
          <w:szCs w:val="24"/>
        </w:rPr>
      </w:pPr>
    </w:p>
    <w:p w14:paraId="4FE4EBCE">
      <w:pPr>
        <w:spacing w:line="360" w:lineRule="auto"/>
        <w:jc w:val="both"/>
        <w:rPr>
          <w:rFonts w:ascii="Times New Roman" w:hAnsi="Times New Roman" w:cs="Times New Roman"/>
          <w:sz w:val="24"/>
          <w:szCs w:val="24"/>
        </w:rPr>
      </w:pPr>
    </w:p>
    <w:p w14:paraId="418F0303">
      <w:pPr>
        <w:spacing w:line="360" w:lineRule="auto"/>
        <w:jc w:val="both"/>
        <w:rPr>
          <w:rFonts w:ascii="Times New Roman" w:hAnsi="Times New Roman" w:cs="Times New Roman"/>
          <w:sz w:val="24"/>
          <w:szCs w:val="24"/>
        </w:rPr>
      </w:pPr>
    </w:p>
    <w:p w14:paraId="78979162">
      <w:pPr>
        <w:spacing w:line="360" w:lineRule="auto"/>
        <w:jc w:val="both"/>
        <w:rPr>
          <w:rFonts w:ascii="Times New Roman" w:hAnsi="Times New Roman" w:cs="Times New Roman"/>
          <w:sz w:val="24"/>
          <w:szCs w:val="24"/>
        </w:rPr>
      </w:pPr>
    </w:p>
    <w:p w14:paraId="3EF593DF">
      <w:pPr>
        <w:spacing w:line="360" w:lineRule="auto"/>
        <w:jc w:val="both"/>
        <w:rPr>
          <w:rFonts w:ascii="Times New Roman" w:hAnsi="Times New Roman" w:cs="Times New Roman"/>
          <w:sz w:val="24"/>
          <w:szCs w:val="24"/>
        </w:rPr>
      </w:pPr>
    </w:p>
    <w:p w14:paraId="3236343C">
      <w:pPr>
        <w:spacing w:line="360" w:lineRule="auto"/>
        <w:jc w:val="both"/>
        <w:rPr>
          <w:rFonts w:ascii="Times New Roman" w:hAnsi="Times New Roman" w:cs="Times New Roman"/>
          <w:sz w:val="24"/>
          <w:szCs w:val="24"/>
        </w:rPr>
      </w:pPr>
    </w:p>
    <w:p w14:paraId="2E7BE0D0">
      <w:pPr>
        <w:spacing w:line="360" w:lineRule="auto"/>
        <w:jc w:val="both"/>
        <w:rPr>
          <w:rFonts w:ascii="Times New Roman" w:hAnsi="Times New Roman" w:cs="Times New Roman"/>
          <w:sz w:val="24"/>
          <w:szCs w:val="24"/>
        </w:rPr>
      </w:pPr>
    </w:p>
    <w:p w14:paraId="6CEDC8B1">
      <w:pPr>
        <w:spacing w:line="360" w:lineRule="auto"/>
        <w:jc w:val="both"/>
        <w:rPr>
          <w:rFonts w:ascii="Times New Roman" w:hAnsi="Times New Roman" w:cs="Times New Roman"/>
          <w:sz w:val="24"/>
          <w:szCs w:val="24"/>
        </w:rPr>
      </w:pPr>
    </w:p>
    <w:p w14:paraId="67106772">
      <w:pPr>
        <w:spacing w:line="360" w:lineRule="auto"/>
        <w:jc w:val="both"/>
        <w:rPr>
          <w:rFonts w:ascii="Times New Roman" w:hAnsi="Times New Roman" w:cs="Times New Roman"/>
          <w:sz w:val="24"/>
          <w:szCs w:val="24"/>
        </w:rPr>
      </w:pPr>
    </w:p>
    <w:p w14:paraId="3B413105">
      <w:pPr>
        <w:spacing w:line="360" w:lineRule="auto"/>
        <w:jc w:val="both"/>
        <w:rPr>
          <w:rFonts w:ascii="Times New Roman" w:hAnsi="Times New Roman" w:cs="Times New Roman"/>
          <w:sz w:val="24"/>
          <w:szCs w:val="24"/>
        </w:rPr>
      </w:pPr>
    </w:p>
    <w:p w14:paraId="17228B88">
      <w:pPr>
        <w:spacing w:line="360" w:lineRule="auto"/>
        <w:jc w:val="both"/>
        <w:rPr>
          <w:rFonts w:ascii="Times New Roman" w:hAnsi="Times New Roman" w:cs="Times New Roman"/>
          <w:sz w:val="24"/>
          <w:szCs w:val="24"/>
        </w:rPr>
      </w:pPr>
    </w:p>
    <w:p w14:paraId="3557AA81">
      <w:pPr>
        <w:spacing w:line="360" w:lineRule="auto"/>
        <w:jc w:val="both"/>
        <w:rPr>
          <w:rFonts w:ascii="Times New Roman" w:hAnsi="Times New Roman" w:cs="Times New Roman"/>
          <w:sz w:val="24"/>
          <w:szCs w:val="24"/>
        </w:rPr>
      </w:pPr>
    </w:p>
    <w:sdt>
      <w:sdtPr>
        <w:rPr>
          <w:rFonts w:ascii="Times New Roman" w:hAnsi="Times New Roman" w:cs="Times New Roman" w:eastAsiaTheme="minorHAnsi"/>
          <w:color w:val="auto"/>
          <w:sz w:val="24"/>
          <w:szCs w:val="24"/>
          <w:lang w:val="en-GB"/>
        </w:rPr>
        <w:id w:val="203627626"/>
        <w:docPartObj>
          <w:docPartGallery w:val="Table of Contents"/>
          <w:docPartUnique/>
        </w:docPartObj>
      </w:sdtPr>
      <w:sdtEndPr>
        <w:rPr>
          <w:rFonts w:ascii="Times New Roman" w:hAnsi="Times New Roman" w:cs="Times New Roman" w:eastAsiaTheme="minorHAnsi"/>
          <w:b/>
          <w:bCs/>
          <w:color w:val="auto"/>
          <w:sz w:val="24"/>
          <w:szCs w:val="24"/>
          <w:lang w:val="en-GB"/>
        </w:rPr>
      </w:sdtEndPr>
      <w:sdtContent>
        <w:p w14:paraId="1DFECD67">
          <w:pPr>
            <w:pStyle w:val="10"/>
            <w:spacing w:line="360" w:lineRule="auto"/>
            <w:jc w:val="both"/>
            <w:rPr>
              <w:rFonts w:ascii="Times New Roman" w:hAnsi="Times New Roman" w:cs="Times New Roman"/>
              <w:sz w:val="24"/>
              <w:szCs w:val="24"/>
            </w:rPr>
          </w:pPr>
          <w:r>
            <w:rPr>
              <w:rFonts w:ascii="Times New Roman" w:hAnsi="Times New Roman" w:cs="Times New Roman"/>
              <w:sz w:val="24"/>
              <w:szCs w:val="24"/>
            </w:rPr>
            <w:t>Table of Contents</w:t>
          </w:r>
        </w:p>
        <w:p w14:paraId="46DB8A5D">
          <w:pPr>
            <w:pStyle w:val="4"/>
            <w:tabs>
              <w:tab w:val="right" w:leader="dot" w:pos="9016"/>
            </w:tabs>
            <w:rPr>
              <w:rFonts w:eastAsiaTheme="minorEastAsia"/>
              <w:kern w:val="2"/>
              <w:sz w:val="24"/>
              <w:szCs w:val="24"/>
              <w:lang w:val="en-US" w:eastAsia="zh-CN"/>
              <w14:ligatures w14:val="standardContextual"/>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"_Toc226821914" </w:instrText>
          </w:r>
          <w:r>
            <w:fldChar w:fldCharType="separate"/>
          </w:r>
          <w:r>
            <w:rPr>
              <w:rStyle w:val="8"/>
              <w:rFonts w:ascii="Times New Roman" w:hAnsi="Times New Roman" w:cs="Times New Roman"/>
              <w:b/>
              <w:bCs/>
            </w:rPr>
            <w:t>Executive Summary</w:t>
          </w:r>
          <w:r>
            <w:tab/>
          </w:r>
          <w:r>
            <w:fldChar w:fldCharType="begin"/>
          </w:r>
          <w:r>
            <w:instrText xml:space="preserve"> PAGEREF _Toc226821914 \h </w:instrText>
          </w:r>
          <w:r>
            <w:fldChar w:fldCharType="separate"/>
          </w:r>
          <w:r>
            <w:t>1</w:t>
          </w:r>
          <w:r>
            <w:fldChar w:fldCharType="end"/>
          </w:r>
          <w:r>
            <w:fldChar w:fldCharType="end"/>
          </w:r>
        </w:p>
        <w:p w14:paraId="6F57DF8F">
          <w:pPr>
            <w:pStyle w:val="4"/>
            <w:tabs>
              <w:tab w:val="left" w:pos="480"/>
              <w:tab w:val="right" w:leader="dot" w:pos="9016"/>
            </w:tabs>
            <w:rPr>
              <w:rFonts w:eastAsiaTheme="minorEastAsia"/>
              <w:kern w:val="2"/>
              <w:sz w:val="24"/>
              <w:szCs w:val="24"/>
              <w:lang w:val="en-US" w:eastAsia="zh-CN"/>
              <w14:ligatures w14:val="standardContextual"/>
            </w:rPr>
          </w:pPr>
          <w:r>
            <w:fldChar w:fldCharType="begin"/>
          </w:r>
          <w:r>
            <w:instrText xml:space="preserve"> HYPERLINK \l "_Toc226821915" </w:instrText>
          </w:r>
          <w:r>
            <w:fldChar w:fldCharType="separate"/>
          </w:r>
          <w:r>
            <w:rPr>
              <w:rStyle w:val="8"/>
              <w:rFonts w:ascii="Times New Roman" w:hAnsi="Times New Roman" w:cs="Times New Roman"/>
              <w:b/>
              <w:bCs/>
            </w:rPr>
            <w:t>1.</w:t>
          </w:r>
          <w:r>
            <w:rPr>
              <w:rFonts w:eastAsiaTheme="minorEastAsia"/>
              <w:kern w:val="2"/>
              <w:sz w:val="24"/>
              <w:szCs w:val="24"/>
              <w:lang w:val="en-US" w:eastAsia="zh-CN"/>
              <w14:ligatures w14:val="standardContextual"/>
            </w:rPr>
            <w:tab/>
          </w:r>
          <w:r>
            <w:rPr>
              <w:rStyle w:val="8"/>
              <w:rFonts w:ascii="Times New Roman" w:hAnsi="Times New Roman" w:cs="Times New Roman"/>
              <w:b/>
              <w:bCs/>
            </w:rPr>
            <w:t>Introduction</w:t>
          </w:r>
          <w:r>
            <w:tab/>
          </w:r>
          <w:r>
            <w:fldChar w:fldCharType="begin"/>
          </w:r>
          <w:r>
            <w:instrText xml:space="preserve"> PAGEREF _Toc226821915 \h </w:instrText>
          </w:r>
          <w:r>
            <w:fldChar w:fldCharType="separate"/>
          </w:r>
          <w:r>
            <w:t>2</w:t>
          </w:r>
          <w:r>
            <w:fldChar w:fldCharType="end"/>
          </w:r>
          <w:r>
            <w:fldChar w:fldCharType="end"/>
          </w:r>
        </w:p>
        <w:p w14:paraId="19285F9F">
          <w:pPr>
            <w:pStyle w:val="4"/>
            <w:tabs>
              <w:tab w:val="left" w:pos="480"/>
              <w:tab w:val="right" w:leader="dot" w:pos="9016"/>
            </w:tabs>
            <w:rPr>
              <w:rFonts w:eastAsiaTheme="minorEastAsia"/>
              <w:kern w:val="2"/>
              <w:sz w:val="24"/>
              <w:szCs w:val="24"/>
              <w:lang w:val="en-US" w:eastAsia="zh-CN"/>
              <w14:ligatures w14:val="standardContextual"/>
            </w:rPr>
          </w:pPr>
          <w:r>
            <w:fldChar w:fldCharType="begin"/>
          </w:r>
          <w:r>
            <w:instrText xml:space="preserve"> HYPERLINK \l "_Toc226821916" </w:instrText>
          </w:r>
          <w:r>
            <w:fldChar w:fldCharType="separate"/>
          </w:r>
          <w:r>
            <w:rPr>
              <w:rStyle w:val="8"/>
              <w:rFonts w:ascii="Times New Roman" w:hAnsi="Times New Roman" w:cs="Times New Roman"/>
              <w:b/>
              <w:bCs/>
            </w:rPr>
            <w:t>2.</w:t>
          </w:r>
          <w:r>
            <w:rPr>
              <w:rFonts w:eastAsiaTheme="minorEastAsia"/>
              <w:kern w:val="2"/>
              <w:sz w:val="24"/>
              <w:szCs w:val="24"/>
              <w:lang w:val="en-US" w:eastAsia="zh-CN"/>
              <w14:ligatures w14:val="standardContextual"/>
            </w:rPr>
            <w:tab/>
          </w:r>
          <w:r>
            <w:rPr>
              <w:rStyle w:val="8"/>
              <w:rFonts w:ascii="Times New Roman" w:hAnsi="Times New Roman" w:cs="Times New Roman"/>
              <w:b/>
              <w:bCs/>
            </w:rPr>
            <w:t>Literature Review and Theoretical Framework</w:t>
          </w:r>
          <w:r>
            <w:tab/>
          </w:r>
          <w:r>
            <w:fldChar w:fldCharType="begin"/>
          </w:r>
          <w:r>
            <w:instrText xml:space="preserve"> PAGEREF _Toc226821916 \h </w:instrText>
          </w:r>
          <w:r>
            <w:fldChar w:fldCharType="separate"/>
          </w:r>
          <w:r>
            <w:t>4</w:t>
          </w:r>
          <w:r>
            <w:fldChar w:fldCharType="end"/>
          </w:r>
          <w:r>
            <w:fldChar w:fldCharType="end"/>
          </w:r>
        </w:p>
        <w:p w14:paraId="3CE9152D">
          <w:pPr>
            <w:pStyle w:val="4"/>
            <w:tabs>
              <w:tab w:val="left" w:pos="480"/>
              <w:tab w:val="right" w:leader="dot" w:pos="9016"/>
            </w:tabs>
            <w:rPr>
              <w:rFonts w:eastAsiaTheme="minorEastAsia"/>
              <w:kern w:val="2"/>
              <w:sz w:val="24"/>
              <w:szCs w:val="24"/>
              <w:lang w:val="en-US" w:eastAsia="zh-CN"/>
              <w14:ligatures w14:val="standardContextual"/>
            </w:rPr>
          </w:pPr>
          <w:r>
            <w:fldChar w:fldCharType="begin"/>
          </w:r>
          <w:r>
            <w:instrText xml:space="preserve"> HYPERLINK \l "_Toc226821917" </w:instrText>
          </w:r>
          <w:r>
            <w:fldChar w:fldCharType="separate"/>
          </w:r>
          <w:r>
            <w:rPr>
              <w:rStyle w:val="8"/>
              <w:rFonts w:ascii="Times New Roman" w:hAnsi="Times New Roman" w:cs="Times New Roman"/>
              <w:b/>
              <w:bCs/>
              <w:lang w:val="en-US"/>
            </w:rPr>
            <w:t>3.</w:t>
          </w:r>
          <w:r>
            <w:rPr>
              <w:rFonts w:eastAsiaTheme="minorEastAsia"/>
              <w:kern w:val="2"/>
              <w:sz w:val="24"/>
              <w:szCs w:val="24"/>
              <w:lang w:val="en-US" w:eastAsia="zh-CN"/>
              <w14:ligatures w14:val="standardContextual"/>
            </w:rPr>
            <w:tab/>
          </w:r>
          <w:r>
            <w:rPr>
              <w:rStyle w:val="8"/>
              <w:rFonts w:ascii="Times New Roman" w:hAnsi="Times New Roman" w:cs="Times New Roman"/>
              <w:b/>
              <w:bCs/>
              <w:lang w:val="en-US"/>
            </w:rPr>
            <w:t>Global Environment Analysis</w:t>
          </w:r>
          <w:r>
            <w:tab/>
          </w:r>
          <w:r>
            <w:fldChar w:fldCharType="begin"/>
          </w:r>
          <w:r>
            <w:instrText xml:space="preserve"> PAGEREF _Toc226821917 \h </w:instrText>
          </w:r>
          <w:r>
            <w:fldChar w:fldCharType="separate"/>
          </w:r>
          <w:r>
            <w:t>6</w:t>
          </w:r>
          <w:r>
            <w:fldChar w:fldCharType="end"/>
          </w:r>
          <w:r>
            <w:fldChar w:fldCharType="end"/>
          </w:r>
        </w:p>
        <w:p w14:paraId="54DE44F3">
          <w:pPr>
            <w:pStyle w:val="5"/>
            <w:tabs>
              <w:tab w:val="right" w:leader="dot" w:pos="9016"/>
            </w:tabs>
            <w:rPr>
              <w:rFonts w:eastAsiaTheme="minorEastAsia"/>
              <w:kern w:val="2"/>
              <w:sz w:val="24"/>
              <w:szCs w:val="24"/>
              <w:lang w:val="en-US" w:eastAsia="zh-CN"/>
              <w14:ligatures w14:val="standardContextual"/>
            </w:rPr>
          </w:pPr>
          <w:r>
            <w:fldChar w:fldCharType="begin"/>
          </w:r>
          <w:r>
            <w:instrText xml:space="preserve"> HYPERLINK \l "_Toc226821918" </w:instrText>
          </w:r>
          <w:r>
            <w:fldChar w:fldCharType="separate"/>
          </w:r>
          <w:r>
            <w:rPr>
              <w:rStyle w:val="8"/>
              <w:rFonts w:ascii="Times New Roman" w:hAnsi="Times New Roman" w:cs="Times New Roman"/>
              <w:b/>
              <w:bCs/>
            </w:rPr>
            <w:t>3.1 Political and Legal Factor.</w:t>
          </w:r>
          <w:r>
            <w:tab/>
          </w:r>
          <w:r>
            <w:fldChar w:fldCharType="begin"/>
          </w:r>
          <w:r>
            <w:instrText xml:space="preserve"> PAGEREF _Toc226821918 \h </w:instrText>
          </w:r>
          <w:r>
            <w:fldChar w:fldCharType="separate"/>
          </w:r>
          <w:r>
            <w:t>6</w:t>
          </w:r>
          <w:r>
            <w:fldChar w:fldCharType="end"/>
          </w:r>
          <w:r>
            <w:fldChar w:fldCharType="end"/>
          </w:r>
        </w:p>
        <w:p w14:paraId="6E0803CD">
          <w:pPr>
            <w:pStyle w:val="5"/>
            <w:tabs>
              <w:tab w:val="right" w:leader="dot" w:pos="9016"/>
            </w:tabs>
            <w:rPr>
              <w:rFonts w:eastAsiaTheme="minorEastAsia"/>
              <w:kern w:val="2"/>
              <w:sz w:val="24"/>
              <w:szCs w:val="24"/>
              <w:lang w:val="en-US" w:eastAsia="zh-CN"/>
              <w14:ligatures w14:val="standardContextual"/>
            </w:rPr>
          </w:pPr>
          <w:r>
            <w:fldChar w:fldCharType="begin"/>
          </w:r>
          <w:r>
            <w:instrText xml:space="preserve"> HYPERLINK \l "_Toc226821919" </w:instrText>
          </w:r>
          <w:r>
            <w:fldChar w:fldCharType="separate"/>
          </w:r>
          <w:r>
            <w:rPr>
              <w:rStyle w:val="8"/>
              <w:rFonts w:ascii="Times New Roman" w:hAnsi="Times New Roman" w:cs="Times New Roman"/>
              <w:b/>
              <w:bCs/>
            </w:rPr>
            <w:t>3.2 Economic Factors</w:t>
          </w:r>
          <w:r>
            <w:tab/>
          </w:r>
          <w:r>
            <w:fldChar w:fldCharType="begin"/>
          </w:r>
          <w:r>
            <w:instrText xml:space="preserve"> PAGEREF _Toc226821919 \h </w:instrText>
          </w:r>
          <w:r>
            <w:fldChar w:fldCharType="separate"/>
          </w:r>
          <w:r>
            <w:t>7</w:t>
          </w:r>
          <w:r>
            <w:fldChar w:fldCharType="end"/>
          </w:r>
          <w:r>
            <w:fldChar w:fldCharType="end"/>
          </w:r>
        </w:p>
        <w:p w14:paraId="4486D465">
          <w:pPr>
            <w:pStyle w:val="5"/>
            <w:tabs>
              <w:tab w:val="right" w:leader="dot" w:pos="9016"/>
            </w:tabs>
            <w:rPr>
              <w:rFonts w:eastAsiaTheme="minorEastAsia"/>
              <w:kern w:val="2"/>
              <w:sz w:val="24"/>
              <w:szCs w:val="24"/>
              <w:lang w:val="en-US" w:eastAsia="zh-CN"/>
              <w14:ligatures w14:val="standardContextual"/>
            </w:rPr>
          </w:pPr>
          <w:r>
            <w:fldChar w:fldCharType="begin"/>
          </w:r>
          <w:r>
            <w:instrText xml:space="preserve"> HYPERLINK \l "_Toc226821920" </w:instrText>
          </w:r>
          <w:r>
            <w:fldChar w:fldCharType="separate"/>
          </w:r>
          <w:r>
            <w:rPr>
              <w:rStyle w:val="8"/>
              <w:rFonts w:ascii="Times New Roman" w:hAnsi="Times New Roman" w:cs="Times New Roman"/>
              <w:b/>
              <w:bCs/>
            </w:rPr>
            <w:t>3.3 Technological Factors</w:t>
          </w:r>
          <w:r>
            <w:tab/>
          </w:r>
          <w:r>
            <w:fldChar w:fldCharType="begin"/>
          </w:r>
          <w:r>
            <w:instrText xml:space="preserve"> PAGEREF _Toc226821920 \h </w:instrText>
          </w:r>
          <w:r>
            <w:fldChar w:fldCharType="separate"/>
          </w:r>
          <w:r>
            <w:t>7</w:t>
          </w:r>
          <w:r>
            <w:fldChar w:fldCharType="end"/>
          </w:r>
          <w:r>
            <w:fldChar w:fldCharType="end"/>
          </w:r>
        </w:p>
        <w:p w14:paraId="038F0987">
          <w:pPr>
            <w:pStyle w:val="5"/>
            <w:tabs>
              <w:tab w:val="right" w:leader="dot" w:pos="9016"/>
            </w:tabs>
            <w:rPr>
              <w:rFonts w:eastAsiaTheme="minorEastAsia"/>
              <w:kern w:val="2"/>
              <w:sz w:val="24"/>
              <w:szCs w:val="24"/>
              <w:lang w:val="en-US" w:eastAsia="zh-CN"/>
              <w14:ligatures w14:val="standardContextual"/>
            </w:rPr>
          </w:pPr>
          <w:r>
            <w:fldChar w:fldCharType="begin"/>
          </w:r>
          <w:r>
            <w:instrText xml:space="preserve"> HYPERLINK \l "_Toc226821921" </w:instrText>
          </w:r>
          <w:r>
            <w:fldChar w:fldCharType="separate"/>
          </w:r>
          <w:r>
            <w:rPr>
              <w:rStyle w:val="8"/>
              <w:rFonts w:ascii="Times New Roman" w:hAnsi="Times New Roman" w:cs="Times New Roman"/>
              <w:b/>
              <w:bCs/>
            </w:rPr>
            <w:t>3.4 Legal and Data Governance Factors.</w:t>
          </w:r>
          <w:r>
            <w:tab/>
          </w:r>
          <w:r>
            <w:fldChar w:fldCharType="begin"/>
          </w:r>
          <w:r>
            <w:instrText xml:space="preserve"> PAGEREF _Toc226821921 \h </w:instrText>
          </w:r>
          <w:r>
            <w:fldChar w:fldCharType="separate"/>
          </w:r>
          <w:r>
            <w:t>8</w:t>
          </w:r>
          <w:r>
            <w:fldChar w:fldCharType="end"/>
          </w:r>
          <w:r>
            <w:fldChar w:fldCharType="end"/>
          </w:r>
        </w:p>
        <w:p w14:paraId="216D2390">
          <w:pPr>
            <w:pStyle w:val="4"/>
            <w:tabs>
              <w:tab w:val="left" w:pos="480"/>
              <w:tab w:val="right" w:leader="dot" w:pos="9016"/>
            </w:tabs>
            <w:rPr>
              <w:rFonts w:eastAsiaTheme="minorEastAsia"/>
              <w:kern w:val="2"/>
              <w:sz w:val="24"/>
              <w:szCs w:val="24"/>
              <w:lang w:val="en-US" w:eastAsia="zh-CN"/>
              <w14:ligatures w14:val="standardContextual"/>
            </w:rPr>
          </w:pPr>
          <w:r>
            <w:fldChar w:fldCharType="begin"/>
          </w:r>
          <w:r>
            <w:instrText xml:space="preserve"> HYPERLINK \l "_Toc226821922" </w:instrText>
          </w:r>
          <w:r>
            <w:fldChar w:fldCharType="separate"/>
          </w:r>
          <w:r>
            <w:rPr>
              <w:rStyle w:val="8"/>
              <w:rFonts w:ascii="Times New Roman" w:hAnsi="Times New Roman" w:cs="Times New Roman"/>
              <w:b/>
              <w:bCs/>
            </w:rPr>
            <w:t>4.</w:t>
          </w:r>
          <w:r>
            <w:rPr>
              <w:rFonts w:eastAsiaTheme="minorEastAsia"/>
              <w:kern w:val="2"/>
              <w:sz w:val="24"/>
              <w:szCs w:val="24"/>
              <w:lang w:val="en-US" w:eastAsia="zh-CN"/>
              <w14:ligatures w14:val="standardContextual"/>
            </w:rPr>
            <w:tab/>
          </w:r>
          <w:r>
            <w:rPr>
              <w:rStyle w:val="8"/>
              <w:rFonts w:ascii="Times New Roman" w:hAnsi="Times New Roman" w:cs="Times New Roman"/>
              <w:b/>
              <w:bCs/>
            </w:rPr>
            <w:t>AI and Risk Management Analysis</w:t>
          </w:r>
          <w:r>
            <w:tab/>
          </w:r>
          <w:r>
            <w:fldChar w:fldCharType="begin"/>
          </w:r>
          <w:r>
            <w:instrText xml:space="preserve"> PAGEREF _Toc226821922 \h </w:instrText>
          </w:r>
          <w:r>
            <w:fldChar w:fldCharType="separate"/>
          </w:r>
          <w:r>
            <w:t>8</w:t>
          </w:r>
          <w:r>
            <w:fldChar w:fldCharType="end"/>
          </w:r>
          <w:r>
            <w:fldChar w:fldCharType="end"/>
          </w:r>
        </w:p>
        <w:p w14:paraId="72FA0288">
          <w:pPr>
            <w:pStyle w:val="5"/>
            <w:tabs>
              <w:tab w:val="right" w:leader="dot" w:pos="9016"/>
            </w:tabs>
            <w:rPr>
              <w:rFonts w:eastAsiaTheme="minorEastAsia"/>
              <w:kern w:val="2"/>
              <w:sz w:val="24"/>
              <w:szCs w:val="24"/>
              <w:lang w:val="en-US" w:eastAsia="zh-CN"/>
              <w14:ligatures w14:val="standardContextual"/>
            </w:rPr>
          </w:pPr>
          <w:r>
            <w:fldChar w:fldCharType="begin"/>
          </w:r>
          <w:r>
            <w:instrText xml:space="preserve"> HYPERLINK \l "_Toc226821923" </w:instrText>
          </w:r>
          <w:r>
            <w:fldChar w:fldCharType="separate"/>
          </w:r>
          <w:r>
            <w:rPr>
              <w:rStyle w:val="8"/>
              <w:rFonts w:ascii="Times New Roman" w:hAnsi="Times New Roman" w:cs="Times New Roman"/>
              <w:b/>
              <w:bCs/>
            </w:rPr>
            <w:t>4.1 Data Governance Risks</w:t>
          </w:r>
          <w:r>
            <w:tab/>
          </w:r>
          <w:r>
            <w:fldChar w:fldCharType="begin"/>
          </w:r>
          <w:r>
            <w:instrText xml:space="preserve"> PAGEREF _Toc226821923 \h </w:instrText>
          </w:r>
          <w:r>
            <w:fldChar w:fldCharType="separate"/>
          </w:r>
          <w:r>
            <w:t>9</w:t>
          </w:r>
          <w:r>
            <w:fldChar w:fldCharType="end"/>
          </w:r>
          <w:r>
            <w:fldChar w:fldCharType="end"/>
          </w:r>
        </w:p>
        <w:p w14:paraId="7C401696">
          <w:pPr>
            <w:pStyle w:val="5"/>
            <w:tabs>
              <w:tab w:val="right" w:leader="dot" w:pos="9016"/>
            </w:tabs>
            <w:rPr>
              <w:rFonts w:eastAsiaTheme="minorEastAsia"/>
              <w:kern w:val="2"/>
              <w:sz w:val="24"/>
              <w:szCs w:val="24"/>
              <w:lang w:val="en-US" w:eastAsia="zh-CN"/>
              <w14:ligatures w14:val="standardContextual"/>
            </w:rPr>
          </w:pPr>
          <w:r>
            <w:fldChar w:fldCharType="begin"/>
          </w:r>
          <w:r>
            <w:instrText xml:space="preserve"> HYPERLINK \l "_Toc226821924" </w:instrText>
          </w:r>
          <w:r>
            <w:fldChar w:fldCharType="separate"/>
          </w:r>
          <w:r>
            <w:rPr>
              <w:rStyle w:val="8"/>
              <w:rFonts w:ascii="Times New Roman" w:hAnsi="Times New Roman" w:cs="Times New Roman"/>
              <w:b/>
              <w:bCs/>
            </w:rPr>
            <w:t>4.2 Ethical AI Risks</w:t>
          </w:r>
          <w:r>
            <w:tab/>
          </w:r>
          <w:r>
            <w:fldChar w:fldCharType="begin"/>
          </w:r>
          <w:r>
            <w:instrText xml:space="preserve"> PAGEREF _Toc226821924 \h </w:instrText>
          </w:r>
          <w:r>
            <w:fldChar w:fldCharType="separate"/>
          </w:r>
          <w:r>
            <w:t>9</w:t>
          </w:r>
          <w:r>
            <w:fldChar w:fldCharType="end"/>
          </w:r>
          <w:r>
            <w:fldChar w:fldCharType="end"/>
          </w:r>
        </w:p>
        <w:p w14:paraId="41AF6A02">
          <w:pPr>
            <w:pStyle w:val="5"/>
            <w:tabs>
              <w:tab w:val="right" w:leader="dot" w:pos="9016"/>
            </w:tabs>
            <w:rPr>
              <w:rFonts w:eastAsiaTheme="minorEastAsia"/>
              <w:kern w:val="2"/>
              <w:sz w:val="24"/>
              <w:szCs w:val="24"/>
              <w:lang w:val="en-US" w:eastAsia="zh-CN"/>
              <w14:ligatures w14:val="standardContextual"/>
            </w:rPr>
          </w:pPr>
          <w:r>
            <w:fldChar w:fldCharType="begin"/>
          </w:r>
          <w:r>
            <w:instrText xml:space="preserve"> HYPERLINK \l "_Toc226821925" </w:instrText>
          </w:r>
          <w:r>
            <w:fldChar w:fldCharType="separate"/>
          </w:r>
          <w:r>
            <w:rPr>
              <w:rStyle w:val="8"/>
              <w:rFonts w:ascii="Times New Roman" w:hAnsi="Times New Roman" w:cs="Times New Roman"/>
              <w:b/>
              <w:bCs/>
            </w:rPr>
            <w:t>4.3 Regulatory Compliance Risks</w:t>
          </w:r>
          <w:r>
            <w:tab/>
          </w:r>
          <w:r>
            <w:fldChar w:fldCharType="begin"/>
          </w:r>
          <w:r>
            <w:instrText xml:space="preserve"> PAGEREF _Toc226821925 \h </w:instrText>
          </w:r>
          <w:r>
            <w:fldChar w:fldCharType="separate"/>
          </w:r>
          <w:r>
            <w:t>10</w:t>
          </w:r>
          <w:r>
            <w:fldChar w:fldCharType="end"/>
          </w:r>
          <w:r>
            <w:fldChar w:fldCharType="end"/>
          </w:r>
        </w:p>
        <w:p w14:paraId="0182AFC3">
          <w:pPr>
            <w:pStyle w:val="5"/>
            <w:tabs>
              <w:tab w:val="right" w:leader="dot" w:pos="9016"/>
            </w:tabs>
            <w:rPr>
              <w:rFonts w:eastAsiaTheme="minorEastAsia"/>
              <w:kern w:val="2"/>
              <w:sz w:val="24"/>
              <w:szCs w:val="24"/>
              <w:lang w:val="en-US" w:eastAsia="zh-CN"/>
              <w14:ligatures w14:val="standardContextual"/>
            </w:rPr>
          </w:pPr>
          <w:r>
            <w:fldChar w:fldCharType="begin"/>
          </w:r>
          <w:r>
            <w:instrText xml:space="preserve"> HYPERLINK \l "_Toc226821926" </w:instrText>
          </w:r>
          <w:r>
            <w:fldChar w:fldCharType="separate"/>
          </w:r>
          <w:r>
            <w:rPr>
              <w:rStyle w:val="8"/>
              <w:rFonts w:ascii="Times New Roman" w:hAnsi="Times New Roman" w:cs="Times New Roman"/>
              <w:b/>
              <w:bCs/>
            </w:rPr>
            <w:t>4.4 Customer Trust and Reputational Risk.</w:t>
          </w:r>
          <w:r>
            <w:tab/>
          </w:r>
          <w:r>
            <w:fldChar w:fldCharType="begin"/>
          </w:r>
          <w:r>
            <w:instrText xml:space="preserve"> PAGEREF _Toc226821926 \h </w:instrText>
          </w:r>
          <w:r>
            <w:fldChar w:fldCharType="separate"/>
          </w:r>
          <w:r>
            <w:t>11</w:t>
          </w:r>
          <w:r>
            <w:fldChar w:fldCharType="end"/>
          </w:r>
          <w:r>
            <w:fldChar w:fldCharType="end"/>
          </w:r>
        </w:p>
        <w:p w14:paraId="0D9D87F0">
          <w:pPr>
            <w:pStyle w:val="5"/>
            <w:tabs>
              <w:tab w:val="right" w:leader="dot" w:pos="9016"/>
            </w:tabs>
            <w:rPr>
              <w:rFonts w:eastAsiaTheme="minorEastAsia"/>
              <w:kern w:val="2"/>
              <w:sz w:val="24"/>
              <w:szCs w:val="24"/>
              <w:lang w:val="en-US" w:eastAsia="zh-CN"/>
              <w14:ligatures w14:val="standardContextual"/>
            </w:rPr>
          </w:pPr>
          <w:r>
            <w:fldChar w:fldCharType="begin"/>
          </w:r>
          <w:r>
            <w:instrText xml:space="preserve"> HYPERLINK \l "_Toc226821927" </w:instrText>
          </w:r>
          <w:r>
            <w:fldChar w:fldCharType="separate"/>
          </w:r>
          <w:r>
            <w:rPr>
              <w:rStyle w:val="8"/>
              <w:rFonts w:ascii="Times New Roman" w:hAnsi="Times New Roman" w:cs="Times New Roman"/>
              <w:b/>
              <w:bCs/>
            </w:rPr>
            <w:t>4.5 Overall Evaluation</w:t>
          </w:r>
          <w:r>
            <w:tab/>
          </w:r>
          <w:r>
            <w:fldChar w:fldCharType="begin"/>
          </w:r>
          <w:r>
            <w:instrText xml:space="preserve"> PAGEREF _Toc226821927 \h </w:instrText>
          </w:r>
          <w:r>
            <w:fldChar w:fldCharType="separate"/>
          </w:r>
          <w:r>
            <w:t>11</w:t>
          </w:r>
          <w:r>
            <w:fldChar w:fldCharType="end"/>
          </w:r>
          <w:r>
            <w:fldChar w:fldCharType="end"/>
          </w:r>
        </w:p>
        <w:p w14:paraId="6F74A939">
          <w:pPr>
            <w:pStyle w:val="4"/>
            <w:tabs>
              <w:tab w:val="left" w:pos="480"/>
              <w:tab w:val="right" w:leader="dot" w:pos="9016"/>
            </w:tabs>
            <w:rPr>
              <w:rFonts w:eastAsiaTheme="minorEastAsia"/>
              <w:kern w:val="2"/>
              <w:sz w:val="24"/>
              <w:szCs w:val="24"/>
              <w:lang w:val="en-US" w:eastAsia="zh-CN"/>
              <w14:ligatures w14:val="standardContextual"/>
            </w:rPr>
          </w:pPr>
          <w:r>
            <w:fldChar w:fldCharType="begin"/>
          </w:r>
          <w:r>
            <w:instrText xml:space="preserve"> HYPERLINK \l "_Toc226821928" </w:instrText>
          </w:r>
          <w:r>
            <w:fldChar w:fldCharType="separate"/>
          </w:r>
          <w:r>
            <w:rPr>
              <w:rStyle w:val="8"/>
              <w:rFonts w:ascii="Times New Roman" w:hAnsi="Times New Roman" w:cs="Times New Roman"/>
              <w:b/>
              <w:bCs/>
            </w:rPr>
            <w:t>5.</w:t>
          </w:r>
          <w:r>
            <w:rPr>
              <w:rFonts w:eastAsiaTheme="minorEastAsia"/>
              <w:kern w:val="2"/>
              <w:sz w:val="24"/>
              <w:szCs w:val="24"/>
              <w:lang w:val="en-US" w:eastAsia="zh-CN"/>
              <w14:ligatures w14:val="standardContextual"/>
            </w:rPr>
            <w:tab/>
          </w:r>
          <w:r>
            <w:rPr>
              <w:rStyle w:val="8"/>
              <w:rFonts w:ascii="Times New Roman" w:hAnsi="Times New Roman" w:cs="Times New Roman"/>
              <w:b/>
              <w:bCs/>
            </w:rPr>
            <w:t>Practical Application to Microsoft</w:t>
          </w:r>
          <w:r>
            <w:tab/>
          </w:r>
          <w:r>
            <w:fldChar w:fldCharType="begin"/>
          </w:r>
          <w:r>
            <w:instrText xml:space="preserve"> PAGEREF _Toc226821928 \h </w:instrText>
          </w:r>
          <w:r>
            <w:fldChar w:fldCharType="separate"/>
          </w:r>
          <w:r>
            <w:t>12</w:t>
          </w:r>
          <w:r>
            <w:fldChar w:fldCharType="end"/>
          </w:r>
          <w:r>
            <w:fldChar w:fldCharType="end"/>
          </w:r>
        </w:p>
        <w:p w14:paraId="698CED66">
          <w:pPr>
            <w:pStyle w:val="4"/>
            <w:tabs>
              <w:tab w:val="left" w:pos="480"/>
              <w:tab w:val="right" w:leader="dot" w:pos="9016"/>
            </w:tabs>
            <w:rPr>
              <w:rFonts w:eastAsiaTheme="minorEastAsia"/>
              <w:kern w:val="2"/>
              <w:sz w:val="24"/>
              <w:szCs w:val="24"/>
              <w:lang w:val="en-US" w:eastAsia="zh-CN"/>
              <w14:ligatures w14:val="standardContextual"/>
            </w:rPr>
          </w:pPr>
          <w:r>
            <w:fldChar w:fldCharType="begin"/>
          </w:r>
          <w:r>
            <w:instrText xml:space="preserve"> HYPERLINK \l "_Toc226821929" </w:instrText>
          </w:r>
          <w:r>
            <w:fldChar w:fldCharType="separate"/>
          </w:r>
          <w:r>
            <w:rPr>
              <w:rStyle w:val="8"/>
              <w:rFonts w:ascii="Times New Roman" w:hAnsi="Times New Roman" w:cs="Times New Roman"/>
              <w:b/>
              <w:bCs/>
            </w:rPr>
            <w:t>6.</w:t>
          </w:r>
          <w:r>
            <w:rPr>
              <w:rFonts w:eastAsiaTheme="minorEastAsia"/>
              <w:kern w:val="2"/>
              <w:sz w:val="24"/>
              <w:szCs w:val="24"/>
              <w:lang w:val="en-US" w:eastAsia="zh-CN"/>
              <w14:ligatures w14:val="standardContextual"/>
            </w:rPr>
            <w:tab/>
          </w:r>
          <w:r>
            <w:rPr>
              <w:rStyle w:val="8"/>
              <w:rFonts w:ascii="Times New Roman" w:hAnsi="Times New Roman" w:cs="Times New Roman"/>
              <w:b/>
              <w:bCs/>
            </w:rPr>
            <w:t>Conclusion</w:t>
          </w:r>
          <w:r>
            <w:tab/>
          </w:r>
          <w:r>
            <w:fldChar w:fldCharType="begin"/>
          </w:r>
          <w:r>
            <w:instrText xml:space="preserve"> PAGEREF _Toc226821929 \h </w:instrText>
          </w:r>
          <w:r>
            <w:fldChar w:fldCharType="separate"/>
          </w:r>
          <w:r>
            <w:t>13</w:t>
          </w:r>
          <w:r>
            <w:fldChar w:fldCharType="end"/>
          </w:r>
          <w:r>
            <w:fldChar w:fldCharType="end"/>
          </w:r>
        </w:p>
        <w:p w14:paraId="5E7C43AF">
          <w:pPr>
            <w:pStyle w:val="4"/>
            <w:tabs>
              <w:tab w:val="left" w:pos="480"/>
              <w:tab w:val="right" w:leader="dot" w:pos="9016"/>
            </w:tabs>
            <w:rPr>
              <w:rFonts w:eastAsiaTheme="minorEastAsia"/>
              <w:kern w:val="2"/>
              <w:sz w:val="24"/>
              <w:szCs w:val="24"/>
              <w:lang w:val="en-US" w:eastAsia="zh-CN"/>
              <w14:ligatures w14:val="standardContextual"/>
            </w:rPr>
          </w:pPr>
          <w:r>
            <w:fldChar w:fldCharType="begin"/>
          </w:r>
          <w:r>
            <w:instrText xml:space="preserve"> HYPERLINK \l "_Toc226821930" </w:instrText>
          </w:r>
          <w:r>
            <w:fldChar w:fldCharType="separate"/>
          </w:r>
          <w:r>
            <w:rPr>
              <w:rStyle w:val="8"/>
              <w:rFonts w:ascii="Times New Roman" w:hAnsi="Times New Roman" w:cs="Times New Roman"/>
              <w:b/>
              <w:bCs/>
            </w:rPr>
            <w:t>7.</w:t>
          </w:r>
          <w:r>
            <w:rPr>
              <w:rFonts w:eastAsiaTheme="minorEastAsia"/>
              <w:kern w:val="2"/>
              <w:sz w:val="24"/>
              <w:szCs w:val="24"/>
              <w:lang w:val="en-US" w:eastAsia="zh-CN"/>
              <w14:ligatures w14:val="standardContextual"/>
            </w:rPr>
            <w:tab/>
          </w:r>
          <w:r>
            <w:rPr>
              <w:rStyle w:val="8"/>
              <w:rFonts w:ascii="Times New Roman" w:hAnsi="Times New Roman" w:cs="Times New Roman"/>
              <w:b/>
              <w:bCs/>
            </w:rPr>
            <w:t>Bibliography</w:t>
          </w:r>
          <w:r>
            <w:tab/>
          </w:r>
          <w:r>
            <w:fldChar w:fldCharType="begin"/>
          </w:r>
          <w:r>
            <w:instrText xml:space="preserve"> PAGEREF _Toc226821930 \h </w:instrText>
          </w:r>
          <w:r>
            <w:fldChar w:fldCharType="separate"/>
          </w:r>
          <w:r>
            <w:t>15</w:t>
          </w:r>
          <w:r>
            <w:fldChar w:fldCharType="end"/>
          </w:r>
          <w:r>
            <w:fldChar w:fldCharType="end"/>
          </w:r>
        </w:p>
        <w:p w14:paraId="05194699">
          <w:pPr>
            <w:spacing w:line="360" w:lineRule="auto"/>
            <w:jc w:val="both"/>
            <w:rPr>
              <w:rFonts w:ascii="Times New Roman" w:hAnsi="Times New Roman" w:cs="Times New Roman"/>
              <w:sz w:val="24"/>
              <w:szCs w:val="24"/>
            </w:rPr>
          </w:pPr>
          <w:r>
            <w:rPr>
              <w:rFonts w:ascii="Times New Roman" w:hAnsi="Times New Roman" w:cs="Times New Roman"/>
              <w:b/>
              <w:bCs/>
              <w:sz w:val="24"/>
              <w:szCs w:val="24"/>
            </w:rPr>
            <w:fldChar w:fldCharType="end"/>
          </w:r>
        </w:p>
      </w:sdtContent>
    </w:sdt>
    <w:p w14:paraId="35B6052B">
      <w:pPr>
        <w:spacing w:line="360" w:lineRule="auto"/>
        <w:jc w:val="both"/>
        <w:rPr>
          <w:rFonts w:ascii="Times New Roman" w:hAnsi="Times New Roman" w:cs="Times New Roman"/>
          <w:sz w:val="24"/>
          <w:szCs w:val="24"/>
        </w:rPr>
      </w:pPr>
    </w:p>
    <w:p w14:paraId="22F11532">
      <w:pPr>
        <w:spacing w:line="360" w:lineRule="auto"/>
        <w:jc w:val="both"/>
        <w:rPr>
          <w:rFonts w:ascii="Times New Roman" w:hAnsi="Times New Roman" w:cs="Times New Roman"/>
          <w:sz w:val="24"/>
          <w:szCs w:val="24"/>
        </w:rPr>
      </w:pPr>
    </w:p>
    <w:p w14:paraId="15C6D916">
      <w:pPr>
        <w:spacing w:line="360" w:lineRule="auto"/>
        <w:jc w:val="both"/>
        <w:rPr>
          <w:rFonts w:ascii="Times New Roman" w:hAnsi="Times New Roman" w:cs="Times New Roman"/>
          <w:sz w:val="24"/>
          <w:szCs w:val="24"/>
        </w:rPr>
      </w:pPr>
    </w:p>
    <w:p w14:paraId="2A27D318">
      <w:pPr>
        <w:spacing w:line="360" w:lineRule="auto"/>
        <w:jc w:val="both"/>
        <w:rPr>
          <w:rFonts w:ascii="Times New Roman" w:hAnsi="Times New Roman" w:cs="Times New Roman"/>
          <w:sz w:val="24"/>
          <w:szCs w:val="24"/>
        </w:rPr>
      </w:pPr>
    </w:p>
    <w:p w14:paraId="4CF6C16D">
      <w:pPr>
        <w:spacing w:line="360" w:lineRule="auto"/>
        <w:jc w:val="both"/>
        <w:rPr>
          <w:rFonts w:ascii="Times New Roman" w:hAnsi="Times New Roman" w:cs="Times New Roman"/>
          <w:sz w:val="24"/>
          <w:szCs w:val="24"/>
        </w:rPr>
      </w:pPr>
    </w:p>
    <w:p w14:paraId="60C16F51">
      <w:pPr>
        <w:spacing w:line="360" w:lineRule="auto"/>
        <w:jc w:val="both"/>
        <w:rPr>
          <w:rFonts w:ascii="Times New Roman" w:hAnsi="Times New Roman" w:cs="Times New Roman"/>
          <w:sz w:val="24"/>
          <w:szCs w:val="24"/>
        </w:rPr>
      </w:pPr>
    </w:p>
    <w:p w14:paraId="44B0C2A7">
      <w:pPr>
        <w:spacing w:line="360" w:lineRule="auto"/>
        <w:jc w:val="both"/>
        <w:rPr>
          <w:rFonts w:ascii="Times New Roman" w:hAnsi="Times New Roman" w:cs="Times New Roman"/>
          <w:sz w:val="24"/>
          <w:szCs w:val="24"/>
        </w:rPr>
      </w:pPr>
    </w:p>
    <w:p w14:paraId="5C7AF4A3">
      <w:pPr>
        <w:spacing w:line="360" w:lineRule="auto"/>
        <w:jc w:val="both"/>
        <w:rPr>
          <w:rFonts w:ascii="Times New Roman" w:hAnsi="Times New Roman" w:cs="Times New Roman"/>
          <w:sz w:val="24"/>
          <w:szCs w:val="24"/>
        </w:rPr>
      </w:pPr>
    </w:p>
    <w:p w14:paraId="655F29CA">
      <w:pPr>
        <w:spacing w:line="360" w:lineRule="auto"/>
        <w:jc w:val="both"/>
        <w:rPr>
          <w:rFonts w:ascii="Times New Roman" w:hAnsi="Times New Roman" w:cs="Times New Roman"/>
          <w:sz w:val="24"/>
          <w:szCs w:val="24"/>
        </w:rPr>
      </w:pPr>
    </w:p>
    <w:p w14:paraId="54C81D2A">
      <w:pPr>
        <w:pStyle w:val="2"/>
        <w:numPr>
          <w:ilvl w:val="0"/>
          <w:numId w:val="1"/>
        </w:numPr>
        <w:spacing w:line="360" w:lineRule="auto"/>
        <w:jc w:val="center"/>
        <w:rPr>
          <w:rFonts w:ascii="Times New Roman" w:hAnsi="Times New Roman" w:cs="Times New Roman"/>
          <w:b/>
          <w:bCs/>
          <w:color w:val="auto"/>
          <w:sz w:val="24"/>
          <w:szCs w:val="24"/>
        </w:rPr>
      </w:pPr>
      <w:bookmarkStart w:id="1" w:name="_Toc226821915"/>
      <w:r>
        <w:rPr>
          <w:rFonts w:ascii="Times New Roman" w:hAnsi="Times New Roman" w:cs="Times New Roman"/>
          <w:b/>
          <w:bCs/>
          <w:color w:val="auto"/>
          <w:sz w:val="24"/>
          <w:szCs w:val="24"/>
        </w:rPr>
        <w:t>Introduction</w:t>
      </w:r>
      <w:bookmarkEnd w:id="1"/>
    </w:p>
    <w:p w14:paraId="588D2025">
      <w:pPr>
        <w:spacing w:line="360" w:lineRule="auto"/>
        <w:jc w:val="both"/>
        <w:rPr>
          <w:rFonts w:ascii="Times New Roman" w:hAnsi="Times New Roman" w:cs="Times New Roman"/>
          <w:sz w:val="24"/>
          <w:szCs w:val="24"/>
        </w:rPr>
      </w:pPr>
      <w:r>
        <w:rPr>
          <w:rFonts w:ascii="Times New Roman" w:hAnsi="Times New Roman" w:cs="Times New Roman"/>
          <w:sz w:val="24"/>
          <w:szCs w:val="24"/>
        </w:rPr>
        <w:t>AI has quickly become a game changer in the international business landscape, altering the way organisations work, compete, and risk management. Microsoft is on the frontline of this change as a multinational leader in AI innovation, being motivated by its incorporation of the latest technologies, including Azure AI, Copilot, and its collaboration with OpenAI. These advancements make Microsoft not just a technology provider but also an influential figure in regulating and implementing AI in global markets. The high pace of AI usage in industries is visible and the global market projections show that AI investment and usage are projected to grow considerably as a strategic value to organisational performance and competitiveness (Statista, 2025).</w:t>
      </w:r>
    </w:p>
    <w:p w14:paraId="429A13AF">
      <w:pPr>
        <w:spacing w:line="360" w:lineRule="auto"/>
        <w:jc w:val="both"/>
        <w:rPr>
          <w:rFonts w:ascii="Times New Roman" w:hAnsi="Times New Roman" w:cs="Times New Roman"/>
          <w:sz w:val="24"/>
          <w:szCs w:val="24"/>
        </w:rPr>
      </w:pPr>
      <w:r>
        <w:rPr>
          <w:rFonts w:ascii="Times New Roman" w:hAnsi="Times New Roman" w:cs="Times New Roman"/>
          <w:sz w:val="24"/>
          <w:szCs w:val="24"/>
        </w:rPr>
        <w:t>Artificial intelligence can be defined as the ability of machines to undertake activities that would otherwise need human intelligence such as learning, reasoning and decision making. As AI systems grow more sophisticated and pervasive in the running of a business, AI presents additional classes of risk that are not necessarily technological in nature. Risk management in this case can be defined as the methodical process of pointing out, evaluating, and addressing the possible dangers that can affect organisational goals. Recent studies emphasise that AI risks are multidimensional in nature, involving issues with data governance, ethical considerations, compliance with regulations, and reputation (Batool, Zowghi and Bano, 2025; Gohil, 2025).</w:t>
      </w:r>
    </w:p>
    <w:p w14:paraId="7B4BFB42">
      <w:pPr>
        <w:spacing w:line="360" w:lineRule="auto"/>
        <w:jc w:val="both"/>
        <w:rPr>
          <w:rFonts w:ascii="Times New Roman" w:hAnsi="Times New Roman" w:cs="Times New Roman"/>
          <w:sz w:val="24"/>
          <w:szCs w:val="24"/>
        </w:rPr>
      </w:pPr>
      <w:r>
        <w:rPr>
          <w:rFonts w:ascii="Times New Roman" w:hAnsi="Times New Roman" w:cs="Times New Roman"/>
          <w:sz w:val="24"/>
          <w:szCs w:val="24"/>
        </w:rPr>
        <w:t>Regulation of AI has thus turned into an urgent concern among multinational companies. AI governance frameworks are becoming more focused on the incorporation of regulatory compliance, ethical standards, and organisational controls to achieve responsible deployment (Agarwal and Nene, 2025). Nevertheless, the international regulatory environment is still disjointed, especially For the United Kingdom and the United States. The UK has a pro-innovation, flexible regulatory model, whereas the US has a more decentralised and sector-specific one, which makes it more complicated to firms operating in both markets (UK Government, 2023; OECD, 2025).</w:t>
      </w:r>
    </w:p>
    <w:p w14:paraId="7C657C89">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is designed to examine the implications of AI development on risk management at Microsoft, in particular, data governance, ethical AI usage, compliance with regulations, and customer confidence. The analysis takes a comparative approach between the USA and the UK to assess the impact of the varying regulatory environment on organisational risks exposure and strategy. The report is organised in the following way: an overview of the topical literature and theoretical frameworks, an overview of the global business environment, a closer look at the risks associated with AI, and a practical consideration of the case of Microsoft and working out the strategic recommendations with an implementation plan.</w:t>
      </w:r>
    </w:p>
    <w:p w14:paraId="7820AD2A">
      <w:pPr>
        <w:pStyle w:val="2"/>
        <w:numPr>
          <w:ilvl w:val="0"/>
          <w:numId w:val="1"/>
        </w:numPr>
        <w:jc w:val="center"/>
        <w:rPr>
          <w:rFonts w:ascii="Times New Roman" w:hAnsi="Times New Roman" w:cs="Times New Roman"/>
          <w:b/>
          <w:bCs/>
          <w:color w:val="auto"/>
          <w:sz w:val="24"/>
          <w:szCs w:val="24"/>
        </w:rPr>
      </w:pPr>
      <w:bookmarkStart w:id="2" w:name="_Toc226821916"/>
      <w:r>
        <w:rPr>
          <w:rFonts w:ascii="Times New Roman" w:hAnsi="Times New Roman" w:cs="Times New Roman"/>
          <w:b/>
          <w:bCs/>
          <w:color w:val="auto"/>
          <w:sz w:val="24"/>
          <w:szCs w:val="24"/>
        </w:rPr>
        <w:t>Literature Review and Theoretical Framework</w:t>
      </w:r>
      <w:bookmarkEnd w:id="2"/>
    </w:p>
    <w:p w14:paraId="2CAA88DE">
      <w:pPr>
        <w:spacing w:line="360" w:lineRule="auto"/>
        <w:jc w:val="both"/>
        <w:rPr>
          <w:rFonts w:ascii="Times New Roman" w:hAnsi="Times New Roman" w:cs="Times New Roman"/>
          <w:sz w:val="24"/>
          <w:szCs w:val="24"/>
        </w:rPr>
      </w:pPr>
      <w:r>
        <w:rPr>
          <w:rFonts w:ascii="Times New Roman" w:hAnsi="Times New Roman" w:cs="Times New Roman"/>
          <w:sz w:val="24"/>
          <w:szCs w:val="24"/>
        </w:rPr>
        <w:t>The role of artificial intelligence has emerged as a decisive force behind business transformation, affecting the organisational strategy, operational efficiency, and competitive positioning. According to Kshetri et al. (2023), AI technologies, in particular, generative AI, are transforming the decision-making process and allowing companies to extract value out of big-scale data analytics. This view is consistent with industry data that proves the fast growth of AI usage and investment in the international markets (Statista, 2025). But, although AI opens up significant innovation and productivity possibilities, it also brings about multi-faceted and dynamic risks that threaten the conventional management practices, especially in multinational companies like Microsoft.</w:t>
      </w:r>
    </w:p>
    <w:p w14:paraId="4181F386">
      <w:pPr>
        <w:spacing w:line="360" w:lineRule="auto"/>
        <w:jc w:val="both"/>
        <w:rPr>
          <w:rFonts w:ascii="Times New Roman" w:hAnsi="Times New Roman" w:cs="Times New Roman"/>
          <w:sz w:val="24"/>
          <w:szCs w:val="24"/>
        </w:rPr>
      </w:pPr>
      <w:r>
        <w:rPr>
          <w:rFonts w:ascii="Times New Roman" w:hAnsi="Times New Roman" w:cs="Times New Roman"/>
          <w:sz w:val="24"/>
          <w:szCs w:val="24"/>
        </w:rPr>
        <w:t>Risk management frameworks have been changing to align with these new challenges associated with AI. Bernardelli and Giudici (2025) point out that AI risk management is not limited to the traditional operational risks but has ethical, legal, and reputational aspects. Gohil (2025) also extends this idea by suggesting an overall framework that combines ongoing monitoring, risk detection, and mitigation strategies that consider AI systems. Conversely, Campos et al. (2025) criticise current frameworks, stating that they tend to be inadequate when working with dynamic and unpredictable AI technologies. Campos et al. (2025) stress that existing frameworks often fail to provide the necessary flexibility to react to fast-moving technological changes, and new, more dynamic frameworks are needed. This difference in the point of view illustrates a valuable discussion on whether AI-driven settings can be successfully adjusted to traditional risk management models or not.</w:t>
      </w:r>
    </w:p>
    <w:p w14:paraId="07864DB9">
      <w:pPr>
        <w:spacing w:line="360" w:lineRule="auto"/>
        <w:jc w:val="both"/>
        <w:rPr>
          <w:rFonts w:ascii="Times New Roman" w:hAnsi="Times New Roman" w:cs="Times New Roman"/>
          <w:sz w:val="24"/>
          <w:szCs w:val="24"/>
        </w:rPr>
      </w:pPr>
      <w:r>
        <w:rPr>
          <w:rFonts w:ascii="Times New Roman" w:hAnsi="Times New Roman" w:cs="Times New Roman"/>
          <w:sz w:val="24"/>
          <w:szCs w:val="24"/>
        </w:rPr>
        <w:t>Governance of data is well known as a pillar of AI risk management especially within organisations with large data of sensitive information. Li (2025) claims that proper data governance structures are fundamental in ensuring compliance, transparency and accountability in AI systems, particularly with generative AI. Batool, Zowghi and Bano (2025) back the same by stating the importance of systematic governance systems in minimising data-related risks and maximising control in organisations. Yet, Li (2025) also admits that the issue of data governance cannot possibly be adequate to mitigate the threats posed by the bias in the algorithms or unintended consequences, especially when AI systems are involved in autonomous operation. The shortcoming implies that data governance should be coupled with the wider ethical and regulatory system to guarantee extensive risk management.</w:t>
      </w:r>
    </w:p>
    <w:p w14:paraId="7B0FDD68">
      <w:pPr>
        <w:spacing w:line="360" w:lineRule="auto"/>
        <w:jc w:val="both"/>
        <w:rPr>
          <w:rFonts w:ascii="Times New Roman" w:hAnsi="Times New Roman" w:cs="Times New Roman"/>
          <w:sz w:val="24"/>
          <w:szCs w:val="24"/>
        </w:rPr>
      </w:pPr>
      <w:r>
        <w:rPr>
          <w:rFonts w:ascii="Times New Roman" w:hAnsi="Times New Roman" w:cs="Times New Roman"/>
          <w:sz w:val="24"/>
          <w:szCs w:val="24"/>
        </w:rPr>
        <w:t>Another major theme in the literature is ethical consideration especially in matters pertaining to fairness, transparency and accountability. Floridi et al. (2018) suggest a set of ethical principles, including beneficence, non-maleficence, and justice, as the means to steer the responsible development of AI. Madanchian and Taherdoost (2025) elaborate on this point by highlighting that the ethical frameworks should be incorporated in the organisational strategies to make them practical. Conversely, Mittelstadt (2019) critically adds that not only ethical principles are not enough, as organisations frequently find it impossible to convert abstract principles into working practices. Raji et al. (2022) support this criticism by noting that AI systems have an accountability gap, in which the results are not assigned responsibility. This difference between theory and practice highlights one of the major problems in ensuring the ethical use of AI in organisations.</w:t>
      </w:r>
    </w:p>
    <w:p w14:paraId="6B0E1E31">
      <w:pPr>
        <w:spacing w:line="360" w:lineRule="auto"/>
        <w:jc w:val="both"/>
        <w:rPr>
          <w:rFonts w:ascii="Times New Roman" w:hAnsi="Times New Roman" w:cs="Times New Roman"/>
          <w:sz w:val="24"/>
          <w:szCs w:val="24"/>
        </w:rPr>
      </w:pPr>
      <w:r>
        <w:rPr>
          <w:rFonts w:ascii="Times New Roman" w:hAnsi="Times New Roman" w:cs="Times New Roman"/>
          <w:sz w:val="24"/>
          <w:szCs w:val="24"/>
        </w:rPr>
        <w:t>Regulation of AI has thus become a key subject of study, and there is growing interest in joint models integrating regulatory, organisational, and technical factors. Agarwal and Nene (2025) suggest a 5-level governance model, which includes regulation, standards, certification, organisational processes and technological controls. The same is highlighted by Ribeiro et al. (2025), who argue that alignment of internal governance mechanisms with external regulatory requirements is essential to have good oversight. Taeihagh (2025) however claims that too strict governance framework can be a barrier to innovation and thus, he claims that regulatory flexibility is required to ensure technological progress. This approach can be traced in the pro-innovation regulation strategy of the UK that is focused on flexibility and industry-specific advice (UK Government, 2023). Contrastingly, the European Parliament (2025) emphasises the growing prominence of more detailed regulatory approaches, including the EU AI Act, which focuses on harmonising AI regulation across jurisdictions. Such opposing views help to explain the conflict between encouraging innovation and maintaining its effective regulation.</w:t>
      </w:r>
    </w:p>
    <w:p w14:paraId="4FA04202">
      <w:pPr>
        <w:spacing w:line="360" w:lineRule="auto"/>
        <w:jc w:val="both"/>
        <w:rPr>
          <w:rFonts w:ascii="Times New Roman" w:hAnsi="Times New Roman" w:cs="Times New Roman"/>
          <w:sz w:val="24"/>
          <w:szCs w:val="24"/>
        </w:rPr>
      </w:pPr>
      <w:r>
        <w:rPr>
          <w:rFonts w:ascii="Times New Roman" w:hAnsi="Times New Roman" w:cs="Times New Roman"/>
          <w:sz w:val="24"/>
          <w:szCs w:val="24"/>
        </w:rPr>
        <w:t>This discussion is especially pertinent For comparing the regulatory policies in the United Kingdom and the United States. The UK has a flexible approach to regulation, which is principles-based and allows innovation but gives advice on risk management and accountability (UK Government, 2023). Conversely, the United States enjoys a more disaggregated, sector-specific system, which may lead to inconsistencies, but can be more adaptable to swiftly changing technological conditions. According to the OECD (2025), this divergence presents a challenge to multinational organisations, which have to operate in various regulatory environments and yet have consistent governance standards. This is of particular importance to companies like Microsoft, which work in both jurisdictions and must strike a balance between compliance and innovation.</w:t>
      </w:r>
    </w:p>
    <w:p w14:paraId="18A01614">
      <w:pPr>
        <w:spacing w:line="360" w:lineRule="auto"/>
        <w:jc w:val="both"/>
        <w:rPr>
          <w:rFonts w:ascii="Times New Roman" w:hAnsi="Times New Roman" w:cs="Times New Roman"/>
          <w:sz w:val="24"/>
          <w:szCs w:val="24"/>
        </w:rPr>
      </w:pPr>
      <w:r>
        <w:rPr>
          <w:rFonts w:ascii="Times New Roman" w:hAnsi="Times New Roman" w:cs="Times New Roman"/>
          <w:sz w:val="24"/>
          <w:szCs w:val="24"/>
        </w:rPr>
        <w:t>In general, the literature shows that AI is a major opportunity and a major threat to organisations. Kshetri et al. (2023) note that AI has a transformative potential to improve organisational performance, whereas Bernardelli and Giudici (2025) point at the growing sophistication of risks to manage them.</w:t>
      </w:r>
    </w:p>
    <w:p w14:paraId="507BAD72">
      <w:pPr>
        <w:pStyle w:val="2"/>
        <w:numPr>
          <w:ilvl w:val="0"/>
          <w:numId w:val="1"/>
        </w:numPr>
        <w:jc w:val="center"/>
        <w:rPr>
          <w:rFonts w:ascii="Times New Roman" w:hAnsi="Times New Roman" w:cs="Times New Roman"/>
          <w:b/>
          <w:bCs/>
          <w:color w:val="auto"/>
          <w:sz w:val="24"/>
          <w:szCs w:val="24"/>
          <w:lang w:val="en-US"/>
        </w:rPr>
      </w:pPr>
      <w:bookmarkStart w:id="3" w:name="_Toc226821917"/>
      <w:r>
        <w:rPr>
          <w:rFonts w:ascii="Times New Roman" w:hAnsi="Times New Roman" w:cs="Times New Roman"/>
          <w:b/>
          <w:bCs/>
          <w:color w:val="auto"/>
          <w:sz w:val="24"/>
          <w:szCs w:val="24"/>
          <w:lang w:val="en-US"/>
        </w:rPr>
        <w:t>Global Environment Analysis</w:t>
      </w:r>
      <w:bookmarkEnd w:id="3"/>
    </w:p>
    <w:p w14:paraId="164975C1">
      <w:pPr>
        <w:spacing w:line="360" w:lineRule="auto"/>
        <w:jc w:val="both"/>
        <w:rPr>
          <w:rFonts w:ascii="Times New Roman" w:hAnsi="Times New Roman" w:cs="Times New Roman"/>
          <w:sz w:val="24"/>
          <w:szCs w:val="24"/>
        </w:rPr>
      </w:pPr>
      <w:r>
        <w:rPr>
          <w:rFonts w:ascii="Times New Roman" w:hAnsi="Times New Roman" w:cs="Times New Roman"/>
          <w:sz w:val="24"/>
          <w:szCs w:val="24"/>
        </w:rPr>
        <w:t>A PESTLE analysis offers an organised framework in which to discuss the impact of the external factors in the United Kingdom and the United States on the AI strategy, Microsoft adoption, and risk exposure. Being a global leader in AI with products like Azure AI and Copilot, Microsoft has to work in a highly unstable environment that is defined by regulatory disparities, economic unpredictability, and a high rate of technological change. Risk information on a global scale shows that 54 % of the participants believe that the short term is going to be unstable and 63 % of the participants believe that the long term will be turbulent thus validating the necessity of adaptive governance approaches in the implementation of AI (World Economic Forum, 2024).</w:t>
      </w:r>
    </w:p>
    <w:p w14:paraId="2FEC6FDF">
      <w:pPr>
        <w:pStyle w:val="3"/>
        <w:rPr>
          <w:rFonts w:ascii="Times New Roman" w:hAnsi="Times New Roman" w:cs="Times New Roman"/>
          <w:b/>
          <w:bCs/>
          <w:color w:val="auto"/>
          <w:sz w:val="24"/>
          <w:szCs w:val="24"/>
        </w:rPr>
      </w:pPr>
      <w:bookmarkStart w:id="4" w:name="_Toc226821918"/>
      <w:r>
        <w:rPr>
          <w:rFonts w:ascii="Times New Roman" w:hAnsi="Times New Roman" w:cs="Times New Roman"/>
          <w:b/>
          <w:bCs/>
          <w:color w:val="auto"/>
          <w:sz w:val="24"/>
          <w:szCs w:val="24"/>
        </w:rPr>
        <w:t>3.1 Political and Legal Factor.</w:t>
      </w:r>
      <w:bookmarkEnd w:id="4"/>
    </w:p>
    <w:p w14:paraId="540FCCE4">
      <w:pPr>
        <w:spacing w:line="360" w:lineRule="auto"/>
        <w:jc w:val="both"/>
        <w:rPr>
          <w:rFonts w:ascii="Times New Roman" w:hAnsi="Times New Roman" w:cs="Times New Roman"/>
          <w:sz w:val="24"/>
          <w:szCs w:val="24"/>
        </w:rPr>
      </w:pPr>
      <w:r>
        <w:rPr>
          <w:rFonts w:ascii="Times New Roman" w:hAnsi="Times New Roman" w:cs="Times New Roman"/>
          <w:sz w:val="24"/>
          <w:szCs w:val="24"/>
        </w:rPr>
        <w:t>The UK has a pro-innovation and principles-based regulatory approach on artificial intelligence. By building upon the current regulators instead of creating a single overarching AI regulation, the UK Government (2023) prioritises flexibility. Taeihagh (2025) defends this strategy because adaptive governance systems encourage innovation by not being too strict with their regulations. Nonetheless, Batool, Zowghi and Bano (2025) note that such flexibility may give ambiguity especially to multinational firms that need to know explicitly what is expected in terms of compliance. For Microsoft this is coming up with good internal governance mechanisms that can be able to interpret high level regulatory principles and translate them into operational practices.</w:t>
      </w:r>
    </w:p>
    <w:p w14:paraId="54040FB9">
      <w:pPr>
        <w:spacing w:line="360" w:lineRule="auto"/>
        <w:jc w:val="both"/>
        <w:rPr>
          <w:rFonts w:ascii="Times New Roman" w:hAnsi="Times New Roman" w:cs="Times New Roman"/>
          <w:sz w:val="24"/>
          <w:szCs w:val="24"/>
        </w:rPr>
      </w:pPr>
      <w:r>
        <w:rPr>
          <w:rFonts w:ascii="Times New Roman" w:hAnsi="Times New Roman" w:cs="Times New Roman"/>
          <w:sz w:val="24"/>
          <w:szCs w:val="24"/>
        </w:rPr>
        <w:t>Conversely, the US is regulated in a disjointed manner which is typified by executive orders and industry-specific regulation. According to OECD (2025), this decentralised model duplicates regulatory roles, and the complexity is heightened to organisations. Although flexible, this structure brings in inconsistency in enforcement. For Microsoft that implements AI in various sectors of the economy, including healthcare, finance, and cloud services, this fragmentation adds both compliance cost and legal liability. The World Economic Forum (2024) also emphasises that the geopolitical fragmentation is growing, two-thirds of experts predict the appearance of a multipolar world order, which increases the scope of regulatory discrepancies and makes it more difficult to regulate AI across borders.</w:t>
      </w:r>
    </w:p>
    <w:p w14:paraId="277339ED">
      <w:pPr>
        <w:pStyle w:val="3"/>
        <w:rPr>
          <w:rFonts w:ascii="Times New Roman" w:hAnsi="Times New Roman" w:cs="Times New Roman"/>
          <w:b/>
          <w:bCs/>
          <w:color w:val="auto"/>
          <w:sz w:val="24"/>
          <w:szCs w:val="24"/>
        </w:rPr>
      </w:pPr>
      <w:bookmarkStart w:id="5" w:name="_Toc226821919"/>
      <w:r>
        <w:rPr>
          <w:rFonts w:ascii="Times New Roman" w:hAnsi="Times New Roman" w:cs="Times New Roman"/>
          <w:b/>
          <w:bCs/>
          <w:color w:val="auto"/>
          <w:sz w:val="24"/>
          <w:szCs w:val="24"/>
        </w:rPr>
        <w:t>3.2 Economic Factors</w:t>
      </w:r>
      <w:bookmarkEnd w:id="5"/>
    </w:p>
    <w:p w14:paraId="3AD29639">
      <w:pPr>
        <w:spacing w:line="360" w:lineRule="auto"/>
        <w:jc w:val="both"/>
        <w:rPr>
          <w:rFonts w:ascii="Times New Roman" w:hAnsi="Times New Roman" w:cs="Times New Roman"/>
          <w:sz w:val="24"/>
          <w:szCs w:val="24"/>
        </w:rPr>
      </w:pPr>
      <w:r>
        <w:rPr>
          <w:rFonts w:ascii="Times New Roman" w:hAnsi="Times New Roman" w:cs="Times New Roman"/>
          <w:sz w:val="24"/>
          <w:szCs w:val="24"/>
        </w:rPr>
        <w:t>The economic conditions are of paramount importance in influencing the adoption and investment of AI. The US is the leader in the field of AI investment around the world, with powerful venture capital systems and with the existence of major technology corporations, such as Microsoft. According to market predictions across the globe, AI will have grown to hundreds of billions of dollars by 2030, a rapid growth and a growing demand (Statista, 2025). Such environment offers Microsoft a great chance to scale its AI infrastructure and lead the competition.</w:t>
      </w:r>
    </w:p>
    <w:p w14:paraId="2F92F504">
      <w:pPr>
        <w:spacing w:line="360" w:lineRule="auto"/>
        <w:jc w:val="both"/>
        <w:rPr>
          <w:rFonts w:ascii="Times New Roman" w:hAnsi="Times New Roman" w:cs="Times New Roman"/>
          <w:sz w:val="24"/>
          <w:szCs w:val="24"/>
        </w:rPr>
      </w:pPr>
      <w:r>
        <w:rPr>
          <w:rFonts w:ascii="Times New Roman" w:hAnsi="Times New Roman" w:cs="Times New Roman"/>
          <w:sz w:val="24"/>
          <w:szCs w:val="24"/>
        </w:rPr>
        <w:t>The United Kingdom is also exhibiting an increasing investment in AI with national innovation strategies and national funding. According to the European Parliament (2025), the UK is still promoting AI development, but at the same time, it regulates it. Nevertheless, there is still the economic uncertainty. World Economic Forum (2024) claims that 42 % of the people surveyed cite the cost-of-living crisis and 33 % mention risks of economic downturn in the short term. These forces can affect organisational expenditure on technology and low adoption rates.</w:t>
      </w:r>
    </w:p>
    <w:p w14:paraId="126CF1A1">
      <w:pPr>
        <w:spacing w:line="360" w:lineRule="auto"/>
        <w:jc w:val="both"/>
        <w:rPr>
          <w:rFonts w:ascii="Times New Roman" w:hAnsi="Times New Roman" w:cs="Times New Roman"/>
          <w:sz w:val="24"/>
          <w:szCs w:val="24"/>
        </w:rPr>
      </w:pPr>
      <w:r>
        <w:rPr>
          <w:rFonts w:ascii="Times New Roman" w:hAnsi="Times New Roman" w:cs="Times New Roman"/>
          <w:sz w:val="24"/>
          <w:szCs w:val="24"/>
        </w:rPr>
        <w:t>For Microsoft, the US provides access to capital, developed infrastructure and the global markets which allow further growth. Nonetheless, economic dominance is also an issue of regulatory interest in terms of competition and market concentration. In the UK, Microsoft has to balance between the opportunities to grow and the needs of compliance, which can restrain the fast growth, but facilitate the long-term sustainability and credibility.</w:t>
      </w:r>
    </w:p>
    <w:p w14:paraId="22DC3B18">
      <w:pPr>
        <w:pStyle w:val="3"/>
        <w:rPr>
          <w:rFonts w:ascii="Times New Roman" w:hAnsi="Times New Roman" w:cs="Times New Roman"/>
          <w:b/>
          <w:bCs/>
          <w:color w:val="auto"/>
          <w:sz w:val="24"/>
          <w:szCs w:val="24"/>
        </w:rPr>
      </w:pPr>
      <w:bookmarkStart w:id="6" w:name="_Toc226821920"/>
      <w:r>
        <w:rPr>
          <w:rFonts w:ascii="Times New Roman" w:hAnsi="Times New Roman" w:cs="Times New Roman"/>
          <w:b/>
          <w:bCs/>
          <w:color w:val="auto"/>
          <w:sz w:val="24"/>
          <w:szCs w:val="24"/>
        </w:rPr>
        <w:t>3.3 Technological Factors</w:t>
      </w:r>
      <w:bookmarkEnd w:id="6"/>
    </w:p>
    <w:p w14:paraId="5AE30F3E">
      <w:pPr>
        <w:spacing w:line="360" w:lineRule="auto"/>
        <w:jc w:val="both"/>
        <w:rPr>
          <w:rFonts w:ascii="Times New Roman" w:hAnsi="Times New Roman" w:cs="Times New Roman"/>
          <w:sz w:val="24"/>
          <w:szCs w:val="24"/>
        </w:rPr>
      </w:pPr>
      <w:r>
        <w:rPr>
          <w:rFonts w:ascii="Times New Roman" w:hAnsi="Times New Roman" w:cs="Times New Roman"/>
          <w:sz w:val="24"/>
          <w:szCs w:val="24"/>
        </w:rPr>
        <w:t>The focus of the Microsoft strategy is on technological innovation, especially its implementation of generative AI in the enterprise and consumer systems. Kshetri et al. (2023) believe that generative AI is reshaping the organisational process, facilitating automation and improved decision-making. To back this up, Statista (2026) notes that adoption of AI is on the rise in all sectors, with more organisations adopting AI as part of their operation.</w:t>
      </w:r>
    </w:p>
    <w:p w14:paraId="6D7DFDEF">
      <w:pPr>
        <w:spacing w:line="360" w:lineRule="auto"/>
        <w:jc w:val="both"/>
        <w:rPr>
          <w:rFonts w:ascii="Times New Roman" w:hAnsi="Times New Roman" w:cs="Times New Roman"/>
          <w:sz w:val="24"/>
          <w:szCs w:val="24"/>
        </w:rPr>
      </w:pPr>
      <w:r>
        <w:rPr>
          <w:rFonts w:ascii="Times New Roman" w:hAnsi="Times New Roman" w:cs="Times New Roman"/>
          <w:sz w:val="24"/>
          <w:szCs w:val="24"/>
        </w:rPr>
        <w:t>Nevertheless, the advancement in technology comes with increased risks. According to the World Economic Forum (2024), AI-generated misinformation is rated as one of the highest global risks, with 53 % of the respondents mentioning it as a threat, and 39 % marking cyberattacks as a risk. According to Campos et al. (2025), the current risk management models are unable to match the rate of AI innovation and this exposes them to new risks.</w:t>
      </w:r>
    </w:p>
    <w:p w14:paraId="776DC857">
      <w:pPr>
        <w:spacing w:line="360" w:lineRule="auto"/>
        <w:jc w:val="both"/>
        <w:rPr>
          <w:rFonts w:ascii="Times New Roman" w:hAnsi="Times New Roman" w:cs="Times New Roman"/>
          <w:sz w:val="24"/>
          <w:szCs w:val="24"/>
        </w:rPr>
      </w:pPr>
      <w:r>
        <w:rPr>
          <w:rFonts w:ascii="Times New Roman" w:hAnsi="Times New Roman" w:cs="Times New Roman"/>
          <w:sz w:val="24"/>
          <w:szCs w:val="24"/>
        </w:rPr>
        <w:t>For Microsoft, the technological leadership gives competitive edge yet it exposes the company to greater risks. The high scale implementation of AI systems by the company increases the risk of system failures, algorithmic bias, and unintended consequences. This necessitates the ongoing spending on security, surveillance, and governance systems to engage in safe and reliable AI implementation.</w:t>
      </w:r>
    </w:p>
    <w:p w14:paraId="5BAE79E9">
      <w:pPr>
        <w:pStyle w:val="3"/>
        <w:rPr>
          <w:rFonts w:ascii="Times New Roman" w:hAnsi="Times New Roman" w:cs="Times New Roman"/>
          <w:b/>
          <w:bCs/>
          <w:color w:val="auto"/>
          <w:sz w:val="24"/>
          <w:szCs w:val="24"/>
        </w:rPr>
      </w:pPr>
      <w:bookmarkStart w:id="7" w:name="_Toc226821921"/>
      <w:r>
        <w:rPr>
          <w:rFonts w:ascii="Times New Roman" w:hAnsi="Times New Roman" w:cs="Times New Roman"/>
          <w:b/>
          <w:bCs/>
          <w:color w:val="auto"/>
          <w:sz w:val="24"/>
          <w:szCs w:val="24"/>
        </w:rPr>
        <w:t>3.4 Legal and Data Governance Factors.</w:t>
      </w:r>
      <w:bookmarkEnd w:id="7"/>
    </w:p>
    <w:p w14:paraId="29028C42">
      <w:pPr>
        <w:spacing w:line="360" w:lineRule="auto"/>
        <w:jc w:val="both"/>
        <w:rPr>
          <w:rFonts w:ascii="Times New Roman" w:hAnsi="Times New Roman" w:cs="Times New Roman"/>
          <w:sz w:val="24"/>
          <w:szCs w:val="24"/>
        </w:rPr>
      </w:pPr>
      <w:r>
        <w:rPr>
          <w:rFonts w:ascii="Times New Roman" w:hAnsi="Times New Roman" w:cs="Times New Roman"/>
          <w:sz w:val="24"/>
          <w:szCs w:val="24"/>
        </w:rPr>
        <w:t>The United Kingdom and the United States have very different legal and data governance systems in place. UK has a system that is consistent with the provisions of GDPR, which places stringent measures on the protection of data and its privacy as well as on cross-border data transfer. Li (2025) notes that effective data governance is critical in the reduction of risks associated with AI systems based on huge datasets. For Microsoft, adherence to these regulations is of utmost importance to ensure customer confidence and to prevent legal punishment.</w:t>
      </w:r>
    </w:p>
    <w:p w14:paraId="5857B570">
      <w:pPr>
        <w:spacing w:line="360" w:lineRule="auto"/>
        <w:jc w:val="both"/>
        <w:rPr>
          <w:rFonts w:ascii="Times New Roman" w:hAnsi="Times New Roman" w:cs="Times New Roman"/>
          <w:sz w:val="24"/>
          <w:szCs w:val="24"/>
        </w:rPr>
      </w:pPr>
      <w:r>
        <w:rPr>
          <w:rFonts w:ascii="Times New Roman" w:hAnsi="Times New Roman" w:cs="Times New Roman"/>
          <w:sz w:val="24"/>
          <w:szCs w:val="24"/>
        </w:rPr>
        <w:t>In comparison, the United States is a patchwork approach to data protection and the regulations are different between states and industries. According to OECD (2025) this inconsistency poses uncertainty and promotes the possibility of regulatory gaps. Although this conducive environment helps in fostering innovation, it makes it difficult to comply with multinational companies like Microsoft.</w:t>
      </w:r>
    </w:p>
    <w:p w14:paraId="031BA778">
      <w:pPr>
        <w:spacing w:line="360" w:lineRule="auto"/>
        <w:jc w:val="both"/>
        <w:rPr>
          <w:rFonts w:ascii="Times New Roman" w:hAnsi="Times New Roman" w:cs="Times New Roman"/>
          <w:sz w:val="24"/>
          <w:szCs w:val="24"/>
        </w:rPr>
      </w:pPr>
      <w:r>
        <w:rPr>
          <w:rFonts w:ascii="Times New Roman" w:hAnsi="Times New Roman" w:cs="Times New Roman"/>
          <w:sz w:val="24"/>
          <w:szCs w:val="24"/>
        </w:rPr>
        <w:t>Risks associated with data are becoming more important. According to the World Economic Forum (2024), cyber risks continue to be at the list of the most widespread threats globally, and 39 % of the participants expressed cybersecurity issues. For Microsoft that handles large amounts of data using its cloud platform, adherence to the various legal systems is the key to operational integrity and trust between the company and its customers.</w:t>
      </w:r>
    </w:p>
    <w:p w14:paraId="1B24CA75">
      <w:pPr>
        <w:pStyle w:val="2"/>
        <w:numPr>
          <w:ilvl w:val="0"/>
          <w:numId w:val="1"/>
        </w:numPr>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Main Findings.</w:t>
      </w:r>
    </w:p>
    <w:p w14:paraId="253306F9">
      <w:pPr>
        <w:spacing w:line="360" w:lineRule="auto"/>
        <w:jc w:val="both"/>
        <w:rPr>
          <w:rFonts w:ascii="Times New Roman" w:hAnsi="Times New Roman" w:cs="Times New Roman"/>
          <w:sz w:val="24"/>
          <w:szCs w:val="24"/>
        </w:rPr>
      </w:pPr>
      <w:r>
        <w:rPr>
          <w:rFonts w:ascii="Times New Roman" w:hAnsi="Times New Roman" w:cs="Times New Roman"/>
          <w:sz w:val="24"/>
          <w:szCs w:val="24"/>
        </w:rPr>
        <w:t>Artificial intelligence is a multidimensional and complicated risk environment to Microsoft, especially considering its massive usage across cloud services, enterprise software and consumer applications. With the growth of Azure AI and Copilot internationally, risks are not insular anymore but interrelated, which entails systematic examination on governance, ethics, compliance, and reputation. Bernardelli and Giudici (2025) point out that AI risks are systemic and interdependent, i.e., that failures in one of the areas, i.e., data governance, have a cascading legal and reputational impact. In this section, these risks are critically analysed in the context of the UK and the US.</w:t>
      </w:r>
    </w:p>
    <w:p w14:paraId="457ED626">
      <w:pPr>
        <w:pStyle w:val="3"/>
        <w:rPr>
          <w:rFonts w:ascii="Times New Roman" w:hAnsi="Times New Roman" w:cs="Times New Roman"/>
          <w:b/>
          <w:bCs/>
          <w:color w:val="auto"/>
          <w:sz w:val="24"/>
          <w:szCs w:val="24"/>
        </w:rPr>
      </w:pPr>
      <w:bookmarkStart w:id="8" w:name="_Toc226821923"/>
      <w:r>
        <w:rPr>
          <w:rFonts w:ascii="Times New Roman" w:hAnsi="Times New Roman" w:cs="Times New Roman"/>
          <w:b/>
          <w:bCs/>
          <w:color w:val="auto"/>
          <w:sz w:val="24"/>
          <w:szCs w:val="24"/>
        </w:rPr>
        <w:t>4.1 Data Governance Risks</w:t>
      </w:r>
      <w:bookmarkEnd w:id="8"/>
    </w:p>
    <w:p w14:paraId="0FB65503">
      <w:pPr>
        <w:spacing w:line="360" w:lineRule="auto"/>
        <w:jc w:val="both"/>
        <w:rPr>
          <w:rFonts w:ascii="Times New Roman" w:hAnsi="Times New Roman" w:cs="Times New Roman"/>
          <w:sz w:val="24"/>
          <w:szCs w:val="24"/>
        </w:rPr>
      </w:pPr>
      <w:r>
        <w:rPr>
          <w:rFonts w:ascii="Times New Roman" w:hAnsi="Times New Roman" w:cs="Times New Roman"/>
          <w:sz w:val="24"/>
          <w:szCs w:val="24"/>
        </w:rPr>
        <w:t>For Microsoft and its Azure cloud platform, data governance is a key risk area since it handles large volumes of organisational and personal data. Li (2025) contends that compliance, transparency, and accountability of AI systems cannot be achieved without proper data governance. Massive data processing however, exposes them to risks like data breach and unauthorised access. The world statistics show cyberattacks are a significant challenge, and 39% of organisations have ranked cybersecurity risks among the primary issues (World Economic Forum, 2024).</w:t>
      </w:r>
    </w:p>
    <w:p w14:paraId="4425ECEE">
      <w:pPr>
        <w:spacing w:line="360" w:lineRule="auto"/>
        <w:jc w:val="both"/>
        <w:rPr>
          <w:rFonts w:ascii="Times New Roman" w:hAnsi="Times New Roman" w:cs="Times New Roman"/>
          <w:sz w:val="24"/>
          <w:szCs w:val="24"/>
        </w:rPr>
      </w:pPr>
      <w:r>
        <w:rPr>
          <w:rFonts w:ascii="Times New Roman" w:hAnsi="Times New Roman" w:cs="Times New Roman"/>
          <w:sz w:val="24"/>
          <w:szCs w:val="24"/>
        </w:rPr>
        <w:t>The cross-border data transfer is one of the main problems of Microsoft. The UK has regulations that are GDPR compliant, and these regulations have stringent restrictions on how data is processed and transferred. On the contrary, the US has a disjointed data governance framework, as rules in different states and industries are different (OECD, 2025). This deviation introduces complexity in operating, with Microsoft having to make sure that information being processed via Azure meets various regulatory standards at the same time.</w:t>
      </w:r>
    </w:p>
    <w:p w14:paraId="42E86BF1">
      <w:pPr>
        <w:spacing w:line="360" w:lineRule="auto"/>
        <w:jc w:val="both"/>
        <w:rPr>
          <w:rFonts w:ascii="Times New Roman" w:hAnsi="Times New Roman" w:cs="Times New Roman"/>
          <w:sz w:val="24"/>
          <w:szCs w:val="24"/>
        </w:rPr>
      </w:pPr>
      <w:r>
        <w:rPr>
          <w:rFonts w:ascii="Times New Roman" w:hAnsi="Times New Roman" w:cs="Times New Roman"/>
          <w:sz w:val="24"/>
          <w:szCs w:val="24"/>
        </w:rPr>
        <w:t>Batool, Zowghi and Bano (2025) point out that lack of consistent governance structures enhances the probability of compliance gaps. For Microsoft, lack of alignment of data practices across jurisdictions may lead to legal sanctions and enterprise client’s loss. Although technical risks are minimised by strong encryption and cloud security, the regulatory inconsistencies are still a problem. This shows that data governance risk is not entirely technical but institutional that needs combined compliance strategies.</w:t>
      </w:r>
    </w:p>
    <w:p w14:paraId="324D2B8E">
      <w:pPr>
        <w:pStyle w:val="3"/>
        <w:rPr>
          <w:rFonts w:ascii="Times New Roman" w:hAnsi="Times New Roman" w:cs="Times New Roman"/>
          <w:b/>
          <w:bCs/>
          <w:color w:val="auto"/>
          <w:sz w:val="24"/>
          <w:szCs w:val="24"/>
        </w:rPr>
      </w:pPr>
      <w:bookmarkStart w:id="9" w:name="_Toc226821924"/>
      <w:r>
        <w:rPr>
          <w:rFonts w:ascii="Times New Roman" w:hAnsi="Times New Roman" w:cs="Times New Roman"/>
          <w:b/>
          <w:bCs/>
          <w:color w:val="auto"/>
          <w:sz w:val="24"/>
          <w:szCs w:val="24"/>
        </w:rPr>
        <w:t>4.2 Ethical AI Risks</w:t>
      </w:r>
      <w:bookmarkEnd w:id="9"/>
    </w:p>
    <w:p w14:paraId="14E41A15">
      <w:pPr>
        <w:spacing w:line="360" w:lineRule="auto"/>
        <w:jc w:val="both"/>
        <w:rPr>
          <w:rFonts w:ascii="Times New Roman" w:hAnsi="Times New Roman" w:cs="Times New Roman"/>
          <w:sz w:val="24"/>
          <w:szCs w:val="24"/>
        </w:rPr>
      </w:pPr>
      <w:r>
        <w:rPr>
          <w:rFonts w:ascii="Times New Roman" w:hAnsi="Times New Roman" w:cs="Times New Roman"/>
          <w:sz w:val="24"/>
          <w:szCs w:val="24"/>
        </w:rPr>
        <w:t>Ethical risk is a growing issue because Microsoft implements AI systems in its decision-making processes. Problems with algorithmic bias, a lack of transparency, and unjust results have been extensively reported. According to Floridi et al. (2018), there are ethical principles such as fairness, accountability, and transparency that can be used to establish responsible AI. At Microsoft, such principles have been embraced, but Mittelstadt (2019) maintains that such principles do not guarantee ethical results in practice.</w:t>
      </w:r>
    </w:p>
    <w:p w14:paraId="7E811A68">
      <w:pPr>
        <w:spacing w:line="360" w:lineRule="auto"/>
        <w:jc w:val="both"/>
        <w:rPr>
          <w:rFonts w:ascii="Times New Roman" w:hAnsi="Times New Roman" w:cs="Times New Roman"/>
          <w:sz w:val="24"/>
          <w:szCs w:val="24"/>
        </w:rPr>
      </w:pPr>
      <w:r>
        <w:rPr>
          <w:rFonts w:ascii="Times New Roman" w:hAnsi="Times New Roman" w:cs="Times New Roman"/>
          <w:sz w:val="24"/>
          <w:szCs w:val="24"/>
        </w:rPr>
        <w:t>The issue of bias in AI models is still a critical issue. According to Raji et al. (2022), the problem of accountability gap in AI systems is characterised by the uncertainties surrounding the responsibility of biased outcomes. For Microsoft, this applies especially concerning enterprise AI tools that impact hiring, lending, or customer profiling. In case of biased outputs, there are the ethical and legal impacts on the company.</w:t>
      </w:r>
    </w:p>
    <w:p w14:paraId="3DCECE72">
      <w:pPr>
        <w:spacing w:line="360" w:lineRule="auto"/>
        <w:jc w:val="both"/>
        <w:rPr>
          <w:rFonts w:ascii="Times New Roman" w:hAnsi="Times New Roman" w:cs="Times New Roman"/>
          <w:sz w:val="24"/>
          <w:szCs w:val="24"/>
        </w:rPr>
      </w:pPr>
      <w:r>
        <w:rPr>
          <w:rFonts w:ascii="Times New Roman" w:hAnsi="Times New Roman" w:cs="Times New Roman"/>
          <w:sz w:val="24"/>
          <w:szCs w:val="24"/>
        </w:rPr>
        <w:t>Transparency is another challenge. Kshetri et al. (2023) emphasise that the most common generative AI systems are black boxes, and users cannot easily comprehend the way decisions are achieved. Such unaccountability inhibits credibility and makes it difficult to comply with regulatory requirements. According to Madanchian and Taherdoost (2025), ethical frameworks have to be integrated into the organisational processes and not viewed as some abstract rules.</w:t>
      </w:r>
    </w:p>
    <w:p w14:paraId="4FE2E965">
      <w:pPr>
        <w:spacing w:line="360" w:lineRule="auto"/>
        <w:jc w:val="both"/>
        <w:rPr>
          <w:rFonts w:ascii="Times New Roman" w:hAnsi="Times New Roman" w:cs="Times New Roman"/>
          <w:sz w:val="24"/>
          <w:szCs w:val="24"/>
        </w:rPr>
      </w:pPr>
      <w:r>
        <w:rPr>
          <w:rFonts w:ascii="Times New Roman" w:hAnsi="Times New Roman" w:cs="Times New Roman"/>
          <w:sz w:val="24"/>
          <w:szCs w:val="24"/>
        </w:rPr>
        <w:t>The conflict between innovations and morality is clear. Although AI makes systems efficient and automated, the larger they are, the more ethical risks they have. For Microsoft, the process of ensuring ethical conduct, and keeping the AI capacity is a matter of ongoing control and regulation. This points out the difference between theory and practice.</w:t>
      </w:r>
    </w:p>
    <w:p w14:paraId="31BC51C3">
      <w:pPr>
        <w:pStyle w:val="3"/>
        <w:rPr>
          <w:rFonts w:ascii="Times New Roman" w:hAnsi="Times New Roman" w:cs="Times New Roman"/>
          <w:b/>
          <w:bCs/>
          <w:color w:val="auto"/>
          <w:sz w:val="24"/>
          <w:szCs w:val="24"/>
        </w:rPr>
      </w:pPr>
      <w:bookmarkStart w:id="10" w:name="_Toc226821925"/>
      <w:r>
        <w:rPr>
          <w:rFonts w:ascii="Times New Roman" w:hAnsi="Times New Roman" w:cs="Times New Roman"/>
          <w:b/>
          <w:bCs/>
          <w:color w:val="auto"/>
          <w:sz w:val="24"/>
          <w:szCs w:val="24"/>
        </w:rPr>
        <w:t>4.3 Regulatory Compliance Risks</w:t>
      </w:r>
      <w:bookmarkEnd w:id="10"/>
    </w:p>
    <w:p w14:paraId="383A909F">
      <w:pPr>
        <w:spacing w:line="360" w:lineRule="auto"/>
        <w:jc w:val="both"/>
        <w:rPr>
          <w:rFonts w:ascii="Times New Roman" w:hAnsi="Times New Roman" w:cs="Times New Roman"/>
          <w:sz w:val="24"/>
          <w:szCs w:val="24"/>
        </w:rPr>
      </w:pPr>
      <w:r>
        <w:rPr>
          <w:rFonts w:ascii="Times New Roman" w:hAnsi="Times New Roman" w:cs="Times New Roman"/>
          <w:sz w:val="24"/>
          <w:szCs w:val="24"/>
        </w:rPr>
        <w:t>One of the key challenges facing Microsoft is regulatory compliance as both the UK and US systems differ. The principles-based approach of the UK makes organisations interpret regulatory expectations, and the US system is characterised by various regulatory bodies, each with sector-specific rules (UK Government, 2023; OECD, 2025). This poses a challenge in making sure that there is uniformity in compliance between jurisdictions.</w:t>
      </w:r>
    </w:p>
    <w:p w14:paraId="3A6FFA21">
      <w:pPr>
        <w:spacing w:line="360" w:lineRule="auto"/>
        <w:jc w:val="both"/>
        <w:rPr>
          <w:rFonts w:ascii="Times New Roman" w:hAnsi="Times New Roman" w:cs="Times New Roman"/>
          <w:sz w:val="24"/>
          <w:szCs w:val="24"/>
        </w:rPr>
      </w:pPr>
      <w:r>
        <w:rPr>
          <w:rFonts w:ascii="Times New Roman" w:hAnsi="Times New Roman" w:cs="Times New Roman"/>
          <w:sz w:val="24"/>
          <w:szCs w:val="24"/>
        </w:rPr>
        <w:t>Agarwal and Nene (2025) suggest a five-tier AI governance scheme, which incorporates regulation, standards, and certification. Although holistic, the implementation of such frameworks in more than one region is resource-consuming. According to Ribeiro et al. (2025), effective governance presupposes the correspondence of the internal organisational controls and the external regulations.</w:t>
      </w:r>
    </w:p>
    <w:p w14:paraId="25AA9D90">
      <w:pPr>
        <w:spacing w:line="360" w:lineRule="auto"/>
        <w:jc w:val="both"/>
        <w:rPr>
          <w:rFonts w:ascii="Times New Roman" w:hAnsi="Times New Roman" w:cs="Times New Roman"/>
          <w:sz w:val="24"/>
          <w:szCs w:val="24"/>
        </w:rPr>
      </w:pPr>
      <w:r>
        <w:rPr>
          <w:rFonts w:ascii="Times New Roman" w:hAnsi="Times New Roman" w:cs="Times New Roman"/>
          <w:sz w:val="24"/>
          <w:szCs w:val="24"/>
        </w:rPr>
        <w:t>Legal exposure is also augmented in situations with inconsistency in compliance. To illustrate, if the requirements of GDPR are not met in the UK, one may face a substantial sum of money. Regulatory fragmentation in the US increases the possibility of non-compliance because of ambiguous or conflicting rules. According to the World Economic Forum (2024), regulatory uncertainty is an increasingly significant risk in the world, making compliance strategies even more challenging.</w:t>
      </w:r>
    </w:p>
    <w:p w14:paraId="3E89F028">
      <w:pPr>
        <w:spacing w:line="360" w:lineRule="auto"/>
        <w:jc w:val="both"/>
        <w:rPr>
          <w:rFonts w:ascii="Times New Roman" w:hAnsi="Times New Roman" w:cs="Times New Roman"/>
          <w:sz w:val="24"/>
          <w:szCs w:val="24"/>
        </w:rPr>
      </w:pPr>
      <w:r>
        <w:rPr>
          <w:rFonts w:ascii="Times New Roman" w:hAnsi="Times New Roman" w:cs="Times New Roman"/>
          <w:sz w:val="24"/>
          <w:szCs w:val="24"/>
        </w:rPr>
        <w:t>For Microsoft, compliance risk is increased by the size of the business. With AI systems becoming widespread all over the world, a small misalignment of the regulations may result in serious consequences. It means that the company should implement more dynamic governance systems that will be able to respond to evolving regulations, but will allow the company to stay consistent across regions.</w:t>
      </w:r>
    </w:p>
    <w:p w14:paraId="1DB2B316">
      <w:pPr>
        <w:pStyle w:val="3"/>
        <w:rPr>
          <w:rFonts w:ascii="Times New Roman" w:hAnsi="Times New Roman" w:cs="Times New Roman"/>
          <w:b/>
          <w:bCs/>
          <w:color w:val="auto"/>
          <w:sz w:val="24"/>
          <w:szCs w:val="24"/>
        </w:rPr>
      </w:pPr>
      <w:bookmarkStart w:id="11" w:name="_Toc226821926"/>
      <w:r>
        <w:rPr>
          <w:rFonts w:ascii="Times New Roman" w:hAnsi="Times New Roman" w:cs="Times New Roman"/>
          <w:b/>
          <w:bCs/>
          <w:color w:val="auto"/>
          <w:sz w:val="24"/>
          <w:szCs w:val="24"/>
        </w:rPr>
        <w:t>4.4 Customer Trust and Reputational Risk.</w:t>
      </w:r>
      <w:bookmarkEnd w:id="11"/>
    </w:p>
    <w:p w14:paraId="20E9C578">
      <w:pPr>
        <w:spacing w:line="360" w:lineRule="auto"/>
        <w:jc w:val="both"/>
        <w:rPr>
          <w:rFonts w:ascii="Times New Roman" w:hAnsi="Times New Roman" w:cs="Times New Roman"/>
          <w:sz w:val="24"/>
          <w:szCs w:val="24"/>
        </w:rPr>
      </w:pPr>
      <w:r>
        <w:rPr>
          <w:rFonts w:ascii="Times New Roman" w:hAnsi="Times New Roman" w:cs="Times New Roman"/>
          <w:sz w:val="24"/>
          <w:szCs w:val="24"/>
        </w:rPr>
        <w:t>Another aspect of the AI strategy that is essential at Microsoft is customer trust, especially considering its enterprise-focused approach. The failure of AI related to bias or data breach can cause a severe blow to brand reputation. According to the World Economic Forum (2024), misinformation and technological abuse are on the list of significant risks in the world, and 53 % of participants raised apprehensions regarding AI-driven misinformation.</w:t>
      </w:r>
    </w:p>
    <w:p w14:paraId="6DEC3009">
      <w:pPr>
        <w:spacing w:line="360" w:lineRule="auto"/>
        <w:jc w:val="both"/>
        <w:rPr>
          <w:rFonts w:ascii="Times New Roman" w:hAnsi="Times New Roman" w:cs="Times New Roman"/>
          <w:sz w:val="24"/>
          <w:szCs w:val="24"/>
        </w:rPr>
      </w:pPr>
      <w:r>
        <w:rPr>
          <w:rFonts w:ascii="Times New Roman" w:hAnsi="Times New Roman" w:cs="Times New Roman"/>
          <w:sz w:val="24"/>
          <w:szCs w:val="24"/>
        </w:rPr>
        <w:t>Reputational risk is closely linked to ethical and data governance issues. In case Microsoft AI systems generate dangerous or discriminative results, the levels of customer and stakeholder trust can go down. According to Gohil (2025), reputational risk is also among the most important effects of AI failure, as it has an impact on long-term organisational performance.</w:t>
      </w:r>
    </w:p>
    <w:p w14:paraId="0A006BA9">
      <w:pPr>
        <w:spacing w:line="360" w:lineRule="auto"/>
        <w:jc w:val="both"/>
        <w:rPr>
          <w:rFonts w:ascii="Times New Roman" w:hAnsi="Times New Roman" w:cs="Times New Roman"/>
          <w:sz w:val="24"/>
          <w:szCs w:val="24"/>
        </w:rPr>
      </w:pPr>
      <w:r>
        <w:rPr>
          <w:rFonts w:ascii="Times New Roman" w:hAnsi="Times New Roman" w:cs="Times New Roman"/>
          <w:sz w:val="24"/>
          <w:szCs w:val="24"/>
        </w:rPr>
        <w:t>Enterprise customers seek safe, dependable and open-minded AI applications. Perceiving risk can lead to less adoption of or loss of contracts. Ismail and Ahmad (2025) reiterate that trust is inculcated through regular governance, integrity and adherence to regulations. For Microsoft, an excellent communication and accountability is necessary in addition to technical excellence to ensure trust.</w:t>
      </w:r>
    </w:p>
    <w:p w14:paraId="63EA974A">
      <w:pPr>
        <w:spacing w:line="360" w:lineRule="auto"/>
        <w:jc w:val="both"/>
        <w:rPr>
          <w:rFonts w:ascii="Times New Roman" w:hAnsi="Times New Roman" w:cs="Times New Roman"/>
          <w:sz w:val="24"/>
          <w:szCs w:val="24"/>
        </w:rPr>
      </w:pPr>
      <w:r>
        <w:rPr>
          <w:rFonts w:ascii="Times New Roman" w:hAnsi="Times New Roman" w:cs="Times New Roman"/>
          <w:sz w:val="24"/>
          <w:szCs w:val="24"/>
        </w:rPr>
        <w:t>What is paramount is the interdependence of these risks. Regulatory penalties may be caused by a data breach, which will subsequently be detrimental to reputation and customer trust. This shows that AI risks are not solitary, but additive, and this justifies the importance of a combined approach to risk management.</w:t>
      </w:r>
    </w:p>
    <w:p w14:paraId="28E63442">
      <w:pPr>
        <w:pStyle w:val="3"/>
        <w:rPr>
          <w:rFonts w:ascii="Times New Roman" w:hAnsi="Times New Roman" w:cs="Times New Roman"/>
          <w:b/>
          <w:bCs/>
          <w:color w:val="auto"/>
          <w:sz w:val="24"/>
          <w:szCs w:val="24"/>
        </w:rPr>
      </w:pPr>
      <w:bookmarkStart w:id="12" w:name="_Toc226821927"/>
      <w:r>
        <w:rPr>
          <w:rFonts w:ascii="Times New Roman" w:hAnsi="Times New Roman" w:cs="Times New Roman"/>
          <w:b/>
          <w:bCs/>
          <w:color w:val="auto"/>
          <w:sz w:val="24"/>
          <w:szCs w:val="24"/>
        </w:rPr>
        <w:t xml:space="preserve">4.5 </w:t>
      </w:r>
      <w:bookmarkEnd w:id="12"/>
      <w:r>
        <w:rPr>
          <w:rFonts w:ascii="Times New Roman" w:hAnsi="Times New Roman" w:cs="Times New Roman"/>
          <w:b/>
          <w:bCs/>
          <w:color w:val="auto"/>
          <w:sz w:val="24"/>
          <w:szCs w:val="24"/>
        </w:rPr>
        <w:t>Key Findings Summary.</w:t>
      </w:r>
    </w:p>
    <w:p w14:paraId="2C38A7C9">
      <w:pPr>
        <w:spacing w:line="360" w:lineRule="auto"/>
        <w:jc w:val="both"/>
        <w:rPr>
          <w:rFonts w:ascii="Times New Roman" w:hAnsi="Times New Roman" w:cs="Times New Roman"/>
          <w:sz w:val="24"/>
          <w:szCs w:val="24"/>
        </w:rPr>
      </w:pPr>
      <w:r>
        <w:rPr>
          <w:rFonts w:ascii="Times New Roman" w:hAnsi="Times New Roman" w:cs="Times New Roman"/>
          <w:sz w:val="24"/>
          <w:szCs w:val="24"/>
        </w:rPr>
        <w:t>The discussion points to the fact that Microsoft has multifaceted and intertwined AI threats in the areas of data governance, ethics, regulation, and reputation. According to Campos et al. (2025), the conventional risk pillars are inadequate in dealing with the AI-based environments because of their lack of consideration of the pace and magnitude of technological transformations. Touzet et al. (2025) also stress the significance of superior risk modelling to deal with new threats.</w:t>
      </w:r>
    </w:p>
    <w:p w14:paraId="12C1553C">
      <w:pPr>
        <w:spacing w:line="360" w:lineRule="auto"/>
        <w:jc w:val="both"/>
        <w:rPr>
          <w:rFonts w:ascii="Times New Roman" w:hAnsi="Times New Roman" w:cs="Times New Roman"/>
          <w:sz w:val="24"/>
          <w:szCs w:val="24"/>
        </w:rPr>
      </w:pPr>
      <w:r>
        <w:rPr>
          <w:rFonts w:ascii="Times New Roman" w:hAnsi="Times New Roman" w:cs="Times New Roman"/>
          <w:sz w:val="24"/>
          <w:szCs w:val="24"/>
        </w:rPr>
        <w:t>For Microsoft, the issue is how to balance between innovation and risk management. Although AI offers an important competitive edge, it also exposes the company to legal, ethical, and operational risks. Successful risk management would thus involve integrated governing structures that would involve integrating technical, organisational, as well as regulatory solutions. It supports the need to be proactive and adaptable in dealing with AI risks in the global business environment.</w:t>
      </w:r>
    </w:p>
    <w:p w14:paraId="5AD985AC">
      <w:pPr>
        <w:pStyle w:val="2"/>
        <w:numPr>
          <w:ilvl w:val="0"/>
          <w:numId w:val="1"/>
        </w:numPr>
        <w:jc w:val="center"/>
        <w:rPr>
          <w:rFonts w:ascii="Times New Roman" w:hAnsi="Times New Roman" w:cs="Times New Roman"/>
          <w:b/>
          <w:bCs/>
          <w:color w:val="auto"/>
          <w:sz w:val="24"/>
          <w:szCs w:val="24"/>
        </w:rPr>
      </w:pPr>
      <w:bookmarkStart w:id="13" w:name="_Toc226821928"/>
      <w:r>
        <w:rPr>
          <w:rFonts w:ascii="Times New Roman" w:hAnsi="Times New Roman" w:cs="Times New Roman"/>
          <w:b/>
          <w:bCs/>
          <w:color w:val="auto"/>
          <w:sz w:val="24"/>
          <w:szCs w:val="24"/>
        </w:rPr>
        <w:t>Practical Application to Microsoft</w:t>
      </w:r>
      <w:bookmarkEnd w:id="13"/>
    </w:p>
    <w:p w14:paraId="65E9F8E4">
      <w:pPr>
        <w:spacing w:line="360" w:lineRule="auto"/>
        <w:jc w:val="both"/>
        <w:rPr>
          <w:rFonts w:ascii="Times New Roman" w:hAnsi="Times New Roman" w:cs="Times New Roman"/>
          <w:sz w:val="24"/>
          <w:szCs w:val="24"/>
        </w:rPr>
      </w:pPr>
      <w:r>
        <w:rPr>
          <w:rFonts w:ascii="Times New Roman" w:hAnsi="Times New Roman" w:cs="Times New Roman"/>
          <w:sz w:val="24"/>
          <w:szCs w:val="24"/>
        </w:rPr>
        <w:t>The case of AI risk management theory applied to Microsoft shows how abstract models can be applied into concrete working issues of a global technology company. The implementation of AI into Microsoft products like Azure AI and Copilot portrays its strategic change towards data-driven automation and enterprise intelligence. According to Kshetri et al. (2023), generative AI allows organisations to become more productive and make better decisions, which is reflected in the placement of Copilot as a built-in assistant throughout Microsoft software ecosystem. Microsoft’s Intelligent Cloud segment, which includes Azure, contributes over 40% of total company revenue, highlighting the central role of AI-driven services in its business model. The segment reported revenue of $32.9 billion for the quarter ended December 31, 2025, a 29% increase year-over-year (Microsoft, 2026). Nevertheless, this integration increases the exposure to risks to data governance, ethical and regulatory risks noted in previous sections.</w:t>
      </w:r>
    </w:p>
    <w:p w14:paraId="5BFE21C3">
      <w:pPr>
        <w:spacing w:line="360" w:lineRule="auto"/>
        <w:jc w:val="both"/>
        <w:rPr>
          <w:rFonts w:ascii="Times New Roman" w:hAnsi="Times New Roman" w:cs="Times New Roman"/>
          <w:sz w:val="24"/>
          <w:szCs w:val="24"/>
        </w:rPr>
      </w:pPr>
      <w:r>
        <w:rPr>
          <w:rFonts w:ascii="Times New Roman" w:hAnsi="Times New Roman" w:cs="Times New Roman"/>
          <w:sz w:val="24"/>
          <w:szCs w:val="24"/>
        </w:rPr>
        <w:t>Operationally, the Azure platform at Microsoft analyses massive amounts of enterprise data, so data governance is a contentious matter. Li (2025) points out that big data environments are more susceptible to breaches and compliance risks. For Microsoft, the cross-border data flows between the UK and the US increase this risk since the regulatory frameworks in the two countries are different and make it difficult to comply. Although the rules in the UK that are in line with GDPR offer a high standard of data protection, the disjointed system in the US has introduced loopholes that Microsoft must address internally (OECD, 2025). Compliance with GDPR alone can expose firms to penalties of up to €20 million or 4% of global annual turnover, illustrating the financial significance of regulatory risk (AGPLAW, 2025). This shows how relevant integrated governance frameworks, as proposed by Agarwal and Nene (2025), which integrates regulatory, organisational, and technical controls, are in practice.</w:t>
      </w:r>
    </w:p>
    <w:p w14:paraId="3F621500">
      <w:pPr>
        <w:spacing w:line="360" w:lineRule="auto"/>
        <w:jc w:val="both"/>
        <w:rPr>
          <w:rFonts w:ascii="Times New Roman" w:hAnsi="Times New Roman" w:cs="Times New Roman"/>
          <w:sz w:val="24"/>
          <w:szCs w:val="24"/>
        </w:rPr>
      </w:pPr>
      <w:r>
        <w:rPr>
          <w:rFonts w:ascii="Times New Roman" w:hAnsi="Times New Roman" w:cs="Times New Roman"/>
          <w:sz w:val="24"/>
          <w:szCs w:val="24"/>
        </w:rPr>
        <w:t>With regards to ethical AI, Microsoft has publicly declared to values like fairness, accountability, and transparency. Nevertheless, these principles remain difficult to put into practice. Mittelstadt (2019) maintains that ethical rules are insufficient to achieve responsible AI results, especially when the systems are used in large scale. This can be seen through AI tools (generative) like Copilot, where problems like bias and lack of explainability can occur. Raji et al. (2022) emphasise that the problem of accountability loopholes in AI systems remains to pose the question of who should be held responsible in the event of adverse consequences. For Microsoft, this poses a conflict between fast innovation and the obligation to act ethically especially when making a decision about enterprise applications that might greatly impact the outcomes.</w:t>
      </w:r>
    </w:p>
    <w:p w14:paraId="30CC6EB4">
      <w:pPr>
        <w:spacing w:line="360" w:lineRule="auto"/>
        <w:jc w:val="both"/>
        <w:rPr>
          <w:rFonts w:ascii="Times New Roman" w:hAnsi="Times New Roman" w:cs="Times New Roman"/>
          <w:sz w:val="24"/>
          <w:szCs w:val="24"/>
        </w:rPr>
      </w:pPr>
      <w:r>
        <w:rPr>
          <w:rFonts w:ascii="Times New Roman" w:hAnsi="Times New Roman" w:cs="Times New Roman"/>
          <w:sz w:val="24"/>
          <w:szCs w:val="24"/>
        </w:rPr>
        <w:t>The comparisons of Microsoft with other companies like Google and Amazon give a deeper understanding of the position of the company in the industry. The main competitive edge of Microsoft is the use of AI in enterprise software, and Google is concentrated on data-based AI models, and Amazon concentrates on AI in cloud infrastructure and logistics. According to Statista (2026), cloud computing and the use of AI are inflating, and larger providers compete to share the market. Microsoft Azure is positioned as the second-largest provider, holding around 20–25% market share, with some reports noting it is growing fastest among the top three in absolute revenue. Its growth is driven by deep integration with Microsoft 365, enterprise agreements, and exclusive AI partnerships. Microsoft Azure platform is a competitive cloud service that competes with Amazon Web Services and Google Cloud.</w:t>
      </w:r>
    </w:p>
    <w:p w14:paraId="2DBFB0BB">
      <w:pPr>
        <w:spacing w:line="360" w:lineRule="auto"/>
        <w:jc w:val="both"/>
        <w:rPr>
          <w:rFonts w:ascii="Times New Roman" w:hAnsi="Times New Roman" w:cs="Times New Roman"/>
          <w:sz w:val="24"/>
          <w:szCs w:val="24"/>
        </w:rPr>
      </w:pPr>
      <w:r>
        <w:rPr>
          <w:rFonts w:ascii="Times New Roman" w:hAnsi="Times New Roman" w:cs="Times New Roman"/>
          <w:sz w:val="24"/>
          <w:szCs w:val="24"/>
        </w:rPr>
        <w:t>Competitors, however, have equal risk challenges. Google has been implicated in numerous ethical AI controversies, especially when it comes to bias and transparency, whereas Amazon has been challenged in terms of data privacy and algorithmic decision-making. According to Batool, Zowghi and Bano (2025), these challenges facing the industry are indicative of the necessity to have uniform governance standards among firms. Enterprise trust and compliance as a focus of Microsoft could be a competitive advantage, especially in controlled markets like the UK, where organisations value secure and compliant AI solutions.</w:t>
      </w:r>
    </w:p>
    <w:p w14:paraId="2DEBB865">
      <w:pPr>
        <w:spacing w:line="360" w:lineRule="auto"/>
        <w:jc w:val="both"/>
        <w:rPr>
          <w:rFonts w:ascii="Times New Roman" w:hAnsi="Times New Roman" w:cs="Times New Roman"/>
          <w:sz w:val="24"/>
          <w:szCs w:val="24"/>
        </w:rPr>
      </w:pPr>
      <w:r>
        <w:rPr>
          <w:rFonts w:ascii="Times New Roman" w:hAnsi="Times New Roman" w:cs="Times New Roman"/>
          <w:sz w:val="24"/>
          <w:szCs w:val="24"/>
        </w:rPr>
        <w:t>The trends in the market also support Microsoft. The worldwide AI market is set to grow at a considerable pace with hundreds of billions of dollars by 2030 (Statista, 2025). This growth opens possibilities to expand the Microsoft AI offerings, yet it also heightens competition and regulatory oversight. According to the World Economic Forum (2024), misinformation and cyber threats are defined as technological risks, which are significant global issues, and they directly affect companies of the size of Microsoft.</w:t>
      </w:r>
    </w:p>
    <w:p w14:paraId="6504F871">
      <w:pPr>
        <w:spacing w:line="360" w:lineRule="auto"/>
        <w:jc w:val="both"/>
        <w:rPr>
          <w:rFonts w:ascii="Times New Roman" w:hAnsi="Times New Roman" w:cs="Times New Roman"/>
          <w:sz w:val="24"/>
          <w:szCs w:val="24"/>
        </w:rPr>
      </w:pPr>
      <w:r>
        <w:rPr>
          <w:rFonts w:ascii="Times New Roman" w:hAnsi="Times New Roman" w:cs="Times New Roman"/>
          <w:sz w:val="24"/>
          <w:szCs w:val="24"/>
        </w:rPr>
        <w:t>On the whole, the practical use of theoretical concepts For Microsoft shows that the issue of dealing with AI risks is complex. The work of the company evidences the interrelation between data governance, ethical considerations, and regulatory compliance and the need to work on them at the same time. Microsoft is well placed to compete in terms of its emphasis on enterprise integration and compliance, but it must invest constantly in governance and risk management systems, compared to competitors. This discussion proves that AI strategy cannot be effective without innovation, but also the capacity to mitigate risks in a highly volatile global landscape.</w:t>
      </w:r>
    </w:p>
    <w:p w14:paraId="0C6DEB97">
      <w:pPr>
        <w:pStyle w:val="2"/>
        <w:numPr>
          <w:ilvl w:val="0"/>
          <w:numId w:val="1"/>
        </w:numPr>
        <w:spacing w:line="360" w:lineRule="auto"/>
        <w:jc w:val="center"/>
        <w:rPr>
          <w:rFonts w:ascii="Times New Roman" w:hAnsi="Times New Roman" w:cs="Times New Roman"/>
          <w:b/>
          <w:bCs/>
          <w:color w:val="auto"/>
          <w:sz w:val="24"/>
          <w:szCs w:val="24"/>
        </w:rPr>
      </w:pPr>
      <w:bookmarkStart w:id="14" w:name="_Toc226821929"/>
      <w:r>
        <w:rPr>
          <w:rFonts w:ascii="Times New Roman" w:hAnsi="Times New Roman" w:cs="Times New Roman"/>
          <w:b/>
          <w:bCs/>
          <w:color w:val="auto"/>
          <w:sz w:val="24"/>
          <w:szCs w:val="24"/>
        </w:rPr>
        <w:t>Conclusion</w:t>
      </w:r>
      <w:bookmarkEnd w:id="14"/>
    </w:p>
    <w:p w14:paraId="729FDA57">
      <w:pPr>
        <w:spacing w:line="360" w:lineRule="auto"/>
        <w:jc w:val="both"/>
        <w:rPr>
          <w:rFonts w:ascii="Times New Roman" w:hAnsi="Times New Roman" w:cs="Times New Roman"/>
          <w:sz w:val="24"/>
          <w:szCs w:val="24"/>
        </w:rPr>
      </w:pPr>
      <w:r>
        <w:rPr>
          <w:rFonts w:ascii="Times New Roman" w:hAnsi="Times New Roman" w:cs="Times New Roman"/>
          <w:sz w:val="24"/>
          <w:szCs w:val="24"/>
        </w:rPr>
        <w:t>Microsoft needs to implement an integrated and holistic approach to AI governance to be able to control risks that are related to its growing AI endeavours. One of the suggestions is the introduction of a common system of governance that will synchronise regulatory compliance, ethical standards, and technical controls in both UK and US. Agarwal and Nene (2025) note that it is necessary to co-ordinate organisational processes and regulatory requirements in order to have effective AI governance. For Microsoft, this would mean integrating compliance tools into Azure and Copilot systems to make sure that standards of compliance with UK GDPR and the disjointed US regulatory landscape are met. To reduce risk related to large-scale data processing, data governance, especially advanced encryption, real-time tracking of data, and a more rigid control over cross-border data transfer, is necessary (Li, 2025).</w:t>
      </w:r>
    </w:p>
    <w:p w14:paraId="77BF24B9">
      <w:pPr>
        <w:spacing w:line="360" w:lineRule="auto"/>
        <w:jc w:val="both"/>
        <w:rPr>
          <w:rFonts w:ascii="Times New Roman" w:hAnsi="Times New Roman" w:cs="Times New Roman"/>
          <w:sz w:val="24"/>
          <w:szCs w:val="24"/>
        </w:rPr>
      </w:pPr>
      <w:r>
        <w:rPr>
          <w:rFonts w:ascii="Times New Roman" w:hAnsi="Times New Roman" w:cs="Times New Roman"/>
          <w:sz w:val="24"/>
          <w:szCs w:val="24"/>
        </w:rPr>
        <w:t>The possible risks of ethical AI should be resolved by implementing bias detection and explainability functionalities within AI-based systems. Raji et al. (2022) emphasise the necessity of minimising accountability gaps in terms of responsibility of AI outcomes. Microsoft should also promote transparency by effectively communicating to its enterprise clients how AI systems work and the risk management. According to Gohil (2025), transparency is a strategic approach to ensure trust when adopting AI in the long run. Also, Microsoft needs to invest in ongoing regulatory monitoring mechanisms to identify any changes in policy in the two regions to minimise compliance risks.</w:t>
      </w:r>
    </w:p>
    <w:p w14:paraId="0183D83A">
      <w:pPr>
        <w:spacing w:line="360" w:lineRule="auto"/>
        <w:jc w:val="both"/>
        <w:rPr>
          <w:rFonts w:ascii="Times New Roman" w:hAnsi="Times New Roman" w:cs="Times New Roman"/>
          <w:sz w:val="24"/>
          <w:szCs w:val="24"/>
        </w:rPr>
      </w:pPr>
      <w:r>
        <w:rPr>
          <w:rFonts w:ascii="Times New Roman" w:hAnsi="Times New Roman" w:cs="Times New Roman"/>
          <w:sz w:val="24"/>
          <w:szCs w:val="24"/>
        </w:rPr>
        <w:t>These strategies need to be implemented in phases. Short-term: Microsoft needs to undertake a thorough audit of its AI systems to determine areas of governance and compliance issues. This stage must involve the creation of special AI risk management units that would be charged with the responsibility of monitoring implementation. The medium-term actions of the company are to implement automated governance solutions that can incorporate regulatory demands into AI operations and bolster them with more investments in cybersecurity infrastructure and specialised staff. Long-term advice to Microsoft would be to strive to continuously develop, through refining its governance structures and incorporating sophisticated risk modelling methods to predict the emergent threats (Touzet et al., 2025).</w:t>
      </w:r>
    </w:p>
    <w:p w14:paraId="4B3D953E">
      <w:pPr>
        <w:spacing w:line="360" w:lineRule="auto"/>
        <w:jc w:val="both"/>
        <w:rPr>
          <w:rFonts w:ascii="Times New Roman" w:hAnsi="Times New Roman" w:cs="Times New Roman"/>
          <w:sz w:val="24"/>
          <w:szCs w:val="24"/>
        </w:rPr>
      </w:pPr>
      <w:r>
        <w:rPr>
          <w:rFonts w:ascii="Times New Roman" w:hAnsi="Times New Roman" w:cs="Times New Roman"/>
          <w:sz w:val="24"/>
          <w:szCs w:val="24"/>
        </w:rPr>
        <w:t>Risk monitoring systems must have real time dashboards to monitor compliance, system performance and data usage across geographical areas. Key performance indicators must look at the measurable results that include decrease in the number of data breaches, increase in the compliance rates, and customer trust levels. Ongoing monitoring will allow Microsoft to act in good time to avert arising risks and resilience in its operations.</w:t>
      </w:r>
    </w:p>
    <w:p w14:paraId="11665B0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Future-proofing is essential for Microsoft’s long-term AI risk management and requires flexibility in response to evolving regulatory conditions and technological advancements. AI governance structures are expected to change significantly, meaning Microsoft must adopt adaptable and dynamic frameworks rather than fixed compliance models (OECD, 2025). Integrating continuous monitoring and real-time policy updates within platforms such as Azure can support ongoing regulatory alignment across jurisdictions. In addition, continuous AI risk assessment is critical to ensure governance frameworks remain relevant in rapidly changing environments (Campos et al., 2025). By embedding adaptability and proactive risk evaluation, Microsoft can strengthen resilience, sustain innovation, and effectively navigate future uncertainties.</w:t>
      </w:r>
    </w:p>
    <w:p w14:paraId="7EA5B2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sum up, AI offers major opportunities and complicated threats to Microsoft. The discussion has shown that data governance, ethical aspects, regulatory adherence, and customer confidence are interrelated and should be addressed as a whole. The variations in the UK and US regulatory environments add complexity to the operations and the fast rate of technological development adds to the level of risk exposure. Risk management is therefore very important towards maintaining the competitive edge of Microsoft. Through innovative, integrated, and adaptive governance approaches, Microsoft is able to balance between innovation and accountability and retain trust in an ever more complex AI environment in the world. </w:t>
      </w:r>
    </w:p>
    <w:p w14:paraId="5EA6A670">
      <w:pPr>
        <w:spacing w:line="360" w:lineRule="auto"/>
        <w:jc w:val="both"/>
        <w:rPr>
          <w:rFonts w:ascii="Times New Roman" w:hAnsi="Times New Roman" w:cs="Times New Roman"/>
          <w:sz w:val="24"/>
          <w:szCs w:val="24"/>
        </w:rPr>
      </w:pPr>
      <w:bookmarkStart w:id="16" w:name="_GoBack"/>
      <w:bookmarkEnd w:id="16"/>
    </w:p>
    <w:p w14:paraId="0E96F87F">
      <w:pPr>
        <w:spacing w:line="360" w:lineRule="auto"/>
        <w:jc w:val="both"/>
        <w:rPr>
          <w:rFonts w:ascii="Times New Roman" w:hAnsi="Times New Roman" w:cs="Times New Roman"/>
          <w:sz w:val="24"/>
          <w:szCs w:val="24"/>
        </w:rPr>
      </w:pPr>
    </w:p>
    <w:p w14:paraId="70EE8FD0">
      <w:pPr>
        <w:pStyle w:val="2"/>
        <w:numPr>
          <w:ilvl w:val="0"/>
          <w:numId w:val="1"/>
        </w:numPr>
        <w:spacing w:line="360" w:lineRule="auto"/>
        <w:jc w:val="center"/>
        <w:rPr>
          <w:rFonts w:ascii="Times New Roman" w:hAnsi="Times New Roman" w:cs="Times New Roman"/>
          <w:b/>
          <w:bCs/>
          <w:color w:val="auto"/>
          <w:sz w:val="24"/>
          <w:szCs w:val="24"/>
        </w:rPr>
      </w:pPr>
      <w:bookmarkStart w:id="15" w:name="_Toc226821930"/>
      <w:r>
        <w:rPr>
          <w:rFonts w:ascii="Times New Roman" w:hAnsi="Times New Roman" w:cs="Times New Roman"/>
          <w:b/>
          <w:bCs/>
          <w:color w:val="auto"/>
          <w:sz w:val="24"/>
          <w:szCs w:val="24"/>
        </w:rPr>
        <w:t>Bibliography</w:t>
      </w:r>
    </w:p>
    <w:bookmarkEnd w:id="15"/>
    <w:p w14:paraId="7C7695E9">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Agarwal, A. and Nene, M.J., 2025. A five-layer framework for AI governance: integrating regulation, standards, and certification. </w:t>
      </w:r>
      <w:r>
        <w:rPr>
          <w:rFonts w:ascii="Times New Roman" w:hAnsi="Times New Roman" w:cs="Times New Roman"/>
          <w:i/>
          <w:iCs/>
          <w:sz w:val="24"/>
          <w:szCs w:val="24"/>
        </w:rPr>
        <w:t>Transforming Government: People, Process and Policy</w:t>
      </w:r>
      <w:r>
        <w:rPr>
          <w:rFonts w:ascii="Times New Roman" w:hAnsi="Times New Roman" w:cs="Times New Roman"/>
          <w:sz w:val="24"/>
          <w:szCs w:val="24"/>
        </w:rPr>
        <w:t>, </w:t>
      </w:r>
      <w:r>
        <w:rPr>
          <w:rFonts w:ascii="Times New Roman" w:hAnsi="Times New Roman" w:cs="Times New Roman"/>
          <w:i/>
          <w:iCs/>
          <w:sz w:val="24"/>
          <w:szCs w:val="24"/>
        </w:rPr>
        <w:t>19</w:t>
      </w:r>
      <w:r>
        <w:rPr>
          <w:rFonts w:ascii="Times New Roman" w:hAnsi="Times New Roman" w:cs="Times New Roman"/>
          <w:sz w:val="24"/>
          <w:szCs w:val="24"/>
        </w:rPr>
        <w:t xml:space="preserve">(3), pp.535-555. </w:t>
      </w:r>
      <w:r>
        <w:fldChar w:fldCharType="begin"/>
      </w:r>
      <w:r>
        <w:instrText xml:space="preserve"> HYPERLINK "https://www.emerald.com/tg/article/19/3/535/1256334" </w:instrText>
      </w:r>
      <w:r>
        <w:fldChar w:fldCharType="separate"/>
      </w:r>
      <w:r>
        <w:rPr>
          <w:rStyle w:val="8"/>
          <w:rFonts w:ascii="Times New Roman" w:hAnsi="Times New Roman" w:cs="Times New Roman"/>
          <w:sz w:val="24"/>
          <w:szCs w:val="24"/>
        </w:rPr>
        <w:t>https://www.emerald.com/tg/article/19/3/535/1256334</w:t>
      </w:r>
      <w:r>
        <w:rPr>
          <w:rStyle w:val="8"/>
          <w:rFonts w:ascii="Times New Roman" w:hAnsi="Times New Roman" w:cs="Times New Roman"/>
          <w:sz w:val="24"/>
          <w:szCs w:val="24"/>
        </w:rPr>
        <w:fldChar w:fldCharType="end"/>
      </w:r>
    </w:p>
    <w:p w14:paraId="24588EDF">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AGPLAW (2025) </w:t>
      </w:r>
      <w:r>
        <w:rPr>
          <w:rFonts w:ascii="Times New Roman" w:hAnsi="Times New Roman" w:cs="Times New Roman"/>
          <w:i/>
          <w:iCs/>
          <w:sz w:val="24"/>
          <w:szCs w:val="24"/>
        </w:rPr>
        <w:t>How GDPR fines are calculated when an EU company is found in breach</w:t>
      </w:r>
      <w:r>
        <w:rPr>
          <w:rFonts w:ascii="Times New Roman" w:hAnsi="Times New Roman" w:cs="Times New Roman"/>
          <w:sz w:val="24"/>
          <w:szCs w:val="24"/>
        </w:rPr>
        <w:t xml:space="preserve">. Available at: </w:t>
      </w:r>
      <w:r>
        <w:fldChar w:fldCharType="begin"/>
      </w:r>
      <w:r>
        <w:instrText xml:space="preserve"> HYPERLINK "https://www.agplaw.com/how-gdpr-fines-are-calculated-when-an-eu-company-is-found-in-breach/?utm_source=chatgpt.com" \t "_new" </w:instrText>
      </w:r>
      <w:r>
        <w:fldChar w:fldCharType="separate"/>
      </w:r>
      <w:r>
        <w:rPr>
          <w:rStyle w:val="8"/>
          <w:rFonts w:ascii="Times New Roman" w:hAnsi="Times New Roman" w:cs="Times New Roman"/>
          <w:sz w:val="24"/>
          <w:szCs w:val="24"/>
        </w:rPr>
        <w:t>How GDPR fines are calculated when an EU company is found in breach</w:t>
      </w:r>
      <w:r>
        <w:rPr>
          <w:rStyle w:val="8"/>
          <w:rFonts w:ascii="Times New Roman" w:hAnsi="Times New Roman" w:cs="Times New Roman"/>
          <w:sz w:val="24"/>
          <w:szCs w:val="24"/>
        </w:rPr>
        <w:fldChar w:fldCharType="end"/>
      </w:r>
      <w:r>
        <w:rPr>
          <w:rFonts w:ascii="Times New Roman" w:hAnsi="Times New Roman" w:cs="Times New Roman"/>
          <w:sz w:val="24"/>
          <w:szCs w:val="24"/>
        </w:rPr>
        <w:t xml:space="preserve"> (Accessed: 12 April 2026).</w:t>
      </w:r>
    </w:p>
    <w:p w14:paraId="6C620A1F">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Batool, A., Zowghi, D. and Bano, M., 2025. AI governance: a systematic literature review. </w:t>
      </w:r>
      <w:r>
        <w:rPr>
          <w:rFonts w:ascii="Times New Roman" w:hAnsi="Times New Roman" w:cs="Times New Roman"/>
          <w:i/>
          <w:iCs/>
          <w:sz w:val="24"/>
          <w:szCs w:val="24"/>
        </w:rPr>
        <w:t>AI and Ethics</w:t>
      </w:r>
      <w:r>
        <w:rPr>
          <w:rFonts w:ascii="Times New Roman" w:hAnsi="Times New Roman" w:cs="Times New Roman"/>
          <w:sz w:val="24"/>
          <w:szCs w:val="24"/>
        </w:rPr>
        <w:t>, </w:t>
      </w:r>
      <w:r>
        <w:rPr>
          <w:rFonts w:ascii="Times New Roman" w:hAnsi="Times New Roman" w:cs="Times New Roman"/>
          <w:i/>
          <w:iCs/>
          <w:sz w:val="24"/>
          <w:szCs w:val="24"/>
        </w:rPr>
        <w:t>5</w:t>
      </w:r>
      <w:r>
        <w:rPr>
          <w:rFonts w:ascii="Times New Roman" w:hAnsi="Times New Roman" w:cs="Times New Roman"/>
          <w:sz w:val="24"/>
          <w:szCs w:val="24"/>
        </w:rPr>
        <w:t xml:space="preserve">(3), pp.3265-3279. </w:t>
      </w:r>
      <w:r>
        <w:fldChar w:fldCharType="begin"/>
      </w:r>
      <w:r>
        <w:instrText xml:space="preserve"> HYPERLINK "https://link.springer.com/article/10.1007/s43681-024-00653-w" </w:instrText>
      </w:r>
      <w:r>
        <w:fldChar w:fldCharType="separate"/>
      </w:r>
      <w:r>
        <w:rPr>
          <w:rStyle w:val="8"/>
          <w:rFonts w:ascii="Times New Roman" w:hAnsi="Times New Roman" w:cs="Times New Roman"/>
          <w:sz w:val="24"/>
          <w:szCs w:val="24"/>
        </w:rPr>
        <w:t>https://link.springer.com/article/10.1007/s43681-024-00653-w</w:t>
      </w:r>
      <w:r>
        <w:rPr>
          <w:rStyle w:val="8"/>
          <w:rFonts w:ascii="Times New Roman" w:hAnsi="Times New Roman" w:cs="Times New Roman"/>
          <w:sz w:val="24"/>
          <w:szCs w:val="24"/>
        </w:rPr>
        <w:fldChar w:fldCharType="end"/>
      </w:r>
    </w:p>
    <w:p w14:paraId="082B387B">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Bernardelli, A.E. and Giudici, P., 2025. AI Risk Management: A Bibliometric Analysis. </w:t>
      </w:r>
      <w:r>
        <w:rPr>
          <w:rFonts w:ascii="Times New Roman" w:hAnsi="Times New Roman" w:cs="Times New Roman"/>
          <w:i/>
          <w:iCs/>
          <w:sz w:val="24"/>
          <w:szCs w:val="24"/>
        </w:rPr>
        <w:t>Risks</w:t>
      </w:r>
      <w:r>
        <w:rPr>
          <w:rFonts w:ascii="Times New Roman" w:hAnsi="Times New Roman" w:cs="Times New Roman"/>
          <w:sz w:val="24"/>
          <w:szCs w:val="24"/>
        </w:rPr>
        <w:t>, </w:t>
      </w:r>
      <w:r>
        <w:rPr>
          <w:rFonts w:ascii="Times New Roman" w:hAnsi="Times New Roman" w:cs="Times New Roman"/>
          <w:i/>
          <w:iCs/>
          <w:sz w:val="24"/>
          <w:szCs w:val="24"/>
        </w:rPr>
        <w:t>13</w:t>
      </w:r>
      <w:r>
        <w:rPr>
          <w:rFonts w:ascii="Times New Roman" w:hAnsi="Times New Roman" w:cs="Times New Roman"/>
          <w:sz w:val="24"/>
          <w:szCs w:val="24"/>
        </w:rPr>
        <w:t xml:space="preserve">(7), p.131. </w:t>
      </w:r>
      <w:r>
        <w:fldChar w:fldCharType="begin"/>
      </w:r>
      <w:r>
        <w:instrText xml:space="preserve"> HYPERLINK "https://www.mdpi.com/2227-9091/13/7/131" </w:instrText>
      </w:r>
      <w:r>
        <w:fldChar w:fldCharType="separate"/>
      </w:r>
      <w:r>
        <w:rPr>
          <w:rStyle w:val="8"/>
          <w:rFonts w:ascii="Times New Roman" w:hAnsi="Times New Roman" w:cs="Times New Roman"/>
          <w:sz w:val="24"/>
          <w:szCs w:val="24"/>
        </w:rPr>
        <w:t>https://www.mdpi.com/2227-9091/13/7/131</w:t>
      </w:r>
      <w:r>
        <w:rPr>
          <w:rStyle w:val="8"/>
          <w:rFonts w:ascii="Times New Roman" w:hAnsi="Times New Roman" w:cs="Times New Roman"/>
          <w:sz w:val="24"/>
          <w:szCs w:val="24"/>
        </w:rPr>
        <w:fldChar w:fldCharType="end"/>
      </w:r>
    </w:p>
    <w:p w14:paraId="7D228BD7">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Campos, S., Papadatos, H., Roger, F., Touzet, C., Quarks, O. and Murray, M., 2025. A frontier AI risk management framework: Bridging the gap between current AI practices and established risk management. </w:t>
      </w:r>
      <w:r>
        <w:rPr>
          <w:rFonts w:ascii="Times New Roman" w:hAnsi="Times New Roman" w:cs="Times New Roman"/>
          <w:i/>
          <w:iCs/>
          <w:sz w:val="24"/>
          <w:szCs w:val="24"/>
        </w:rPr>
        <w:t>arXiv preprint arXiv:2502.06656</w:t>
      </w:r>
      <w:r>
        <w:rPr>
          <w:rFonts w:ascii="Times New Roman" w:hAnsi="Times New Roman" w:cs="Times New Roman"/>
          <w:sz w:val="24"/>
          <w:szCs w:val="24"/>
        </w:rPr>
        <w:t xml:space="preserve">. </w:t>
      </w:r>
      <w:r>
        <w:fldChar w:fldCharType="begin"/>
      </w:r>
      <w:r>
        <w:instrText xml:space="preserve"> HYPERLINK "https://arxiv.org/abs/2502.06656" </w:instrText>
      </w:r>
      <w:r>
        <w:fldChar w:fldCharType="separate"/>
      </w:r>
      <w:r>
        <w:rPr>
          <w:rStyle w:val="8"/>
          <w:rFonts w:ascii="Times New Roman" w:hAnsi="Times New Roman" w:cs="Times New Roman"/>
          <w:sz w:val="24"/>
          <w:szCs w:val="24"/>
        </w:rPr>
        <w:t>https://arxiv.org/abs/2502.06656</w:t>
      </w:r>
      <w:r>
        <w:rPr>
          <w:rStyle w:val="8"/>
          <w:rFonts w:ascii="Times New Roman" w:hAnsi="Times New Roman" w:cs="Times New Roman"/>
          <w:sz w:val="24"/>
          <w:szCs w:val="24"/>
        </w:rPr>
        <w:fldChar w:fldCharType="end"/>
      </w:r>
    </w:p>
    <w:p w14:paraId="315BAA0C">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Cath, C., 2018. Governing artificial intelligence: ethical, legal and technical opportunities and challenges. </w:t>
      </w:r>
      <w:r>
        <w:rPr>
          <w:rFonts w:ascii="Times New Roman" w:hAnsi="Times New Roman" w:cs="Times New Roman"/>
          <w:i/>
          <w:iCs/>
          <w:sz w:val="24"/>
          <w:szCs w:val="24"/>
        </w:rPr>
        <w:t>Philosophical Transactions of the Royal Society A: Mathematical, Physical and Engineering Sciences</w:t>
      </w:r>
      <w:r>
        <w:rPr>
          <w:rFonts w:ascii="Times New Roman" w:hAnsi="Times New Roman" w:cs="Times New Roman"/>
          <w:sz w:val="24"/>
          <w:szCs w:val="24"/>
        </w:rPr>
        <w:t>, </w:t>
      </w:r>
      <w:r>
        <w:rPr>
          <w:rFonts w:ascii="Times New Roman" w:hAnsi="Times New Roman" w:cs="Times New Roman"/>
          <w:i/>
          <w:iCs/>
          <w:sz w:val="24"/>
          <w:szCs w:val="24"/>
        </w:rPr>
        <w:t>376</w:t>
      </w:r>
      <w:r>
        <w:rPr>
          <w:rFonts w:ascii="Times New Roman" w:hAnsi="Times New Roman" w:cs="Times New Roman"/>
          <w:sz w:val="24"/>
          <w:szCs w:val="24"/>
        </w:rPr>
        <w:t xml:space="preserve">(2133). </w:t>
      </w:r>
      <w:r>
        <w:fldChar w:fldCharType="begin"/>
      </w:r>
      <w:r>
        <w:instrText xml:space="preserve"> HYPERLINK "https://royalsocietypublishing.org/rsta/article/376/2133/20180080/115667" </w:instrText>
      </w:r>
      <w:r>
        <w:fldChar w:fldCharType="separate"/>
      </w:r>
      <w:r>
        <w:rPr>
          <w:rStyle w:val="8"/>
          <w:rFonts w:ascii="Times New Roman" w:hAnsi="Times New Roman" w:cs="Times New Roman"/>
          <w:sz w:val="24"/>
          <w:szCs w:val="24"/>
        </w:rPr>
        <w:t>https://royalsocietypublishing.org/rsta/article/376/2133/20180080/115667</w:t>
      </w:r>
      <w:r>
        <w:rPr>
          <w:rStyle w:val="8"/>
          <w:rFonts w:ascii="Times New Roman" w:hAnsi="Times New Roman" w:cs="Times New Roman"/>
          <w:sz w:val="24"/>
          <w:szCs w:val="24"/>
        </w:rPr>
        <w:fldChar w:fldCharType="end"/>
      </w:r>
    </w:p>
    <w:p w14:paraId="24975A6A">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European Parliament 2025 </w:t>
      </w:r>
      <w:r>
        <w:rPr>
          <w:rFonts w:ascii="Times New Roman" w:hAnsi="Times New Roman" w:cs="Times New Roman"/>
          <w:i/>
          <w:iCs/>
          <w:sz w:val="24"/>
          <w:szCs w:val="24"/>
        </w:rPr>
        <w:t>EU and UK approaches to AI: Latest developments</w:t>
      </w:r>
      <w:r>
        <w:rPr>
          <w:rFonts w:ascii="Times New Roman" w:hAnsi="Times New Roman" w:cs="Times New Roman"/>
          <w:sz w:val="24"/>
          <w:szCs w:val="24"/>
        </w:rPr>
        <w:t xml:space="preserve">.  </w:t>
      </w:r>
      <w:r>
        <w:fldChar w:fldCharType="begin"/>
      </w:r>
      <w:r>
        <w:instrText xml:space="preserve"> HYPERLINK "https://www.europarl.europa.eu/RegData/etudes/ATAG/2025/769531/EPRS_ATA%282025%29769531_EN.pdf" </w:instrText>
      </w:r>
      <w:r>
        <w:fldChar w:fldCharType="separate"/>
      </w:r>
      <w:r>
        <w:rPr>
          <w:rStyle w:val="8"/>
          <w:rFonts w:ascii="Times New Roman" w:hAnsi="Times New Roman" w:cs="Times New Roman"/>
          <w:sz w:val="24"/>
          <w:szCs w:val="24"/>
        </w:rPr>
        <w:t>https://www.europarl.europa.eu/RegData/etudes/ATAG/2025/769531/EPRS_ATA%282025%29769531_EN.pdf</w:t>
      </w:r>
      <w:r>
        <w:rPr>
          <w:rStyle w:val="8"/>
          <w:rFonts w:ascii="Times New Roman" w:hAnsi="Times New Roman" w:cs="Times New Roman"/>
          <w:sz w:val="24"/>
          <w:szCs w:val="24"/>
        </w:rPr>
        <w:fldChar w:fldCharType="end"/>
      </w:r>
      <w:r>
        <w:rPr>
          <w:rFonts w:ascii="Times New Roman" w:hAnsi="Times New Roman" w:cs="Times New Roman"/>
          <w:sz w:val="24"/>
          <w:szCs w:val="24"/>
        </w:rPr>
        <w:t>?</w:t>
      </w:r>
    </w:p>
    <w:p w14:paraId="5D7455FE">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Floridi, L., Cowls, J., Beltrametti, M., Chatila, R., Chazerand, P., Dignum, V., Luetge, C., Madelin, R., Pagallo, U., Rossi, F. and Schafer, B., 2018. AI4People—An ethical framework for a good AI society: Opportunities, risks, principles, and recommendations. </w:t>
      </w:r>
      <w:r>
        <w:rPr>
          <w:rFonts w:ascii="Times New Roman" w:hAnsi="Times New Roman" w:cs="Times New Roman"/>
          <w:i/>
          <w:iCs/>
          <w:sz w:val="24"/>
          <w:szCs w:val="24"/>
        </w:rPr>
        <w:t>Minds and machines</w:t>
      </w:r>
      <w:r>
        <w:rPr>
          <w:rFonts w:ascii="Times New Roman" w:hAnsi="Times New Roman" w:cs="Times New Roman"/>
          <w:sz w:val="24"/>
          <w:szCs w:val="24"/>
        </w:rPr>
        <w:t>, </w:t>
      </w:r>
      <w:r>
        <w:rPr>
          <w:rFonts w:ascii="Times New Roman" w:hAnsi="Times New Roman" w:cs="Times New Roman"/>
          <w:i/>
          <w:iCs/>
          <w:sz w:val="24"/>
          <w:szCs w:val="24"/>
        </w:rPr>
        <w:t>28</w:t>
      </w:r>
      <w:r>
        <w:rPr>
          <w:rFonts w:ascii="Times New Roman" w:hAnsi="Times New Roman" w:cs="Times New Roman"/>
          <w:sz w:val="24"/>
          <w:szCs w:val="24"/>
        </w:rPr>
        <w:t xml:space="preserve">(4), pp.689-707. </w:t>
      </w:r>
      <w:r>
        <w:fldChar w:fldCharType="begin"/>
      </w:r>
      <w:r>
        <w:instrText xml:space="preserve"> HYPERLINK "https://link.springer.com/article/10.1007/S11023-018-9482-5" </w:instrText>
      </w:r>
      <w:r>
        <w:fldChar w:fldCharType="separate"/>
      </w:r>
      <w:r>
        <w:rPr>
          <w:rStyle w:val="8"/>
          <w:rFonts w:ascii="Times New Roman" w:hAnsi="Times New Roman" w:cs="Times New Roman"/>
          <w:sz w:val="24"/>
          <w:szCs w:val="24"/>
        </w:rPr>
        <w:t>https://link.springer.com/article/10.1007/S11023-018-9482-5</w:t>
      </w:r>
      <w:r>
        <w:rPr>
          <w:rStyle w:val="8"/>
          <w:rFonts w:ascii="Times New Roman" w:hAnsi="Times New Roman" w:cs="Times New Roman"/>
          <w:sz w:val="24"/>
          <w:szCs w:val="24"/>
        </w:rPr>
        <w:fldChar w:fldCharType="end"/>
      </w:r>
    </w:p>
    <w:p w14:paraId="5313E809">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Gohil, A., 2025. Managing ai risk: A comprehensive approach. </w:t>
      </w:r>
      <w:r>
        <w:rPr>
          <w:rFonts w:ascii="Times New Roman" w:hAnsi="Times New Roman" w:cs="Times New Roman"/>
          <w:i/>
          <w:iCs/>
          <w:sz w:val="24"/>
          <w:szCs w:val="24"/>
        </w:rPr>
        <w:t>Available at SSRN 5173413</w:t>
      </w:r>
      <w:r>
        <w:rPr>
          <w:rFonts w:ascii="Times New Roman" w:hAnsi="Times New Roman" w:cs="Times New Roman"/>
          <w:sz w:val="24"/>
          <w:szCs w:val="24"/>
        </w:rPr>
        <w:t xml:space="preserve">. </w:t>
      </w:r>
      <w:r>
        <w:fldChar w:fldCharType="begin"/>
      </w:r>
      <w:r>
        <w:instrText xml:space="preserve"> HYPERLINK "https://papers.ssrn.com/sol3/papers.cfm?abstract_id=5173413" </w:instrText>
      </w:r>
      <w:r>
        <w:fldChar w:fldCharType="separate"/>
      </w:r>
      <w:r>
        <w:rPr>
          <w:rStyle w:val="8"/>
          <w:rFonts w:ascii="Times New Roman" w:hAnsi="Times New Roman" w:cs="Times New Roman"/>
          <w:sz w:val="24"/>
          <w:szCs w:val="24"/>
        </w:rPr>
        <w:t>https://papers.ssrn.com/sol3/papers.cfm?abstract_id=5173413</w:t>
      </w:r>
      <w:r>
        <w:rPr>
          <w:rStyle w:val="8"/>
          <w:rFonts w:ascii="Times New Roman" w:hAnsi="Times New Roman" w:cs="Times New Roman"/>
          <w:sz w:val="24"/>
          <w:szCs w:val="24"/>
        </w:rPr>
        <w:fldChar w:fldCharType="end"/>
      </w:r>
    </w:p>
    <w:p w14:paraId="3DB9774A">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Ismail, O. and Ahmad, N., 2025. Ethical and Governance Frameworks for Artificial Intelligence: A Systematic Literature Review. </w:t>
      </w:r>
      <w:r>
        <w:rPr>
          <w:rFonts w:ascii="Times New Roman" w:hAnsi="Times New Roman" w:cs="Times New Roman"/>
          <w:i/>
          <w:iCs/>
          <w:sz w:val="24"/>
          <w:szCs w:val="24"/>
        </w:rPr>
        <w:t>International Journal of Interactive Mobile Technologies</w:t>
      </w:r>
      <w:r>
        <w:rPr>
          <w:rFonts w:ascii="Times New Roman" w:hAnsi="Times New Roman" w:cs="Times New Roman"/>
          <w:sz w:val="24"/>
          <w:szCs w:val="24"/>
        </w:rPr>
        <w:t>, </w:t>
      </w:r>
      <w:r>
        <w:rPr>
          <w:rFonts w:ascii="Times New Roman" w:hAnsi="Times New Roman" w:cs="Times New Roman"/>
          <w:i/>
          <w:iCs/>
          <w:sz w:val="24"/>
          <w:szCs w:val="24"/>
        </w:rPr>
        <w:t>19</w:t>
      </w:r>
      <w:r>
        <w:rPr>
          <w:rFonts w:ascii="Times New Roman" w:hAnsi="Times New Roman" w:cs="Times New Roman"/>
          <w:sz w:val="24"/>
          <w:szCs w:val="24"/>
        </w:rPr>
        <w:t xml:space="preserve">(14). </w:t>
      </w:r>
      <w:r>
        <w:fldChar w:fldCharType="begin"/>
      </w:r>
      <w:r>
        <w:instrText xml:space="preserve"> HYPERLINK "https://search.ebscohost.com/login.aspx?direct=true&amp;profile=ehost&amp;scope=site&amp;authtype=crawler&amp;jrnl=18657923&amp;AN=187082575&amp;h=qZO3Ct%2BzHOIQkZt4klto6aYPyzYLOTG6h9neadoNlNxFg4BTvjQh4eSQrjeuu7QOiY5y22U8Hb3HVJm833A5IQ%3D%3D&amp;crl=c" </w:instrText>
      </w:r>
      <w:r>
        <w:fldChar w:fldCharType="separate"/>
      </w:r>
      <w:r>
        <w:rPr>
          <w:rStyle w:val="8"/>
          <w:rFonts w:ascii="Times New Roman" w:hAnsi="Times New Roman" w:cs="Times New Roman"/>
          <w:sz w:val="24"/>
          <w:szCs w:val="24"/>
        </w:rPr>
        <w:t>https://search.ebscohost.com/login.aspx?direct=true&amp;profile=ehost&amp;scope=site&amp;authtype=crawler&amp;jrnl=18657923&amp;AN=187082575&amp;h=qZO3Ct%2BzHOIQkZt4klto6aYPyzYLOTG6h9neadoNlNxFg4BTvjQh4eSQrjeuu7QOiY5y22U8Hb3HVJm833A5IQ%3D%3D&amp;crl=c</w:t>
      </w:r>
      <w:r>
        <w:rPr>
          <w:rStyle w:val="8"/>
          <w:rFonts w:ascii="Times New Roman" w:hAnsi="Times New Roman" w:cs="Times New Roman"/>
          <w:sz w:val="24"/>
          <w:szCs w:val="24"/>
        </w:rPr>
        <w:fldChar w:fldCharType="end"/>
      </w:r>
    </w:p>
    <w:p w14:paraId="0F221971">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Kshetri, N., Hughes, L., louise Slade, E., Jeyaraj, A., kumar Kar, A., Koohang, A., Raghavan, V., Ahuja, M., Albanna, H., ahmad Albashrawi, M. and Balakrishnan, J., 2023. “So what if ChatGPT wrote it?” Multidisciplinary perspectives on opportunities, challenges and implications of generative conversational AI for research, practice and policy. </w:t>
      </w:r>
      <w:r>
        <w:rPr>
          <w:rFonts w:ascii="Times New Roman" w:hAnsi="Times New Roman" w:cs="Times New Roman"/>
          <w:i/>
          <w:iCs/>
          <w:sz w:val="24"/>
          <w:szCs w:val="24"/>
        </w:rPr>
        <w:t>International Journal of Information Management</w:t>
      </w:r>
      <w:r>
        <w:rPr>
          <w:rFonts w:ascii="Times New Roman" w:hAnsi="Times New Roman" w:cs="Times New Roman"/>
          <w:sz w:val="24"/>
          <w:szCs w:val="24"/>
        </w:rPr>
        <w:t>, </w:t>
      </w:r>
      <w:r>
        <w:rPr>
          <w:rFonts w:ascii="Times New Roman" w:hAnsi="Times New Roman" w:cs="Times New Roman"/>
          <w:i/>
          <w:iCs/>
          <w:sz w:val="24"/>
          <w:szCs w:val="24"/>
        </w:rPr>
        <w:t>71</w:t>
      </w:r>
      <w:r>
        <w:rPr>
          <w:rFonts w:ascii="Times New Roman" w:hAnsi="Times New Roman" w:cs="Times New Roman"/>
          <w:sz w:val="24"/>
          <w:szCs w:val="24"/>
        </w:rPr>
        <w:t xml:space="preserve">, p.102642. </w:t>
      </w:r>
      <w:r>
        <w:fldChar w:fldCharType="begin"/>
      </w:r>
      <w:r>
        <w:instrText xml:space="preserve"> HYPERLINK "https://researchportal.port.ac.uk/en/publications/so-what-if-chatgpt-wrote-it-multidisciplinary-perspectives-on-opp/" </w:instrText>
      </w:r>
      <w:r>
        <w:fldChar w:fldCharType="separate"/>
      </w:r>
      <w:r>
        <w:rPr>
          <w:rStyle w:val="8"/>
          <w:rFonts w:ascii="Times New Roman" w:hAnsi="Times New Roman" w:cs="Times New Roman"/>
          <w:sz w:val="24"/>
          <w:szCs w:val="24"/>
        </w:rPr>
        <w:t>https://researchportal.port.ac.uk/en/publications/so-what-if-chatgpt-wrote-it-multidisciplinary-perspectives-on-opp/</w:t>
      </w:r>
      <w:r>
        <w:rPr>
          <w:rStyle w:val="8"/>
          <w:rFonts w:ascii="Times New Roman" w:hAnsi="Times New Roman" w:cs="Times New Roman"/>
          <w:sz w:val="24"/>
          <w:szCs w:val="24"/>
        </w:rPr>
        <w:fldChar w:fldCharType="end"/>
      </w:r>
    </w:p>
    <w:p w14:paraId="2A36C970">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Li, Z., 2025. Data risk and data compliance governance for generative artificial intelligence. </w:t>
      </w:r>
      <w:r>
        <w:rPr>
          <w:rFonts w:ascii="Times New Roman" w:hAnsi="Times New Roman" w:cs="Times New Roman"/>
          <w:i/>
          <w:iCs/>
          <w:sz w:val="24"/>
          <w:szCs w:val="24"/>
        </w:rPr>
        <w:t>Academic Journal of Computing &amp; Information Science</w:t>
      </w:r>
      <w:r>
        <w:rPr>
          <w:rFonts w:ascii="Times New Roman" w:hAnsi="Times New Roman" w:cs="Times New Roman"/>
          <w:sz w:val="24"/>
          <w:szCs w:val="24"/>
        </w:rPr>
        <w:t>, </w:t>
      </w:r>
      <w:r>
        <w:rPr>
          <w:rFonts w:ascii="Times New Roman" w:hAnsi="Times New Roman" w:cs="Times New Roman"/>
          <w:i/>
          <w:iCs/>
          <w:sz w:val="24"/>
          <w:szCs w:val="24"/>
        </w:rPr>
        <w:t>8</w:t>
      </w:r>
      <w:r>
        <w:rPr>
          <w:rFonts w:ascii="Times New Roman" w:hAnsi="Times New Roman" w:cs="Times New Roman"/>
          <w:sz w:val="24"/>
          <w:szCs w:val="24"/>
        </w:rPr>
        <w:t xml:space="preserve">(3), pp.79-86. </w:t>
      </w:r>
      <w:r>
        <w:fldChar w:fldCharType="begin"/>
      </w:r>
      <w:r>
        <w:instrText xml:space="preserve"> HYPERLINK "https://francis-press.com/uploads/papers/Dkznm89WQ7c89LENFWzoBDDnBx4rpmdTT7FCivex.pdf" </w:instrText>
      </w:r>
      <w:r>
        <w:fldChar w:fldCharType="separate"/>
      </w:r>
      <w:r>
        <w:rPr>
          <w:rStyle w:val="8"/>
          <w:rFonts w:ascii="Times New Roman" w:hAnsi="Times New Roman" w:cs="Times New Roman"/>
          <w:sz w:val="24"/>
          <w:szCs w:val="24"/>
        </w:rPr>
        <w:t>https://francis-press.com/uploads/papers/Dkznm89WQ7c89LENFWzoBDDnBx4rpmdTT7FCivex.pdf</w:t>
      </w:r>
      <w:r>
        <w:rPr>
          <w:rStyle w:val="8"/>
          <w:rFonts w:ascii="Times New Roman" w:hAnsi="Times New Roman" w:cs="Times New Roman"/>
          <w:sz w:val="24"/>
          <w:szCs w:val="24"/>
        </w:rPr>
        <w:fldChar w:fldCharType="end"/>
      </w:r>
    </w:p>
    <w:p w14:paraId="12DA88CF">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Madanchian, M. and Taherdoost, H., 2025. Ethical theories, governance models, and strategic frameworks for responsible AI adoption and organisational success. </w:t>
      </w:r>
      <w:r>
        <w:rPr>
          <w:rFonts w:ascii="Times New Roman" w:hAnsi="Times New Roman" w:cs="Times New Roman"/>
          <w:i/>
          <w:iCs/>
          <w:sz w:val="24"/>
          <w:szCs w:val="24"/>
        </w:rPr>
        <w:t>Frontiers in Artificial Intelligence</w:t>
      </w:r>
      <w:r>
        <w:rPr>
          <w:rFonts w:ascii="Times New Roman" w:hAnsi="Times New Roman" w:cs="Times New Roman"/>
          <w:sz w:val="24"/>
          <w:szCs w:val="24"/>
        </w:rPr>
        <w:t>, </w:t>
      </w:r>
      <w:r>
        <w:rPr>
          <w:rFonts w:ascii="Times New Roman" w:hAnsi="Times New Roman" w:cs="Times New Roman"/>
          <w:i/>
          <w:iCs/>
          <w:sz w:val="24"/>
          <w:szCs w:val="24"/>
        </w:rPr>
        <w:t>8</w:t>
      </w:r>
      <w:r>
        <w:rPr>
          <w:rFonts w:ascii="Times New Roman" w:hAnsi="Times New Roman" w:cs="Times New Roman"/>
          <w:sz w:val="24"/>
          <w:szCs w:val="24"/>
        </w:rPr>
        <w:t xml:space="preserve">, p.1619029. </w:t>
      </w:r>
      <w:r>
        <w:fldChar w:fldCharType="begin"/>
      </w:r>
      <w:r>
        <w:instrText xml:space="preserve"> HYPERLINK "https://www.frontiersin.org/journals/artificial-intelligence/articles/10.3389/frai.2025.1619029/full" </w:instrText>
      </w:r>
      <w:r>
        <w:fldChar w:fldCharType="separate"/>
      </w:r>
      <w:r>
        <w:rPr>
          <w:rStyle w:val="8"/>
          <w:rFonts w:ascii="Times New Roman" w:hAnsi="Times New Roman" w:cs="Times New Roman"/>
          <w:sz w:val="24"/>
          <w:szCs w:val="24"/>
        </w:rPr>
        <w:t>https://www.frontiersin.org/journals/artificial-intelligence/articles/10.3389/frai.2025.1619029/full</w:t>
      </w:r>
      <w:r>
        <w:rPr>
          <w:rStyle w:val="8"/>
          <w:rFonts w:ascii="Times New Roman" w:hAnsi="Times New Roman" w:cs="Times New Roman"/>
          <w:sz w:val="24"/>
          <w:szCs w:val="24"/>
        </w:rPr>
        <w:fldChar w:fldCharType="end"/>
      </w:r>
    </w:p>
    <w:p w14:paraId="21E28FF0">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Microsoft (2026) </w:t>
      </w:r>
      <w:r>
        <w:rPr>
          <w:rFonts w:ascii="Times New Roman" w:hAnsi="Times New Roman" w:cs="Times New Roman"/>
          <w:i/>
          <w:iCs/>
          <w:sz w:val="24"/>
          <w:szCs w:val="24"/>
        </w:rPr>
        <w:t>Microsoft cloud and AI strength drives second quarter results</w:t>
      </w:r>
      <w:r>
        <w:rPr>
          <w:rFonts w:ascii="Times New Roman" w:hAnsi="Times New Roman" w:cs="Times New Roman"/>
          <w:sz w:val="24"/>
          <w:szCs w:val="24"/>
        </w:rPr>
        <w:t xml:space="preserve">. Available at: </w:t>
      </w:r>
      <w:r>
        <w:fldChar w:fldCharType="begin"/>
      </w:r>
      <w:r>
        <w:instrText xml:space="preserve"> HYPERLINK "https://news.microsoft.com/source/2026/01/28/microsoft-cloud-and-ai-strength-drives-second-quarter-results-3/#:~:text=Revenue%20in%20Intelligent%20Cloud%20was,up%2038%25%20in%20constant%20currency" </w:instrText>
      </w:r>
      <w:r>
        <w:fldChar w:fldCharType="separate"/>
      </w:r>
      <w:r>
        <w:rPr>
          <w:rStyle w:val="8"/>
          <w:rFonts w:ascii="Times New Roman" w:hAnsi="Times New Roman" w:cs="Times New Roman"/>
          <w:sz w:val="24"/>
          <w:szCs w:val="24"/>
        </w:rPr>
        <w:t>https://news.microsoft.com/source/2026/01/28/microsoft-cloud-and-ai-strength-drives-second-quarter-results-3/#:~:text=Revenue%20in%20Intelligent%20Cloud%20was,up%2038%25%20in%20constant%20currency</w:t>
      </w:r>
      <w:r>
        <w:rPr>
          <w:rStyle w:val="8"/>
          <w:rFonts w:ascii="Times New Roman" w:hAnsi="Times New Roman" w:cs="Times New Roman"/>
          <w:sz w:val="24"/>
          <w:szCs w:val="24"/>
        </w:rPr>
        <w:fldChar w:fldCharType="end"/>
      </w:r>
      <w:r>
        <w:rPr>
          <w:rFonts w:ascii="Times New Roman" w:hAnsi="Times New Roman" w:cs="Times New Roman"/>
          <w:sz w:val="24"/>
          <w:szCs w:val="24"/>
        </w:rPr>
        <w:t>) (Accessed: 12 April 2026).</w:t>
      </w:r>
    </w:p>
    <w:p w14:paraId="64BF2CB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Mittelstadt, B., 2019. Principles alone cannot guarantee ethical AI. </w:t>
      </w:r>
      <w:r>
        <w:rPr>
          <w:rFonts w:ascii="Times New Roman" w:hAnsi="Times New Roman" w:cs="Times New Roman"/>
          <w:i/>
          <w:iCs/>
          <w:sz w:val="24"/>
          <w:szCs w:val="24"/>
        </w:rPr>
        <w:t>Nature machine intelligence</w:t>
      </w:r>
      <w:r>
        <w:rPr>
          <w:rFonts w:ascii="Times New Roman" w:hAnsi="Times New Roman" w:cs="Times New Roman"/>
          <w:sz w:val="24"/>
          <w:szCs w:val="24"/>
        </w:rPr>
        <w:t>, </w:t>
      </w:r>
      <w:r>
        <w:rPr>
          <w:rFonts w:ascii="Times New Roman" w:hAnsi="Times New Roman" w:cs="Times New Roman"/>
          <w:i/>
          <w:iCs/>
          <w:sz w:val="24"/>
          <w:szCs w:val="24"/>
        </w:rPr>
        <w:t>1</w:t>
      </w:r>
      <w:r>
        <w:rPr>
          <w:rFonts w:ascii="Times New Roman" w:hAnsi="Times New Roman" w:cs="Times New Roman"/>
          <w:sz w:val="24"/>
          <w:szCs w:val="24"/>
        </w:rPr>
        <w:t xml:space="preserve">(11), pp.501-507. </w:t>
      </w:r>
      <w:r>
        <w:fldChar w:fldCharType="begin"/>
      </w:r>
      <w:r>
        <w:instrText xml:space="preserve"> HYPERLINK "https://www.nature.com/articles/s42256-019-0114-4" </w:instrText>
      </w:r>
      <w:r>
        <w:fldChar w:fldCharType="separate"/>
      </w:r>
      <w:r>
        <w:rPr>
          <w:rStyle w:val="8"/>
          <w:rFonts w:ascii="Times New Roman" w:hAnsi="Times New Roman" w:cs="Times New Roman"/>
          <w:sz w:val="24"/>
          <w:szCs w:val="24"/>
        </w:rPr>
        <w:t>https://www.nature.com/articles/s42256-019-0114-4</w:t>
      </w:r>
      <w:r>
        <w:rPr>
          <w:rStyle w:val="8"/>
          <w:rFonts w:ascii="Times New Roman" w:hAnsi="Times New Roman" w:cs="Times New Roman"/>
          <w:sz w:val="24"/>
          <w:szCs w:val="24"/>
        </w:rPr>
        <w:fldChar w:fldCharType="end"/>
      </w:r>
    </w:p>
    <w:p w14:paraId="152429B3">
      <w:pPr>
        <w:spacing w:line="360" w:lineRule="auto"/>
        <w:ind w:left="720" w:hanging="720"/>
        <w:jc w:val="both"/>
        <w:rPr>
          <w:rFonts w:ascii="Times New Roman" w:hAnsi="Times New Roman" w:cs="Times New Roman"/>
          <w:b/>
          <w:bCs/>
          <w:i/>
          <w:iCs/>
          <w:sz w:val="24"/>
          <w:szCs w:val="24"/>
          <w:lang w:val="en-US"/>
        </w:rPr>
      </w:pPr>
      <w:r>
        <w:rPr>
          <w:rFonts w:ascii="Times New Roman" w:hAnsi="Times New Roman" w:cs="Times New Roman"/>
          <w:sz w:val="24"/>
          <w:szCs w:val="24"/>
        </w:rPr>
        <w:t xml:space="preserve">OECD 2025 </w:t>
      </w:r>
      <w:r>
        <w:rPr>
          <w:rFonts w:ascii="Times New Roman" w:hAnsi="Times New Roman" w:cs="Times New Roman"/>
          <w:i/>
          <w:iCs/>
          <w:sz w:val="24"/>
          <w:szCs w:val="24"/>
        </w:rPr>
        <w:t xml:space="preserve">Artificial Intelligence Act (AI Act) policy </w:t>
      </w:r>
      <w:r>
        <w:rPr>
          <w:rFonts w:ascii="Times New Roman" w:hAnsi="Times New Roman" w:cs="Times New Roman" w:eastAsiaTheme="minorEastAsia"/>
          <w:i/>
          <w:iCs/>
          <w:sz w:val="24"/>
          <w:szCs w:val="24"/>
          <w:lang w:val="en-US"/>
        </w:rPr>
        <w:t>Navigator</w:t>
      </w:r>
      <w:r>
        <w:rPr>
          <w:rFonts w:ascii="Times New Roman" w:hAnsi="Times New Roman" w:cs="Times New Roman"/>
          <w:sz w:val="24"/>
          <w:szCs w:val="24"/>
        </w:rPr>
        <w:t xml:space="preserve">. </w:t>
      </w:r>
      <w:r>
        <w:fldChar w:fldCharType="begin"/>
      </w:r>
      <w:r>
        <w:instrText xml:space="preserve"> HYPERLINK "https://oecd.ai/en/dashboards/policy-initiatives/artificial-intelligence-act-ai-act-9517" </w:instrText>
      </w:r>
      <w:r>
        <w:fldChar w:fldCharType="separate"/>
      </w:r>
      <w:r>
        <w:rPr>
          <w:rStyle w:val="8"/>
          <w:rFonts w:ascii="Times New Roman" w:hAnsi="Times New Roman" w:cs="Times New Roman"/>
          <w:sz w:val="24"/>
          <w:szCs w:val="24"/>
        </w:rPr>
        <w:t>https://oecd.ai/en/dashboards/policy-initiatives/artificial-intelligence-act-ai-act-9517</w:t>
      </w:r>
      <w:r>
        <w:rPr>
          <w:rStyle w:val="8"/>
          <w:rFonts w:ascii="Times New Roman" w:hAnsi="Times New Roman" w:cs="Times New Roman"/>
          <w:sz w:val="24"/>
          <w:szCs w:val="24"/>
        </w:rPr>
        <w:fldChar w:fldCharType="end"/>
      </w:r>
    </w:p>
    <w:p w14:paraId="2760861B">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OECD 2024 </w:t>
      </w:r>
      <w:r>
        <w:rPr>
          <w:rFonts w:ascii="Times New Roman" w:hAnsi="Times New Roman" w:cs="Times New Roman"/>
          <w:i/>
          <w:iCs/>
          <w:sz w:val="24"/>
          <w:szCs w:val="24"/>
        </w:rPr>
        <w:t>AI policy observatory</w:t>
      </w:r>
      <w:r>
        <w:rPr>
          <w:rFonts w:ascii="Times New Roman" w:hAnsi="Times New Roman" w:cs="Times New Roman"/>
          <w:sz w:val="24"/>
          <w:szCs w:val="24"/>
        </w:rPr>
        <w:t xml:space="preserve">. </w:t>
      </w:r>
      <w:r>
        <w:fldChar w:fldCharType="begin"/>
      </w:r>
      <w:r>
        <w:instrText xml:space="preserve"> HYPERLINK "https://oecd.ai/" </w:instrText>
      </w:r>
      <w:r>
        <w:fldChar w:fldCharType="separate"/>
      </w:r>
      <w:r>
        <w:rPr>
          <w:rStyle w:val="8"/>
          <w:rFonts w:ascii="Times New Roman" w:hAnsi="Times New Roman" w:cs="Times New Roman"/>
          <w:sz w:val="24"/>
          <w:szCs w:val="24"/>
        </w:rPr>
        <w:t>https://oecd.ai/</w:t>
      </w:r>
      <w:r>
        <w:rPr>
          <w:rStyle w:val="8"/>
          <w:rFonts w:ascii="Times New Roman" w:hAnsi="Times New Roman" w:cs="Times New Roman"/>
          <w:sz w:val="24"/>
          <w:szCs w:val="24"/>
        </w:rPr>
        <w:fldChar w:fldCharType="end"/>
      </w:r>
    </w:p>
    <w:p w14:paraId="3D0577A0">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Raji, I.D., Kumar, I.E., Horowitz, A. and Selbst, A., 2022, June. The fallacy of AI functionality. In </w:t>
      </w:r>
      <w:r>
        <w:rPr>
          <w:rFonts w:ascii="Times New Roman" w:hAnsi="Times New Roman" w:cs="Times New Roman"/>
          <w:i/>
          <w:iCs/>
          <w:sz w:val="24"/>
          <w:szCs w:val="24"/>
        </w:rPr>
        <w:t>Proceedings of the 2022 ACM conference on fairness, accountability, and transparency</w:t>
      </w:r>
      <w:r>
        <w:rPr>
          <w:rFonts w:ascii="Times New Roman" w:hAnsi="Times New Roman" w:cs="Times New Roman"/>
          <w:sz w:val="24"/>
          <w:szCs w:val="24"/>
        </w:rPr>
        <w:t xml:space="preserve"> (pp. 959-972). </w:t>
      </w:r>
      <w:r>
        <w:fldChar w:fldCharType="begin"/>
      </w:r>
      <w:r>
        <w:instrText xml:space="preserve"> HYPERLINK "https://dl.acm.org/doi/abs/10.1145/3531146.3533158" </w:instrText>
      </w:r>
      <w:r>
        <w:fldChar w:fldCharType="separate"/>
      </w:r>
      <w:r>
        <w:rPr>
          <w:rStyle w:val="8"/>
          <w:rFonts w:ascii="Times New Roman" w:hAnsi="Times New Roman" w:cs="Times New Roman"/>
          <w:sz w:val="24"/>
          <w:szCs w:val="24"/>
        </w:rPr>
        <w:t>https://dl.acm.org/doi/abs/10.1145/3531146.3533158</w:t>
      </w:r>
      <w:r>
        <w:rPr>
          <w:rStyle w:val="8"/>
          <w:rFonts w:ascii="Times New Roman" w:hAnsi="Times New Roman" w:cs="Times New Roman"/>
          <w:sz w:val="24"/>
          <w:szCs w:val="24"/>
        </w:rPr>
        <w:fldChar w:fldCharType="end"/>
      </w:r>
    </w:p>
    <w:p w14:paraId="15CB0959">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Ribeiro, D., Rocha, T., Pinto, G., Cartaxo, B., Amaral, M., Davila, N. and Camargo, A., 2025. Toward effective AI governance: a review of principles. </w:t>
      </w:r>
      <w:r>
        <w:rPr>
          <w:rFonts w:ascii="Times New Roman" w:hAnsi="Times New Roman" w:cs="Times New Roman"/>
          <w:i/>
          <w:iCs/>
          <w:sz w:val="24"/>
          <w:szCs w:val="24"/>
        </w:rPr>
        <w:t>arXiv preprint arXiv:2505.23417</w:t>
      </w:r>
      <w:r>
        <w:rPr>
          <w:rFonts w:ascii="Times New Roman" w:hAnsi="Times New Roman" w:cs="Times New Roman"/>
          <w:sz w:val="24"/>
          <w:szCs w:val="24"/>
        </w:rPr>
        <w:t xml:space="preserve">. </w:t>
      </w:r>
      <w:r>
        <w:fldChar w:fldCharType="begin"/>
      </w:r>
      <w:r>
        <w:instrText xml:space="preserve"> HYPERLINK "https://arxiv.org/abs/2505.23417" </w:instrText>
      </w:r>
      <w:r>
        <w:fldChar w:fldCharType="separate"/>
      </w:r>
      <w:r>
        <w:rPr>
          <w:rStyle w:val="8"/>
          <w:rFonts w:ascii="Times New Roman" w:hAnsi="Times New Roman" w:cs="Times New Roman"/>
          <w:sz w:val="24"/>
          <w:szCs w:val="24"/>
        </w:rPr>
        <w:t>https://arxiv.org/abs/2505.23417</w:t>
      </w:r>
      <w:r>
        <w:rPr>
          <w:rStyle w:val="8"/>
          <w:rFonts w:ascii="Times New Roman" w:hAnsi="Times New Roman" w:cs="Times New Roman"/>
          <w:sz w:val="24"/>
          <w:szCs w:val="24"/>
        </w:rPr>
        <w:fldChar w:fldCharType="end"/>
      </w:r>
    </w:p>
    <w:p w14:paraId="2932551A">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Statista 2025 </w:t>
      </w:r>
      <w:r>
        <w:rPr>
          <w:rFonts w:ascii="Times New Roman" w:hAnsi="Times New Roman" w:cs="Times New Roman"/>
          <w:i/>
          <w:iCs/>
          <w:sz w:val="24"/>
          <w:szCs w:val="24"/>
        </w:rPr>
        <w:t>The AI market is poised for explosive growth</w:t>
      </w:r>
      <w:r>
        <w:rPr>
          <w:rFonts w:ascii="Times New Roman" w:hAnsi="Times New Roman" w:cs="Times New Roman"/>
          <w:sz w:val="24"/>
          <w:szCs w:val="24"/>
        </w:rPr>
        <w:t xml:space="preserve">. Available at: </w:t>
      </w:r>
      <w:r>
        <w:fldChar w:fldCharType="begin"/>
      </w:r>
      <w:r>
        <w:instrText xml:space="preserve"> HYPERLINK "https://www.statista.com/chart/35510/ai-market-growth-forecasts-by-segment/" \t "_new" </w:instrText>
      </w:r>
      <w:r>
        <w:fldChar w:fldCharType="separate"/>
      </w:r>
      <w:r>
        <w:rPr>
          <w:rStyle w:val="8"/>
          <w:rFonts w:ascii="Times New Roman" w:hAnsi="Times New Roman" w:cs="Times New Roman"/>
          <w:sz w:val="24"/>
          <w:szCs w:val="24"/>
        </w:rPr>
        <w:t>https://www.statista.com/chart/35510/ai-market-growth-forecasts-by-segment/</w:t>
      </w:r>
      <w:r>
        <w:rPr>
          <w:rStyle w:val="8"/>
          <w:rFonts w:ascii="Times New Roman" w:hAnsi="Times New Roman" w:cs="Times New Roman"/>
          <w:sz w:val="24"/>
          <w:szCs w:val="24"/>
        </w:rPr>
        <w:fldChar w:fldCharType="end"/>
      </w:r>
      <w:r>
        <w:rPr>
          <w:rFonts w:ascii="Times New Roman" w:hAnsi="Times New Roman" w:cs="Times New Roman"/>
          <w:sz w:val="24"/>
          <w:szCs w:val="24"/>
        </w:rPr>
        <w:t xml:space="preserve"> (Accessed: 11 April 2026).</w:t>
      </w:r>
    </w:p>
    <w:p w14:paraId="0AF7A203">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Statista 2026 </w:t>
      </w:r>
      <w:r>
        <w:rPr>
          <w:rFonts w:ascii="Times New Roman" w:hAnsi="Times New Roman" w:cs="Times New Roman"/>
          <w:i/>
          <w:iCs/>
          <w:sz w:val="24"/>
          <w:szCs w:val="24"/>
        </w:rPr>
        <w:t>Artificial intelligence (AI) worldwide – statistics &amp; facts</w:t>
      </w:r>
      <w:r>
        <w:rPr>
          <w:rFonts w:ascii="Times New Roman" w:hAnsi="Times New Roman" w:cs="Times New Roman"/>
          <w:sz w:val="24"/>
          <w:szCs w:val="24"/>
        </w:rPr>
        <w:t xml:space="preserve">. Available at: </w:t>
      </w:r>
      <w:r>
        <w:fldChar w:fldCharType="begin"/>
      </w:r>
      <w:r>
        <w:instrText xml:space="preserve"> HYPERLINK "https://www.statista.com/topics/3104/artificial-intelligence-ai-worldwide/" \t "_new" </w:instrText>
      </w:r>
      <w:r>
        <w:fldChar w:fldCharType="separate"/>
      </w:r>
      <w:r>
        <w:rPr>
          <w:rStyle w:val="8"/>
          <w:rFonts w:ascii="Times New Roman" w:hAnsi="Times New Roman" w:cs="Times New Roman"/>
          <w:sz w:val="24"/>
          <w:szCs w:val="24"/>
        </w:rPr>
        <w:t>https://www.statista.com/topics/3104/artificial-intelligence-ai-worldwide/</w:t>
      </w:r>
      <w:r>
        <w:rPr>
          <w:rStyle w:val="8"/>
          <w:rFonts w:ascii="Times New Roman" w:hAnsi="Times New Roman" w:cs="Times New Roman"/>
          <w:sz w:val="24"/>
          <w:szCs w:val="24"/>
        </w:rPr>
        <w:fldChar w:fldCharType="end"/>
      </w:r>
      <w:r>
        <w:rPr>
          <w:rFonts w:ascii="Times New Roman" w:hAnsi="Times New Roman" w:cs="Times New Roman"/>
          <w:sz w:val="24"/>
          <w:szCs w:val="24"/>
        </w:rPr>
        <w:t xml:space="preserve"> (Accessed: 11 April 2026).</w:t>
      </w:r>
    </w:p>
    <w:p w14:paraId="590EFF37">
      <w:pPr>
        <w:spacing w:line="360" w:lineRule="auto"/>
        <w:ind w:left="720" w:hanging="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Statista 2025 </w:t>
      </w:r>
      <w:r>
        <w:rPr>
          <w:rFonts w:ascii="Times New Roman" w:hAnsi="Times New Roman" w:cs="Times New Roman"/>
          <w:i/>
          <w:iCs/>
          <w:sz w:val="24"/>
          <w:szCs w:val="24"/>
          <w:lang w:val="en-US"/>
        </w:rPr>
        <w:t>Global artificial intelligence market size forecast</w:t>
      </w:r>
      <w:r>
        <w:rPr>
          <w:rFonts w:ascii="Times New Roman" w:hAnsi="Times New Roman" w:cs="Times New Roman"/>
          <w:sz w:val="24"/>
          <w:szCs w:val="24"/>
          <w:lang w:val="en-US"/>
        </w:rPr>
        <w:t xml:space="preserve">. Available at: </w:t>
      </w:r>
      <w:r>
        <w:fldChar w:fldCharType="begin"/>
      </w:r>
      <w:r>
        <w:instrText xml:space="preserve"> HYPERLINK "https://www.statista.com/forecasts/1474143/global-ai-market-size/" \t "_new" </w:instrText>
      </w:r>
      <w:r>
        <w:fldChar w:fldCharType="separate"/>
      </w:r>
      <w:r>
        <w:rPr>
          <w:rStyle w:val="8"/>
          <w:rFonts w:ascii="Times New Roman" w:hAnsi="Times New Roman" w:cs="Times New Roman"/>
          <w:sz w:val="24"/>
          <w:szCs w:val="24"/>
          <w:lang w:val="en-US"/>
        </w:rPr>
        <w:t>https://www.statista.com/forecasts/1474143/global-ai-market-size/</w:t>
      </w:r>
      <w:r>
        <w:rPr>
          <w:rStyle w:val="8"/>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(Accessed: 11 April 2026).</w:t>
      </w:r>
    </w:p>
    <w:p w14:paraId="2F61CEA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Taeihagh, A., 2025. Governance of generative AI. </w:t>
      </w:r>
      <w:r>
        <w:rPr>
          <w:rFonts w:ascii="Times New Roman" w:hAnsi="Times New Roman" w:cs="Times New Roman"/>
          <w:i/>
          <w:iCs/>
          <w:sz w:val="24"/>
          <w:szCs w:val="24"/>
        </w:rPr>
        <w:t>Policy and society</w:t>
      </w:r>
      <w:r>
        <w:rPr>
          <w:rFonts w:ascii="Times New Roman" w:hAnsi="Times New Roman" w:cs="Times New Roman"/>
          <w:sz w:val="24"/>
          <w:szCs w:val="24"/>
        </w:rPr>
        <w:t>, </w:t>
      </w:r>
      <w:r>
        <w:rPr>
          <w:rFonts w:ascii="Times New Roman" w:hAnsi="Times New Roman" w:cs="Times New Roman"/>
          <w:i/>
          <w:iCs/>
          <w:sz w:val="24"/>
          <w:szCs w:val="24"/>
        </w:rPr>
        <w:t>44</w:t>
      </w:r>
      <w:r>
        <w:rPr>
          <w:rFonts w:ascii="Times New Roman" w:hAnsi="Times New Roman" w:cs="Times New Roman"/>
          <w:sz w:val="24"/>
          <w:szCs w:val="24"/>
        </w:rPr>
        <w:t xml:space="preserve">(1), pp.1-22. </w:t>
      </w:r>
      <w:r>
        <w:fldChar w:fldCharType="begin"/>
      </w:r>
      <w:r>
        <w:instrText xml:space="preserve"> HYPERLINK "https://academic.oup.com/policyandsociety/article-abstract/44/1/1/7997395" </w:instrText>
      </w:r>
      <w:r>
        <w:fldChar w:fldCharType="separate"/>
      </w:r>
      <w:r>
        <w:rPr>
          <w:rStyle w:val="8"/>
          <w:rFonts w:ascii="Times New Roman" w:hAnsi="Times New Roman" w:cs="Times New Roman"/>
          <w:sz w:val="24"/>
          <w:szCs w:val="24"/>
        </w:rPr>
        <w:t>https://academic.oup.com/policyandsociety/article-abstract/44/1/1/7997395</w:t>
      </w:r>
      <w:r>
        <w:rPr>
          <w:rStyle w:val="8"/>
          <w:rFonts w:ascii="Times New Roman" w:hAnsi="Times New Roman" w:cs="Times New Roman"/>
          <w:sz w:val="24"/>
          <w:szCs w:val="24"/>
        </w:rPr>
        <w:fldChar w:fldCharType="end"/>
      </w:r>
    </w:p>
    <w:p w14:paraId="564299B0">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Touzet, C., Papadatos, H., Murray, M., Quarks, O., Barrett, S., Boria, A.T., Perrier, E., Smith, M. and Campos, S., 2025. The Role of Risk Modeling in Advanced AI Risk Management. </w:t>
      </w:r>
      <w:r>
        <w:rPr>
          <w:rFonts w:ascii="Times New Roman" w:hAnsi="Times New Roman" w:cs="Times New Roman"/>
          <w:i/>
          <w:iCs/>
          <w:sz w:val="24"/>
          <w:szCs w:val="24"/>
        </w:rPr>
        <w:t>arXiv preprint arXiv:2512.08723</w:t>
      </w:r>
      <w:r>
        <w:rPr>
          <w:rFonts w:ascii="Times New Roman" w:hAnsi="Times New Roman" w:cs="Times New Roman"/>
          <w:sz w:val="24"/>
          <w:szCs w:val="24"/>
        </w:rPr>
        <w:t xml:space="preserve">. </w:t>
      </w:r>
      <w:r>
        <w:fldChar w:fldCharType="begin"/>
      </w:r>
      <w:r>
        <w:instrText xml:space="preserve"> HYPERLINK "https://arxiv.org/abs/2512.08723" </w:instrText>
      </w:r>
      <w:r>
        <w:fldChar w:fldCharType="separate"/>
      </w:r>
      <w:r>
        <w:rPr>
          <w:rStyle w:val="8"/>
          <w:rFonts w:ascii="Times New Roman" w:hAnsi="Times New Roman" w:cs="Times New Roman"/>
          <w:sz w:val="24"/>
          <w:szCs w:val="24"/>
        </w:rPr>
        <w:t>https://arxiv.org/abs/2512.08723</w:t>
      </w:r>
      <w:r>
        <w:rPr>
          <w:rStyle w:val="8"/>
          <w:rFonts w:ascii="Times New Roman" w:hAnsi="Times New Roman" w:cs="Times New Roman"/>
          <w:sz w:val="24"/>
          <w:szCs w:val="24"/>
        </w:rPr>
        <w:fldChar w:fldCharType="end"/>
      </w:r>
    </w:p>
    <w:p w14:paraId="540EE2C8">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UK Government 2023 </w:t>
      </w:r>
      <w:r>
        <w:rPr>
          <w:rFonts w:ascii="Times New Roman" w:hAnsi="Times New Roman" w:cs="Times New Roman"/>
          <w:i/>
          <w:iCs/>
          <w:sz w:val="24"/>
          <w:szCs w:val="24"/>
        </w:rPr>
        <w:t>A pro-innovation approach to AI regulation</w:t>
      </w:r>
      <w:r>
        <w:rPr>
          <w:rFonts w:ascii="Times New Roman" w:hAnsi="Times New Roman" w:cs="Times New Roman"/>
          <w:sz w:val="24"/>
          <w:szCs w:val="24"/>
        </w:rPr>
        <w:t xml:space="preserve">. </w:t>
      </w:r>
      <w:r>
        <w:fldChar w:fldCharType="begin"/>
      </w:r>
      <w:r>
        <w:instrText xml:space="preserve"> HYPERLINK "https://assets.publishing.service.gov.uk/media/65c1e399c43191000d1a45f4/a-pro-innovation-approach-to-ai-regulation-amended-governement-response-web-ready.pdf" </w:instrText>
      </w:r>
      <w:r>
        <w:fldChar w:fldCharType="separate"/>
      </w:r>
      <w:r>
        <w:rPr>
          <w:rStyle w:val="8"/>
          <w:rFonts w:ascii="Times New Roman" w:hAnsi="Times New Roman" w:cs="Times New Roman"/>
          <w:sz w:val="24"/>
          <w:szCs w:val="24"/>
        </w:rPr>
        <w:t>https://assets.publishing.service.gov.uk/media/65c1e399c43191000d1a45f4/a-pro-innovation-approach-to-ai-regulation-amended-governement-response-web-ready.pdf</w:t>
      </w:r>
      <w:r>
        <w:rPr>
          <w:rStyle w:val="8"/>
          <w:rFonts w:ascii="Times New Roman" w:hAnsi="Times New Roman" w:cs="Times New Roman"/>
          <w:sz w:val="24"/>
          <w:szCs w:val="24"/>
        </w:rPr>
        <w:fldChar w:fldCharType="end"/>
      </w:r>
    </w:p>
    <w:p w14:paraId="5A1EF76F">
      <w:pPr>
        <w:spacing w:line="360" w:lineRule="auto"/>
        <w:ind w:left="720" w:hanging="720"/>
        <w:jc w:val="both"/>
        <w:rPr>
          <w:rFonts w:ascii="Times New Roman" w:hAnsi="Times New Roman" w:cs="Times New Roman"/>
          <w:b/>
          <w:bCs/>
          <w:i/>
          <w:iCs/>
          <w:sz w:val="24"/>
          <w:szCs w:val="24"/>
          <w:lang w:val="en-US"/>
        </w:rPr>
      </w:pPr>
      <w:r>
        <w:rPr>
          <w:rFonts w:ascii="Times New Roman" w:hAnsi="Times New Roman" w:cs="Times New Roman"/>
          <w:sz w:val="24"/>
          <w:szCs w:val="24"/>
        </w:rPr>
        <w:t xml:space="preserve">UK Government 2023 </w:t>
      </w:r>
      <w:r>
        <w:rPr>
          <w:rFonts w:ascii="Times New Roman" w:hAnsi="Times New Roman" w:cs="Times New Roman" w:eastAsiaTheme="minorEastAsia"/>
          <w:sz w:val="24"/>
          <w:szCs w:val="24"/>
          <w:lang w:val="en-US"/>
        </w:rPr>
        <w:t xml:space="preserve">Implementing the UK’s AI regulatory principles: </w:t>
      </w:r>
      <w:r>
        <w:rPr>
          <w:rFonts w:ascii="Times New Roman" w:hAnsi="Times New Roman" w:cs="Times New Roman" w:eastAsiaTheme="minorEastAsia"/>
          <w:i/>
          <w:iCs/>
          <w:sz w:val="24"/>
          <w:szCs w:val="24"/>
          <w:lang w:val="en-US"/>
        </w:rPr>
        <w:t>initial guidance for regulators</w:t>
      </w:r>
      <w:r>
        <w:rPr>
          <w:rFonts w:ascii="Times New Roman" w:hAnsi="Times New Roman" w:cs="Times New Roman"/>
          <w:b/>
          <w:bCs/>
          <w:i/>
          <w:iCs/>
          <w:sz w:val="24"/>
          <w:szCs w:val="24"/>
          <w:lang w:val="en-US"/>
        </w:rPr>
        <w:t xml:space="preserve"> </w:t>
      </w:r>
      <w:r>
        <w:fldChar w:fldCharType="begin"/>
      </w:r>
      <w:r>
        <w:instrText xml:space="preserve"> HYPERLINK "https://www.gov.uk/government/publications/implementing-the-uks-ai-regulatory-principles-initial-guidance-for-regulators/implementing-the-uks-ai-regulatory-principles-initial-guidance-for-regulators" </w:instrText>
      </w:r>
      <w:r>
        <w:fldChar w:fldCharType="separate"/>
      </w:r>
      <w:r>
        <w:rPr>
          <w:rStyle w:val="8"/>
          <w:rFonts w:ascii="Times New Roman" w:hAnsi="Times New Roman" w:cs="Times New Roman"/>
          <w:sz w:val="24"/>
          <w:szCs w:val="24"/>
        </w:rPr>
        <w:t>https://www.gov.uk/government/publications/implementing-the-uks-ai-regulatory-principles-initial-guidance-for-regulators/implementing-the-uks-ai-regulatory-principles-initial-guidance-for-regulators</w:t>
      </w:r>
      <w:r>
        <w:rPr>
          <w:rStyle w:val="8"/>
          <w:rFonts w:ascii="Times New Roman" w:hAnsi="Times New Roman" w:cs="Times New Roman"/>
          <w:sz w:val="24"/>
          <w:szCs w:val="24"/>
        </w:rPr>
        <w:fldChar w:fldCharType="end"/>
      </w:r>
    </w:p>
    <w:p w14:paraId="710742ED">
      <w:pPr>
        <w:spacing w:line="360" w:lineRule="auto"/>
        <w:ind w:left="720" w:hanging="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UK Parliament 2024 </w:t>
      </w:r>
      <w:r>
        <w:rPr>
          <w:rFonts w:ascii="Times New Roman" w:hAnsi="Times New Roman" w:cs="Times New Roman"/>
          <w:i/>
          <w:iCs/>
          <w:sz w:val="24"/>
          <w:szCs w:val="24"/>
          <w:lang w:val="en-US"/>
        </w:rPr>
        <w:t>Governance of artificial intelligence report</w:t>
      </w:r>
      <w:r>
        <w:rPr>
          <w:rFonts w:ascii="Times New Roman" w:hAnsi="Times New Roman" w:cs="Times New Roman"/>
          <w:sz w:val="24"/>
          <w:szCs w:val="24"/>
          <w:lang w:val="en-US"/>
        </w:rPr>
        <w:t xml:space="preserve">. </w:t>
      </w:r>
      <w:r>
        <w:fldChar w:fldCharType="begin"/>
      </w:r>
      <w:r>
        <w:instrText xml:space="preserve"> HYPERLINK "https://committees.parliament.uk/publications/46145/documents/230927/default/" </w:instrText>
      </w:r>
      <w:r>
        <w:fldChar w:fldCharType="separate"/>
      </w:r>
      <w:r>
        <w:rPr>
          <w:rStyle w:val="8"/>
          <w:rFonts w:ascii="Times New Roman" w:hAnsi="Times New Roman" w:cs="Times New Roman"/>
          <w:sz w:val="24"/>
          <w:szCs w:val="24"/>
          <w:lang w:val="en-US"/>
        </w:rPr>
        <w:t>https://committees.parliament.uk/publications/46145/documents/230927/default/</w:t>
      </w:r>
      <w:r>
        <w:rPr>
          <w:rStyle w:val="8"/>
          <w:rFonts w:ascii="Times New Roman" w:hAnsi="Times New Roman" w:cs="Times New Roman"/>
          <w:sz w:val="24"/>
          <w:szCs w:val="24"/>
          <w:lang w:val="en-US"/>
        </w:rPr>
        <w:fldChar w:fldCharType="end"/>
      </w:r>
    </w:p>
    <w:p w14:paraId="59487F97">
      <w:r>
        <w:rPr>
          <w:rFonts w:ascii="Times New Roman" w:hAnsi="Times New Roman" w:cs="Times New Roman"/>
          <w:sz w:val="24"/>
          <w:szCs w:val="24"/>
        </w:rPr>
        <w:t xml:space="preserve">World Economic Forum 2024 </w:t>
      </w:r>
      <w:r>
        <w:rPr>
          <w:rFonts w:ascii="Times New Roman" w:hAnsi="Times New Roman" w:cs="Times New Roman"/>
          <w:i/>
          <w:iCs/>
          <w:sz w:val="24"/>
          <w:szCs w:val="24"/>
        </w:rPr>
        <w:t>Global risks report 2024</w:t>
      </w:r>
      <w:r>
        <w:rPr>
          <w:rFonts w:ascii="Times New Roman" w:hAnsi="Times New Roman" w:cs="Times New Roman"/>
          <w:sz w:val="24"/>
          <w:szCs w:val="24"/>
        </w:rPr>
        <w:t xml:space="preserve">. </w:t>
      </w:r>
      <w:r>
        <w:fldChar w:fldCharType="begin"/>
      </w:r>
      <w:r>
        <w:instrText xml:space="preserve"> HYPERLINK "https://www3.weforum.org/docs/WEF_The_Global_Risks_Report_2024.pdf" </w:instrText>
      </w:r>
      <w:r>
        <w:fldChar w:fldCharType="separate"/>
      </w:r>
      <w:r>
        <w:rPr>
          <w:rStyle w:val="8"/>
          <w:rFonts w:ascii="Times New Roman" w:hAnsi="Times New Roman" w:cs="Times New Roman"/>
          <w:sz w:val="24"/>
          <w:szCs w:val="24"/>
        </w:rPr>
        <w:t>https://www3.weforum.org/docs/WEF_The_Global_Risks_Report_2024.pdf</w:t>
      </w:r>
      <w:r>
        <w:rPr>
          <w:rStyle w:val="8"/>
          <w:rFonts w:ascii="Times New Roman" w:hAnsi="Times New Roman" w:cs="Times New Roman"/>
          <w:sz w:val="24"/>
          <w:szCs w:val="24"/>
        </w:rPr>
        <w:fldChar w:fldCharType="end"/>
      </w: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Calibri Light">
    <w:altName w:val="Helvetica Neue"/>
    <w:panose1 w:val="020F0302020204030204"/>
    <w:charset w:val="00"/>
    <w:family w:val="swiss"/>
    <w:pitch w:val="default"/>
    <w:sig w:usb0="00000000" w:usb1="00000000" w:usb2="00000009" w:usb3="00000000" w:csb0="000001FF" w:csb1="00000000"/>
  </w:font>
  <w:font w:name="汉仪书宋二KW">
    <w:panose1 w:val="00020600040101010101"/>
    <w:charset w:val="86"/>
    <w:family w:val="auto"/>
    <w:pitch w:val="default"/>
    <w:sig w:usb0="A00002BF" w:usb1="18EF7CFA" w:usb2="00000016" w:usb3="00000000" w:csb0="00040000" w:csb1="00000000"/>
  </w:font>
  <w:font w:name="冬青黑体简体中文">
    <w:panose1 w:val="020B0300000000000000"/>
    <w:charset w:val="86"/>
    <w:family w:val="auto"/>
    <w:pitch w:val="default"/>
    <w:sig w:usb0="A00002BF" w:usb1="1ACF7CFA" w:usb2="00000016" w:usb3="00000000" w:csb0="00060007" w:csb1="00000000"/>
  </w:font>
  <w:font w:name="Helvetica Neue">
    <w:panose1 w:val="02000503000000020004"/>
    <w:charset w:val="00"/>
    <w:family w:val="auto"/>
    <w:pitch w:val="default"/>
    <w:sig w:usb0="E50002FF" w:usb1="500079DB" w:usb2="00000010" w:usb3="00000000" w:csb0="00000000"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Kingsoft Sign">
    <w:panose1 w:val="05050102010706020507"/>
    <w:charset w:val="00"/>
    <w:family w:val="auto"/>
    <w:pitch w:val="default"/>
    <w:sig w:usb0="00000000" w:usb1="10000000" w:usb2="00000000" w:usb3="00000000" w:csb0="00000001" w:csb1="00000000"/>
  </w:font>
  <w:font w:name="汉仪中黑KW">
    <w:panose1 w:val="00020600040101010101"/>
    <w:charset w:val="86"/>
    <w:family w:val="auto"/>
    <w:pitch w:val="default"/>
    <w:sig w:usb0="A00002BF" w:usb1="18EF7CFA" w:usb2="00000016" w:usb3="00000000" w:csb0="00040000" w:csb1="00000000"/>
  </w:font>
  <w:font w:name="宋体-简">
    <w:panose1 w:val="02010800040101010101"/>
    <w:charset w:val="86"/>
    <w:family w:val="auto"/>
    <w:pitch w:val="default"/>
    <w:sig w:usb0="00000001" w:usb1="080F0000" w:usb2="00000000" w:usb3="00000000" w:csb0="0004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F9679EA"/>
    <w:multiLevelType w:val="multilevel"/>
    <w:tmpl w:val="7F9679EA"/>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3"/>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DYwYTFjZDBiZGJmMzE2N2U1NTg2MjdmYjBjMzAyYTAifQ=="/>
  </w:docVars>
  <w:rsids>
    <w:rsidRoot w:val="795EB30D"/>
    <w:rsid w:val="35F39B3A"/>
    <w:rsid w:val="6EA68B30"/>
    <w:rsid w:val="795EB3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iPriority="39" w:semiHidden="0" w:name="toc 1"/>
    <w:lsdException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qFormat/>
    <w:uiPriority w:val="9"/>
    <w:pPr>
      <w:keepNext/>
      <w:keepLines/>
      <w:spacing w:before="240" w:after="0"/>
      <w:outlineLvl w:val="0"/>
    </w:pPr>
    <w:rPr>
      <w:rFonts w:asciiTheme="majorHAnsi" w:hAnsiTheme="majorHAnsi" w:eastAsiaTheme="majorEastAsia" w:cstheme="majorBidi"/>
      <w:color w:val="2E54A1" w:themeColor="accent1" w:themeShade="BF"/>
      <w:sz w:val="32"/>
      <w:szCs w:val="32"/>
    </w:rPr>
  </w:style>
  <w:style w:type="paragraph" w:styleId="3">
    <w:name w:val="heading 2"/>
    <w:basedOn w:val="1"/>
    <w:next w:val="1"/>
    <w:unhideWhenUsed/>
    <w:qFormat/>
    <w:uiPriority w:val="9"/>
    <w:pPr>
      <w:keepNext/>
      <w:keepLines/>
      <w:spacing w:before="40" w:after="0"/>
      <w:outlineLvl w:val="1"/>
    </w:pPr>
    <w:rPr>
      <w:rFonts w:asciiTheme="majorHAnsi" w:hAnsiTheme="majorHAnsi" w:eastAsiaTheme="majorEastAsia" w:cstheme="majorBidi"/>
      <w:color w:val="2E54A1" w:themeColor="accent1" w:themeShade="BF"/>
      <w:sz w:val="26"/>
      <w:szCs w:val="26"/>
    </w:rPr>
  </w:style>
  <w:style w:type="character" w:default="1" w:styleId="7">
    <w:name w:val="Default Paragraph Font"/>
    <w:semiHidden/>
    <w:uiPriority w:val="0"/>
  </w:style>
  <w:style w:type="table" w:default="1" w:styleId="6">
    <w:name w:val="Normal Table"/>
    <w:semiHidden/>
    <w:uiPriority w:val="0"/>
    <w:tblPr>
      <w:tblCellMar>
        <w:top w:w="0" w:type="dxa"/>
        <w:left w:w="108" w:type="dxa"/>
        <w:bottom w:w="0" w:type="dxa"/>
        <w:right w:w="108" w:type="dxa"/>
      </w:tblCellMar>
    </w:tblPr>
  </w:style>
  <w:style w:type="paragraph" w:styleId="4">
    <w:name w:val="toc 1"/>
    <w:basedOn w:val="1"/>
    <w:next w:val="1"/>
    <w:unhideWhenUsed/>
    <w:uiPriority w:val="39"/>
    <w:pPr>
      <w:spacing w:after="100"/>
    </w:pPr>
  </w:style>
  <w:style w:type="paragraph" w:styleId="5">
    <w:name w:val="toc 2"/>
    <w:basedOn w:val="1"/>
    <w:next w:val="1"/>
    <w:unhideWhenUsed/>
    <w:uiPriority w:val="39"/>
    <w:pPr>
      <w:spacing w:after="100"/>
      <w:ind w:left="220"/>
    </w:pPr>
  </w:style>
  <w:style w:type="character" w:styleId="8">
    <w:name w:val="Hyperlink"/>
    <w:basedOn w:val="7"/>
    <w:unhideWhenUsed/>
    <w:uiPriority w:val="99"/>
    <w:rPr>
      <w:color w:val="0026E5" w:themeColor="hyperlink"/>
      <w:u w:val="single"/>
      <w14:textFill>
        <w14:solidFill>
          <w14:schemeClr w14:val="hlink"/>
        </w14:solidFill>
      </w14:textFill>
    </w:rPr>
  </w:style>
  <w:style w:type="paragraph" w:styleId="9">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paragraph" w:customStyle="1" w:styleId="10">
    <w:name w:val="TOC Heading"/>
    <w:basedOn w:val="2"/>
    <w:next w:val="1"/>
    <w:unhideWhenUsed/>
    <w:qFormat/>
    <w:uiPriority w:val="39"/>
    <w:pPr>
      <w:outlineLvl w:val="9"/>
    </w:pPr>
    <w:rPr>
      <w:lang w:val="en-US"/>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24</Pages>
  <Words>0</Words>
  <Characters>0</Characters>
  <Lines>0</Lines>
  <Paragraphs>0</Paragraphs>
  <TotalTime>0</TotalTime>
  <ScaleCrop>false</ScaleCrop>
  <LinksUpToDate>false</LinksUpToDate>
  <CharactersWithSpaces>0</CharactersWithSpaces>
  <Application>WPS Office_6.12.0.8899_F1E327BC-269C-435d-A152-05C5408002CA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2026-04-14T12:31:00Z</dcterms:created>
  <dc:creator>。</dc:creator>
  <cp:lastModifiedBy>。</cp:lastModifiedBy>
  <dcterms:modified xsi:type="dcterms:W3CDTF">2026-04-17T00:04:50Z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2052-6.12.0.8899</vt:lpwstr>
  </property>
  <property fmtid="{D5CDD505-2E9C-101B-9397-08002B2CF9AE}" pid="3" name="ICV">
    <vt:lpwstr>7AECF22A066DD2229417DE693314B37E_41</vt:lpwstr>
  </property>
</Properties>
</file>