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1D0980" w14:textId="77777777" w:rsidR="00E45D63" w:rsidRDefault="00E45D63" w:rsidP="00E45D63">
      <w:pPr>
        <w:pStyle w:val="StandardWeb"/>
        <w:spacing w:before="0" w:beforeAutospacing="0" w:after="0" w:afterAutospacing="0"/>
        <w:ind w:left="-180" w:right="-334"/>
      </w:pPr>
      <w:r>
        <w:rPr>
          <w:noProof/>
          <w:lang w:eastAsia="en-GB"/>
        </w:rPr>
        <w:drawing>
          <wp:inline distT="0" distB="0" distL="0" distR="0" wp14:anchorId="0F3A6606" wp14:editId="4E68C088">
            <wp:extent cx="1906270" cy="638175"/>
            <wp:effectExtent l="19050" t="19050" r="1778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6270" cy="638175"/>
                    </a:xfrm>
                    <a:prstGeom prst="rect">
                      <a:avLst/>
                    </a:prstGeom>
                    <a:noFill/>
                    <a:ln w="19050" cmpd="sng">
                      <a:solidFill>
                        <a:srgbClr val="000000"/>
                      </a:solidFill>
                      <a:miter lim="800000"/>
                      <a:headEnd/>
                      <a:tailEnd/>
                    </a:ln>
                    <a:effectLst/>
                  </pic:spPr>
                </pic:pic>
              </a:graphicData>
            </a:graphic>
          </wp:inline>
        </w:drawing>
      </w:r>
    </w:p>
    <w:p w14:paraId="3A021F25" w14:textId="77777777" w:rsidR="00E45D63" w:rsidRDefault="00E45D63" w:rsidP="00E45D63">
      <w:pPr>
        <w:pStyle w:val="StandardWeb"/>
        <w:spacing w:before="0" w:beforeAutospacing="0" w:after="0" w:afterAutospacing="0"/>
        <w:ind w:left="-180" w:right="-334"/>
      </w:pPr>
    </w:p>
    <w:p w14:paraId="7E71B401" w14:textId="77777777" w:rsidR="00E45D63" w:rsidRDefault="00E45D63" w:rsidP="00E45D63">
      <w:pPr>
        <w:pStyle w:val="StandardWeb"/>
        <w:spacing w:before="0" w:beforeAutospacing="0" w:after="0" w:afterAutospacing="0"/>
        <w:ind w:left="-180" w:right="-334"/>
      </w:pPr>
    </w:p>
    <w:p w14:paraId="6B137F8C" w14:textId="77777777" w:rsidR="00E45D63" w:rsidRDefault="00E45D63" w:rsidP="00E45D63">
      <w:pPr>
        <w:pStyle w:val="Standard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6611215B" w14:textId="77777777" w:rsidR="00E45D63" w:rsidRPr="00E45D63" w:rsidRDefault="00E45D63" w:rsidP="00E45D63">
      <w:pPr>
        <w:pStyle w:val="StandardWeb"/>
        <w:spacing w:before="0" w:beforeAutospacing="0" w:after="0" w:afterAutospacing="0"/>
        <w:ind w:left="-180" w:right="-334"/>
        <w:jc w:val="center"/>
        <w:rPr>
          <w:rFonts w:ascii="Arial" w:hAnsi="Arial" w:cs="Arial"/>
          <w:b/>
          <w:sz w:val="28"/>
          <w:szCs w:val="28"/>
          <w:lang w:val="en-GB"/>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3A3997DF" w14:textId="77777777" w:rsidR="00E45D63" w:rsidRPr="00230F35" w:rsidRDefault="00E45D63" w:rsidP="00E45D63">
      <w:pPr>
        <w:rPr>
          <w:rFonts w:ascii="Arial" w:hAnsi="Arial" w:cs="Arial"/>
          <w:sz w:val="28"/>
          <w:szCs w:val="28"/>
          <w:lang w:val="cy-GB"/>
        </w:rPr>
      </w:pPr>
    </w:p>
    <w:p w14:paraId="4E840A7F" w14:textId="750F6331" w:rsidR="00E45D63" w:rsidRPr="00E45D63" w:rsidRDefault="00E45D63" w:rsidP="00E45D63">
      <w:pPr>
        <w:pStyle w:val="berschrift3"/>
        <w:jc w:val="center"/>
        <w:rPr>
          <w:rFonts w:ascii="Tahoma" w:hAnsi="Tahoma" w:cs="Tahoma"/>
          <w:b/>
          <w:bCs/>
          <w:color w:val="auto"/>
          <w:sz w:val="20"/>
          <w:szCs w:val="20"/>
          <w:lang w:val="cy-GB"/>
        </w:rPr>
      </w:pPr>
      <w:r w:rsidRPr="00E45D63">
        <w:rPr>
          <w:rFonts w:ascii="Tahoma" w:hAnsi="Tahoma" w:cs="Tahoma"/>
          <w:b/>
          <w:bCs/>
          <w:color w:val="auto"/>
          <w:sz w:val="20"/>
          <w:szCs w:val="20"/>
          <w:lang w:val="cy-GB"/>
        </w:rPr>
        <w:t>THIS SHEET MUST BE THE FIRST PAGE OF THE ASSIGNMENT YOU ARE SUBMITTING</w:t>
      </w:r>
      <w:r>
        <w:rPr>
          <w:rFonts w:ascii="Tahoma" w:hAnsi="Tahoma" w:cs="Tahoma"/>
          <w:b/>
          <w:bCs/>
          <w:color w:val="auto"/>
          <w:sz w:val="20"/>
          <w:szCs w:val="20"/>
          <w:lang w:val="cy-GB"/>
        </w:rPr>
        <w:br/>
      </w:r>
      <w:r w:rsidRPr="00E45D63">
        <w:rPr>
          <w:rFonts w:ascii="Tahoma" w:hAnsi="Tahoma" w:cs="Tahoma"/>
          <w:b/>
          <w:bCs/>
          <w:color w:val="auto"/>
          <w:sz w:val="20"/>
          <w:szCs w:val="20"/>
          <w:lang w:val="cy-GB"/>
        </w:rPr>
        <w:t>(DO NOT SEND AS A SEPARATE FILE)</w:t>
      </w:r>
    </w:p>
    <w:p w14:paraId="3A9384BA" w14:textId="77777777" w:rsidR="00E45D63" w:rsidRPr="00E45D63" w:rsidRDefault="00E45D63" w:rsidP="00E45D63">
      <w:pPr>
        <w:pStyle w:val="berschrift3"/>
        <w:jc w:val="center"/>
        <w:rPr>
          <w:rFonts w:ascii="Trebuchet MS" w:hAnsi="Trebuchet MS"/>
          <w:lang w:val="cy-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E45D63" w:rsidRPr="00DC297C" w14:paraId="645CE111" w14:textId="77777777" w:rsidTr="00E426D3">
        <w:trPr>
          <w:trHeight w:val="614"/>
        </w:trPr>
        <w:tc>
          <w:tcPr>
            <w:tcW w:w="8856" w:type="dxa"/>
            <w:gridSpan w:val="5"/>
          </w:tcPr>
          <w:p w14:paraId="48579E33" w14:textId="77777777" w:rsidR="00E45D63" w:rsidRPr="00E45D63" w:rsidRDefault="00E45D63" w:rsidP="00E426D3">
            <w:pPr>
              <w:pStyle w:val="StandardWeb"/>
              <w:spacing w:before="0" w:beforeAutospacing="0" w:after="0" w:afterAutospacing="0"/>
              <w:ind w:right="34"/>
              <w:rPr>
                <w:rFonts w:ascii="Arial" w:hAnsi="Arial" w:cs="Arial"/>
                <w:sz w:val="22"/>
                <w:szCs w:val="22"/>
                <w:lang w:val="en-GB"/>
              </w:rPr>
            </w:pPr>
            <w:r w:rsidRPr="00E45D63">
              <w:rPr>
                <w:rFonts w:ascii="Arial" w:hAnsi="Arial" w:cs="Arial"/>
                <w:b/>
                <w:sz w:val="22"/>
                <w:szCs w:val="22"/>
                <w:lang w:val="en-GB"/>
              </w:rPr>
              <w:t>For completion by the student</w:t>
            </w:r>
            <w:r w:rsidRPr="00E45D63">
              <w:rPr>
                <w:rFonts w:ascii="Arial" w:hAnsi="Arial" w:cs="Arial"/>
                <w:sz w:val="22"/>
                <w:szCs w:val="22"/>
                <w:lang w:val="en-GB"/>
              </w:rPr>
              <w:t>:</w:t>
            </w:r>
          </w:p>
        </w:tc>
      </w:tr>
      <w:tr w:rsidR="00E45D63" w:rsidRPr="00DC297C" w14:paraId="57278D34" w14:textId="77777777" w:rsidTr="00E426D3">
        <w:trPr>
          <w:trHeight w:val="718"/>
        </w:trPr>
        <w:tc>
          <w:tcPr>
            <w:tcW w:w="8856" w:type="dxa"/>
            <w:gridSpan w:val="5"/>
          </w:tcPr>
          <w:p w14:paraId="5A334182" w14:textId="2405AED7" w:rsidR="00E45D63" w:rsidRPr="00E45D63" w:rsidRDefault="00E45D63" w:rsidP="00E426D3">
            <w:pPr>
              <w:pStyle w:val="StandardWeb"/>
              <w:spacing w:before="0" w:beforeAutospacing="0" w:after="0" w:afterAutospacing="0"/>
              <w:ind w:right="34"/>
              <w:rPr>
                <w:rFonts w:ascii="Arial" w:hAnsi="Arial" w:cs="Arial"/>
                <w:sz w:val="22"/>
                <w:szCs w:val="22"/>
                <w:lang w:val="en-GB"/>
              </w:rPr>
            </w:pPr>
            <w:r w:rsidRPr="00E45D63">
              <w:rPr>
                <w:rFonts w:ascii="Arial" w:hAnsi="Arial" w:cs="Arial"/>
                <w:sz w:val="22"/>
                <w:szCs w:val="22"/>
                <w:lang w:val="en-GB"/>
              </w:rPr>
              <w:t xml:space="preserve">Student Name: </w:t>
            </w:r>
            <w:r>
              <w:rPr>
                <w:rFonts w:ascii="Arial" w:hAnsi="Arial" w:cs="Arial"/>
                <w:sz w:val="22"/>
                <w:szCs w:val="22"/>
                <w:lang w:val="en-GB"/>
              </w:rPr>
              <w:t xml:space="preserve"> Andrea Hofmann</w:t>
            </w:r>
          </w:p>
          <w:p w14:paraId="7B650D7C" w14:textId="77777777" w:rsidR="00E45D63" w:rsidRPr="00E45D63" w:rsidRDefault="00E45D63" w:rsidP="00E426D3">
            <w:pPr>
              <w:pStyle w:val="StandardWeb"/>
              <w:spacing w:before="0" w:beforeAutospacing="0" w:after="0" w:afterAutospacing="0"/>
              <w:ind w:right="34"/>
              <w:rPr>
                <w:rFonts w:ascii="Arial" w:hAnsi="Arial" w:cs="Arial"/>
                <w:sz w:val="22"/>
                <w:szCs w:val="22"/>
                <w:lang w:val="en-GB"/>
              </w:rPr>
            </w:pPr>
          </w:p>
          <w:p w14:paraId="6EC35883" w14:textId="4BA33B76" w:rsidR="00E45D63" w:rsidRPr="00E45D63" w:rsidRDefault="00E45D63" w:rsidP="00E426D3">
            <w:pPr>
              <w:pStyle w:val="StandardWeb"/>
              <w:spacing w:before="0" w:beforeAutospacing="0" w:after="0" w:afterAutospacing="0"/>
              <w:ind w:right="34"/>
              <w:rPr>
                <w:rFonts w:ascii="Arial" w:hAnsi="Arial" w:cs="Arial"/>
                <w:sz w:val="22"/>
                <w:szCs w:val="22"/>
                <w:lang w:val="en-GB"/>
              </w:rPr>
            </w:pPr>
            <w:r w:rsidRPr="00E45D63">
              <w:rPr>
                <w:rFonts w:ascii="Arial" w:hAnsi="Arial" w:cs="Arial"/>
                <w:sz w:val="22"/>
                <w:szCs w:val="22"/>
                <w:lang w:val="en-GB"/>
              </w:rPr>
              <w:t xml:space="preserve">Student </w:t>
            </w:r>
            <w:r w:rsidRPr="00E45D63">
              <w:rPr>
                <w:rFonts w:ascii="Arial" w:hAnsi="Arial" w:cs="Arial"/>
                <w:b/>
                <w:bCs/>
                <w:sz w:val="22"/>
                <w:szCs w:val="22"/>
                <w:u w:val="single"/>
                <w:lang w:val="en-GB"/>
              </w:rPr>
              <w:t>University</w:t>
            </w:r>
            <w:r w:rsidRPr="00E45D63">
              <w:rPr>
                <w:rFonts w:ascii="Arial" w:hAnsi="Arial" w:cs="Arial"/>
                <w:sz w:val="22"/>
                <w:szCs w:val="22"/>
                <w:u w:val="single"/>
                <w:lang w:val="en-GB"/>
              </w:rPr>
              <w:t xml:space="preserve"> </w:t>
            </w:r>
            <w:r w:rsidRPr="00E45D63">
              <w:rPr>
                <w:rFonts w:ascii="Arial" w:hAnsi="Arial" w:cs="Arial"/>
                <w:sz w:val="22"/>
                <w:szCs w:val="22"/>
                <w:lang w:val="en-GB"/>
              </w:rPr>
              <w:t>Email: 2324045@student.uwtsd.ac.uk</w:t>
            </w:r>
          </w:p>
        </w:tc>
      </w:tr>
      <w:tr w:rsidR="00E45D63" w:rsidRPr="00230F35" w14:paraId="0261A3FC" w14:textId="77777777" w:rsidTr="00E426D3">
        <w:trPr>
          <w:trHeight w:val="849"/>
        </w:trPr>
        <w:tc>
          <w:tcPr>
            <w:tcW w:w="4788" w:type="dxa"/>
          </w:tcPr>
          <w:p w14:paraId="238F9E43" w14:textId="77777777" w:rsidR="00EF2122" w:rsidRPr="00207BC7" w:rsidRDefault="00E45D63" w:rsidP="00EF2122">
            <w:pPr>
              <w:pStyle w:val="StandardWeb"/>
              <w:spacing w:before="0" w:beforeAutospacing="0" w:after="0" w:afterAutospacing="0"/>
              <w:ind w:right="34"/>
              <w:rPr>
                <w:rFonts w:ascii="Arial" w:hAnsi="Arial" w:cs="Arial"/>
                <w:sz w:val="22"/>
                <w:szCs w:val="22"/>
                <w:lang w:val="en-GB"/>
              </w:rPr>
            </w:pPr>
            <w:r w:rsidRPr="00207BC7">
              <w:rPr>
                <w:rFonts w:ascii="Arial" w:hAnsi="Arial" w:cs="Arial"/>
                <w:sz w:val="22"/>
                <w:szCs w:val="22"/>
                <w:lang w:val="en-GB"/>
              </w:rPr>
              <w:t xml:space="preserve">Module code: </w:t>
            </w:r>
            <w:r w:rsidR="00EF2122" w:rsidRPr="00207BC7">
              <w:rPr>
                <w:rFonts w:ascii="Arial" w:hAnsi="Arial" w:cs="Arial"/>
                <w:sz w:val="22"/>
                <w:szCs w:val="22"/>
                <w:lang w:val="en-GB"/>
              </w:rPr>
              <w:t>HPCA7014</w:t>
            </w:r>
          </w:p>
          <w:p w14:paraId="2360E839" w14:textId="57B726A9" w:rsidR="00E45D63" w:rsidRPr="00207BC7" w:rsidRDefault="00E45D63" w:rsidP="00E426D3">
            <w:pPr>
              <w:pStyle w:val="StandardWeb"/>
              <w:spacing w:before="0" w:beforeAutospacing="0" w:after="0" w:afterAutospacing="0"/>
              <w:ind w:right="34"/>
              <w:rPr>
                <w:rFonts w:ascii="Arial" w:hAnsi="Arial" w:cs="Arial"/>
                <w:sz w:val="22"/>
                <w:szCs w:val="22"/>
                <w:lang w:val="en-GB"/>
              </w:rPr>
            </w:pPr>
          </w:p>
          <w:p w14:paraId="049C9C65" w14:textId="74CF3B21" w:rsidR="00E45D63" w:rsidRPr="00207BC7" w:rsidRDefault="00E45D63" w:rsidP="00E426D3">
            <w:pPr>
              <w:pStyle w:val="StandardWeb"/>
              <w:spacing w:before="0" w:beforeAutospacing="0" w:after="0" w:afterAutospacing="0"/>
              <w:ind w:right="34"/>
              <w:rPr>
                <w:rFonts w:ascii="Arial" w:hAnsi="Arial" w:cs="Arial"/>
                <w:sz w:val="22"/>
                <w:szCs w:val="22"/>
                <w:lang w:val="en-GB"/>
              </w:rPr>
            </w:pPr>
            <w:r w:rsidRPr="00207BC7">
              <w:rPr>
                <w:rFonts w:ascii="Arial" w:hAnsi="Arial" w:cs="Arial"/>
                <w:sz w:val="22"/>
                <w:szCs w:val="22"/>
                <w:lang w:val="en-GB"/>
              </w:rPr>
              <w:t xml:space="preserve">Module title: </w:t>
            </w:r>
            <w:r w:rsidR="00EF2122" w:rsidRPr="00207BC7">
              <w:rPr>
                <w:rFonts w:ascii="Arial" w:hAnsi="Arial" w:cs="Arial"/>
                <w:sz w:val="22"/>
                <w:szCs w:val="22"/>
                <w:lang w:val="en-GB"/>
              </w:rPr>
              <w:t>Sacred Geography</w:t>
            </w:r>
          </w:p>
          <w:p w14:paraId="072884A5" w14:textId="77777777" w:rsidR="00E45D63" w:rsidRPr="00207BC7" w:rsidRDefault="00E45D63" w:rsidP="00E426D3">
            <w:pPr>
              <w:pStyle w:val="StandardWeb"/>
              <w:spacing w:before="0" w:beforeAutospacing="0" w:after="0" w:afterAutospacing="0"/>
              <w:ind w:right="34"/>
              <w:rPr>
                <w:rFonts w:ascii="Arial" w:hAnsi="Arial" w:cs="Arial"/>
                <w:sz w:val="22"/>
                <w:szCs w:val="22"/>
                <w:lang w:val="en-GB"/>
              </w:rPr>
            </w:pPr>
          </w:p>
        </w:tc>
        <w:tc>
          <w:tcPr>
            <w:tcW w:w="2266" w:type="dxa"/>
            <w:gridSpan w:val="3"/>
          </w:tcPr>
          <w:p w14:paraId="50E1138D" w14:textId="77777777" w:rsidR="00E45D63" w:rsidRDefault="00E45D63" w:rsidP="00E426D3">
            <w:pPr>
              <w:pStyle w:val="Standard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r>
              <w:rPr>
                <w:rFonts w:ascii="Arial" w:hAnsi="Arial" w:cs="Arial"/>
                <w:sz w:val="22"/>
                <w:szCs w:val="22"/>
              </w:rPr>
              <w:t xml:space="preserve"> </w:t>
            </w:r>
          </w:p>
          <w:p w14:paraId="5D95CCE2" w14:textId="77777777" w:rsidR="00EF2122" w:rsidRDefault="00EF2122" w:rsidP="00E426D3">
            <w:pPr>
              <w:pStyle w:val="StandardWeb"/>
              <w:spacing w:before="0" w:beforeAutospacing="0" w:after="0" w:afterAutospacing="0"/>
              <w:ind w:right="34"/>
              <w:rPr>
                <w:rFonts w:ascii="Arial" w:hAnsi="Arial" w:cs="Arial"/>
                <w:sz w:val="22"/>
                <w:szCs w:val="22"/>
              </w:rPr>
            </w:pPr>
          </w:p>
          <w:p w14:paraId="38755907" w14:textId="1209467D" w:rsidR="00EF2122" w:rsidRPr="00230F35" w:rsidRDefault="00EF2122" w:rsidP="00E426D3">
            <w:pPr>
              <w:pStyle w:val="StandardWeb"/>
              <w:spacing w:before="0" w:beforeAutospacing="0" w:after="0" w:afterAutospacing="0"/>
              <w:ind w:right="34"/>
              <w:rPr>
                <w:rFonts w:ascii="Arial" w:hAnsi="Arial" w:cs="Arial"/>
                <w:sz w:val="22"/>
                <w:szCs w:val="22"/>
              </w:rPr>
            </w:pPr>
            <w:r w:rsidRPr="00E45D63">
              <w:rPr>
                <w:rFonts w:ascii="Arial" w:hAnsi="Arial" w:cs="Arial"/>
                <w:sz w:val="22"/>
                <w:szCs w:val="22"/>
                <w:lang w:val="en-GB"/>
              </w:rPr>
              <w:t>2324045</w:t>
            </w:r>
          </w:p>
        </w:tc>
        <w:tc>
          <w:tcPr>
            <w:tcW w:w="1802" w:type="dxa"/>
          </w:tcPr>
          <w:p w14:paraId="08E52608" w14:textId="77777777" w:rsidR="00E45D63" w:rsidRDefault="00E45D63" w:rsidP="00E426D3">
            <w:pPr>
              <w:pStyle w:val="Standard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7FB1CE18" w14:textId="0B51CEF2" w:rsidR="00BB27F4" w:rsidRPr="00230F35" w:rsidRDefault="00BB27F4" w:rsidP="00E426D3">
            <w:pPr>
              <w:pStyle w:val="StandardWeb"/>
              <w:spacing w:before="0" w:beforeAutospacing="0" w:after="0" w:afterAutospacing="0"/>
              <w:ind w:right="34"/>
              <w:rPr>
                <w:rFonts w:ascii="Arial" w:hAnsi="Arial" w:cs="Arial"/>
                <w:sz w:val="22"/>
                <w:szCs w:val="22"/>
              </w:rPr>
            </w:pPr>
            <w:r>
              <w:rPr>
                <w:rFonts w:ascii="Arial" w:hAnsi="Arial" w:cs="Arial"/>
                <w:sz w:val="22"/>
                <w:szCs w:val="22"/>
              </w:rPr>
              <w:t>NO</w:t>
            </w:r>
          </w:p>
          <w:p w14:paraId="59F0B521" w14:textId="77777777" w:rsidR="00E45D63" w:rsidRPr="00230F35" w:rsidRDefault="00E45D63" w:rsidP="00E426D3">
            <w:pPr>
              <w:pStyle w:val="StandardWeb"/>
              <w:spacing w:before="0" w:beforeAutospacing="0" w:after="0" w:afterAutospacing="0"/>
              <w:ind w:right="34"/>
              <w:rPr>
                <w:rFonts w:ascii="Arial" w:hAnsi="Arial" w:cs="Arial"/>
                <w:sz w:val="22"/>
                <w:szCs w:val="22"/>
              </w:rPr>
            </w:pPr>
          </w:p>
        </w:tc>
      </w:tr>
      <w:tr w:rsidR="00E45D63" w:rsidRPr="00E45D63" w14:paraId="39BAE0F7" w14:textId="77777777" w:rsidTr="00E426D3">
        <w:trPr>
          <w:trHeight w:val="1139"/>
        </w:trPr>
        <w:tc>
          <w:tcPr>
            <w:tcW w:w="8856" w:type="dxa"/>
            <w:gridSpan w:val="5"/>
          </w:tcPr>
          <w:p w14:paraId="76DCAAB9" w14:textId="212F9F46" w:rsidR="00E45D63" w:rsidRPr="00E45D63" w:rsidRDefault="00E45D63" w:rsidP="00E426D3">
            <w:pPr>
              <w:pStyle w:val="StandardWeb"/>
              <w:spacing w:before="0" w:beforeAutospacing="0" w:after="0" w:afterAutospacing="0"/>
              <w:ind w:right="34"/>
              <w:rPr>
                <w:rFonts w:ascii="Arial" w:hAnsi="Arial" w:cs="Arial"/>
                <w:sz w:val="22"/>
                <w:szCs w:val="22"/>
                <w:lang w:val="en-GB"/>
              </w:rPr>
            </w:pPr>
            <w:r w:rsidRPr="00E45D63">
              <w:rPr>
                <w:rFonts w:ascii="Arial" w:hAnsi="Arial" w:cs="Arial"/>
                <w:sz w:val="22"/>
                <w:szCs w:val="22"/>
                <w:lang w:val="en-GB"/>
              </w:rPr>
              <w:t xml:space="preserve">Assignment title: </w:t>
            </w:r>
            <w:r w:rsidR="00EF2122">
              <w:rPr>
                <w:rFonts w:ascii="Arial" w:hAnsi="Arial" w:cs="Arial"/>
                <w:sz w:val="22"/>
                <w:szCs w:val="22"/>
                <w:lang w:val="en-GB"/>
              </w:rPr>
              <w:t xml:space="preserve"> </w:t>
            </w:r>
            <w:r w:rsidR="00EF2122" w:rsidRPr="00EF2122">
              <w:rPr>
                <w:rFonts w:ascii="Arial" w:hAnsi="Arial" w:cs="Arial"/>
                <w:sz w:val="22"/>
                <w:szCs w:val="22"/>
                <w:lang w:val="en-GB"/>
              </w:rPr>
              <w:t>Compare and critically contrast Mircea Eliade and Emile Durkheim’s views of sacred space.</w:t>
            </w:r>
          </w:p>
          <w:p w14:paraId="0A8E738C" w14:textId="77777777" w:rsidR="00E45D63" w:rsidRPr="00E45D63" w:rsidRDefault="00E45D63" w:rsidP="00E426D3">
            <w:pPr>
              <w:pStyle w:val="StandardWeb"/>
              <w:spacing w:before="0" w:beforeAutospacing="0" w:after="0" w:afterAutospacing="0"/>
              <w:ind w:right="34"/>
              <w:rPr>
                <w:rFonts w:ascii="Arial" w:hAnsi="Arial" w:cs="Arial"/>
                <w:sz w:val="22"/>
                <w:szCs w:val="22"/>
                <w:lang w:val="en-GB"/>
              </w:rPr>
            </w:pPr>
          </w:p>
          <w:p w14:paraId="15F3817A" w14:textId="19545D67" w:rsidR="00E45D63" w:rsidRPr="00E45D63" w:rsidRDefault="00E45D63" w:rsidP="00E426D3">
            <w:pPr>
              <w:pStyle w:val="StandardWeb"/>
              <w:spacing w:before="0" w:beforeAutospacing="0" w:after="0" w:afterAutospacing="0"/>
              <w:ind w:right="34"/>
              <w:rPr>
                <w:rFonts w:ascii="Arial" w:hAnsi="Arial" w:cs="Arial"/>
                <w:sz w:val="22"/>
                <w:szCs w:val="22"/>
                <w:lang w:val="en-GB"/>
              </w:rPr>
            </w:pPr>
            <w:r w:rsidRPr="00E45D63">
              <w:rPr>
                <w:rFonts w:ascii="Arial" w:hAnsi="Arial" w:cs="Arial"/>
                <w:sz w:val="22"/>
                <w:szCs w:val="22"/>
                <w:lang w:val="en-GB"/>
              </w:rPr>
              <w:t xml:space="preserve">Assignment due date:  </w:t>
            </w:r>
            <w:r w:rsidR="00EF2122">
              <w:rPr>
                <w:rFonts w:ascii="Arial" w:hAnsi="Arial" w:cs="Arial"/>
                <w:sz w:val="22"/>
                <w:szCs w:val="22"/>
                <w:lang w:val="en-GB"/>
              </w:rPr>
              <w:t>13 November 2025</w:t>
            </w:r>
          </w:p>
        </w:tc>
      </w:tr>
      <w:tr w:rsidR="00E45D63" w:rsidRPr="00DC297C" w14:paraId="4BC67721" w14:textId="77777777" w:rsidTr="00E426D3">
        <w:trPr>
          <w:trHeight w:val="978"/>
        </w:trPr>
        <w:tc>
          <w:tcPr>
            <w:tcW w:w="8856" w:type="dxa"/>
            <w:gridSpan w:val="5"/>
            <w:tcBorders>
              <w:bottom w:val="single" w:sz="4" w:space="0" w:color="000000"/>
            </w:tcBorders>
          </w:tcPr>
          <w:p w14:paraId="51552DAF" w14:textId="7D04A3CA" w:rsidR="00E45D63" w:rsidRPr="00E45D63" w:rsidRDefault="00E45D63" w:rsidP="00E426D3">
            <w:pPr>
              <w:rPr>
                <w:rFonts w:ascii="Arial" w:hAnsi="Arial" w:cs="Arial"/>
                <w:lang w:val="en-GB"/>
              </w:rPr>
            </w:pPr>
            <w:r w:rsidRPr="00E45D63">
              <w:rPr>
                <w:rFonts w:ascii="Arial" w:hAnsi="Arial" w:cs="Arial"/>
                <w:lang w:val="en-GB"/>
              </w:rPr>
              <w:t>This assignment is for the       1</w:t>
            </w:r>
            <w:r w:rsidRPr="00E45D63">
              <w:rPr>
                <w:rFonts w:ascii="Arial" w:hAnsi="Arial" w:cs="Arial"/>
                <w:vertAlign w:val="superscript"/>
                <w:lang w:val="en-GB"/>
              </w:rPr>
              <w:t xml:space="preserve">st  </w:t>
            </w:r>
            <w:r w:rsidRPr="00230F35">
              <w:rPr>
                <w:rFonts w:ascii="Arial" w:hAnsi="Arial" w:cs="Arial"/>
              </w:rPr>
              <w:fldChar w:fldCharType="begin">
                <w:ffData>
                  <w:name w:val="Check14"/>
                  <w:enabled/>
                  <w:calcOnExit w:val="0"/>
                  <w:checkBox>
                    <w:sizeAuto/>
                    <w:default w:val="0"/>
                  </w:checkBox>
                </w:ffData>
              </w:fldChar>
            </w:r>
            <w:r w:rsidRPr="00E45D63">
              <w:rPr>
                <w:rFonts w:ascii="Arial" w:hAnsi="Arial" w:cs="Arial"/>
                <w:lang w:val="en-GB"/>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r w:rsidRPr="00E45D63">
              <w:rPr>
                <w:rFonts w:ascii="Arial" w:hAnsi="Arial" w:cs="Arial"/>
                <w:lang w:val="en-GB"/>
              </w:rPr>
              <w:t xml:space="preserve"> 2</w:t>
            </w:r>
            <w:r w:rsidRPr="00E45D63">
              <w:rPr>
                <w:rFonts w:ascii="Arial" w:hAnsi="Arial" w:cs="Arial"/>
                <w:vertAlign w:val="superscript"/>
                <w:lang w:val="en-GB"/>
              </w:rPr>
              <w:t>nd</w:t>
            </w:r>
            <w:r w:rsidRPr="00E45D63">
              <w:rPr>
                <w:rFonts w:ascii="Arial" w:hAnsi="Arial" w:cs="Arial"/>
                <w:lang w:val="en-GB"/>
              </w:rPr>
              <w:t xml:space="preserve">   </w:t>
            </w:r>
            <w:r w:rsidRPr="00230F35">
              <w:rPr>
                <w:rFonts w:ascii="Arial" w:hAnsi="Arial" w:cs="Arial"/>
              </w:rPr>
              <w:fldChar w:fldCharType="begin">
                <w:ffData>
                  <w:name w:val="Check15"/>
                  <w:enabled/>
                  <w:calcOnExit w:val="0"/>
                  <w:checkBox>
                    <w:sizeAuto/>
                    <w:default w:val="0"/>
                  </w:checkBox>
                </w:ffData>
              </w:fldChar>
            </w:r>
            <w:r w:rsidRPr="00E45D63">
              <w:rPr>
                <w:rFonts w:ascii="Arial" w:hAnsi="Arial" w:cs="Arial"/>
                <w:lang w:val="en-GB"/>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r w:rsidRPr="00E45D63">
              <w:rPr>
                <w:rFonts w:ascii="Arial" w:hAnsi="Arial" w:cs="Arial"/>
                <w:lang w:val="en-GB"/>
              </w:rPr>
              <w:t xml:space="preserve">    3</w:t>
            </w:r>
            <w:r w:rsidRPr="00E45D63">
              <w:rPr>
                <w:rFonts w:ascii="Arial" w:hAnsi="Arial" w:cs="Arial"/>
                <w:vertAlign w:val="superscript"/>
                <w:lang w:val="en-GB"/>
              </w:rPr>
              <w:t>rd</w:t>
            </w:r>
            <w:r w:rsidRPr="00E45D63">
              <w:rPr>
                <w:rFonts w:ascii="Arial" w:hAnsi="Arial" w:cs="Arial"/>
                <w:lang w:val="en-GB"/>
              </w:rPr>
              <w:t xml:space="preserve">  </w:t>
            </w:r>
            <w:r w:rsidR="00EF2122">
              <w:rPr>
                <w:rFonts w:ascii="Arial" w:hAnsi="Arial" w:cs="Arial"/>
                <w:lang w:val="en-GB"/>
              </w:rPr>
              <w:t>X</w:t>
            </w:r>
            <w:r w:rsidRPr="00E45D63">
              <w:rPr>
                <w:rFonts w:ascii="Arial" w:hAnsi="Arial" w:cs="Arial"/>
                <w:lang w:val="en-GB"/>
              </w:rPr>
              <w:t xml:space="preserve">      4</w:t>
            </w:r>
            <w:r w:rsidRPr="00E45D63">
              <w:rPr>
                <w:rFonts w:ascii="Arial" w:hAnsi="Arial" w:cs="Arial"/>
                <w:vertAlign w:val="superscript"/>
                <w:lang w:val="en-GB"/>
              </w:rPr>
              <w:t>th</w:t>
            </w:r>
            <w:r w:rsidRPr="00E45D63">
              <w:rPr>
                <w:rFonts w:ascii="Arial" w:hAnsi="Arial" w:cs="Arial"/>
                <w:lang w:val="en-GB"/>
              </w:rPr>
              <w:t xml:space="preserve"> </w:t>
            </w:r>
            <w:r w:rsidRPr="00230F35">
              <w:rPr>
                <w:rFonts w:ascii="Arial" w:hAnsi="Arial" w:cs="Arial"/>
              </w:rPr>
              <w:fldChar w:fldCharType="begin">
                <w:ffData>
                  <w:name w:val="Check16"/>
                  <w:enabled/>
                  <w:calcOnExit w:val="0"/>
                  <w:checkBox>
                    <w:sizeAuto/>
                    <w:default w:val="0"/>
                  </w:checkBox>
                </w:ffData>
              </w:fldChar>
            </w:r>
            <w:bookmarkStart w:id="0" w:name="Check16"/>
            <w:r w:rsidRPr="00E45D63">
              <w:rPr>
                <w:rFonts w:ascii="Arial" w:hAnsi="Arial" w:cs="Arial"/>
                <w:lang w:val="en-GB"/>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0"/>
            <w:r w:rsidRPr="00E45D63">
              <w:rPr>
                <w:rFonts w:ascii="Arial" w:hAnsi="Arial" w:cs="Arial"/>
                <w:lang w:val="en-GB"/>
              </w:rPr>
              <w:t xml:space="preserve">      5</w:t>
            </w:r>
            <w:r w:rsidRPr="00E45D63">
              <w:rPr>
                <w:rFonts w:ascii="Arial" w:hAnsi="Arial" w:cs="Arial"/>
                <w:vertAlign w:val="superscript"/>
                <w:lang w:val="en-GB"/>
              </w:rPr>
              <w:t>th</w:t>
            </w:r>
            <w:r w:rsidRPr="00E45D63">
              <w:rPr>
                <w:rFonts w:ascii="Arial" w:hAnsi="Arial" w:cs="Arial"/>
                <w:lang w:val="en-GB"/>
              </w:rPr>
              <w:t xml:space="preserve"> </w:t>
            </w:r>
            <w:r w:rsidRPr="00230F35">
              <w:rPr>
                <w:rFonts w:ascii="Arial" w:hAnsi="Arial" w:cs="Arial"/>
              </w:rPr>
              <w:fldChar w:fldCharType="begin">
                <w:ffData>
                  <w:name w:val="Check17"/>
                  <w:enabled/>
                  <w:calcOnExit w:val="0"/>
                  <w:checkBox>
                    <w:sizeAuto/>
                    <w:default w:val="0"/>
                  </w:checkBox>
                </w:ffData>
              </w:fldChar>
            </w:r>
            <w:bookmarkStart w:id="1" w:name="Check17"/>
            <w:r w:rsidRPr="00E45D63">
              <w:rPr>
                <w:rFonts w:ascii="Arial" w:hAnsi="Arial" w:cs="Arial"/>
                <w:lang w:val="en-GB"/>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1"/>
            <w:r w:rsidRPr="00E45D63">
              <w:rPr>
                <w:rFonts w:ascii="Arial" w:hAnsi="Arial" w:cs="Arial"/>
                <w:lang w:val="en-GB"/>
              </w:rPr>
              <w:t xml:space="preserve">      6</w:t>
            </w:r>
            <w:r w:rsidRPr="00E45D63">
              <w:rPr>
                <w:rFonts w:ascii="Arial" w:hAnsi="Arial" w:cs="Arial"/>
                <w:vertAlign w:val="superscript"/>
                <w:lang w:val="en-GB"/>
              </w:rPr>
              <w:t>th</w:t>
            </w:r>
            <w:r w:rsidRPr="00E45D63">
              <w:rPr>
                <w:rFonts w:ascii="Arial" w:hAnsi="Arial" w:cs="Arial"/>
                <w:lang w:val="en-GB"/>
              </w:rPr>
              <w:t xml:space="preserve"> </w:t>
            </w:r>
            <w:r w:rsidRPr="00230F35">
              <w:rPr>
                <w:rFonts w:ascii="Arial" w:hAnsi="Arial" w:cs="Arial"/>
              </w:rPr>
              <w:fldChar w:fldCharType="begin">
                <w:ffData>
                  <w:name w:val="Check18"/>
                  <w:enabled/>
                  <w:calcOnExit w:val="0"/>
                  <w:checkBox>
                    <w:sizeAuto/>
                    <w:default w:val="0"/>
                  </w:checkBox>
                </w:ffData>
              </w:fldChar>
            </w:r>
            <w:bookmarkStart w:id="2" w:name="Check18"/>
            <w:r w:rsidRPr="00E45D63">
              <w:rPr>
                <w:rFonts w:ascii="Arial" w:hAnsi="Arial" w:cs="Arial"/>
                <w:lang w:val="en-GB"/>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2"/>
            <w:r w:rsidRPr="00E45D63">
              <w:rPr>
                <w:rFonts w:ascii="Arial" w:hAnsi="Arial" w:cs="Arial"/>
                <w:b/>
                <w:lang w:val="en-GB"/>
              </w:rPr>
              <w:t xml:space="preserve">   </w:t>
            </w:r>
            <w:r w:rsidRPr="00E45D63">
              <w:rPr>
                <w:rFonts w:ascii="Arial" w:hAnsi="Arial" w:cs="Arial"/>
                <w:lang w:val="en-GB"/>
              </w:rPr>
              <w:t>module of the degree</w:t>
            </w:r>
          </w:p>
        </w:tc>
      </w:tr>
      <w:tr w:rsidR="00E45D63" w:rsidRPr="00230F35" w14:paraId="58FEF41E" w14:textId="77777777" w:rsidTr="00E426D3">
        <w:trPr>
          <w:trHeight w:val="978"/>
        </w:trPr>
        <w:tc>
          <w:tcPr>
            <w:tcW w:w="8856" w:type="dxa"/>
            <w:gridSpan w:val="5"/>
            <w:shd w:val="clear" w:color="auto" w:fill="D9D9D9"/>
          </w:tcPr>
          <w:p w14:paraId="17D4FDB0" w14:textId="77777777" w:rsidR="00E45D63" w:rsidRPr="00E45D63" w:rsidRDefault="00E45D63" w:rsidP="00E426D3">
            <w:pPr>
              <w:pStyle w:val="StandardWeb"/>
              <w:spacing w:before="0" w:beforeAutospacing="0" w:after="0" w:afterAutospacing="0"/>
              <w:ind w:right="34"/>
              <w:rPr>
                <w:rFonts w:ascii="Arial" w:hAnsi="Arial" w:cs="Arial"/>
                <w:sz w:val="22"/>
                <w:szCs w:val="22"/>
                <w:lang w:val="en-GB"/>
              </w:rPr>
            </w:pPr>
            <w:r w:rsidRPr="00E45D63">
              <w:rPr>
                <w:rFonts w:ascii="Arial" w:hAnsi="Arial" w:cs="Arial"/>
                <w:sz w:val="22"/>
                <w:szCs w:val="22"/>
                <w:lang w:val="en-GB"/>
              </w:rPr>
              <w:t>Plagiarism declaration</w:t>
            </w:r>
          </w:p>
          <w:p w14:paraId="61151477" w14:textId="77777777" w:rsidR="00E45D63" w:rsidRPr="00E45D63" w:rsidRDefault="00E45D63" w:rsidP="00E426D3">
            <w:pPr>
              <w:pStyle w:val="StandardWeb"/>
              <w:spacing w:before="0" w:beforeAutospacing="0" w:after="0" w:afterAutospacing="0"/>
              <w:ind w:right="34"/>
              <w:rPr>
                <w:rFonts w:ascii="Arial" w:hAnsi="Arial" w:cs="Arial"/>
                <w:sz w:val="22"/>
                <w:szCs w:val="22"/>
                <w:lang w:val="en-GB"/>
              </w:rPr>
            </w:pPr>
            <w:r w:rsidRPr="00E45D63">
              <w:rPr>
                <w:rFonts w:ascii="Arial" w:hAnsi="Arial" w:cs="Arial"/>
                <w:sz w:val="22"/>
                <w:szCs w:val="22"/>
                <w:lang w:val="en-GB"/>
              </w:rPr>
              <w:t>I confirm that this is my original work and that I have adhered to the University policy on plagiarism.</w:t>
            </w:r>
          </w:p>
          <w:p w14:paraId="00BEF6AC" w14:textId="77777777" w:rsidR="00E45D63" w:rsidRPr="00E45D63" w:rsidRDefault="00E45D63" w:rsidP="00E426D3">
            <w:pPr>
              <w:pStyle w:val="StandardWeb"/>
              <w:spacing w:before="0" w:beforeAutospacing="0" w:after="0" w:afterAutospacing="0"/>
              <w:ind w:right="34"/>
              <w:rPr>
                <w:rFonts w:ascii="Arial" w:hAnsi="Arial" w:cs="Arial"/>
                <w:sz w:val="22"/>
                <w:szCs w:val="22"/>
                <w:lang w:val="en-GB"/>
              </w:rPr>
            </w:pPr>
          </w:p>
          <w:p w14:paraId="3909C501" w14:textId="77777777" w:rsidR="00E45D63" w:rsidRPr="00E45D63" w:rsidRDefault="00E45D63" w:rsidP="00E426D3">
            <w:pPr>
              <w:pStyle w:val="StandardWeb"/>
              <w:spacing w:before="0" w:beforeAutospacing="0" w:after="0" w:afterAutospacing="0"/>
              <w:ind w:right="34"/>
              <w:rPr>
                <w:rFonts w:ascii="Arial" w:hAnsi="Arial" w:cs="Arial"/>
                <w:sz w:val="22"/>
                <w:szCs w:val="22"/>
                <w:lang w:val="en-GB"/>
              </w:rPr>
            </w:pPr>
            <w:r w:rsidRPr="00E45D63">
              <w:rPr>
                <w:rFonts w:ascii="Arial" w:hAnsi="Arial" w:cs="Arial"/>
                <w:sz w:val="22"/>
                <w:szCs w:val="22"/>
                <w:lang w:val="en-GB"/>
              </w:rPr>
              <w:t>Artificial Intelligence (AI) declaration</w:t>
            </w:r>
          </w:p>
          <w:p w14:paraId="46D78AC2" w14:textId="77777777" w:rsidR="00E45D63" w:rsidRPr="00E45D63" w:rsidRDefault="00E45D63" w:rsidP="00E426D3">
            <w:pPr>
              <w:pStyle w:val="StandardWeb"/>
              <w:spacing w:before="0" w:beforeAutospacing="0" w:after="0" w:afterAutospacing="0"/>
              <w:ind w:right="34"/>
              <w:rPr>
                <w:rFonts w:ascii="Arial" w:hAnsi="Arial" w:cs="Arial"/>
                <w:color w:val="000000" w:themeColor="text1"/>
                <w:sz w:val="22"/>
                <w:szCs w:val="22"/>
                <w:lang w:val="en-GB"/>
              </w:rPr>
            </w:pPr>
            <w:r w:rsidRPr="00E45D63">
              <w:rPr>
                <w:rFonts w:ascii="Arial" w:hAnsi="Arial" w:cs="Arial"/>
                <w:sz w:val="22"/>
                <w:szCs w:val="22"/>
                <w:lang w:val="en-GB"/>
              </w:rPr>
              <w:t xml:space="preserve">For this assessment, you can use Generative AI to check your own text/creation for grammatical and syntactical mistakes, </w:t>
            </w:r>
            <w:r w:rsidRPr="00E45D63">
              <w:rPr>
                <w:rFonts w:ascii="Arial" w:hAnsi="Arial" w:cs="Arial"/>
                <w:color w:val="000000" w:themeColor="text1"/>
                <w:sz w:val="22"/>
                <w:szCs w:val="22"/>
                <w:lang w:val="en-GB"/>
              </w:rPr>
              <w:t>including rephrasing of your own work within specific standards.*</w:t>
            </w:r>
          </w:p>
          <w:p w14:paraId="55F32026" w14:textId="77777777" w:rsidR="00E45D63" w:rsidRPr="00E45D63" w:rsidRDefault="00E45D63" w:rsidP="00E426D3">
            <w:pPr>
              <w:pStyle w:val="StandardWeb"/>
              <w:spacing w:before="0" w:beforeAutospacing="0" w:after="0" w:afterAutospacing="0"/>
              <w:ind w:right="34"/>
              <w:rPr>
                <w:rFonts w:ascii="Arial" w:hAnsi="Arial" w:cs="Arial"/>
                <w:color w:val="000000" w:themeColor="text1"/>
                <w:sz w:val="22"/>
                <w:szCs w:val="22"/>
                <w:lang w:val="en-GB"/>
              </w:rPr>
            </w:pPr>
          </w:p>
          <w:p w14:paraId="6B252C51" w14:textId="77777777" w:rsidR="00E45D63" w:rsidRPr="00E45D63" w:rsidRDefault="00E45D63" w:rsidP="00E426D3">
            <w:pPr>
              <w:pStyle w:val="StandardWeb"/>
              <w:spacing w:before="0" w:beforeAutospacing="0" w:after="0" w:afterAutospacing="0"/>
              <w:ind w:right="34"/>
              <w:rPr>
                <w:color w:val="000000" w:themeColor="text1"/>
                <w:sz w:val="22"/>
                <w:szCs w:val="22"/>
                <w:lang w:val="en-GB"/>
              </w:rPr>
            </w:pPr>
            <w:r w:rsidRPr="00E45D63">
              <w:rPr>
                <w:color w:val="000000" w:themeColor="text1"/>
                <w:sz w:val="22"/>
                <w:szCs w:val="22"/>
                <w:lang w:val="en-GB"/>
              </w:rPr>
              <w:t>*See separate guidance in the MA Writing Guidelines</w:t>
            </w:r>
          </w:p>
          <w:p w14:paraId="0C220974" w14:textId="77777777" w:rsidR="00E45D63" w:rsidRPr="00E45D63" w:rsidRDefault="00E45D63" w:rsidP="00E426D3">
            <w:pPr>
              <w:pStyle w:val="StandardWeb"/>
              <w:spacing w:before="0" w:beforeAutospacing="0" w:after="0" w:afterAutospacing="0"/>
              <w:ind w:right="34"/>
              <w:rPr>
                <w:rFonts w:ascii="Arial" w:hAnsi="Arial" w:cs="Arial"/>
                <w:sz w:val="22"/>
                <w:szCs w:val="22"/>
                <w:lang w:val="en-GB"/>
              </w:rPr>
            </w:pPr>
          </w:p>
          <w:p w14:paraId="10D15B85" w14:textId="77777777" w:rsidR="00E45D63" w:rsidRPr="00E45D63" w:rsidRDefault="00E45D63" w:rsidP="00E426D3">
            <w:pPr>
              <w:pStyle w:val="StandardWeb"/>
              <w:spacing w:before="0" w:beforeAutospacing="0" w:after="0" w:afterAutospacing="0"/>
              <w:ind w:right="34"/>
              <w:rPr>
                <w:rFonts w:ascii="Arial" w:hAnsi="Arial" w:cs="Arial"/>
                <w:sz w:val="22"/>
                <w:szCs w:val="22"/>
                <w:lang w:val="en-GB"/>
              </w:rPr>
            </w:pPr>
            <w:r w:rsidRPr="00E45D63">
              <w:rPr>
                <w:rFonts w:ascii="Arial" w:hAnsi="Arial" w:cs="Arial"/>
                <w:sz w:val="22"/>
                <w:szCs w:val="22"/>
                <w:lang w:val="en-GB"/>
              </w:rPr>
              <w:t xml:space="preserve">I confirm that I have not used any AI tools in the research and creation of this assignment, </w:t>
            </w:r>
            <w:r w:rsidRPr="00E45D63">
              <w:rPr>
                <w:rFonts w:ascii="Arial" w:hAnsi="Arial" w:cs="Arial"/>
                <w:color w:val="000000" w:themeColor="text1"/>
                <w:sz w:val="22"/>
                <w:szCs w:val="22"/>
                <w:lang w:val="en-GB"/>
              </w:rPr>
              <w:t>except as permitted above.</w:t>
            </w:r>
            <w:r w:rsidRPr="00E45D63">
              <w:rPr>
                <w:rFonts w:ascii="Arial" w:hAnsi="Arial" w:cs="Arial"/>
                <w:color w:val="EE0000"/>
                <w:sz w:val="22"/>
                <w:szCs w:val="22"/>
                <w:lang w:val="en-GB"/>
              </w:rPr>
              <w:t xml:space="preserve"> </w:t>
            </w:r>
            <w:r w:rsidRPr="00E45D63">
              <w:rPr>
                <w:rFonts w:ascii="Arial" w:hAnsi="Arial" w:cs="Arial"/>
                <w:sz w:val="22"/>
                <w:szCs w:val="22"/>
                <w:lang w:val="en-GB"/>
              </w:rPr>
              <w:t>I confirm that I have not presented any AI generated materials as my own work. I confirm I have copies of my drafts, notes, and other resources I used, which I may be asked to provide in evidence.</w:t>
            </w:r>
          </w:p>
          <w:p w14:paraId="4AB0AF85" w14:textId="77777777" w:rsidR="00E45D63" w:rsidRPr="00E45D63" w:rsidRDefault="00E45D63" w:rsidP="00E426D3">
            <w:pPr>
              <w:pStyle w:val="StandardWeb"/>
              <w:spacing w:before="0" w:beforeAutospacing="0" w:after="0" w:afterAutospacing="0"/>
              <w:ind w:right="34"/>
              <w:rPr>
                <w:rFonts w:ascii="Arial" w:hAnsi="Arial" w:cs="Arial"/>
                <w:sz w:val="22"/>
                <w:szCs w:val="22"/>
                <w:lang w:val="en-GB"/>
              </w:rPr>
            </w:pPr>
          </w:p>
          <w:p w14:paraId="774A4F9D" w14:textId="22D91E30" w:rsidR="00E45D63" w:rsidRDefault="00E45D63" w:rsidP="00E426D3">
            <w:pPr>
              <w:pStyle w:val="StandardWeb"/>
              <w:spacing w:before="0" w:beforeAutospacing="0" w:after="0" w:afterAutospacing="0"/>
              <w:ind w:right="34"/>
              <w:rPr>
                <w:rFonts w:ascii="Arial" w:hAnsi="Arial" w:cs="Arial"/>
                <w:sz w:val="22"/>
                <w:szCs w:val="22"/>
              </w:rPr>
            </w:pPr>
            <w:r w:rsidRPr="00B728EA">
              <w:rPr>
                <w:rFonts w:ascii="Arial" w:hAnsi="Arial" w:cs="Arial"/>
                <w:sz w:val="22"/>
                <w:szCs w:val="22"/>
              </w:rPr>
              <w:t>Signed:</w:t>
            </w:r>
            <w:r>
              <w:rPr>
                <w:rFonts w:ascii="Arial" w:hAnsi="Arial" w:cs="Arial"/>
                <w:sz w:val="22"/>
                <w:szCs w:val="22"/>
              </w:rPr>
              <w:t xml:space="preserve"> </w:t>
            </w:r>
            <w:r w:rsidR="00BB27F4">
              <w:rPr>
                <w:rFonts w:ascii="Arial" w:hAnsi="Arial" w:cs="Arial"/>
                <w:sz w:val="22"/>
                <w:szCs w:val="22"/>
              </w:rPr>
              <w:t>Andrea Hofmann</w:t>
            </w:r>
          </w:p>
          <w:p w14:paraId="78DD331E" w14:textId="77777777" w:rsidR="00E45D63" w:rsidRPr="00230F35" w:rsidRDefault="00E45D63" w:rsidP="00E426D3">
            <w:pPr>
              <w:pStyle w:val="StandardWeb"/>
              <w:spacing w:before="0" w:beforeAutospacing="0" w:after="0" w:afterAutospacing="0"/>
              <w:ind w:right="34"/>
              <w:rPr>
                <w:rFonts w:ascii="Arial" w:hAnsi="Arial" w:cs="Arial"/>
                <w:sz w:val="22"/>
                <w:szCs w:val="22"/>
              </w:rPr>
            </w:pPr>
          </w:p>
        </w:tc>
      </w:tr>
      <w:tr w:rsidR="00E45D63" w:rsidRPr="00DC297C" w14:paraId="334701A4" w14:textId="77777777" w:rsidTr="00E426D3">
        <w:trPr>
          <w:trHeight w:val="3972"/>
        </w:trPr>
        <w:tc>
          <w:tcPr>
            <w:tcW w:w="8856" w:type="dxa"/>
            <w:gridSpan w:val="5"/>
          </w:tcPr>
          <w:p w14:paraId="47E8043B" w14:textId="77777777" w:rsidR="00E45D63" w:rsidRDefault="00E45D63" w:rsidP="00E426D3">
            <w:pPr>
              <w:rPr>
                <w:rFonts w:ascii="Arial" w:hAnsi="Arial"/>
                <w:b/>
              </w:rPr>
            </w:pPr>
          </w:p>
          <w:p w14:paraId="2AF72367" w14:textId="77777777" w:rsidR="00E45D63" w:rsidRPr="00116CE6" w:rsidRDefault="00E45D63" w:rsidP="00E426D3">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E45D63" w:rsidRPr="00116CE6" w14:paraId="5A23DEB2" w14:textId="77777777" w:rsidTr="00E426D3">
              <w:tc>
                <w:tcPr>
                  <w:tcW w:w="6970" w:type="dxa"/>
                </w:tcPr>
                <w:p w14:paraId="6615E355" w14:textId="77777777" w:rsidR="00E45D63" w:rsidRPr="00116CE6" w:rsidRDefault="00E45D63" w:rsidP="00E426D3">
                  <w:pPr>
                    <w:rPr>
                      <w:rFonts w:ascii="Arial" w:hAnsi="Arial"/>
                      <w:sz w:val="20"/>
                      <w:szCs w:val="20"/>
                    </w:rPr>
                  </w:pPr>
                </w:p>
                <w:p w14:paraId="70BF2791" w14:textId="77777777" w:rsidR="00E45D63" w:rsidRPr="00116CE6" w:rsidRDefault="00E45D63" w:rsidP="00E426D3">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705DD0E5" w14:textId="77777777" w:rsidR="00E45D63" w:rsidRPr="00116CE6" w:rsidRDefault="00E45D63" w:rsidP="00E426D3">
                  <w:pPr>
                    <w:rPr>
                      <w:rFonts w:ascii="Arial" w:hAnsi="Arial"/>
                      <w:sz w:val="20"/>
                      <w:szCs w:val="20"/>
                    </w:rPr>
                  </w:pPr>
                </w:p>
              </w:tc>
            </w:tr>
            <w:tr w:rsidR="00E45D63" w:rsidRPr="00116CE6" w14:paraId="131CFC14" w14:textId="77777777" w:rsidTr="00E426D3">
              <w:tc>
                <w:tcPr>
                  <w:tcW w:w="6970" w:type="dxa"/>
                </w:tcPr>
                <w:p w14:paraId="2D233618" w14:textId="77777777" w:rsidR="00E45D63" w:rsidRPr="00116CE6" w:rsidRDefault="00E45D63" w:rsidP="00E426D3">
                  <w:pPr>
                    <w:rPr>
                      <w:rFonts w:ascii="Arial" w:hAnsi="Arial"/>
                      <w:sz w:val="20"/>
                      <w:szCs w:val="20"/>
                    </w:rPr>
                  </w:pPr>
                </w:p>
                <w:p w14:paraId="3ADF11FB" w14:textId="77777777" w:rsidR="00E45D63" w:rsidRPr="00116CE6" w:rsidRDefault="00E45D63" w:rsidP="00E426D3">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1AC1AD2B" w14:textId="77777777" w:rsidR="00E45D63" w:rsidRPr="00116CE6" w:rsidRDefault="00E45D63" w:rsidP="00E426D3">
                  <w:pPr>
                    <w:rPr>
                      <w:rFonts w:ascii="Arial" w:hAnsi="Arial"/>
                      <w:sz w:val="20"/>
                      <w:szCs w:val="20"/>
                    </w:rPr>
                  </w:pPr>
                </w:p>
              </w:tc>
            </w:tr>
            <w:tr w:rsidR="00E45D63" w:rsidRPr="00DC297C" w14:paraId="59E51925" w14:textId="77777777" w:rsidTr="00E426D3">
              <w:tc>
                <w:tcPr>
                  <w:tcW w:w="6970" w:type="dxa"/>
                </w:tcPr>
                <w:p w14:paraId="59FF3A3F" w14:textId="77777777" w:rsidR="00E45D63" w:rsidRPr="00E45D63" w:rsidRDefault="00E45D63" w:rsidP="00E426D3">
                  <w:pPr>
                    <w:rPr>
                      <w:rFonts w:ascii="Arial" w:hAnsi="Arial"/>
                      <w:sz w:val="20"/>
                      <w:szCs w:val="20"/>
                      <w:lang w:val="en-GB"/>
                    </w:rPr>
                  </w:pPr>
                </w:p>
                <w:p w14:paraId="2F6A5875" w14:textId="77777777" w:rsidR="00E45D63" w:rsidRPr="00E45D63" w:rsidRDefault="00E45D63" w:rsidP="00E426D3">
                  <w:pPr>
                    <w:rPr>
                      <w:rFonts w:ascii="Arial" w:hAnsi="Arial"/>
                      <w:sz w:val="20"/>
                      <w:szCs w:val="20"/>
                      <w:lang w:val="en-GB"/>
                    </w:rPr>
                  </w:pPr>
                  <w:r w:rsidRPr="00E45D63">
                    <w:rPr>
                      <w:rFonts w:ascii="Arial" w:hAnsi="Arial"/>
                      <w:sz w:val="20"/>
                      <w:szCs w:val="20"/>
                      <w:lang w:val="en-GB"/>
                    </w:rPr>
                    <w:t>External Examiner’s mark (if relevant)</w:t>
                  </w:r>
                </w:p>
              </w:tc>
              <w:tc>
                <w:tcPr>
                  <w:tcW w:w="1660" w:type="dxa"/>
                </w:tcPr>
                <w:p w14:paraId="1DD0449E" w14:textId="77777777" w:rsidR="00E45D63" w:rsidRPr="00E45D63" w:rsidRDefault="00E45D63" w:rsidP="00E426D3">
                  <w:pPr>
                    <w:rPr>
                      <w:rFonts w:ascii="Arial" w:hAnsi="Arial"/>
                      <w:sz w:val="20"/>
                      <w:szCs w:val="20"/>
                      <w:lang w:val="en-GB"/>
                    </w:rPr>
                  </w:pPr>
                </w:p>
              </w:tc>
            </w:tr>
            <w:tr w:rsidR="00E45D63" w:rsidRPr="00DC297C" w14:paraId="00C9AE0D" w14:textId="77777777" w:rsidTr="00E426D3">
              <w:tc>
                <w:tcPr>
                  <w:tcW w:w="6970" w:type="dxa"/>
                </w:tcPr>
                <w:p w14:paraId="45027FAD" w14:textId="77777777" w:rsidR="00E45D63" w:rsidRPr="00E45D63" w:rsidRDefault="00E45D63" w:rsidP="00E426D3">
                  <w:pPr>
                    <w:rPr>
                      <w:rFonts w:ascii="Arial" w:hAnsi="Arial"/>
                      <w:sz w:val="20"/>
                      <w:szCs w:val="20"/>
                      <w:lang w:val="en-GB"/>
                    </w:rPr>
                  </w:pPr>
                </w:p>
                <w:p w14:paraId="0BE8E485" w14:textId="77777777" w:rsidR="00E45D63" w:rsidRPr="00E45D63" w:rsidRDefault="00E45D63" w:rsidP="00E426D3">
                  <w:pPr>
                    <w:rPr>
                      <w:rFonts w:ascii="Arial" w:hAnsi="Arial"/>
                      <w:b/>
                      <w:sz w:val="20"/>
                      <w:szCs w:val="20"/>
                      <w:lang w:val="en-GB"/>
                    </w:rPr>
                  </w:pPr>
                  <w:r w:rsidRPr="00E45D63">
                    <w:rPr>
                      <w:rFonts w:ascii="Arial" w:hAnsi="Arial"/>
                      <w:b/>
                      <w:sz w:val="20"/>
                      <w:szCs w:val="20"/>
                      <w:lang w:val="en-GB"/>
                    </w:rPr>
                    <w:t>Final Mark</w:t>
                  </w:r>
                </w:p>
                <w:p w14:paraId="00937F89" w14:textId="77777777" w:rsidR="00E45D63" w:rsidRPr="00E45D63" w:rsidRDefault="00E45D63" w:rsidP="00E426D3">
                  <w:pPr>
                    <w:rPr>
                      <w:rFonts w:ascii="Arial" w:hAnsi="Arial"/>
                      <w:sz w:val="20"/>
                      <w:szCs w:val="20"/>
                      <w:lang w:val="en-GB"/>
                    </w:rPr>
                  </w:pPr>
                </w:p>
              </w:tc>
              <w:tc>
                <w:tcPr>
                  <w:tcW w:w="1660" w:type="dxa"/>
                </w:tcPr>
                <w:p w14:paraId="35906D9B" w14:textId="77777777" w:rsidR="00E45D63" w:rsidRPr="00E45D63" w:rsidRDefault="00E45D63" w:rsidP="00E426D3">
                  <w:pPr>
                    <w:rPr>
                      <w:rFonts w:ascii="Arial" w:hAnsi="Arial"/>
                      <w:sz w:val="20"/>
                      <w:szCs w:val="20"/>
                      <w:lang w:val="en-GB"/>
                    </w:rPr>
                  </w:pPr>
                </w:p>
              </w:tc>
            </w:tr>
          </w:tbl>
          <w:p w14:paraId="5426E663" w14:textId="77777777" w:rsidR="00E45D63" w:rsidRPr="00E45D63" w:rsidRDefault="00E45D63" w:rsidP="00E426D3">
            <w:pPr>
              <w:pStyle w:val="StandardWeb"/>
              <w:spacing w:before="0" w:beforeAutospacing="0" w:after="0" w:afterAutospacing="0"/>
              <w:ind w:left="142" w:right="34"/>
              <w:rPr>
                <w:rFonts w:ascii="Arial" w:hAnsi="Arial" w:cs="Arial"/>
                <w:b/>
                <w:sz w:val="22"/>
                <w:szCs w:val="22"/>
                <w:lang w:val="en-GB"/>
              </w:rPr>
            </w:pPr>
          </w:p>
          <w:p w14:paraId="7361509C" w14:textId="77777777" w:rsidR="00E45D63" w:rsidRPr="00E45D63" w:rsidRDefault="00E45D63" w:rsidP="00E426D3">
            <w:pPr>
              <w:pStyle w:val="StandardWeb"/>
              <w:spacing w:before="0" w:beforeAutospacing="0" w:after="0" w:afterAutospacing="0"/>
              <w:ind w:left="142" w:right="34"/>
              <w:rPr>
                <w:rFonts w:ascii="Arial" w:hAnsi="Arial" w:cs="Arial"/>
                <w:sz w:val="22"/>
                <w:szCs w:val="22"/>
                <w:lang w:val="en-GB"/>
              </w:rPr>
            </w:pPr>
            <w:r w:rsidRPr="00E45D63">
              <w:rPr>
                <w:rFonts w:ascii="Arial" w:hAnsi="Arial" w:cs="Arial"/>
                <w:b/>
                <w:sz w:val="22"/>
                <w:szCs w:val="22"/>
                <w:lang w:val="en-GB"/>
              </w:rPr>
              <w:t>NB.</w:t>
            </w:r>
            <w:r w:rsidRPr="00E45D63">
              <w:rPr>
                <w:rFonts w:ascii="Arial" w:hAnsi="Arial" w:cs="Arial"/>
                <w:sz w:val="22"/>
                <w:szCs w:val="22"/>
                <w:lang w:val="en-GB"/>
              </w:rPr>
              <w:t xml:space="preserve">  All marks are provisional until confirmed by the Final Examination Board.</w:t>
            </w:r>
          </w:p>
          <w:p w14:paraId="775E6482" w14:textId="77777777" w:rsidR="00E45D63" w:rsidRPr="00E45D63" w:rsidRDefault="00E45D63" w:rsidP="00E426D3">
            <w:pPr>
              <w:pStyle w:val="StandardWeb"/>
              <w:spacing w:before="0" w:beforeAutospacing="0" w:after="0" w:afterAutospacing="0"/>
              <w:rPr>
                <w:rFonts w:ascii="Arial" w:hAnsi="Arial" w:cs="Arial"/>
                <w:b/>
                <w:sz w:val="22"/>
                <w:szCs w:val="22"/>
                <w:lang w:val="en-GB"/>
              </w:rPr>
            </w:pPr>
          </w:p>
          <w:p w14:paraId="7B42C888" w14:textId="77777777" w:rsidR="00E45D63" w:rsidRPr="00E45D63" w:rsidRDefault="00E45D63" w:rsidP="00E426D3">
            <w:pPr>
              <w:pStyle w:val="StandardWeb"/>
              <w:spacing w:before="0" w:beforeAutospacing="0" w:after="0" w:afterAutospacing="0"/>
              <w:rPr>
                <w:rFonts w:ascii="Arial" w:hAnsi="Arial" w:cs="Arial"/>
                <w:b/>
                <w:sz w:val="22"/>
                <w:szCs w:val="22"/>
                <w:lang w:val="en-GB"/>
              </w:rPr>
            </w:pPr>
          </w:p>
          <w:p w14:paraId="4C140C9B" w14:textId="77777777" w:rsidR="00E45D63" w:rsidRPr="00E45D63" w:rsidRDefault="00E45D63" w:rsidP="00E426D3">
            <w:pPr>
              <w:pStyle w:val="StandardWeb"/>
              <w:spacing w:before="0" w:beforeAutospacing="0" w:after="0" w:afterAutospacing="0"/>
              <w:rPr>
                <w:rFonts w:ascii="Arial" w:hAnsi="Arial" w:cs="Arial"/>
                <w:b/>
                <w:sz w:val="22"/>
                <w:szCs w:val="22"/>
                <w:lang w:val="en-GB"/>
              </w:rPr>
            </w:pPr>
          </w:p>
          <w:p w14:paraId="3834723F" w14:textId="77777777" w:rsidR="00E45D63" w:rsidRPr="00E45D63" w:rsidRDefault="00E45D63" w:rsidP="00E426D3">
            <w:pPr>
              <w:pStyle w:val="StandardWeb"/>
              <w:spacing w:before="0" w:beforeAutospacing="0" w:after="0" w:afterAutospacing="0"/>
              <w:rPr>
                <w:rFonts w:ascii="Arial" w:hAnsi="Arial" w:cs="Arial"/>
                <w:b/>
                <w:sz w:val="22"/>
                <w:szCs w:val="22"/>
                <w:lang w:val="en-GB"/>
              </w:rPr>
            </w:pPr>
          </w:p>
          <w:p w14:paraId="4F0FAFDB" w14:textId="77777777" w:rsidR="00E45D63" w:rsidRPr="00E45D63" w:rsidRDefault="00E45D63" w:rsidP="00E426D3">
            <w:pPr>
              <w:pStyle w:val="StandardWeb"/>
              <w:spacing w:before="0" w:beforeAutospacing="0" w:after="0" w:afterAutospacing="0"/>
              <w:rPr>
                <w:rFonts w:ascii="Arial" w:hAnsi="Arial" w:cs="Arial"/>
                <w:b/>
                <w:sz w:val="22"/>
                <w:szCs w:val="22"/>
                <w:lang w:val="en-GB"/>
              </w:rPr>
            </w:pPr>
          </w:p>
          <w:p w14:paraId="27DA3DA6" w14:textId="77777777" w:rsidR="00E45D63" w:rsidRPr="00E45D63" w:rsidRDefault="00E45D63" w:rsidP="00E426D3">
            <w:pPr>
              <w:pStyle w:val="StandardWeb"/>
              <w:spacing w:before="0" w:beforeAutospacing="0" w:after="0" w:afterAutospacing="0"/>
              <w:rPr>
                <w:rFonts w:ascii="Arial" w:hAnsi="Arial" w:cs="Arial"/>
                <w:b/>
                <w:sz w:val="22"/>
                <w:szCs w:val="22"/>
                <w:lang w:val="en-GB"/>
              </w:rPr>
            </w:pPr>
            <w:r w:rsidRPr="00E45D63">
              <w:rPr>
                <w:rFonts w:ascii="Arial" w:hAnsi="Arial" w:cs="Arial"/>
                <w:b/>
                <w:sz w:val="22"/>
                <w:szCs w:val="22"/>
                <w:lang w:val="en-GB"/>
              </w:rPr>
              <w:t>For completion by Marker 1 :</w:t>
            </w:r>
          </w:p>
          <w:p w14:paraId="7A7BE204" w14:textId="77777777" w:rsidR="00E45D63" w:rsidRPr="00E45D63" w:rsidRDefault="00E45D63" w:rsidP="00E426D3">
            <w:pPr>
              <w:pStyle w:val="StandardWeb"/>
              <w:rPr>
                <w:rFonts w:ascii="Arial" w:hAnsi="Arial" w:cs="Arial"/>
                <w:sz w:val="22"/>
                <w:szCs w:val="22"/>
                <w:lang w:val="en-GB"/>
              </w:rPr>
            </w:pPr>
            <w:r w:rsidRPr="00E45D63">
              <w:rPr>
                <w:rFonts w:ascii="Arial" w:hAnsi="Arial" w:cs="Arial"/>
                <w:sz w:val="22"/>
                <w:szCs w:val="22"/>
                <w:lang w:val="en-GB"/>
              </w:rPr>
              <w:t>Comments:</w:t>
            </w:r>
          </w:p>
          <w:p w14:paraId="7D9AB60D" w14:textId="77777777" w:rsidR="00E45D63" w:rsidRPr="00E45D63" w:rsidRDefault="00E45D63" w:rsidP="00E426D3">
            <w:pPr>
              <w:pStyle w:val="StandardWeb"/>
              <w:rPr>
                <w:rFonts w:ascii="Arial" w:hAnsi="Arial" w:cs="Arial"/>
                <w:sz w:val="22"/>
                <w:szCs w:val="22"/>
                <w:lang w:val="en-GB"/>
              </w:rPr>
            </w:pPr>
          </w:p>
        </w:tc>
      </w:tr>
      <w:tr w:rsidR="00E45D63" w:rsidRPr="00230F35" w14:paraId="389738C2" w14:textId="77777777" w:rsidTr="00E426D3">
        <w:trPr>
          <w:trHeight w:val="492"/>
        </w:trPr>
        <w:tc>
          <w:tcPr>
            <w:tcW w:w="6768" w:type="dxa"/>
            <w:gridSpan w:val="3"/>
          </w:tcPr>
          <w:p w14:paraId="4616C03A" w14:textId="77777777" w:rsidR="00E45D63" w:rsidRPr="00230F35" w:rsidRDefault="00E45D63" w:rsidP="00E426D3">
            <w:pPr>
              <w:pStyle w:val="Standard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71D94E21" w14:textId="77777777" w:rsidR="00E45D63" w:rsidRPr="00230F35" w:rsidRDefault="00E45D63" w:rsidP="00E426D3">
            <w:pPr>
              <w:pStyle w:val="StandardWeb"/>
              <w:spacing w:after="0"/>
              <w:ind w:left="142" w:right="34"/>
              <w:rPr>
                <w:rFonts w:ascii="Arial" w:hAnsi="Arial" w:cs="Arial"/>
                <w:sz w:val="22"/>
                <w:szCs w:val="22"/>
              </w:rPr>
            </w:pPr>
            <w:r w:rsidRPr="00230F35">
              <w:rPr>
                <w:rFonts w:ascii="Arial" w:hAnsi="Arial" w:cs="Arial"/>
                <w:sz w:val="22"/>
                <w:szCs w:val="22"/>
              </w:rPr>
              <w:t>Date:</w:t>
            </w:r>
          </w:p>
        </w:tc>
      </w:tr>
      <w:tr w:rsidR="00E45D63" w:rsidRPr="002F467C" w14:paraId="4062CCCE" w14:textId="77777777" w:rsidTr="00E426D3">
        <w:tc>
          <w:tcPr>
            <w:tcW w:w="8856" w:type="dxa"/>
            <w:gridSpan w:val="5"/>
          </w:tcPr>
          <w:p w14:paraId="1C692C31" w14:textId="77777777" w:rsidR="00E45D63" w:rsidRPr="00E45D63" w:rsidRDefault="00E45D63" w:rsidP="00E426D3">
            <w:pPr>
              <w:pStyle w:val="StandardWeb"/>
              <w:spacing w:before="0" w:beforeAutospacing="0" w:after="0" w:afterAutospacing="0"/>
              <w:ind w:right="-334"/>
              <w:rPr>
                <w:rFonts w:ascii="Arial" w:hAnsi="Arial" w:cs="Arial"/>
                <w:bCs/>
                <w:i/>
                <w:sz w:val="22"/>
                <w:szCs w:val="22"/>
                <w:lang w:val="en-GB"/>
              </w:rPr>
            </w:pPr>
          </w:p>
          <w:p w14:paraId="09D112BF" w14:textId="77777777" w:rsidR="00E45D63" w:rsidRPr="00E45D63" w:rsidRDefault="00E45D63" w:rsidP="00E426D3">
            <w:pPr>
              <w:pStyle w:val="StandardWeb"/>
              <w:spacing w:before="0" w:beforeAutospacing="0" w:after="0" w:afterAutospacing="0"/>
              <w:ind w:right="-334"/>
              <w:rPr>
                <w:rFonts w:ascii="Arial" w:hAnsi="Arial" w:cs="Arial"/>
                <w:b/>
                <w:bCs/>
                <w:sz w:val="22"/>
                <w:szCs w:val="22"/>
                <w:lang w:val="en-GB"/>
              </w:rPr>
            </w:pPr>
            <w:r w:rsidRPr="00E45D63">
              <w:rPr>
                <w:rFonts w:ascii="Arial" w:hAnsi="Arial" w:cs="Arial"/>
                <w:b/>
                <w:bCs/>
                <w:sz w:val="22"/>
                <w:szCs w:val="22"/>
                <w:lang w:val="en-GB"/>
              </w:rPr>
              <w:t>For completion by Marker 2/Moderator:</w:t>
            </w:r>
          </w:p>
          <w:p w14:paraId="34C8CCAE" w14:textId="77777777" w:rsidR="00E45D63" w:rsidRPr="00E45D63" w:rsidRDefault="00E45D63" w:rsidP="00E426D3">
            <w:pPr>
              <w:pStyle w:val="StandardWeb"/>
              <w:spacing w:before="0" w:beforeAutospacing="0" w:after="0" w:afterAutospacing="0"/>
              <w:ind w:right="-334"/>
              <w:rPr>
                <w:rFonts w:ascii="Arial" w:hAnsi="Arial" w:cs="Arial"/>
                <w:b/>
                <w:bCs/>
                <w:sz w:val="22"/>
                <w:szCs w:val="22"/>
                <w:lang w:val="en-GB"/>
              </w:rPr>
            </w:pPr>
          </w:p>
          <w:p w14:paraId="1660F7E5" w14:textId="77777777" w:rsidR="00E45D63" w:rsidRPr="00230F35" w:rsidRDefault="00E45D63" w:rsidP="00E426D3">
            <w:pPr>
              <w:pStyle w:val="Standard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2112C703" w14:textId="77777777" w:rsidR="00E45D63" w:rsidRPr="00230F35" w:rsidRDefault="00E45D63" w:rsidP="00E426D3">
            <w:pPr>
              <w:pStyle w:val="StandardWeb"/>
              <w:spacing w:before="0" w:beforeAutospacing="0" w:after="0" w:afterAutospacing="0"/>
              <w:ind w:right="-334"/>
              <w:rPr>
                <w:rFonts w:ascii="Arial" w:hAnsi="Arial" w:cs="Arial"/>
                <w:bCs/>
                <w:sz w:val="22"/>
                <w:szCs w:val="22"/>
              </w:rPr>
            </w:pPr>
          </w:p>
          <w:p w14:paraId="6869881E" w14:textId="77777777" w:rsidR="00E45D63" w:rsidRPr="00230F35" w:rsidRDefault="00E45D63" w:rsidP="00E426D3">
            <w:pPr>
              <w:pStyle w:val="StandardWeb"/>
              <w:spacing w:before="0" w:beforeAutospacing="0" w:after="0" w:afterAutospacing="0"/>
              <w:ind w:right="-334"/>
              <w:rPr>
                <w:rFonts w:ascii="Arial" w:hAnsi="Arial" w:cs="Arial"/>
                <w:bCs/>
                <w:sz w:val="22"/>
                <w:szCs w:val="22"/>
              </w:rPr>
            </w:pPr>
          </w:p>
          <w:p w14:paraId="3397D26C" w14:textId="77777777" w:rsidR="00E45D63" w:rsidRPr="00230F35" w:rsidRDefault="00E45D63" w:rsidP="00E426D3">
            <w:pPr>
              <w:pStyle w:val="StandardWeb"/>
              <w:spacing w:before="0" w:beforeAutospacing="0" w:after="0" w:afterAutospacing="0"/>
              <w:ind w:right="-334"/>
              <w:rPr>
                <w:rFonts w:ascii="Arial" w:hAnsi="Arial" w:cs="Arial"/>
                <w:bCs/>
                <w:sz w:val="22"/>
                <w:szCs w:val="22"/>
              </w:rPr>
            </w:pPr>
          </w:p>
          <w:p w14:paraId="627045CF" w14:textId="77777777" w:rsidR="00E45D63" w:rsidRPr="00230F35" w:rsidRDefault="00E45D63" w:rsidP="00E426D3">
            <w:pPr>
              <w:pStyle w:val="StandardWeb"/>
              <w:spacing w:before="0" w:beforeAutospacing="0" w:after="0" w:afterAutospacing="0"/>
              <w:ind w:right="-334"/>
              <w:rPr>
                <w:rFonts w:ascii="Arial" w:hAnsi="Arial" w:cs="Arial"/>
                <w:bCs/>
                <w:sz w:val="22"/>
                <w:szCs w:val="22"/>
              </w:rPr>
            </w:pPr>
          </w:p>
          <w:p w14:paraId="08330878" w14:textId="77777777" w:rsidR="00E45D63" w:rsidRPr="00230F35" w:rsidRDefault="00E45D63" w:rsidP="00E426D3">
            <w:pPr>
              <w:pStyle w:val="StandardWeb"/>
              <w:spacing w:before="0" w:beforeAutospacing="0" w:after="0" w:afterAutospacing="0"/>
              <w:ind w:right="-334"/>
              <w:rPr>
                <w:rFonts w:ascii="Arial" w:hAnsi="Arial" w:cs="Arial"/>
                <w:bCs/>
                <w:sz w:val="22"/>
                <w:szCs w:val="22"/>
              </w:rPr>
            </w:pPr>
          </w:p>
          <w:p w14:paraId="28D89725" w14:textId="77777777" w:rsidR="00E45D63" w:rsidRPr="00230F35" w:rsidRDefault="00E45D63" w:rsidP="00E426D3">
            <w:pPr>
              <w:pStyle w:val="StandardWeb"/>
              <w:spacing w:before="0" w:beforeAutospacing="0" w:after="0" w:afterAutospacing="0"/>
              <w:ind w:right="-334"/>
              <w:rPr>
                <w:rFonts w:ascii="Arial" w:hAnsi="Arial" w:cs="Arial"/>
                <w:bCs/>
                <w:sz w:val="22"/>
                <w:szCs w:val="22"/>
              </w:rPr>
            </w:pPr>
          </w:p>
          <w:p w14:paraId="182B3F16" w14:textId="77777777" w:rsidR="00E45D63" w:rsidRPr="00230F35" w:rsidRDefault="00E45D63" w:rsidP="00E426D3">
            <w:pPr>
              <w:pStyle w:val="StandardWeb"/>
              <w:spacing w:before="0" w:beforeAutospacing="0" w:after="0" w:afterAutospacing="0"/>
              <w:ind w:right="-334"/>
              <w:rPr>
                <w:rFonts w:ascii="Arial" w:hAnsi="Arial" w:cs="Arial"/>
                <w:bCs/>
                <w:sz w:val="22"/>
                <w:szCs w:val="22"/>
              </w:rPr>
            </w:pPr>
          </w:p>
          <w:p w14:paraId="4E1FDDE6" w14:textId="77777777" w:rsidR="00E45D63" w:rsidRPr="00230F35" w:rsidRDefault="00E45D63" w:rsidP="00E426D3">
            <w:pPr>
              <w:pStyle w:val="StandardWeb"/>
              <w:spacing w:before="0" w:beforeAutospacing="0" w:after="0" w:afterAutospacing="0"/>
              <w:ind w:right="-334"/>
              <w:rPr>
                <w:rFonts w:ascii="Arial" w:hAnsi="Arial" w:cs="Arial"/>
                <w:bCs/>
                <w:sz w:val="22"/>
                <w:szCs w:val="22"/>
              </w:rPr>
            </w:pPr>
          </w:p>
          <w:p w14:paraId="37908F28" w14:textId="77777777" w:rsidR="00E45D63" w:rsidRDefault="00E45D63" w:rsidP="00E426D3">
            <w:pPr>
              <w:pStyle w:val="StandardWeb"/>
              <w:spacing w:before="0" w:beforeAutospacing="0" w:after="0" w:afterAutospacing="0"/>
              <w:ind w:right="-334"/>
              <w:rPr>
                <w:rFonts w:ascii="Arial" w:hAnsi="Arial" w:cs="Arial"/>
                <w:bCs/>
                <w:sz w:val="22"/>
                <w:szCs w:val="22"/>
              </w:rPr>
            </w:pPr>
          </w:p>
          <w:p w14:paraId="3FD0B9C3" w14:textId="77777777" w:rsidR="00E45D63" w:rsidRPr="00230F35" w:rsidRDefault="00E45D63" w:rsidP="00E426D3">
            <w:pPr>
              <w:pStyle w:val="StandardWeb"/>
              <w:spacing w:before="0" w:beforeAutospacing="0" w:after="0" w:afterAutospacing="0"/>
              <w:ind w:right="-334"/>
              <w:rPr>
                <w:rFonts w:ascii="Arial" w:hAnsi="Arial" w:cs="Arial"/>
                <w:bCs/>
                <w:sz w:val="22"/>
                <w:szCs w:val="22"/>
              </w:rPr>
            </w:pPr>
          </w:p>
          <w:p w14:paraId="45734B93" w14:textId="77777777" w:rsidR="00E45D63" w:rsidRPr="00230F35" w:rsidRDefault="00E45D63" w:rsidP="00E426D3">
            <w:pPr>
              <w:pStyle w:val="StandardWeb"/>
              <w:spacing w:before="0" w:beforeAutospacing="0" w:after="0" w:afterAutospacing="0"/>
              <w:ind w:right="-334"/>
              <w:rPr>
                <w:rFonts w:ascii="Arial" w:hAnsi="Arial" w:cs="Arial"/>
                <w:bCs/>
                <w:sz w:val="22"/>
                <w:szCs w:val="22"/>
              </w:rPr>
            </w:pPr>
          </w:p>
          <w:p w14:paraId="73272928" w14:textId="77777777" w:rsidR="00E45D63" w:rsidRPr="00230F35" w:rsidRDefault="00E45D63" w:rsidP="00E426D3">
            <w:pPr>
              <w:pStyle w:val="StandardWeb"/>
              <w:spacing w:before="0" w:beforeAutospacing="0" w:after="0" w:afterAutospacing="0"/>
              <w:ind w:right="-334"/>
              <w:rPr>
                <w:rFonts w:ascii="Arial" w:hAnsi="Arial" w:cs="Arial"/>
                <w:bCs/>
                <w:sz w:val="22"/>
                <w:szCs w:val="22"/>
              </w:rPr>
            </w:pPr>
          </w:p>
        </w:tc>
      </w:tr>
      <w:tr w:rsidR="00E45D63" w:rsidRPr="002F467C" w14:paraId="5B091A1D" w14:textId="77777777" w:rsidTr="00E426D3">
        <w:trPr>
          <w:trHeight w:val="720"/>
        </w:trPr>
        <w:tc>
          <w:tcPr>
            <w:tcW w:w="5211" w:type="dxa"/>
            <w:gridSpan w:val="2"/>
          </w:tcPr>
          <w:p w14:paraId="2957DC9E" w14:textId="77777777" w:rsidR="00E45D63" w:rsidRPr="00230F35" w:rsidRDefault="00E45D63" w:rsidP="00E426D3">
            <w:pPr>
              <w:pStyle w:val="Standard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2AB774D0" w14:textId="77777777" w:rsidR="00E45D63" w:rsidRPr="00230F35" w:rsidRDefault="00E45D63" w:rsidP="00E426D3">
            <w:pPr>
              <w:pStyle w:val="Standard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E45D63" w:rsidRPr="002F467C" w14:paraId="7C6EBA1F" w14:textId="77777777" w:rsidTr="00E426D3">
        <w:trPr>
          <w:trHeight w:val="720"/>
        </w:trPr>
        <w:tc>
          <w:tcPr>
            <w:tcW w:w="8856" w:type="dxa"/>
            <w:gridSpan w:val="5"/>
          </w:tcPr>
          <w:p w14:paraId="073BC07A" w14:textId="77777777" w:rsidR="00E45D63" w:rsidRPr="00B34964" w:rsidRDefault="00E45D63" w:rsidP="00E426D3">
            <w:pPr>
              <w:rPr>
                <w:rFonts w:ascii="Arial" w:hAnsi="Arial" w:cs="Arial"/>
                <w:b/>
              </w:rPr>
            </w:pPr>
            <w:r w:rsidRPr="00B34964">
              <w:rPr>
                <w:rFonts w:ascii="Arial" w:hAnsi="Arial" w:cs="Arial"/>
                <w:b/>
              </w:rPr>
              <w:t>External Examiner’s comments (if relevant)</w:t>
            </w:r>
          </w:p>
          <w:p w14:paraId="1A53B80D" w14:textId="77777777" w:rsidR="00E45D63" w:rsidRPr="00230F35" w:rsidRDefault="00E45D63" w:rsidP="00E426D3">
            <w:pPr>
              <w:pStyle w:val="StandardWeb"/>
              <w:spacing w:before="0" w:beforeAutospacing="0" w:after="0" w:afterAutospacing="0"/>
              <w:ind w:right="-334"/>
              <w:rPr>
                <w:rFonts w:ascii="Arial" w:hAnsi="Arial" w:cs="Arial"/>
                <w:bCs/>
                <w:sz w:val="22"/>
                <w:szCs w:val="22"/>
              </w:rPr>
            </w:pPr>
          </w:p>
          <w:p w14:paraId="18C89940" w14:textId="77777777" w:rsidR="00E45D63" w:rsidRPr="00230F35" w:rsidRDefault="00E45D63" w:rsidP="00E426D3">
            <w:pPr>
              <w:pStyle w:val="StandardWeb"/>
              <w:spacing w:before="0" w:beforeAutospacing="0" w:after="0" w:afterAutospacing="0"/>
              <w:ind w:right="-334"/>
              <w:rPr>
                <w:rFonts w:ascii="Arial" w:hAnsi="Arial" w:cs="Arial"/>
                <w:bCs/>
                <w:sz w:val="22"/>
                <w:szCs w:val="22"/>
              </w:rPr>
            </w:pPr>
          </w:p>
          <w:p w14:paraId="62ABED83" w14:textId="77777777" w:rsidR="00E45D63" w:rsidRPr="00230F35" w:rsidRDefault="00E45D63" w:rsidP="00E426D3">
            <w:pPr>
              <w:pStyle w:val="StandardWeb"/>
              <w:spacing w:before="0" w:beforeAutospacing="0" w:after="0" w:afterAutospacing="0"/>
              <w:ind w:right="-334"/>
              <w:rPr>
                <w:rFonts w:ascii="Arial" w:hAnsi="Arial" w:cs="Arial"/>
                <w:bCs/>
                <w:sz w:val="22"/>
                <w:szCs w:val="22"/>
              </w:rPr>
            </w:pPr>
          </w:p>
          <w:p w14:paraId="78C39C71" w14:textId="77777777" w:rsidR="00E45D63" w:rsidRPr="00230F35" w:rsidRDefault="00E45D63" w:rsidP="00E426D3">
            <w:pPr>
              <w:pStyle w:val="StandardWeb"/>
              <w:spacing w:before="0" w:beforeAutospacing="0" w:after="0" w:afterAutospacing="0"/>
              <w:ind w:right="-334"/>
              <w:rPr>
                <w:rFonts w:ascii="Arial" w:hAnsi="Arial" w:cs="Arial"/>
                <w:bCs/>
                <w:sz w:val="22"/>
                <w:szCs w:val="22"/>
              </w:rPr>
            </w:pPr>
          </w:p>
          <w:p w14:paraId="0355A3CD" w14:textId="77777777" w:rsidR="00E45D63" w:rsidRPr="00230F35" w:rsidRDefault="00E45D63" w:rsidP="00E426D3">
            <w:pPr>
              <w:pStyle w:val="StandardWeb"/>
              <w:spacing w:before="0" w:beforeAutospacing="0" w:after="0" w:afterAutospacing="0"/>
              <w:ind w:right="-334"/>
              <w:rPr>
                <w:rFonts w:ascii="Arial" w:hAnsi="Arial" w:cs="Arial"/>
                <w:bCs/>
                <w:sz w:val="22"/>
                <w:szCs w:val="22"/>
              </w:rPr>
            </w:pPr>
          </w:p>
          <w:p w14:paraId="07798F9F" w14:textId="77777777" w:rsidR="00E45D63" w:rsidRPr="00230F35" w:rsidRDefault="00E45D63" w:rsidP="00E426D3">
            <w:pPr>
              <w:pStyle w:val="StandardWeb"/>
              <w:spacing w:before="0" w:beforeAutospacing="0" w:after="0" w:afterAutospacing="0"/>
              <w:ind w:right="-334"/>
              <w:rPr>
                <w:rFonts w:ascii="Arial" w:hAnsi="Arial" w:cs="Arial"/>
                <w:bCs/>
                <w:sz w:val="22"/>
                <w:szCs w:val="22"/>
              </w:rPr>
            </w:pPr>
          </w:p>
          <w:p w14:paraId="5D877750" w14:textId="77777777" w:rsidR="00E45D63" w:rsidRPr="00230F35" w:rsidRDefault="00E45D63" w:rsidP="00E426D3">
            <w:pPr>
              <w:pStyle w:val="StandardWeb"/>
              <w:spacing w:before="0" w:beforeAutospacing="0" w:after="0" w:afterAutospacing="0"/>
              <w:ind w:right="-334"/>
              <w:rPr>
                <w:rFonts w:ascii="Arial" w:hAnsi="Arial" w:cs="Arial"/>
                <w:bCs/>
                <w:sz w:val="22"/>
                <w:szCs w:val="22"/>
              </w:rPr>
            </w:pPr>
          </w:p>
          <w:p w14:paraId="30F92CE0" w14:textId="77777777" w:rsidR="00E45D63" w:rsidRPr="00230F35" w:rsidRDefault="00E45D63" w:rsidP="00E426D3">
            <w:pPr>
              <w:pStyle w:val="StandardWeb"/>
              <w:spacing w:before="0" w:beforeAutospacing="0" w:after="0" w:afterAutospacing="0"/>
              <w:ind w:right="-334"/>
              <w:rPr>
                <w:rFonts w:ascii="Arial" w:hAnsi="Arial" w:cs="Arial"/>
                <w:bCs/>
                <w:sz w:val="22"/>
                <w:szCs w:val="22"/>
              </w:rPr>
            </w:pPr>
          </w:p>
          <w:p w14:paraId="623B6E08" w14:textId="77777777" w:rsidR="00E45D63" w:rsidRDefault="00E45D63" w:rsidP="00E426D3">
            <w:pPr>
              <w:pStyle w:val="StandardWeb"/>
              <w:spacing w:before="0" w:beforeAutospacing="0" w:after="0" w:afterAutospacing="0"/>
              <w:ind w:right="-334"/>
              <w:rPr>
                <w:rFonts w:ascii="Arial" w:hAnsi="Arial" w:cs="Arial"/>
                <w:bCs/>
                <w:sz w:val="22"/>
                <w:szCs w:val="22"/>
              </w:rPr>
            </w:pPr>
          </w:p>
          <w:p w14:paraId="1CF90EE3" w14:textId="77777777" w:rsidR="00E45D63" w:rsidRPr="00230F35" w:rsidRDefault="00E45D63" w:rsidP="00E426D3">
            <w:pPr>
              <w:pStyle w:val="StandardWeb"/>
              <w:spacing w:before="0" w:beforeAutospacing="0" w:after="0" w:afterAutospacing="0"/>
              <w:ind w:right="-334"/>
              <w:rPr>
                <w:rFonts w:ascii="Arial" w:hAnsi="Arial" w:cs="Arial"/>
                <w:bCs/>
                <w:sz w:val="22"/>
                <w:szCs w:val="22"/>
              </w:rPr>
            </w:pPr>
          </w:p>
          <w:p w14:paraId="19BCD61C" w14:textId="77777777" w:rsidR="00E45D63" w:rsidRPr="00230F35" w:rsidRDefault="00E45D63" w:rsidP="00E426D3">
            <w:pPr>
              <w:pStyle w:val="StandardWeb"/>
              <w:spacing w:before="0" w:beforeAutospacing="0" w:after="0" w:afterAutospacing="0"/>
              <w:ind w:right="-334"/>
              <w:rPr>
                <w:rFonts w:ascii="Arial" w:hAnsi="Arial" w:cs="Arial"/>
                <w:bCs/>
                <w:sz w:val="22"/>
                <w:szCs w:val="22"/>
              </w:rPr>
            </w:pPr>
          </w:p>
        </w:tc>
      </w:tr>
      <w:tr w:rsidR="00E45D63" w:rsidRPr="002F467C" w14:paraId="3B75DA6A" w14:textId="77777777" w:rsidTr="00E426D3">
        <w:trPr>
          <w:trHeight w:val="720"/>
        </w:trPr>
        <w:tc>
          <w:tcPr>
            <w:tcW w:w="5211" w:type="dxa"/>
            <w:gridSpan w:val="2"/>
          </w:tcPr>
          <w:p w14:paraId="3EE7422E" w14:textId="77777777" w:rsidR="00E45D63" w:rsidRPr="00230F35" w:rsidRDefault="00E45D63" w:rsidP="00E426D3">
            <w:pPr>
              <w:rPr>
                <w:rFonts w:ascii="Arial" w:hAnsi="Arial" w:cs="Arial"/>
              </w:rPr>
            </w:pPr>
            <w:r w:rsidRPr="00230F35">
              <w:rPr>
                <w:rFonts w:ascii="Arial" w:hAnsi="Arial" w:cs="Arial"/>
              </w:rPr>
              <w:t>External Examiner’s Signature:</w:t>
            </w:r>
          </w:p>
        </w:tc>
        <w:tc>
          <w:tcPr>
            <w:tcW w:w="3645" w:type="dxa"/>
            <w:gridSpan w:val="3"/>
          </w:tcPr>
          <w:p w14:paraId="48E2AF8F" w14:textId="77777777" w:rsidR="00E45D63" w:rsidRPr="00230F35" w:rsidRDefault="00E45D63" w:rsidP="00E426D3">
            <w:pPr>
              <w:rPr>
                <w:rFonts w:ascii="Arial" w:hAnsi="Arial" w:cs="Arial"/>
              </w:rPr>
            </w:pPr>
            <w:r w:rsidRPr="00230F35">
              <w:rPr>
                <w:rFonts w:ascii="Arial" w:hAnsi="Arial" w:cs="Arial"/>
              </w:rPr>
              <w:t>Date:</w:t>
            </w:r>
          </w:p>
        </w:tc>
      </w:tr>
    </w:tbl>
    <w:p w14:paraId="3348E9B4" w14:textId="77777777" w:rsidR="00E45D63" w:rsidRDefault="00E45D63" w:rsidP="00E45D63"/>
    <w:p w14:paraId="07B3367A" w14:textId="75657883" w:rsidR="004478C1" w:rsidRDefault="004478C1">
      <w:pPr>
        <w:rPr>
          <w:b/>
          <w:bCs/>
          <w:lang w:val="en-GB"/>
        </w:rPr>
      </w:pPr>
      <w:r>
        <w:rPr>
          <w:b/>
          <w:bCs/>
          <w:lang w:val="en-GB"/>
        </w:rPr>
        <w:br w:type="page"/>
      </w:r>
    </w:p>
    <w:p w14:paraId="7AF4ABB2" w14:textId="6F0FBE27" w:rsidR="00457530" w:rsidRDefault="004478C1" w:rsidP="00B32CE5">
      <w:pPr>
        <w:rPr>
          <w:b/>
          <w:bCs/>
          <w:sz w:val="24"/>
          <w:szCs w:val="24"/>
          <w:lang w:val="en-GB"/>
        </w:rPr>
      </w:pPr>
      <w:r w:rsidRPr="004478C1">
        <w:rPr>
          <w:b/>
          <w:bCs/>
          <w:sz w:val="24"/>
          <w:szCs w:val="24"/>
          <w:lang w:val="en-GB"/>
        </w:rPr>
        <w:t>C</w:t>
      </w:r>
      <w:r w:rsidR="00DC6811" w:rsidRPr="004478C1">
        <w:rPr>
          <w:b/>
          <w:bCs/>
          <w:sz w:val="24"/>
          <w:szCs w:val="24"/>
          <w:lang w:val="en-GB"/>
        </w:rPr>
        <w:t xml:space="preserve">ompare and </w:t>
      </w:r>
      <w:r w:rsidRPr="004478C1">
        <w:rPr>
          <w:b/>
          <w:bCs/>
          <w:sz w:val="24"/>
          <w:szCs w:val="24"/>
          <w:lang w:val="en-GB"/>
        </w:rPr>
        <w:t>contrast</w:t>
      </w:r>
      <w:r w:rsidR="00DC6811" w:rsidRPr="004478C1">
        <w:rPr>
          <w:b/>
          <w:bCs/>
          <w:sz w:val="24"/>
          <w:szCs w:val="24"/>
          <w:lang w:val="en-GB"/>
        </w:rPr>
        <w:t xml:space="preserve"> Mircea Eliade and Émile Durkheim’s views of sacred space</w:t>
      </w:r>
    </w:p>
    <w:p w14:paraId="641CC479" w14:textId="0B09053C" w:rsidR="004478C1" w:rsidRPr="004478C1" w:rsidRDefault="004478C1" w:rsidP="00B32CE5">
      <w:pPr>
        <w:rPr>
          <w:lang w:val="en-GB"/>
        </w:rPr>
      </w:pPr>
      <w:r w:rsidRPr="004478C1">
        <w:rPr>
          <w:lang w:val="en-GB"/>
        </w:rPr>
        <w:t xml:space="preserve">Wordcount: </w:t>
      </w:r>
      <w:r w:rsidR="000D62D7">
        <w:rPr>
          <w:lang w:val="en-GB"/>
        </w:rPr>
        <w:t>2277</w:t>
      </w:r>
    </w:p>
    <w:p w14:paraId="6AC19933" w14:textId="77777777" w:rsidR="004478C1" w:rsidRDefault="004478C1" w:rsidP="00B32CE5">
      <w:pPr>
        <w:rPr>
          <w:b/>
          <w:bCs/>
          <w:lang w:val="en-GB"/>
        </w:rPr>
      </w:pPr>
    </w:p>
    <w:p w14:paraId="1BDB370D" w14:textId="46EF70A7" w:rsidR="00B32CE5" w:rsidRPr="004478C1" w:rsidRDefault="00B32CE5" w:rsidP="00B32CE5">
      <w:pPr>
        <w:rPr>
          <w:b/>
          <w:bCs/>
          <w:sz w:val="24"/>
          <w:szCs w:val="24"/>
          <w:lang w:val="en-GB"/>
        </w:rPr>
      </w:pPr>
      <w:r w:rsidRPr="004478C1">
        <w:rPr>
          <w:b/>
          <w:bCs/>
          <w:sz w:val="24"/>
          <w:szCs w:val="24"/>
          <w:lang w:val="en-GB"/>
        </w:rPr>
        <w:t>Introduc</w:t>
      </w:r>
      <w:r w:rsidR="00DC6811" w:rsidRPr="004478C1">
        <w:rPr>
          <w:b/>
          <w:bCs/>
          <w:sz w:val="24"/>
          <w:szCs w:val="24"/>
          <w:lang w:val="en-GB"/>
        </w:rPr>
        <w:t>tion</w:t>
      </w:r>
      <w:r w:rsidRPr="004478C1">
        <w:rPr>
          <w:b/>
          <w:bCs/>
          <w:sz w:val="24"/>
          <w:szCs w:val="24"/>
          <w:lang w:val="en-GB"/>
        </w:rPr>
        <w:t xml:space="preserve"> </w:t>
      </w:r>
    </w:p>
    <w:p w14:paraId="742F0E46" w14:textId="5ECC5867" w:rsidR="00E021BE" w:rsidRDefault="00C53FCA" w:rsidP="00B32CE5">
      <w:pPr>
        <w:rPr>
          <w:lang w:val="en-GB"/>
        </w:rPr>
      </w:pPr>
      <w:r>
        <w:rPr>
          <w:lang w:val="en-GB"/>
        </w:rPr>
        <w:t>This essay c</w:t>
      </w:r>
      <w:r w:rsidRPr="00C53FCA">
        <w:rPr>
          <w:lang w:val="en-GB"/>
        </w:rPr>
        <w:t>ompare</w:t>
      </w:r>
      <w:r>
        <w:rPr>
          <w:lang w:val="en-GB"/>
        </w:rPr>
        <w:t>s</w:t>
      </w:r>
      <w:r w:rsidRPr="00C53FCA">
        <w:rPr>
          <w:lang w:val="en-GB"/>
        </w:rPr>
        <w:t xml:space="preserve"> and critically contrast</w:t>
      </w:r>
      <w:r>
        <w:rPr>
          <w:lang w:val="en-GB"/>
        </w:rPr>
        <w:t>s</w:t>
      </w:r>
      <w:r w:rsidRPr="00C53FCA">
        <w:rPr>
          <w:lang w:val="en-GB"/>
        </w:rPr>
        <w:t xml:space="preserve"> Mircea Eliade and </w:t>
      </w:r>
      <w:r w:rsidR="00F87ACD">
        <w:rPr>
          <w:lang w:val="en-GB"/>
        </w:rPr>
        <w:t>É</w:t>
      </w:r>
      <w:r w:rsidRPr="00C53FCA">
        <w:rPr>
          <w:lang w:val="en-GB"/>
        </w:rPr>
        <w:t>mile Durkheim’s views of sacred space</w:t>
      </w:r>
      <w:r>
        <w:rPr>
          <w:lang w:val="en-GB"/>
        </w:rPr>
        <w:t>.</w:t>
      </w:r>
      <w:r w:rsidR="00E44516">
        <w:rPr>
          <w:lang w:val="en-GB"/>
        </w:rPr>
        <w:t xml:space="preserve"> </w:t>
      </w:r>
      <w:r w:rsidR="001B78E7">
        <w:rPr>
          <w:lang w:val="en-GB"/>
        </w:rPr>
        <w:t>In 1912, t</w:t>
      </w:r>
      <w:r w:rsidR="00784781">
        <w:rPr>
          <w:lang w:val="en-GB"/>
        </w:rPr>
        <w:t xml:space="preserve">he French sociologist Émile Durkheim </w:t>
      </w:r>
      <w:r w:rsidR="005C63E4">
        <w:rPr>
          <w:lang w:val="en-GB"/>
        </w:rPr>
        <w:t xml:space="preserve">wrote that ‘the notion of the sacred is always and everywhere </w:t>
      </w:r>
      <w:r w:rsidR="0037514E">
        <w:rPr>
          <w:lang w:val="en-GB"/>
        </w:rPr>
        <w:t>separate</w:t>
      </w:r>
      <w:r w:rsidR="005C63E4">
        <w:rPr>
          <w:lang w:val="en-GB"/>
        </w:rPr>
        <w:t xml:space="preserve"> from the notion of the profane in man’s mind.’</w:t>
      </w:r>
      <w:r w:rsidR="005C63E4">
        <w:rPr>
          <w:rStyle w:val="Funotenzeichen"/>
          <w:lang w:val="en-GB"/>
        </w:rPr>
        <w:footnoteReference w:id="1"/>
      </w:r>
      <w:r w:rsidR="0037514E">
        <w:rPr>
          <w:lang w:val="en-GB"/>
        </w:rPr>
        <w:t xml:space="preserve"> </w:t>
      </w:r>
      <w:r w:rsidR="005A2F11">
        <w:rPr>
          <w:lang w:val="en-GB"/>
        </w:rPr>
        <w:t xml:space="preserve">Forty-five years later, the Romanian historian of religion, </w:t>
      </w:r>
      <w:r w:rsidR="001F3303">
        <w:rPr>
          <w:lang w:val="en-GB"/>
        </w:rPr>
        <w:t xml:space="preserve">Mircea </w:t>
      </w:r>
      <w:r w:rsidR="005A2F11">
        <w:rPr>
          <w:lang w:val="en-GB"/>
        </w:rPr>
        <w:t>Eliade,</w:t>
      </w:r>
      <w:r w:rsidR="00DA1D36">
        <w:rPr>
          <w:lang w:val="en-GB"/>
        </w:rPr>
        <w:t xml:space="preserve"> </w:t>
      </w:r>
      <w:r w:rsidR="00E021BE">
        <w:rPr>
          <w:lang w:val="en-GB"/>
        </w:rPr>
        <w:t>agreed</w:t>
      </w:r>
      <w:r w:rsidR="00DA1D36">
        <w:rPr>
          <w:lang w:val="en-GB"/>
        </w:rPr>
        <w:t xml:space="preserve"> that the</w:t>
      </w:r>
      <w:r w:rsidR="005A2F11">
        <w:rPr>
          <w:lang w:val="en-GB"/>
        </w:rPr>
        <w:t xml:space="preserve"> ‘</w:t>
      </w:r>
      <w:r w:rsidR="005A2F11" w:rsidRPr="005A2F11">
        <w:rPr>
          <w:lang w:val="en-GB"/>
        </w:rPr>
        <w:t>sacred and profane are two modes of being in the world</w:t>
      </w:r>
      <w:r w:rsidR="005A2F11">
        <w:rPr>
          <w:lang w:val="en-GB"/>
        </w:rPr>
        <w:t>.’</w:t>
      </w:r>
      <w:r w:rsidR="005A2F11">
        <w:rPr>
          <w:rStyle w:val="Funotenzeichen"/>
          <w:lang w:val="en-GB"/>
        </w:rPr>
        <w:footnoteReference w:id="2"/>
      </w:r>
      <w:r w:rsidR="005A2F11">
        <w:rPr>
          <w:lang w:val="en-GB"/>
        </w:rPr>
        <w:t xml:space="preserve"> </w:t>
      </w:r>
      <w:r w:rsidR="00DA1D36">
        <w:rPr>
          <w:lang w:val="en-GB"/>
        </w:rPr>
        <w:t>However,</w:t>
      </w:r>
      <w:r w:rsidR="00644B41">
        <w:rPr>
          <w:lang w:val="en-GB"/>
        </w:rPr>
        <w:t xml:space="preserve"> in contrast to Durkheim,</w:t>
      </w:r>
      <w:r w:rsidR="00DA1D36">
        <w:rPr>
          <w:lang w:val="en-GB"/>
        </w:rPr>
        <w:t xml:space="preserve"> he believed that some areas</w:t>
      </w:r>
      <w:r w:rsidR="00DA1D36" w:rsidRPr="00DA1D36">
        <w:rPr>
          <w:lang w:val="en-GB"/>
        </w:rPr>
        <w:t xml:space="preserve"> of space are </w:t>
      </w:r>
      <w:r w:rsidR="00DA1D36">
        <w:rPr>
          <w:lang w:val="en-GB"/>
        </w:rPr>
        <w:t xml:space="preserve">by nature </w:t>
      </w:r>
      <w:r w:rsidR="00DA1D36" w:rsidRPr="00DA1D36">
        <w:rPr>
          <w:lang w:val="en-GB"/>
        </w:rPr>
        <w:t xml:space="preserve">fundamentally distinct </w:t>
      </w:r>
      <w:r w:rsidR="00DA1D36">
        <w:rPr>
          <w:lang w:val="en-GB"/>
        </w:rPr>
        <w:t xml:space="preserve">in quality </w:t>
      </w:r>
      <w:r w:rsidR="00DA1D36" w:rsidRPr="00DA1D36">
        <w:rPr>
          <w:lang w:val="en-GB"/>
        </w:rPr>
        <w:t>from others</w:t>
      </w:r>
      <w:r w:rsidR="00997C84">
        <w:rPr>
          <w:lang w:val="en-GB"/>
        </w:rPr>
        <w:t xml:space="preserve">, </w:t>
      </w:r>
      <w:r w:rsidR="00997C84" w:rsidRPr="00DA1D36">
        <w:rPr>
          <w:lang w:val="en-GB"/>
        </w:rPr>
        <w:t>referring to this phenomenon as a 'hierophany.'</w:t>
      </w:r>
      <w:r w:rsidR="00997C84">
        <w:rPr>
          <w:rStyle w:val="Funotenzeichen"/>
          <w:lang w:val="en-GB"/>
        </w:rPr>
        <w:footnoteReference w:id="3"/>
      </w:r>
      <w:r w:rsidR="00997C84">
        <w:rPr>
          <w:lang w:val="en-GB"/>
        </w:rPr>
        <w:t xml:space="preserve"> According to </w:t>
      </w:r>
      <w:r w:rsidR="00997C84" w:rsidRPr="00526209">
        <w:rPr>
          <w:lang w:val="en-GB"/>
        </w:rPr>
        <w:t>Randall Studstill</w:t>
      </w:r>
      <w:r w:rsidR="00997C84">
        <w:rPr>
          <w:lang w:val="en-GB"/>
        </w:rPr>
        <w:t>, Eliade argued that a</w:t>
      </w:r>
      <w:r w:rsidR="00997C84" w:rsidRPr="00526209">
        <w:rPr>
          <w:lang w:val="en-GB"/>
        </w:rPr>
        <w:t xml:space="preserve"> hierophany is any way in which the sacred reveals itself.</w:t>
      </w:r>
      <w:r w:rsidR="00997C84">
        <w:rPr>
          <w:rStyle w:val="Funotenzeichen"/>
          <w:lang w:val="en-GB"/>
        </w:rPr>
        <w:footnoteReference w:id="4"/>
      </w:r>
      <w:r w:rsidR="00997C84">
        <w:rPr>
          <w:lang w:val="en-GB"/>
        </w:rPr>
        <w:t xml:space="preserve"> </w:t>
      </w:r>
      <w:r w:rsidR="00E021BE" w:rsidRPr="00E021BE">
        <w:rPr>
          <w:lang w:val="en-GB"/>
        </w:rPr>
        <w:t xml:space="preserve">Durkheim, </w:t>
      </w:r>
      <w:r w:rsidR="00357C03">
        <w:rPr>
          <w:lang w:val="en-GB"/>
        </w:rPr>
        <w:t xml:space="preserve">on the other hand, </w:t>
      </w:r>
      <w:r w:rsidR="00E021BE" w:rsidRPr="00E021BE">
        <w:rPr>
          <w:lang w:val="en-GB"/>
        </w:rPr>
        <w:t xml:space="preserve">in his work </w:t>
      </w:r>
      <w:r w:rsidR="00357C03">
        <w:rPr>
          <w:lang w:val="en-GB"/>
        </w:rPr>
        <w:t>‘</w:t>
      </w:r>
      <w:r w:rsidR="00E021BE" w:rsidRPr="00E021BE">
        <w:rPr>
          <w:lang w:val="en-GB"/>
        </w:rPr>
        <w:t>The Elementary Forms of Religious Life,</w:t>
      </w:r>
      <w:r w:rsidR="00357C03">
        <w:rPr>
          <w:lang w:val="en-GB"/>
        </w:rPr>
        <w:t>’</w:t>
      </w:r>
      <w:r w:rsidR="00E021BE" w:rsidRPr="00E021BE">
        <w:rPr>
          <w:lang w:val="en-GB"/>
        </w:rPr>
        <w:t xml:space="preserve"> stated that any object becomes sacred when groups designate it as such and maintain its significance through specific actions</w:t>
      </w:r>
      <w:r w:rsidR="00357C03">
        <w:rPr>
          <w:lang w:val="en-GB"/>
        </w:rPr>
        <w:t xml:space="preserve">, as noted by Karen </w:t>
      </w:r>
      <w:r w:rsidR="008E08FF">
        <w:rPr>
          <w:lang w:val="en-GB"/>
        </w:rPr>
        <w:t>Fields</w:t>
      </w:r>
      <w:r w:rsidR="00357C03">
        <w:rPr>
          <w:lang w:val="en-GB"/>
        </w:rPr>
        <w:t xml:space="preserve">, the translator of his work, </w:t>
      </w:r>
      <w:r w:rsidR="00357C03" w:rsidRPr="00E021BE">
        <w:rPr>
          <w:lang w:val="en-GB"/>
        </w:rPr>
        <w:t>in her introduction</w:t>
      </w:r>
      <w:r w:rsidR="00E021BE" w:rsidRPr="00E021BE">
        <w:rPr>
          <w:lang w:val="en-GB"/>
        </w:rPr>
        <w:t>. This object remains sacred only as long as these practices continue.</w:t>
      </w:r>
      <w:r w:rsidR="00357C03">
        <w:rPr>
          <w:rStyle w:val="Funotenzeichen"/>
          <w:lang w:val="en-GB"/>
        </w:rPr>
        <w:footnoteReference w:id="5"/>
      </w:r>
      <w:r w:rsidR="00357C03">
        <w:rPr>
          <w:lang w:val="en-GB"/>
        </w:rPr>
        <w:t xml:space="preserve"> </w:t>
      </w:r>
    </w:p>
    <w:p w14:paraId="43F9B186" w14:textId="77777777" w:rsidR="00BD3373" w:rsidRDefault="00BD3373" w:rsidP="00B32CE5">
      <w:pPr>
        <w:rPr>
          <w:b/>
          <w:bCs/>
          <w:lang w:val="en-GB"/>
        </w:rPr>
      </w:pPr>
    </w:p>
    <w:p w14:paraId="4EDA0722" w14:textId="0B46DA72" w:rsidR="00B32CE5" w:rsidRPr="008F5931" w:rsidRDefault="00B32CE5" w:rsidP="00B32CE5">
      <w:pPr>
        <w:rPr>
          <w:b/>
          <w:bCs/>
          <w:sz w:val="24"/>
          <w:szCs w:val="24"/>
          <w:lang w:val="en-GB"/>
        </w:rPr>
      </w:pPr>
      <w:r w:rsidRPr="008F5931">
        <w:rPr>
          <w:b/>
          <w:bCs/>
          <w:sz w:val="24"/>
          <w:szCs w:val="24"/>
          <w:lang w:val="en-GB"/>
        </w:rPr>
        <w:t>Context</w:t>
      </w:r>
    </w:p>
    <w:p w14:paraId="0919E333" w14:textId="78FD7839" w:rsidR="00C43BCE" w:rsidRDefault="009556F1" w:rsidP="00B32CE5">
      <w:pPr>
        <w:rPr>
          <w:lang w:val="en-GB"/>
        </w:rPr>
      </w:pPr>
      <w:r>
        <w:rPr>
          <w:lang w:val="en-GB"/>
        </w:rPr>
        <w:t>Durkheim was born in 1858 in France</w:t>
      </w:r>
      <w:r w:rsidR="00C72161">
        <w:rPr>
          <w:lang w:val="en-GB"/>
        </w:rPr>
        <w:t xml:space="preserve">. </w:t>
      </w:r>
      <w:r w:rsidR="000154D1">
        <w:rPr>
          <w:lang w:val="en-GB"/>
        </w:rPr>
        <w:t>Growing up in a Jewish family,</w:t>
      </w:r>
      <w:r w:rsidR="00FF4FDE">
        <w:rPr>
          <w:lang w:val="en-GB"/>
        </w:rPr>
        <w:t xml:space="preserve"> twelve-year-old</w:t>
      </w:r>
      <w:r w:rsidR="000154D1">
        <w:rPr>
          <w:lang w:val="en-GB"/>
        </w:rPr>
        <w:t xml:space="preserve"> </w:t>
      </w:r>
      <w:r w:rsidR="000154D1" w:rsidRPr="000154D1">
        <w:rPr>
          <w:lang w:val="en-GB"/>
        </w:rPr>
        <w:t>Durkheim</w:t>
      </w:r>
      <w:r w:rsidR="000154D1">
        <w:rPr>
          <w:lang w:val="en-GB"/>
        </w:rPr>
        <w:t xml:space="preserve"> </w:t>
      </w:r>
      <w:r w:rsidR="00FF4FDE">
        <w:rPr>
          <w:lang w:val="en-GB"/>
        </w:rPr>
        <w:t>witnessed Germany seize</w:t>
      </w:r>
      <w:r w:rsidR="000154D1">
        <w:rPr>
          <w:lang w:val="en-GB"/>
        </w:rPr>
        <w:t xml:space="preserve"> control of Alsace, where he lived with his family. </w:t>
      </w:r>
      <w:r w:rsidR="00664406">
        <w:rPr>
          <w:lang w:val="en-GB"/>
        </w:rPr>
        <w:t>According to Keith Hart, Durkheim was t</w:t>
      </w:r>
      <w:r w:rsidR="00664406" w:rsidRPr="00664406">
        <w:rPr>
          <w:lang w:val="en-GB"/>
        </w:rPr>
        <w:t xml:space="preserve">orn between his loyalty to France and his family’s German-sounding name </w:t>
      </w:r>
      <w:r w:rsidR="00664406">
        <w:rPr>
          <w:lang w:val="en-GB"/>
        </w:rPr>
        <w:t>and</w:t>
      </w:r>
      <w:r w:rsidR="00664406" w:rsidRPr="00664406">
        <w:rPr>
          <w:lang w:val="en-GB"/>
        </w:rPr>
        <w:t xml:space="preserve"> </w:t>
      </w:r>
      <w:r w:rsidR="00664406">
        <w:rPr>
          <w:lang w:val="en-GB"/>
        </w:rPr>
        <w:t xml:space="preserve">therefore </w:t>
      </w:r>
      <w:r w:rsidR="00664406" w:rsidRPr="00664406">
        <w:rPr>
          <w:lang w:val="en-GB"/>
        </w:rPr>
        <w:t xml:space="preserve">sought to understand the impact that the newly founded Third Republic </w:t>
      </w:r>
      <w:r w:rsidR="00664406">
        <w:rPr>
          <w:lang w:val="en-GB"/>
        </w:rPr>
        <w:t xml:space="preserve">of France </w:t>
      </w:r>
      <w:r w:rsidR="00664406" w:rsidRPr="00664406">
        <w:rPr>
          <w:lang w:val="en-GB"/>
        </w:rPr>
        <w:t>had on society</w:t>
      </w:r>
      <w:r w:rsidR="00664406">
        <w:rPr>
          <w:lang w:val="en-GB"/>
        </w:rPr>
        <w:t xml:space="preserve">. </w:t>
      </w:r>
      <w:r w:rsidR="0077703F">
        <w:rPr>
          <w:lang w:val="en-GB"/>
        </w:rPr>
        <w:t>Later, he came to be considered one of the founders of modern social theory, having produced three major studies: ‘</w:t>
      </w:r>
      <w:r w:rsidR="0077703F" w:rsidRPr="00C72161">
        <w:rPr>
          <w:lang w:val="en-GB"/>
        </w:rPr>
        <w:t>The Division of Labor in Society</w:t>
      </w:r>
      <w:r w:rsidR="0077703F">
        <w:rPr>
          <w:lang w:val="en-GB"/>
        </w:rPr>
        <w:t>’</w:t>
      </w:r>
      <w:r w:rsidR="0077703F" w:rsidRPr="00C72161">
        <w:rPr>
          <w:lang w:val="en-GB"/>
        </w:rPr>
        <w:t xml:space="preserve"> (1893), </w:t>
      </w:r>
      <w:r w:rsidR="0077703F">
        <w:rPr>
          <w:lang w:val="en-GB"/>
        </w:rPr>
        <w:t>‘</w:t>
      </w:r>
      <w:r w:rsidR="0077703F" w:rsidRPr="00C72161">
        <w:rPr>
          <w:lang w:val="en-GB"/>
        </w:rPr>
        <w:t>Suicide</w:t>
      </w:r>
      <w:r w:rsidR="0077703F">
        <w:rPr>
          <w:lang w:val="en-GB"/>
        </w:rPr>
        <w:t>’</w:t>
      </w:r>
      <w:r w:rsidR="0077703F" w:rsidRPr="00C72161">
        <w:rPr>
          <w:lang w:val="en-GB"/>
        </w:rPr>
        <w:t xml:space="preserve"> (1897)</w:t>
      </w:r>
      <w:r w:rsidR="004D03AB">
        <w:rPr>
          <w:lang w:val="en-GB"/>
        </w:rPr>
        <w:t>,</w:t>
      </w:r>
      <w:r w:rsidR="0077703F" w:rsidRPr="00C72161">
        <w:rPr>
          <w:lang w:val="en-GB"/>
        </w:rPr>
        <w:t xml:space="preserve"> and </w:t>
      </w:r>
      <w:r w:rsidR="00BD3373">
        <w:rPr>
          <w:lang w:val="en-GB"/>
        </w:rPr>
        <w:t>‘</w:t>
      </w:r>
      <w:r w:rsidR="00BD3373" w:rsidRPr="00C72161">
        <w:rPr>
          <w:lang w:val="en-GB"/>
        </w:rPr>
        <w:t>The Elementary Forms of Religious Life</w:t>
      </w:r>
      <w:r w:rsidR="00BD3373">
        <w:rPr>
          <w:lang w:val="en-GB"/>
        </w:rPr>
        <w:t xml:space="preserve">,’ </w:t>
      </w:r>
      <w:r w:rsidR="0077703F" w:rsidRPr="00C72161">
        <w:rPr>
          <w:lang w:val="en-GB"/>
        </w:rPr>
        <w:t>(1912)</w:t>
      </w:r>
      <w:r w:rsidR="0077703F">
        <w:rPr>
          <w:lang w:val="en-GB"/>
        </w:rPr>
        <w:t>.</w:t>
      </w:r>
      <w:r w:rsidR="0077703F">
        <w:rPr>
          <w:rStyle w:val="Funotenzeichen"/>
          <w:lang w:val="en-GB"/>
        </w:rPr>
        <w:footnoteReference w:id="6"/>
      </w:r>
      <w:r w:rsidR="00E939BA">
        <w:rPr>
          <w:lang w:val="en-GB"/>
        </w:rPr>
        <w:t xml:space="preserve"> </w:t>
      </w:r>
      <w:r w:rsidR="002A52C7">
        <w:rPr>
          <w:lang w:val="en-GB"/>
        </w:rPr>
        <w:t>Field</w:t>
      </w:r>
      <w:r w:rsidR="00ED68B7">
        <w:rPr>
          <w:lang w:val="en-GB"/>
        </w:rPr>
        <w:t>s</w:t>
      </w:r>
      <w:r w:rsidR="002A52C7">
        <w:rPr>
          <w:lang w:val="en-GB"/>
        </w:rPr>
        <w:t xml:space="preserve"> </w:t>
      </w:r>
      <w:r w:rsidR="00BD3373">
        <w:rPr>
          <w:lang w:val="en-GB"/>
        </w:rPr>
        <w:t>wrote that Durkheim</w:t>
      </w:r>
      <w:r w:rsidR="00B57782">
        <w:rPr>
          <w:lang w:val="en-GB"/>
        </w:rPr>
        <w:t xml:space="preserve"> is remembered ‘</w:t>
      </w:r>
      <w:r w:rsidR="00B57782" w:rsidRPr="00E939BA">
        <w:rPr>
          <w:lang w:val="en-GB"/>
        </w:rPr>
        <w:t>as a man who set out to rescue social science from undisciplined subjectivity</w:t>
      </w:r>
      <w:r w:rsidR="00B57782">
        <w:rPr>
          <w:lang w:val="en-GB"/>
        </w:rPr>
        <w:t>’, and that he ‘</w:t>
      </w:r>
      <w:r w:rsidR="00B57782" w:rsidRPr="00E939BA">
        <w:rPr>
          <w:lang w:val="en-GB"/>
        </w:rPr>
        <w:t>chose to explore huge questions about humankind</w:t>
      </w:r>
      <w:r w:rsidR="00B57782">
        <w:rPr>
          <w:lang w:val="en-GB"/>
        </w:rPr>
        <w:t>’.</w:t>
      </w:r>
      <w:r w:rsidR="00B57782">
        <w:rPr>
          <w:rStyle w:val="Funotenzeichen"/>
          <w:lang w:val="en-GB"/>
        </w:rPr>
        <w:footnoteReference w:id="7"/>
      </w:r>
      <w:r w:rsidR="00B57782">
        <w:rPr>
          <w:lang w:val="en-GB"/>
        </w:rPr>
        <w:t xml:space="preserve"> </w:t>
      </w:r>
    </w:p>
    <w:p w14:paraId="3D2BDCDA" w14:textId="77777777" w:rsidR="003A29F2" w:rsidRDefault="003C71F7" w:rsidP="007D6435">
      <w:pPr>
        <w:rPr>
          <w:lang w:val="en-GB"/>
        </w:rPr>
      </w:pPr>
      <w:r>
        <w:rPr>
          <w:lang w:val="en-GB"/>
        </w:rPr>
        <w:t xml:space="preserve">Born </w:t>
      </w:r>
      <w:r w:rsidR="00195CD7">
        <w:rPr>
          <w:lang w:val="en-GB"/>
        </w:rPr>
        <w:t xml:space="preserve">in </w:t>
      </w:r>
      <w:r w:rsidRPr="003C71F7">
        <w:rPr>
          <w:lang w:val="en-GB"/>
        </w:rPr>
        <w:t xml:space="preserve">1907 </w:t>
      </w:r>
      <w:r w:rsidR="00195CD7">
        <w:rPr>
          <w:lang w:val="en-GB"/>
        </w:rPr>
        <w:t xml:space="preserve">and educated </w:t>
      </w:r>
      <w:r w:rsidRPr="003C71F7">
        <w:rPr>
          <w:lang w:val="en-GB"/>
        </w:rPr>
        <w:t xml:space="preserve">in </w:t>
      </w:r>
      <w:r>
        <w:rPr>
          <w:lang w:val="en-GB"/>
        </w:rPr>
        <w:t xml:space="preserve">Romania, </w:t>
      </w:r>
      <w:r w:rsidRPr="003C71F7">
        <w:rPr>
          <w:lang w:val="en-GB"/>
        </w:rPr>
        <w:t xml:space="preserve">Eliade </w:t>
      </w:r>
      <w:r w:rsidR="00195CD7">
        <w:rPr>
          <w:lang w:val="en-GB"/>
        </w:rPr>
        <w:t>later travelled to India for three years and was intrigued by his encounter with India’s religious culture, especially by its rural symbolism, as John Clifford Holt noted</w:t>
      </w:r>
      <w:r w:rsidR="00907309">
        <w:rPr>
          <w:lang w:val="en-GB"/>
        </w:rPr>
        <w:t>. I</w:t>
      </w:r>
      <w:r w:rsidR="00195CD7">
        <w:rPr>
          <w:lang w:val="en-GB"/>
        </w:rPr>
        <w:t>n his introduction to Eliade’s ‘Patterns in Comparative Religion’</w:t>
      </w:r>
      <w:r w:rsidR="00907309">
        <w:rPr>
          <w:lang w:val="en-GB"/>
        </w:rPr>
        <w:t xml:space="preserve">, </w:t>
      </w:r>
      <w:r w:rsidR="00C43BCE">
        <w:rPr>
          <w:lang w:val="en-GB"/>
        </w:rPr>
        <w:t>Holt</w:t>
      </w:r>
      <w:r w:rsidR="00907309">
        <w:rPr>
          <w:lang w:val="en-GB"/>
        </w:rPr>
        <w:t xml:space="preserve"> argued </w:t>
      </w:r>
      <w:r w:rsidR="00195CD7" w:rsidRPr="00195CD7">
        <w:rPr>
          <w:lang w:val="en-GB"/>
        </w:rPr>
        <w:t>that Eliade had one of the most impactful and fruitful scholarly careers in the field of religious studies throughout the twentieth century.</w:t>
      </w:r>
      <w:r w:rsidR="00195CD7">
        <w:rPr>
          <w:rStyle w:val="Funotenzeichen"/>
          <w:lang w:val="en-GB"/>
        </w:rPr>
        <w:footnoteReference w:id="8"/>
      </w:r>
      <w:r w:rsidR="00195CD7">
        <w:rPr>
          <w:lang w:val="en-GB"/>
        </w:rPr>
        <w:t xml:space="preserve"> </w:t>
      </w:r>
      <w:r w:rsidR="006412D6">
        <w:rPr>
          <w:lang w:val="en-GB"/>
        </w:rPr>
        <w:t>Douglas Allan</w:t>
      </w:r>
      <w:r w:rsidR="00907309">
        <w:rPr>
          <w:lang w:val="en-GB"/>
        </w:rPr>
        <w:t xml:space="preserve"> agreed with this</w:t>
      </w:r>
      <w:r w:rsidR="003A29F2">
        <w:rPr>
          <w:lang w:val="en-GB"/>
        </w:rPr>
        <w:t>, writing</w:t>
      </w:r>
      <w:r w:rsidR="00907309">
        <w:rPr>
          <w:lang w:val="en-GB"/>
        </w:rPr>
        <w:t xml:space="preserve"> that </w:t>
      </w:r>
      <w:r w:rsidR="006412D6">
        <w:rPr>
          <w:lang w:val="en-GB"/>
        </w:rPr>
        <w:t xml:space="preserve">Eliade </w:t>
      </w:r>
      <w:r w:rsidRPr="003C71F7">
        <w:rPr>
          <w:lang w:val="en-GB"/>
        </w:rPr>
        <w:t>was seen as the leading theorist of religion and scholar of religious myth and symbolism during his lifetime</w:t>
      </w:r>
      <w:r w:rsidR="002378EF">
        <w:rPr>
          <w:lang w:val="en-GB"/>
        </w:rPr>
        <w:t>.</w:t>
      </w:r>
      <w:r w:rsidR="00BD3373">
        <w:rPr>
          <w:rStyle w:val="Funotenzeichen"/>
          <w:lang w:val="en-GB"/>
        </w:rPr>
        <w:footnoteReference w:id="9"/>
      </w:r>
      <w:r w:rsidR="00174AA2">
        <w:rPr>
          <w:lang w:val="en-GB"/>
        </w:rPr>
        <w:t xml:space="preserve"> </w:t>
      </w:r>
    </w:p>
    <w:p w14:paraId="04169859" w14:textId="698DEBDB" w:rsidR="00DB184B" w:rsidRDefault="001F3303" w:rsidP="00DB184B">
      <w:pPr>
        <w:rPr>
          <w:lang w:val="en-GB"/>
        </w:rPr>
      </w:pPr>
      <w:r>
        <w:rPr>
          <w:lang w:val="en-GB"/>
        </w:rPr>
        <w:t xml:space="preserve">Between Durkheim’s and Eliade’s work, the idea of space as sacred </w:t>
      </w:r>
      <w:r w:rsidR="00DB184B">
        <w:rPr>
          <w:lang w:val="en-GB"/>
        </w:rPr>
        <w:t>entered Western academic thought first through René Guénon, who wrote about the landscape of Glastonbury, UK, considering it connected to the story of the Holy Grail.</w:t>
      </w:r>
      <w:r w:rsidR="00DB184B">
        <w:rPr>
          <w:rStyle w:val="Funotenzeichen"/>
          <w:lang w:val="en-GB"/>
        </w:rPr>
        <w:footnoteReference w:id="10"/>
      </w:r>
      <w:r w:rsidR="00DB184B">
        <w:rPr>
          <w:lang w:val="en-GB"/>
        </w:rPr>
        <w:t xml:space="preserve"> And, only </w:t>
      </w:r>
      <w:r w:rsidR="00A47776">
        <w:rPr>
          <w:lang w:val="en-GB"/>
        </w:rPr>
        <w:t>two</w:t>
      </w:r>
      <w:r w:rsidR="00DB184B">
        <w:rPr>
          <w:lang w:val="en-GB"/>
        </w:rPr>
        <w:t xml:space="preserve"> years later, in 193</w:t>
      </w:r>
      <w:r w:rsidR="00A47776">
        <w:rPr>
          <w:lang w:val="en-GB"/>
        </w:rPr>
        <w:t>8</w:t>
      </w:r>
      <w:r w:rsidR="00DB184B">
        <w:rPr>
          <w:lang w:val="en-GB"/>
        </w:rPr>
        <w:t>, Josef Heinsch wrote a paper titled ‘Principles of Prehistoric Sacred Geography’.</w:t>
      </w:r>
      <w:r w:rsidR="00DB184B">
        <w:rPr>
          <w:rStyle w:val="Funotenzeichen"/>
          <w:lang w:val="en-GB"/>
        </w:rPr>
        <w:footnoteReference w:id="11"/>
      </w:r>
      <w:r w:rsidR="00DB184B">
        <w:rPr>
          <w:lang w:val="en-GB"/>
        </w:rPr>
        <w:t xml:space="preserve"> </w:t>
      </w:r>
    </w:p>
    <w:p w14:paraId="2ACB036E" w14:textId="7E794634" w:rsidR="00BD3373" w:rsidRDefault="007D6435" w:rsidP="00B32CE5">
      <w:pPr>
        <w:rPr>
          <w:lang w:val="en-GB"/>
        </w:rPr>
      </w:pPr>
      <w:r w:rsidRPr="0072118F">
        <w:rPr>
          <w:lang w:val="en-GB"/>
        </w:rPr>
        <w:t xml:space="preserve">In the decades after the </w:t>
      </w:r>
      <w:r w:rsidR="00584662">
        <w:rPr>
          <w:lang w:val="en-GB"/>
        </w:rPr>
        <w:t>works</w:t>
      </w:r>
      <w:r w:rsidR="00DB184B">
        <w:rPr>
          <w:lang w:val="en-GB"/>
        </w:rPr>
        <w:t xml:space="preserve"> of Durkheim and Eliade</w:t>
      </w:r>
      <w:r>
        <w:rPr>
          <w:lang w:val="en-GB"/>
        </w:rPr>
        <w:t>, the</w:t>
      </w:r>
      <w:r w:rsidRPr="0072118F">
        <w:rPr>
          <w:lang w:val="en-GB"/>
        </w:rPr>
        <w:t xml:space="preserve"> concept of sacred space</w:t>
      </w:r>
      <w:r>
        <w:rPr>
          <w:lang w:val="en-GB"/>
        </w:rPr>
        <w:t xml:space="preserve"> </w:t>
      </w:r>
      <w:r w:rsidRPr="0072118F">
        <w:rPr>
          <w:lang w:val="en-GB"/>
        </w:rPr>
        <w:t xml:space="preserve">has served as a foundational framework for all later researchers in the field of sacred geography, </w:t>
      </w:r>
      <w:r>
        <w:rPr>
          <w:lang w:val="en-GB"/>
        </w:rPr>
        <w:t xml:space="preserve">as </w:t>
      </w:r>
      <w:r w:rsidRPr="0072118F">
        <w:rPr>
          <w:lang w:val="en-GB"/>
        </w:rPr>
        <w:t xml:space="preserve">Kim Knott </w:t>
      </w:r>
      <w:r>
        <w:rPr>
          <w:lang w:val="en-GB"/>
        </w:rPr>
        <w:t>stated</w:t>
      </w:r>
      <w:r w:rsidRPr="0072118F">
        <w:rPr>
          <w:lang w:val="en-GB"/>
        </w:rPr>
        <w:t>.</w:t>
      </w:r>
      <w:r>
        <w:rPr>
          <w:rStyle w:val="Funotenzeichen"/>
          <w:lang w:val="en-GB"/>
        </w:rPr>
        <w:footnoteReference w:id="12"/>
      </w:r>
      <w:r w:rsidRPr="0072118F">
        <w:rPr>
          <w:lang w:val="en-GB"/>
        </w:rPr>
        <w:t xml:space="preserve"> </w:t>
      </w:r>
    </w:p>
    <w:p w14:paraId="28519B5E" w14:textId="77777777" w:rsidR="00584662" w:rsidRPr="00B32CE5" w:rsidRDefault="00584662" w:rsidP="00B32CE5">
      <w:pPr>
        <w:rPr>
          <w:lang w:val="en-GB"/>
        </w:rPr>
      </w:pPr>
    </w:p>
    <w:p w14:paraId="0D9AFA18" w14:textId="119737D5" w:rsidR="00C34A50" w:rsidRPr="00DC6811" w:rsidRDefault="00B32CE5" w:rsidP="00C34A50">
      <w:pPr>
        <w:rPr>
          <w:b/>
          <w:bCs/>
          <w:lang w:val="en-GB"/>
        </w:rPr>
      </w:pPr>
      <w:r w:rsidRPr="00457530">
        <w:rPr>
          <w:b/>
          <w:bCs/>
          <w:lang w:val="en-GB"/>
        </w:rPr>
        <w:t>Summar</w:t>
      </w:r>
      <w:r w:rsidR="00DC6811">
        <w:rPr>
          <w:b/>
          <w:bCs/>
          <w:lang w:val="en-GB"/>
        </w:rPr>
        <w:t>y</w:t>
      </w:r>
      <w:r w:rsidR="00C34A50">
        <w:rPr>
          <w:b/>
          <w:bCs/>
          <w:lang w:val="en-GB"/>
        </w:rPr>
        <w:t xml:space="preserve"> of</w:t>
      </w:r>
      <w:r w:rsidR="00C34A50" w:rsidRPr="00DC6811">
        <w:rPr>
          <w:b/>
          <w:bCs/>
          <w:lang w:val="en-GB"/>
        </w:rPr>
        <w:t xml:space="preserve"> Eliade</w:t>
      </w:r>
      <w:r w:rsidR="00853B01">
        <w:rPr>
          <w:b/>
          <w:bCs/>
          <w:lang w:val="en-GB"/>
        </w:rPr>
        <w:t>’s</w:t>
      </w:r>
      <w:r w:rsidR="00C34A50" w:rsidRPr="00DC6811">
        <w:rPr>
          <w:b/>
          <w:bCs/>
          <w:lang w:val="en-GB"/>
        </w:rPr>
        <w:t xml:space="preserve"> and Durkheim’s views of sacred space</w:t>
      </w:r>
    </w:p>
    <w:p w14:paraId="560B1BD4" w14:textId="70B09276" w:rsidR="000F1E92" w:rsidRDefault="00FF4FDE" w:rsidP="00B32CE5">
      <w:pPr>
        <w:rPr>
          <w:lang w:val="en-GB"/>
        </w:rPr>
      </w:pPr>
      <w:r w:rsidRPr="005B4A22">
        <w:rPr>
          <w:lang w:val="en-GB"/>
        </w:rPr>
        <w:t xml:space="preserve">Durkheim </w:t>
      </w:r>
      <w:r>
        <w:rPr>
          <w:lang w:val="en-GB"/>
        </w:rPr>
        <w:t xml:space="preserve">wrote </w:t>
      </w:r>
      <w:r w:rsidRPr="005B4A22">
        <w:rPr>
          <w:lang w:val="en-GB"/>
        </w:rPr>
        <w:t xml:space="preserve">that </w:t>
      </w:r>
      <w:r w:rsidR="00155115">
        <w:rPr>
          <w:lang w:val="en-GB"/>
        </w:rPr>
        <w:t xml:space="preserve">it is </w:t>
      </w:r>
      <w:r w:rsidRPr="005B4A22">
        <w:rPr>
          <w:lang w:val="en-GB"/>
        </w:rPr>
        <w:t xml:space="preserve">human societies </w:t>
      </w:r>
      <w:r w:rsidR="00155115">
        <w:rPr>
          <w:lang w:val="en-GB"/>
        </w:rPr>
        <w:t xml:space="preserve">that </w:t>
      </w:r>
      <w:r w:rsidRPr="005B4A22">
        <w:rPr>
          <w:lang w:val="en-GB"/>
        </w:rPr>
        <w:t>develop the concept of the sacred by distinguishing it from the profane</w:t>
      </w:r>
      <w:r>
        <w:rPr>
          <w:lang w:val="en-GB"/>
        </w:rPr>
        <w:t>, according to Jack Hunter.</w:t>
      </w:r>
      <w:r w:rsidRPr="005B4A22">
        <w:rPr>
          <w:lang w:val="en-GB"/>
        </w:rPr>
        <w:t xml:space="preserve"> This distinction is established within a culture and shapes how people interact with certain objects or places</w:t>
      </w:r>
      <w:r>
        <w:rPr>
          <w:lang w:val="en-GB"/>
        </w:rPr>
        <w:t>.</w:t>
      </w:r>
      <w:r>
        <w:rPr>
          <w:rStyle w:val="Funotenzeichen"/>
          <w:lang w:val="en-GB"/>
        </w:rPr>
        <w:footnoteReference w:id="13"/>
      </w:r>
      <w:r>
        <w:rPr>
          <w:lang w:val="en-GB"/>
        </w:rPr>
        <w:t xml:space="preserve"> Durkheim</w:t>
      </w:r>
      <w:r w:rsidR="009D6041" w:rsidRPr="009E649F">
        <w:rPr>
          <w:lang w:val="en-GB"/>
        </w:rPr>
        <w:t xml:space="preserve"> view</w:t>
      </w:r>
      <w:r>
        <w:rPr>
          <w:lang w:val="en-GB"/>
        </w:rPr>
        <w:t>ed</w:t>
      </w:r>
      <w:r w:rsidR="009D6041" w:rsidRPr="009E649F">
        <w:rPr>
          <w:lang w:val="en-GB"/>
        </w:rPr>
        <w:t xml:space="preserve"> </w:t>
      </w:r>
      <w:r w:rsidR="009D6041">
        <w:rPr>
          <w:lang w:val="en-GB"/>
        </w:rPr>
        <w:t>sacred space</w:t>
      </w:r>
      <w:r>
        <w:rPr>
          <w:lang w:val="en-GB"/>
        </w:rPr>
        <w:t xml:space="preserve"> as holding nothing inherently sacred, Field</w:t>
      </w:r>
      <w:r w:rsidR="008E08FF">
        <w:rPr>
          <w:lang w:val="en-GB"/>
        </w:rPr>
        <w:t>s</w:t>
      </w:r>
      <w:r>
        <w:rPr>
          <w:lang w:val="en-GB"/>
        </w:rPr>
        <w:t xml:space="preserve"> stated</w:t>
      </w:r>
      <w:r w:rsidR="009D6041">
        <w:rPr>
          <w:lang w:val="en-GB"/>
        </w:rPr>
        <w:t>; rather</w:t>
      </w:r>
      <w:r w:rsidR="009D6041" w:rsidRPr="009E649F">
        <w:rPr>
          <w:lang w:val="en-GB"/>
        </w:rPr>
        <w:t xml:space="preserve">, humans </w:t>
      </w:r>
      <w:r>
        <w:rPr>
          <w:lang w:val="en-GB"/>
        </w:rPr>
        <w:t>assign</w:t>
      </w:r>
      <w:r w:rsidR="009D6041" w:rsidRPr="009E649F">
        <w:rPr>
          <w:lang w:val="en-GB"/>
        </w:rPr>
        <w:t xml:space="preserve"> sacredness to objects, places, and individuals through their beliefs and actions.</w:t>
      </w:r>
      <w:r w:rsidR="009D6041">
        <w:rPr>
          <w:rStyle w:val="Funotenzeichen"/>
          <w:lang w:val="en-GB"/>
        </w:rPr>
        <w:footnoteReference w:id="14"/>
      </w:r>
      <w:r w:rsidR="009D6041">
        <w:rPr>
          <w:lang w:val="en-GB"/>
        </w:rPr>
        <w:t xml:space="preserve"> </w:t>
      </w:r>
      <w:r>
        <w:rPr>
          <w:lang w:val="en-GB"/>
        </w:rPr>
        <w:t>Therefore, s</w:t>
      </w:r>
      <w:r w:rsidR="009D6041">
        <w:rPr>
          <w:lang w:val="en-GB"/>
        </w:rPr>
        <w:t>acredness</w:t>
      </w:r>
      <w:r w:rsidR="009D6041" w:rsidRPr="009E649F">
        <w:rPr>
          <w:lang w:val="en-GB"/>
        </w:rPr>
        <w:t xml:space="preserve"> </w:t>
      </w:r>
      <w:r w:rsidR="009D6041">
        <w:rPr>
          <w:lang w:val="en-GB"/>
        </w:rPr>
        <w:t>was</w:t>
      </w:r>
      <w:r w:rsidR="009D6041" w:rsidRPr="009E649F">
        <w:rPr>
          <w:lang w:val="en-GB"/>
        </w:rPr>
        <w:t xml:space="preserve"> a socially constructed phenomenon</w:t>
      </w:r>
      <w:r w:rsidR="009D6041">
        <w:rPr>
          <w:lang w:val="en-GB"/>
        </w:rPr>
        <w:t xml:space="preserve"> to </w:t>
      </w:r>
      <w:r>
        <w:rPr>
          <w:lang w:val="en-GB"/>
        </w:rPr>
        <w:t>Durkheim</w:t>
      </w:r>
      <w:r w:rsidR="009D6041">
        <w:rPr>
          <w:lang w:val="en-GB"/>
        </w:rPr>
        <w:t>, as</w:t>
      </w:r>
      <w:r w:rsidR="001F3303">
        <w:rPr>
          <w:lang w:val="en-GB"/>
        </w:rPr>
        <w:t xml:space="preserve"> </w:t>
      </w:r>
      <w:r w:rsidR="009D6041">
        <w:rPr>
          <w:lang w:val="en-GB"/>
        </w:rPr>
        <w:t>Hunter noted.</w:t>
      </w:r>
      <w:r w:rsidR="009D6041">
        <w:rPr>
          <w:rStyle w:val="Funotenzeichen"/>
          <w:lang w:val="en-GB"/>
        </w:rPr>
        <w:footnoteReference w:id="15"/>
      </w:r>
      <w:r w:rsidR="009D6041">
        <w:rPr>
          <w:lang w:val="en-GB"/>
        </w:rPr>
        <w:t xml:space="preserve"> </w:t>
      </w:r>
    </w:p>
    <w:p w14:paraId="03178970" w14:textId="42669FF4" w:rsidR="001460F5" w:rsidRDefault="009D6041" w:rsidP="00B32CE5">
      <w:pPr>
        <w:rPr>
          <w:lang w:val="en-GB"/>
        </w:rPr>
      </w:pPr>
      <w:r>
        <w:rPr>
          <w:lang w:val="en-GB"/>
        </w:rPr>
        <w:t xml:space="preserve">By contrast, </w:t>
      </w:r>
      <w:r w:rsidR="001F3303">
        <w:rPr>
          <w:lang w:val="en-GB"/>
        </w:rPr>
        <w:t xml:space="preserve">Eliade </w:t>
      </w:r>
      <w:r w:rsidR="001F3303" w:rsidRPr="00526209">
        <w:rPr>
          <w:lang w:val="en-GB"/>
        </w:rPr>
        <w:t>emphasise</w:t>
      </w:r>
      <w:r w:rsidR="001F3303">
        <w:rPr>
          <w:lang w:val="en-GB"/>
        </w:rPr>
        <w:t>d</w:t>
      </w:r>
      <w:r w:rsidR="001F3303" w:rsidRPr="00526209">
        <w:rPr>
          <w:lang w:val="en-GB"/>
        </w:rPr>
        <w:t xml:space="preserve"> </w:t>
      </w:r>
      <w:r w:rsidR="001F3303">
        <w:rPr>
          <w:lang w:val="en-GB"/>
        </w:rPr>
        <w:t xml:space="preserve">the importance of understanding religious experiences through their direct manifestations, calling them </w:t>
      </w:r>
      <w:r w:rsidR="001F3303" w:rsidRPr="00526209">
        <w:rPr>
          <w:lang w:val="en-GB"/>
        </w:rPr>
        <w:t>‘hierophanies’</w:t>
      </w:r>
      <w:r w:rsidR="001F3303" w:rsidRPr="00D87E01">
        <w:rPr>
          <w:lang w:val="en-GB"/>
        </w:rPr>
        <w:t>.</w:t>
      </w:r>
      <w:r w:rsidR="001F3303">
        <w:rPr>
          <w:rStyle w:val="Funotenzeichen"/>
          <w:lang w:val="en-GB"/>
        </w:rPr>
        <w:footnoteReference w:id="16"/>
      </w:r>
      <w:r w:rsidR="001F3303">
        <w:rPr>
          <w:lang w:val="en-GB"/>
        </w:rPr>
        <w:t xml:space="preserve"> He</w:t>
      </w:r>
      <w:r w:rsidRPr="00A25468">
        <w:rPr>
          <w:lang w:val="en-GB"/>
        </w:rPr>
        <w:t xml:space="preserve"> understood the sacred </w:t>
      </w:r>
      <w:r>
        <w:rPr>
          <w:lang w:val="en-GB"/>
        </w:rPr>
        <w:t>as something external to humans, ‘</w:t>
      </w:r>
      <w:r w:rsidRPr="00AC2D74">
        <w:rPr>
          <w:lang w:val="en-GB"/>
        </w:rPr>
        <w:t>which bursts through the profane reality of the natural world</w:t>
      </w:r>
      <w:r>
        <w:rPr>
          <w:lang w:val="en-GB"/>
        </w:rPr>
        <w:t xml:space="preserve">,’ </w:t>
      </w:r>
      <w:r w:rsidR="001F3303">
        <w:rPr>
          <w:lang w:val="en-GB"/>
        </w:rPr>
        <w:t xml:space="preserve">as </w:t>
      </w:r>
      <w:r>
        <w:rPr>
          <w:lang w:val="en-GB"/>
        </w:rPr>
        <w:t>Hunter argued.</w:t>
      </w:r>
      <w:r>
        <w:rPr>
          <w:rStyle w:val="Funotenzeichen"/>
          <w:lang w:val="en-GB"/>
        </w:rPr>
        <w:footnoteReference w:id="17"/>
      </w:r>
      <w:r>
        <w:rPr>
          <w:lang w:val="en-GB"/>
        </w:rPr>
        <w:t xml:space="preserve"> </w:t>
      </w:r>
      <w:r w:rsidR="00155115">
        <w:rPr>
          <w:lang w:val="en-GB"/>
        </w:rPr>
        <w:t>For Eliade, t</w:t>
      </w:r>
      <w:r w:rsidR="000F1E92" w:rsidRPr="000F1E92">
        <w:rPr>
          <w:lang w:val="en-GB"/>
        </w:rPr>
        <w:t>he</w:t>
      </w:r>
      <w:r w:rsidR="000F1E92">
        <w:rPr>
          <w:lang w:val="en-GB"/>
        </w:rPr>
        <w:t xml:space="preserve">re </w:t>
      </w:r>
      <w:r w:rsidR="00155115">
        <w:rPr>
          <w:lang w:val="en-GB"/>
        </w:rPr>
        <w:t>wer</w:t>
      </w:r>
      <w:r w:rsidR="000F1E92">
        <w:rPr>
          <w:lang w:val="en-GB"/>
        </w:rPr>
        <w:t xml:space="preserve">e </w:t>
      </w:r>
      <w:r w:rsidR="000F1E92" w:rsidRPr="000F1E92">
        <w:rPr>
          <w:lang w:val="en-GB"/>
        </w:rPr>
        <w:t xml:space="preserve">various ways in which </w:t>
      </w:r>
      <w:r w:rsidR="000F1E92">
        <w:rPr>
          <w:lang w:val="en-GB"/>
        </w:rPr>
        <w:t>humans c</w:t>
      </w:r>
      <w:r w:rsidR="00155115">
        <w:rPr>
          <w:lang w:val="en-GB"/>
        </w:rPr>
        <w:t>ould</w:t>
      </w:r>
      <w:r w:rsidR="000F1E92" w:rsidRPr="000F1E92">
        <w:rPr>
          <w:lang w:val="en-GB"/>
        </w:rPr>
        <w:t xml:space="preserve"> experience the revelation of sacred </w:t>
      </w:r>
      <w:r w:rsidR="000F1E92">
        <w:rPr>
          <w:lang w:val="en-GB"/>
        </w:rPr>
        <w:t>space</w:t>
      </w:r>
      <w:r w:rsidR="000F1E92" w:rsidRPr="000F1E92">
        <w:rPr>
          <w:lang w:val="en-GB"/>
        </w:rPr>
        <w:t xml:space="preserve">. In each instance, </w:t>
      </w:r>
      <w:r w:rsidR="00AF1C12">
        <w:rPr>
          <w:lang w:val="en-GB"/>
        </w:rPr>
        <w:t xml:space="preserve">in his view, </w:t>
      </w:r>
      <w:r w:rsidR="000F1E92" w:rsidRPr="000F1E92">
        <w:rPr>
          <w:lang w:val="en-GB"/>
        </w:rPr>
        <w:t>the manifestation of the sacred disrupt</w:t>
      </w:r>
      <w:r w:rsidR="00AF1C12">
        <w:rPr>
          <w:lang w:val="en-GB"/>
        </w:rPr>
        <w:t>ed</w:t>
      </w:r>
      <w:r w:rsidR="000F1E92" w:rsidRPr="000F1E92">
        <w:rPr>
          <w:lang w:val="en-GB"/>
        </w:rPr>
        <w:t xml:space="preserve"> the uniformity of space, highlighting a specific point of significance.</w:t>
      </w:r>
      <w:r w:rsidR="000F1E92">
        <w:rPr>
          <w:rStyle w:val="Funotenzeichen"/>
          <w:lang w:val="en-GB"/>
        </w:rPr>
        <w:footnoteReference w:id="18"/>
      </w:r>
    </w:p>
    <w:p w14:paraId="230A521B" w14:textId="766E4227" w:rsidR="00777A7A" w:rsidRDefault="00777A7A">
      <w:pPr>
        <w:rPr>
          <w:b/>
          <w:bCs/>
          <w:lang w:val="en-GB"/>
        </w:rPr>
      </w:pPr>
      <w:r>
        <w:rPr>
          <w:b/>
          <w:bCs/>
          <w:lang w:val="en-GB"/>
        </w:rPr>
        <w:br w:type="page"/>
      </w:r>
    </w:p>
    <w:p w14:paraId="0BCE2D57" w14:textId="3670DE3B" w:rsidR="00B32CE5" w:rsidRPr="002A1C6D" w:rsidRDefault="00B32CE5" w:rsidP="00B32CE5">
      <w:pPr>
        <w:rPr>
          <w:b/>
          <w:bCs/>
          <w:sz w:val="24"/>
          <w:szCs w:val="24"/>
          <w:lang w:val="en-GB"/>
        </w:rPr>
      </w:pPr>
      <w:r w:rsidRPr="002A1C6D">
        <w:rPr>
          <w:b/>
          <w:bCs/>
          <w:sz w:val="24"/>
          <w:szCs w:val="24"/>
          <w:lang w:val="en-GB"/>
        </w:rPr>
        <w:t>Analy</w:t>
      </w:r>
      <w:r w:rsidR="00585FC8" w:rsidRPr="002A1C6D">
        <w:rPr>
          <w:b/>
          <w:bCs/>
          <w:sz w:val="24"/>
          <w:szCs w:val="24"/>
          <w:lang w:val="en-GB"/>
        </w:rPr>
        <w:t>sis</w:t>
      </w:r>
      <w:r w:rsidRPr="002A1C6D">
        <w:rPr>
          <w:b/>
          <w:bCs/>
          <w:sz w:val="24"/>
          <w:szCs w:val="24"/>
          <w:lang w:val="en-GB"/>
        </w:rPr>
        <w:t xml:space="preserve"> </w:t>
      </w:r>
    </w:p>
    <w:p w14:paraId="7A4C2308" w14:textId="2D63BB32" w:rsidR="000B5F37" w:rsidRDefault="00714551" w:rsidP="008A2A43">
      <w:pPr>
        <w:pStyle w:val="Listenabsatz"/>
        <w:numPr>
          <w:ilvl w:val="0"/>
          <w:numId w:val="4"/>
        </w:numPr>
        <w:rPr>
          <w:b/>
          <w:bCs/>
          <w:lang w:val="en-GB"/>
        </w:rPr>
      </w:pPr>
      <w:r>
        <w:rPr>
          <w:b/>
          <w:bCs/>
          <w:lang w:val="en-GB"/>
        </w:rPr>
        <w:t>Sacred</w:t>
      </w:r>
      <w:r w:rsidR="000B5F37">
        <w:rPr>
          <w:b/>
          <w:bCs/>
          <w:lang w:val="en-GB"/>
        </w:rPr>
        <w:t xml:space="preserve"> versus </w:t>
      </w:r>
      <w:r>
        <w:rPr>
          <w:b/>
          <w:bCs/>
          <w:lang w:val="en-GB"/>
        </w:rPr>
        <w:t>profane</w:t>
      </w:r>
      <w:r w:rsidR="000B5F37">
        <w:rPr>
          <w:b/>
          <w:bCs/>
          <w:lang w:val="en-GB"/>
        </w:rPr>
        <w:t xml:space="preserve"> space</w:t>
      </w:r>
    </w:p>
    <w:p w14:paraId="57BA7996" w14:textId="7CE7B84B" w:rsidR="001F3303" w:rsidRDefault="00CB5017" w:rsidP="00A4470A">
      <w:pPr>
        <w:rPr>
          <w:lang w:val="en-GB"/>
        </w:rPr>
      </w:pPr>
      <w:r>
        <w:rPr>
          <w:lang w:val="en-GB"/>
        </w:rPr>
        <w:t xml:space="preserve">It was </w:t>
      </w:r>
      <w:r w:rsidR="000B5F37" w:rsidRPr="000B5F37">
        <w:rPr>
          <w:lang w:val="en-GB"/>
        </w:rPr>
        <w:t xml:space="preserve">Durkheim </w:t>
      </w:r>
      <w:r>
        <w:rPr>
          <w:lang w:val="en-GB"/>
        </w:rPr>
        <w:t xml:space="preserve">who </w:t>
      </w:r>
      <w:r w:rsidR="002C3AD6">
        <w:rPr>
          <w:lang w:val="en-GB"/>
        </w:rPr>
        <w:t>first brought attention to the differentiation between ‘sacred and profane’.</w:t>
      </w:r>
      <w:r w:rsidR="002C3AD6">
        <w:rPr>
          <w:rStyle w:val="Funotenzeichen"/>
          <w:lang w:val="en-GB"/>
        </w:rPr>
        <w:footnoteReference w:id="19"/>
      </w:r>
      <w:r w:rsidR="002C3AD6">
        <w:rPr>
          <w:lang w:val="en-GB"/>
        </w:rPr>
        <w:t xml:space="preserve"> </w:t>
      </w:r>
      <w:r w:rsidR="008E08FF">
        <w:rPr>
          <w:lang w:val="en-GB"/>
        </w:rPr>
        <w:t>Fields</w:t>
      </w:r>
      <w:r w:rsidR="00C807ED">
        <w:rPr>
          <w:lang w:val="en-GB"/>
        </w:rPr>
        <w:t xml:space="preserve"> stated that, for Durkheim, sacred spaces were designated places made sacred by humans, set apart from the profane.</w:t>
      </w:r>
      <w:r w:rsidR="00C807ED">
        <w:rPr>
          <w:rStyle w:val="Funotenzeichen"/>
          <w:lang w:val="en-GB"/>
        </w:rPr>
        <w:footnoteReference w:id="20"/>
      </w:r>
      <w:r w:rsidR="00C807ED">
        <w:rPr>
          <w:lang w:val="en-GB"/>
        </w:rPr>
        <w:t xml:space="preserve"> </w:t>
      </w:r>
      <w:r w:rsidR="00714551">
        <w:rPr>
          <w:lang w:val="en-GB"/>
        </w:rPr>
        <w:t>Therefore, i</w:t>
      </w:r>
      <w:r w:rsidR="001F3303" w:rsidRPr="000B5F37">
        <w:rPr>
          <w:lang w:val="en-GB"/>
        </w:rPr>
        <w:t>n his view, the sacred was consistently distinct from the idea of the profane in human thought.</w:t>
      </w:r>
      <w:r w:rsidR="001F3303">
        <w:rPr>
          <w:rStyle w:val="Funotenzeichen"/>
          <w:lang w:val="en-GB"/>
        </w:rPr>
        <w:footnoteReference w:id="21"/>
      </w:r>
      <w:r w:rsidR="001F3303" w:rsidRPr="000B5F37">
        <w:rPr>
          <w:lang w:val="en-GB"/>
        </w:rPr>
        <w:t xml:space="preserve"> </w:t>
      </w:r>
      <w:r w:rsidR="001F3303">
        <w:rPr>
          <w:lang w:val="en-GB"/>
        </w:rPr>
        <w:t xml:space="preserve">The </w:t>
      </w:r>
      <w:r w:rsidR="000B5F37" w:rsidRPr="000B5F37">
        <w:rPr>
          <w:lang w:val="en-GB"/>
        </w:rPr>
        <w:t>profane</w:t>
      </w:r>
      <w:r w:rsidR="001F3303">
        <w:rPr>
          <w:lang w:val="en-GB"/>
        </w:rPr>
        <w:t xml:space="preserve"> was defined by Durkheim </w:t>
      </w:r>
      <w:r w:rsidR="000B5F37" w:rsidRPr="000B5F37">
        <w:rPr>
          <w:lang w:val="en-GB"/>
        </w:rPr>
        <w:t>as holding no real significance, a merely mundane world</w:t>
      </w:r>
      <w:r w:rsidR="001F3303">
        <w:rPr>
          <w:lang w:val="en-GB"/>
        </w:rPr>
        <w:t xml:space="preserve">. He wrote </w:t>
      </w:r>
      <w:r w:rsidR="000B5F37" w:rsidRPr="000B5F37">
        <w:rPr>
          <w:lang w:val="en-GB"/>
        </w:rPr>
        <w:t>that ‘the sacred forces are not distinguished from the profane merely by their greater intensity; they are different; they have special qualities that the profane have not.’</w:t>
      </w:r>
      <w:r w:rsidR="000B5F37">
        <w:rPr>
          <w:rStyle w:val="Funotenzeichen"/>
          <w:lang w:val="en-GB"/>
        </w:rPr>
        <w:footnoteReference w:id="22"/>
      </w:r>
      <w:r w:rsidR="000B5F37" w:rsidRPr="000B5F37">
        <w:rPr>
          <w:lang w:val="en-GB"/>
        </w:rPr>
        <w:t xml:space="preserve"> </w:t>
      </w:r>
    </w:p>
    <w:p w14:paraId="7D60D5FC" w14:textId="67C020FE" w:rsidR="00EA71A5" w:rsidRDefault="00A4470A" w:rsidP="000B5F37">
      <w:pPr>
        <w:rPr>
          <w:lang w:val="en-GB"/>
        </w:rPr>
      </w:pPr>
      <w:r w:rsidRPr="000B5F37">
        <w:rPr>
          <w:lang w:val="en-GB"/>
        </w:rPr>
        <w:t>Eliade</w:t>
      </w:r>
      <w:r>
        <w:rPr>
          <w:lang w:val="en-GB"/>
        </w:rPr>
        <w:t xml:space="preserve"> </w:t>
      </w:r>
      <w:r w:rsidRPr="000B5F37">
        <w:rPr>
          <w:lang w:val="en-GB"/>
        </w:rPr>
        <w:t>argued along the same lines as Durkheim, writing that</w:t>
      </w:r>
      <w:r>
        <w:rPr>
          <w:lang w:val="en-GB"/>
        </w:rPr>
        <w:t xml:space="preserve"> the sacred</w:t>
      </w:r>
      <w:r w:rsidRPr="000B5F37">
        <w:rPr>
          <w:lang w:val="en-GB"/>
        </w:rPr>
        <w:t xml:space="preserve"> ‘manifests itself, shows itself, as something wholly different from the profane.’</w:t>
      </w:r>
      <w:r>
        <w:rPr>
          <w:rStyle w:val="Funotenzeichen"/>
          <w:lang w:val="en-GB"/>
        </w:rPr>
        <w:footnoteReference w:id="23"/>
      </w:r>
      <w:r w:rsidRPr="000B5F37">
        <w:rPr>
          <w:lang w:val="en-GB"/>
        </w:rPr>
        <w:t xml:space="preserve"> He </w:t>
      </w:r>
      <w:r>
        <w:rPr>
          <w:lang w:val="en-GB"/>
        </w:rPr>
        <w:t xml:space="preserve">even </w:t>
      </w:r>
      <w:r w:rsidR="005B7F3C">
        <w:rPr>
          <w:lang w:val="en-GB"/>
        </w:rPr>
        <w:t>adopted</w:t>
      </w:r>
      <w:r w:rsidRPr="000B5F37">
        <w:rPr>
          <w:lang w:val="en-GB"/>
        </w:rPr>
        <w:t xml:space="preserve"> the terms ‘</w:t>
      </w:r>
      <w:r>
        <w:rPr>
          <w:lang w:val="en-GB"/>
        </w:rPr>
        <w:t xml:space="preserve">the </w:t>
      </w:r>
      <w:r w:rsidRPr="000B5F37">
        <w:rPr>
          <w:lang w:val="en-GB"/>
        </w:rPr>
        <w:t xml:space="preserve">sacred and </w:t>
      </w:r>
      <w:r>
        <w:rPr>
          <w:lang w:val="en-GB"/>
        </w:rPr>
        <w:t xml:space="preserve">the </w:t>
      </w:r>
      <w:r w:rsidRPr="000B5F37">
        <w:rPr>
          <w:lang w:val="en-GB"/>
        </w:rPr>
        <w:t>profane’ and titled one of his books accordingly.</w:t>
      </w:r>
      <w:r>
        <w:rPr>
          <w:rStyle w:val="Funotenzeichen"/>
          <w:lang w:val="en-GB"/>
        </w:rPr>
        <w:footnoteReference w:id="24"/>
      </w:r>
      <w:r w:rsidRPr="000B5F37">
        <w:rPr>
          <w:lang w:val="en-GB"/>
        </w:rPr>
        <w:t xml:space="preserve"> </w:t>
      </w:r>
      <w:r>
        <w:rPr>
          <w:lang w:val="en-GB"/>
        </w:rPr>
        <w:t>However, in a stark contrast to Durkheim, Eliade developed the idea saying that ‘a thing becomes sacred in so far as it embodies (that is, reveals) something other than itself.’</w:t>
      </w:r>
      <w:r>
        <w:rPr>
          <w:rStyle w:val="Funotenzeichen"/>
          <w:lang w:val="en-GB"/>
        </w:rPr>
        <w:footnoteReference w:id="25"/>
      </w:r>
      <w:r>
        <w:rPr>
          <w:lang w:val="en-GB"/>
        </w:rPr>
        <w:t xml:space="preserve"> A</w:t>
      </w:r>
      <w:r w:rsidRPr="000B5F37">
        <w:rPr>
          <w:lang w:val="en-GB"/>
        </w:rPr>
        <w:t xml:space="preserve">ccording to Hunter, </w:t>
      </w:r>
      <w:r>
        <w:rPr>
          <w:lang w:val="en-GB"/>
        </w:rPr>
        <w:t xml:space="preserve">for Eliade, </w:t>
      </w:r>
      <w:r w:rsidRPr="000B5F37">
        <w:rPr>
          <w:lang w:val="en-GB"/>
        </w:rPr>
        <w:t xml:space="preserve">there was something that </w:t>
      </w:r>
      <w:r>
        <w:rPr>
          <w:lang w:val="en-GB"/>
        </w:rPr>
        <w:t>came</w:t>
      </w:r>
      <w:r w:rsidRPr="000B5F37">
        <w:rPr>
          <w:lang w:val="en-GB"/>
        </w:rPr>
        <w:t xml:space="preserve"> from an external, non-human source</w:t>
      </w:r>
      <w:r>
        <w:rPr>
          <w:lang w:val="en-GB"/>
        </w:rPr>
        <w:t>:</w:t>
      </w:r>
      <w:r w:rsidRPr="000B5F37">
        <w:rPr>
          <w:lang w:val="en-GB"/>
        </w:rPr>
        <w:t xml:space="preserve"> The structure of profane and everyday natural reality can be permeated by something of ‘supernatural’ origin.</w:t>
      </w:r>
      <w:r>
        <w:rPr>
          <w:rStyle w:val="Funotenzeichen"/>
          <w:lang w:val="en-GB"/>
        </w:rPr>
        <w:footnoteReference w:id="26"/>
      </w:r>
      <w:r w:rsidRPr="000B5F37">
        <w:rPr>
          <w:lang w:val="en-GB"/>
        </w:rPr>
        <w:t xml:space="preserve"> Therefore, in contrast to Durkheim, for Eliade it was an external power that created sacred space, or to put it in his own words: ‘the hierophany has annulled the homogeneity of space.’</w:t>
      </w:r>
      <w:r>
        <w:rPr>
          <w:rStyle w:val="Funotenzeichen"/>
          <w:lang w:val="en-GB"/>
        </w:rPr>
        <w:footnoteReference w:id="27"/>
      </w:r>
      <w:r>
        <w:rPr>
          <w:lang w:val="en-GB"/>
        </w:rPr>
        <w:t xml:space="preserve"> </w:t>
      </w:r>
    </w:p>
    <w:p w14:paraId="48267557" w14:textId="77777777" w:rsidR="00714551" w:rsidRDefault="00714551" w:rsidP="000B5F37">
      <w:pPr>
        <w:rPr>
          <w:lang w:val="en-GB"/>
        </w:rPr>
      </w:pPr>
    </w:p>
    <w:p w14:paraId="2B53514E" w14:textId="30580E0F" w:rsidR="001F3303" w:rsidRPr="001F3303" w:rsidRDefault="00750C2A" w:rsidP="001F3303">
      <w:pPr>
        <w:pStyle w:val="Listenabsatz"/>
        <w:numPr>
          <w:ilvl w:val="0"/>
          <w:numId w:val="4"/>
        </w:numPr>
        <w:rPr>
          <w:b/>
          <w:bCs/>
          <w:lang w:val="en-GB"/>
        </w:rPr>
      </w:pPr>
      <w:r>
        <w:rPr>
          <w:b/>
          <w:bCs/>
          <w:lang w:val="en-GB"/>
        </w:rPr>
        <w:t>Defining sacred</w:t>
      </w:r>
      <w:r w:rsidR="000C7968">
        <w:rPr>
          <w:b/>
          <w:bCs/>
          <w:lang w:val="en-GB"/>
        </w:rPr>
        <w:t xml:space="preserve"> space</w:t>
      </w:r>
    </w:p>
    <w:p w14:paraId="4F6D01B1" w14:textId="43F99015" w:rsidR="001257D7" w:rsidRDefault="000C7968" w:rsidP="00EA71A5">
      <w:pPr>
        <w:rPr>
          <w:lang w:val="en-GB"/>
        </w:rPr>
      </w:pPr>
      <w:r w:rsidRPr="000B5F37">
        <w:rPr>
          <w:lang w:val="en-GB"/>
        </w:rPr>
        <w:t>Th</w:t>
      </w:r>
      <w:r>
        <w:rPr>
          <w:lang w:val="en-GB"/>
        </w:rPr>
        <w:t>e</w:t>
      </w:r>
      <w:r w:rsidRPr="000B5F37">
        <w:rPr>
          <w:lang w:val="en-GB"/>
        </w:rPr>
        <w:t xml:space="preserve"> relationship </w:t>
      </w:r>
      <w:r>
        <w:rPr>
          <w:lang w:val="en-GB"/>
        </w:rPr>
        <w:t xml:space="preserve">between the sacred and the profane </w:t>
      </w:r>
      <w:r w:rsidRPr="000B5F37">
        <w:rPr>
          <w:lang w:val="en-GB"/>
        </w:rPr>
        <w:t>came with strict boundaries</w:t>
      </w:r>
      <w:r>
        <w:rPr>
          <w:lang w:val="en-GB"/>
        </w:rPr>
        <w:t>, according to Durkheim.</w:t>
      </w:r>
      <w:r>
        <w:rPr>
          <w:rStyle w:val="Funotenzeichen"/>
          <w:lang w:val="en-GB"/>
        </w:rPr>
        <w:footnoteReference w:id="28"/>
      </w:r>
      <w:r w:rsidRPr="000B5F37">
        <w:rPr>
          <w:lang w:val="en-GB"/>
        </w:rPr>
        <w:t xml:space="preserve"> </w:t>
      </w:r>
      <w:r>
        <w:rPr>
          <w:lang w:val="en-GB"/>
        </w:rPr>
        <w:t>He</w:t>
      </w:r>
      <w:r w:rsidR="00A4470A">
        <w:rPr>
          <w:lang w:val="en-GB"/>
        </w:rPr>
        <w:t xml:space="preserve"> viewed s</w:t>
      </w:r>
      <w:r w:rsidR="000B5F37" w:rsidRPr="000B5F37">
        <w:rPr>
          <w:lang w:val="en-GB"/>
        </w:rPr>
        <w:t xml:space="preserve">acred </w:t>
      </w:r>
      <w:r>
        <w:rPr>
          <w:lang w:val="en-GB"/>
        </w:rPr>
        <w:t>places</w:t>
      </w:r>
      <w:r w:rsidR="000B5F37" w:rsidRPr="000B5F37">
        <w:rPr>
          <w:lang w:val="en-GB"/>
        </w:rPr>
        <w:t xml:space="preserve"> </w:t>
      </w:r>
      <w:r w:rsidR="00A4470A">
        <w:rPr>
          <w:lang w:val="en-GB"/>
        </w:rPr>
        <w:t>as</w:t>
      </w:r>
      <w:r w:rsidR="000B5F37" w:rsidRPr="000B5F37">
        <w:rPr>
          <w:lang w:val="en-GB"/>
        </w:rPr>
        <w:t xml:space="preserve"> areas that individuals had designated as holy, distinguishing them from ordinary or secular places.</w:t>
      </w:r>
      <w:r w:rsidR="000B5F37" w:rsidRPr="005B4C69">
        <w:rPr>
          <w:rStyle w:val="Funotenzeichen"/>
          <w:lang w:val="en-GB"/>
        </w:rPr>
        <w:footnoteReference w:id="29"/>
      </w:r>
      <w:r w:rsidR="000B5F37" w:rsidRPr="000B5F37">
        <w:rPr>
          <w:lang w:val="en-GB"/>
        </w:rPr>
        <w:t xml:space="preserve"> </w:t>
      </w:r>
      <w:r w:rsidR="001257D7">
        <w:rPr>
          <w:lang w:val="en-GB"/>
        </w:rPr>
        <w:t xml:space="preserve">Eliade </w:t>
      </w:r>
      <w:r>
        <w:rPr>
          <w:lang w:val="en-GB"/>
        </w:rPr>
        <w:t>disagreed when writing</w:t>
      </w:r>
      <w:r w:rsidR="001257D7">
        <w:rPr>
          <w:lang w:val="en-GB"/>
        </w:rPr>
        <w:t xml:space="preserve"> that </w:t>
      </w:r>
      <w:r w:rsidR="001257D7" w:rsidRPr="00EA71A5">
        <w:rPr>
          <w:lang w:val="en-GB"/>
        </w:rPr>
        <w:t>individuals d</w:t>
      </w:r>
      <w:r>
        <w:rPr>
          <w:lang w:val="en-GB"/>
        </w:rPr>
        <w:t>id</w:t>
      </w:r>
      <w:r w:rsidR="001257D7" w:rsidRPr="00EA71A5">
        <w:rPr>
          <w:lang w:val="en-GB"/>
        </w:rPr>
        <w:t xml:space="preserve"> not have the liberty to select a sacred location; rather, they </w:t>
      </w:r>
      <w:r>
        <w:rPr>
          <w:lang w:val="en-GB"/>
        </w:rPr>
        <w:t xml:space="preserve">needed to </w:t>
      </w:r>
      <w:r w:rsidR="001257D7" w:rsidRPr="00EA71A5">
        <w:rPr>
          <w:lang w:val="en-GB"/>
        </w:rPr>
        <w:t>search for it and discover it through mystical indications</w:t>
      </w:r>
      <w:r w:rsidR="001257D7" w:rsidRPr="00DF1A0F">
        <w:rPr>
          <w:lang w:val="en-GB"/>
        </w:rPr>
        <w:t>.</w:t>
      </w:r>
      <w:r w:rsidR="001257D7">
        <w:rPr>
          <w:rStyle w:val="Funotenzeichen"/>
          <w:lang w:val="en-GB"/>
        </w:rPr>
        <w:footnoteReference w:id="30"/>
      </w:r>
      <w:r w:rsidR="001257D7">
        <w:rPr>
          <w:lang w:val="en-GB"/>
        </w:rPr>
        <w:t xml:space="preserve"> </w:t>
      </w:r>
      <w:r>
        <w:rPr>
          <w:lang w:val="en-GB"/>
        </w:rPr>
        <w:t>According to him</w:t>
      </w:r>
      <w:r w:rsidR="001257D7">
        <w:rPr>
          <w:lang w:val="en-GB"/>
        </w:rPr>
        <w:t xml:space="preserve"> ‘</w:t>
      </w:r>
      <w:r w:rsidR="001257D7" w:rsidRPr="00EA71A5">
        <w:rPr>
          <w:lang w:val="en-GB"/>
        </w:rPr>
        <w:t>Every sacred space implies a hierophany, an interruption of the sacred that results in detaching a territory from the surrounding cosmic milieu and making it qualitatively different.</w:t>
      </w:r>
      <w:r w:rsidR="001257D7">
        <w:rPr>
          <w:lang w:val="en-GB"/>
        </w:rPr>
        <w:t>’</w:t>
      </w:r>
      <w:r w:rsidR="001257D7">
        <w:rPr>
          <w:rStyle w:val="Funotenzeichen"/>
          <w:lang w:val="en-GB"/>
        </w:rPr>
        <w:footnoteReference w:id="31"/>
      </w:r>
      <w:r w:rsidR="001257D7" w:rsidRPr="00EA71A5">
        <w:rPr>
          <w:lang w:val="en-GB"/>
        </w:rPr>
        <w:t xml:space="preserve"> </w:t>
      </w:r>
    </w:p>
    <w:p w14:paraId="3CFBEE02" w14:textId="787A1DDB" w:rsidR="00A26EC6" w:rsidRDefault="001257D7" w:rsidP="000B5F37">
      <w:pPr>
        <w:rPr>
          <w:lang w:val="en-GB"/>
        </w:rPr>
      </w:pPr>
      <w:r>
        <w:rPr>
          <w:lang w:val="en-GB"/>
        </w:rPr>
        <w:t>Both</w:t>
      </w:r>
      <w:r w:rsidR="00C52C56">
        <w:rPr>
          <w:lang w:val="en-GB"/>
        </w:rPr>
        <w:t xml:space="preserve"> Eliade and Durkheim</w:t>
      </w:r>
      <w:r w:rsidR="000C7968">
        <w:rPr>
          <w:lang w:val="en-GB"/>
        </w:rPr>
        <w:t xml:space="preserve"> </w:t>
      </w:r>
      <w:r>
        <w:rPr>
          <w:lang w:val="en-GB"/>
        </w:rPr>
        <w:t xml:space="preserve">are </w:t>
      </w:r>
      <w:r w:rsidR="000B5F37" w:rsidRPr="000B5F37">
        <w:rPr>
          <w:lang w:val="en-GB"/>
        </w:rPr>
        <w:t>in accordance with what Anthony Thorley and Celia M. Gunn noted about the Latin word ‘sacer’, stating that it lies at the root of the English word ‘sacred’, which typically means ‘set apart for a religious purpose.'</w:t>
      </w:r>
      <w:r w:rsidR="000C7968">
        <w:rPr>
          <w:lang w:val="en-GB"/>
        </w:rPr>
        <w:t xml:space="preserve"> However, the word ‘sacred’</w:t>
      </w:r>
      <w:r w:rsidR="000C7968" w:rsidRPr="00A05F48">
        <w:rPr>
          <w:lang w:val="en-GB"/>
        </w:rPr>
        <w:t xml:space="preserve"> also </w:t>
      </w:r>
      <w:r w:rsidR="000C7968">
        <w:rPr>
          <w:lang w:val="en-GB"/>
        </w:rPr>
        <w:t>has</w:t>
      </w:r>
      <w:r w:rsidR="000C7968" w:rsidRPr="00A05F48">
        <w:rPr>
          <w:lang w:val="en-GB"/>
        </w:rPr>
        <w:t xml:space="preserve"> </w:t>
      </w:r>
      <w:r w:rsidR="000C7968">
        <w:rPr>
          <w:lang w:val="en-GB"/>
        </w:rPr>
        <w:t>connotations, such as ‘damned, detestable, or dreadful’.</w:t>
      </w:r>
      <w:r w:rsidR="000C7968">
        <w:rPr>
          <w:rStyle w:val="Funotenzeichen"/>
          <w:lang w:val="en-GB"/>
        </w:rPr>
        <w:footnoteReference w:id="32"/>
      </w:r>
      <w:r w:rsidR="000C7968">
        <w:rPr>
          <w:lang w:val="en-GB"/>
        </w:rPr>
        <w:t xml:space="preserve"> Therefore, in Durkheim’s view, </w:t>
      </w:r>
      <w:r w:rsidR="000C7968" w:rsidRPr="000B5F37">
        <w:rPr>
          <w:lang w:val="en-GB"/>
        </w:rPr>
        <w:t>the profane had to avoid trespassing into the sacred realm</w:t>
      </w:r>
      <w:r w:rsidR="00C52C56">
        <w:rPr>
          <w:lang w:val="en-GB"/>
        </w:rPr>
        <w:t xml:space="preserve">, yet, </w:t>
      </w:r>
      <w:r w:rsidR="000C7968" w:rsidRPr="000B5F37">
        <w:rPr>
          <w:lang w:val="en-GB"/>
        </w:rPr>
        <w:t xml:space="preserve">interactions between these two spheres </w:t>
      </w:r>
      <w:r w:rsidR="000C7968">
        <w:rPr>
          <w:lang w:val="en-GB"/>
        </w:rPr>
        <w:t>were</w:t>
      </w:r>
      <w:r w:rsidR="000C7968" w:rsidRPr="000B5F37">
        <w:rPr>
          <w:lang w:val="en-GB"/>
        </w:rPr>
        <w:t xml:space="preserve"> essential for a functional society</w:t>
      </w:r>
      <w:r w:rsidR="000C7968">
        <w:rPr>
          <w:lang w:val="en-GB"/>
        </w:rPr>
        <w:t>.</w:t>
      </w:r>
      <w:r w:rsidR="000C7968">
        <w:rPr>
          <w:rStyle w:val="Funotenzeichen"/>
          <w:lang w:val="en-GB"/>
        </w:rPr>
        <w:footnoteReference w:id="33"/>
      </w:r>
      <w:r w:rsidR="000C7968" w:rsidRPr="000B5F37">
        <w:rPr>
          <w:lang w:val="en-GB"/>
        </w:rPr>
        <w:t xml:space="preserve"> </w:t>
      </w:r>
    </w:p>
    <w:p w14:paraId="119F8812" w14:textId="77777777" w:rsidR="000C7968" w:rsidRPr="000B5F37" w:rsidRDefault="000C7968" w:rsidP="000B5F37">
      <w:pPr>
        <w:rPr>
          <w:lang w:val="en-GB"/>
        </w:rPr>
      </w:pPr>
    </w:p>
    <w:p w14:paraId="4708DD78" w14:textId="2DFD0567" w:rsidR="000B5F37" w:rsidRPr="00A26EC6" w:rsidRDefault="000B5F37" w:rsidP="00A26EC6">
      <w:pPr>
        <w:pStyle w:val="Listenabsatz"/>
        <w:numPr>
          <w:ilvl w:val="0"/>
          <w:numId w:val="4"/>
        </w:numPr>
        <w:rPr>
          <w:b/>
          <w:bCs/>
          <w:lang w:val="en-GB"/>
        </w:rPr>
      </w:pPr>
      <w:r w:rsidRPr="00A26EC6">
        <w:rPr>
          <w:b/>
          <w:bCs/>
          <w:lang w:val="en-GB"/>
        </w:rPr>
        <w:t xml:space="preserve">The </w:t>
      </w:r>
      <w:r w:rsidR="0036548C">
        <w:rPr>
          <w:b/>
          <w:bCs/>
          <w:lang w:val="en-GB"/>
        </w:rPr>
        <w:t>experience of sacred space</w:t>
      </w:r>
    </w:p>
    <w:p w14:paraId="5C0440B2" w14:textId="4B0B2900" w:rsidR="00BA615F" w:rsidRDefault="00105A09" w:rsidP="000F2140">
      <w:pPr>
        <w:rPr>
          <w:lang w:val="en-GB"/>
        </w:rPr>
      </w:pPr>
      <w:r>
        <w:rPr>
          <w:lang w:val="en-GB"/>
        </w:rPr>
        <w:t>Durkheim</w:t>
      </w:r>
      <w:r w:rsidRPr="00105A09">
        <w:rPr>
          <w:lang w:val="en-GB"/>
        </w:rPr>
        <w:t xml:space="preserve"> argue</w:t>
      </w:r>
      <w:r>
        <w:rPr>
          <w:lang w:val="en-GB"/>
        </w:rPr>
        <w:t>d</w:t>
      </w:r>
      <w:r w:rsidRPr="00105A09">
        <w:rPr>
          <w:lang w:val="en-GB"/>
        </w:rPr>
        <w:t xml:space="preserve"> that society, simply through its influence on people's minds, has everything necessary to evoke a sense of the divine.</w:t>
      </w:r>
      <w:r w:rsidR="003E6C52">
        <w:rPr>
          <w:rStyle w:val="Funotenzeichen"/>
          <w:lang w:val="en-GB"/>
        </w:rPr>
        <w:footnoteReference w:id="34"/>
      </w:r>
      <w:r>
        <w:rPr>
          <w:lang w:val="en-GB"/>
        </w:rPr>
        <w:t xml:space="preserve"> F</w:t>
      </w:r>
      <w:r w:rsidR="00BA615F">
        <w:rPr>
          <w:lang w:val="en-GB"/>
        </w:rPr>
        <w:t xml:space="preserve">or </w:t>
      </w:r>
      <w:r w:rsidR="00545EC5" w:rsidRPr="00D87E01">
        <w:rPr>
          <w:lang w:val="en-GB"/>
        </w:rPr>
        <w:t xml:space="preserve">Eliade, </w:t>
      </w:r>
      <w:r w:rsidR="00545EC5">
        <w:rPr>
          <w:lang w:val="en-GB"/>
        </w:rPr>
        <w:t xml:space="preserve">the </w:t>
      </w:r>
      <w:r w:rsidR="0036548C">
        <w:rPr>
          <w:lang w:val="en-GB"/>
        </w:rPr>
        <w:t>experience or interaction between the realms of the sacred and the profane was</w:t>
      </w:r>
      <w:r w:rsidR="00545EC5">
        <w:rPr>
          <w:lang w:val="en-GB"/>
        </w:rPr>
        <w:t xml:space="preserve"> connected to the fundamental concept of a centre,</w:t>
      </w:r>
      <w:r>
        <w:rPr>
          <w:lang w:val="en-GB"/>
        </w:rPr>
        <w:t xml:space="preserve"> </w:t>
      </w:r>
      <w:r w:rsidR="00545EC5">
        <w:rPr>
          <w:lang w:val="en-GB"/>
        </w:rPr>
        <w:t>from which the four horizons extend into the four cardinal directions, and is both ancient and widely shared</w:t>
      </w:r>
      <w:r w:rsidR="00545EC5" w:rsidRPr="00BC6901">
        <w:rPr>
          <w:lang w:val="en-GB"/>
        </w:rPr>
        <w:t>.</w:t>
      </w:r>
      <w:r w:rsidR="00545EC5">
        <w:rPr>
          <w:rStyle w:val="Funotenzeichen"/>
          <w:lang w:val="en-GB"/>
        </w:rPr>
        <w:footnoteReference w:id="35"/>
      </w:r>
      <w:r w:rsidR="00545EC5">
        <w:rPr>
          <w:lang w:val="en-GB"/>
        </w:rPr>
        <w:t xml:space="preserve"> He argued that the centre as a central axis created a break in the many-faceted profane space, allowing for communication with the transcendent.</w:t>
      </w:r>
      <w:r w:rsidR="00545EC5">
        <w:rPr>
          <w:rStyle w:val="Funotenzeichen"/>
          <w:lang w:val="en-GB"/>
        </w:rPr>
        <w:footnoteReference w:id="36"/>
      </w:r>
      <w:r w:rsidR="00545EC5">
        <w:rPr>
          <w:lang w:val="en-GB"/>
        </w:rPr>
        <w:t xml:space="preserve"> </w:t>
      </w:r>
      <w:r w:rsidR="00BA615F">
        <w:rPr>
          <w:lang w:val="en-GB"/>
        </w:rPr>
        <w:t>In his view, it</w:t>
      </w:r>
      <w:r w:rsidR="00545EC5">
        <w:rPr>
          <w:lang w:val="en-GB"/>
        </w:rPr>
        <w:t xml:space="preserve"> was this experience of sacred space that allowed for the world to be created: ‘</w:t>
      </w:r>
      <w:r w:rsidR="00545EC5" w:rsidRPr="00261D32">
        <w:rPr>
          <w:lang w:val="en-GB"/>
        </w:rPr>
        <w:t>the sacred manifests itself in space, the real unveils itself, the world comes into existence.</w:t>
      </w:r>
      <w:r w:rsidR="00545EC5">
        <w:rPr>
          <w:lang w:val="en-GB"/>
        </w:rPr>
        <w:t>’</w:t>
      </w:r>
      <w:r w:rsidR="00545EC5">
        <w:rPr>
          <w:rStyle w:val="Funotenzeichen"/>
          <w:lang w:val="en-GB"/>
        </w:rPr>
        <w:footnoteReference w:id="37"/>
      </w:r>
      <w:r w:rsidR="00545EC5">
        <w:rPr>
          <w:lang w:val="en-GB"/>
        </w:rPr>
        <w:t xml:space="preserve"> Therefore, for Eliade, </w:t>
      </w:r>
      <w:r w:rsidR="0036548C">
        <w:rPr>
          <w:lang w:val="en-GB"/>
        </w:rPr>
        <w:t>the experience of the divine</w:t>
      </w:r>
      <w:r w:rsidR="00545EC5">
        <w:rPr>
          <w:lang w:val="en-GB"/>
        </w:rPr>
        <w:t xml:space="preserve"> occurred at a centre which was ‘a primary </w:t>
      </w:r>
      <w:r w:rsidR="00545EC5" w:rsidRPr="003F4F33">
        <w:rPr>
          <w:lang w:val="en-GB"/>
        </w:rPr>
        <w:t>religious experience that precedes all reflection on the world</w:t>
      </w:r>
      <w:r w:rsidR="00545EC5">
        <w:rPr>
          <w:lang w:val="en-GB"/>
        </w:rPr>
        <w:t>’ and was the precondition for the world to orient itself.</w:t>
      </w:r>
      <w:r w:rsidR="00545EC5">
        <w:rPr>
          <w:rStyle w:val="Funotenzeichen"/>
          <w:lang w:val="en-GB"/>
        </w:rPr>
        <w:footnoteReference w:id="38"/>
      </w:r>
      <w:r w:rsidR="00545EC5">
        <w:rPr>
          <w:lang w:val="en-GB"/>
        </w:rPr>
        <w:t xml:space="preserve"> </w:t>
      </w:r>
    </w:p>
    <w:p w14:paraId="40B8D24B" w14:textId="300DB1EA" w:rsidR="00EC7D78" w:rsidRDefault="00450802" w:rsidP="00A37117">
      <w:pPr>
        <w:rPr>
          <w:lang w:val="en-GB"/>
        </w:rPr>
      </w:pPr>
      <w:r>
        <w:rPr>
          <w:lang w:val="en-GB"/>
        </w:rPr>
        <w:t xml:space="preserve">Bernadette </w:t>
      </w:r>
      <w:r w:rsidR="00545EC5" w:rsidRPr="00936E6D">
        <w:rPr>
          <w:lang w:val="en-GB"/>
        </w:rPr>
        <w:t xml:space="preserve">Brady </w:t>
      </w:r>
      <w:r>
        <w:rPr>
          <w:lang w:val="en-GB"/>
        </w:rPr>
        <w:t>stated</w:t>
      </w:r>
      <w:r w:rsidR="00545EC5" w:rsidRPr="00936E6D">
        <w:rPr>
          <w:lang w:val="en-GB"/>
        </w:rPr>
        <w:t xml:space="preserve"> that</w:t>
      </w:r>
      <w:r w:rsidR="00545EC5">
        <w:rPr>
          <w:lang w:val="en-GB"/>
        </w:rPr>
        <w:t>, according to Aristotle, being in one's rightful position</w:t>
      </w:r>
      <w:r w:rsidR="00545EC5" w:rsidRPr="00936E6D">
        <w:rPr>
          <w:lang w:val="en-GB"/>
        </w:rPr>
        <w:t xml:space="preserve"> involves feeling whole and complete</w:t>
      </w:r>
      <w:r w:rsidR="00545EC5">
        <w:rPr>
          <w:lang w:val="en-GB"/>
        </w:rPr>
        <w:t>. There, the calm and stability of a centre can be experienced.</w:t>
      </w:r>
      <w:r w:rsidR="00545EC5">
        <w:rPr>
          <w:rStyle w:val="Funotenzeichen"/>
          <w:lang w:val="en-GB"/>
        </w:rPr>
        <w:footnoteReference w:id="39"/>
      </w:r>
      <w:r w:rsidR="00545EC5">
        <w:rPr>
          <w:lang w:val="en-GB"/>
        </w:rPr>
        <w:t xml:space="preserve"> Eliade’s view </w:t>
      </w:r>
      <w:r w:rsidR="00A37117">
        <w:rPr>
          <w:lang w:val="en-GB"/>
        </w:rPr>
        <w:t>that</w:t>
      </w:r>
      <w:r w:rsidR="00B675E5">
        <w:rPr>
          <w:lang w:val="en-GB"/>
        </w:rPr>
        <w:t xml:space="preserve"> </w:t>
      </w:r>
      <w:r w:rsidR="00A37117">
        <w:rPr>
          <w:lang w:val="en-GB"/>
        </w:rPr>
        <w:t>at the centre of the world,</w:t>
      </w:r>
      <w:r w:rsidR="00B675E5">
        <w:rPr>
          <w:lang w:val="en-GB"/>
        </w:rPr>
        <w:t xml:space="preserve"> where the</w:t>
      </w:r>
      <w:r w:rsidR="00A37117">
        <w:rPr>
          <w:lang w:val="en-GB"/>
        </w:rPr>
        <w:t xml:space="preserve"> cosmos began to exist</w:t>
      </w:r>
      <w:r w:rsidR="00B675E5">
        <w:rPr>
          <w:lang w:val="en-GB"/>
        </w:rPr>
        <w:t xml:space="preserve"> and</w:t>
      </w:r>
      <w:r w:rsidR="00A37117">
        <w:rPr>
          <w:lang w:val="en-GB"/>
        </w:rPr>
        <w:t xml:space="preserve"> spread out toward the four horizons, it was possible to communicate with the divine, </w:t>
      </w:r>
      <w:r w:rsidR="00B675E5">
        <w:rPr>
          <w:lang w:val="en-GB"/>
        </w:rPr>
        <w:t xml:space="preserve">is </w:t>
      </w:r>
      <w:r w:rsidR="004B7793">
        <w:rPr>
          <w:lang w:val="en-GB"/>
        </w:rPr>
        <w:t xml:space="preserve">indeed </w:t>
      </w:r>
      <w:r w:rsidR="00A37117">
        <w:rPr>
          <w:lang w:val="en-GB"/>
        </w:rPr>
        <w:t>rem</w:t>
      </w:r>
      <w:r w:rsidR="00B675E5">
        <w:rPr>
          <w:lang w:val="en-GB"/>
        </w:rPr>
        <w:t>iniscent</w:t>
      </w:r>
      <w:r w:rsidR="00A37117">
        <w:rPr>
          <w:lang w:val="en-GB"/>
        </w:rPr>
        <w:t xml:space="preserve"> of Aristotle.</w:t>
      </w:r>
      <w:r w:rsidR="00A37117">
        <w:rPr>
          <w:rStyle w:val="Funotenzeichen"/>
          <w:lang w:val="en-GB"/>
        </w:rPr>
        <w:footnoteReference w:id="40"/>
      </w:r>
      <w:r w:rsidR="00A37117">
        <w:rPr>
          <w:lang w:val="en-GB"/>
        </w:rPr>
        <w:t xml:space="preserve"> Aristotle </w:t>
      </w:r>
      <w:r w:rsidR="00545EC5">
        <w:rPr>
          <w:lang w:val="en-GB"/>
        </w:rPr>
        <w:t xml:space="preserve">wrote </w:t>
      </w:r>
      <w:r w:rsidR="00EC7D78">
        <w:rPr>
          <w:lang w:val="en-GB"/>
        </w:rPr>
        <w:t>‘</w:t>
      </w:r>
      <w:r w:rsidR="00677026" w:rsidRPr="00677026">
        <w:rPr>
          <w:lang w:val="en-GB"/>
        </w:rPr>
        <w:t>every sensible body has locality, and the distinctions between localities are ‘above and below,’ ‘before and behind,’ and ‘to right and to left’; and these distinctions are not merely relative to us or conventional, but are denned in the universe itself.</w:t>
      </w:r>
      <w:r w:rsidR="00EC7D78">
        <w:rPr>
          <w:lang w:val="en-GB"/>
        </w:rPr>
        <w:t>’</w:t>
      </w:r>
      <w:r w:rsidR="00EC7D78">
        <w:rPr>
          <w:rStyle w:val="Funotenzeichen"/>
          <w:lang w:val="en-GB"/>
        </w:rPr>
        <w:footnoteReference w:id="41"/>
      </w:r>
    </w:p>
    <w:p w14:paraId="5202EE6B" w14:textId="1525DB4F" w:rsidR="000A307F" w:rsidRDefault="00545EC5" w:rsidP="00A37117">
      <w:pPr>
        <w:rPr>
          <w:lang w:val="en-GB"/>
        </w:rPr>
      </w:pPr>
      <w:r>
        <w:rPr>
          <w:lang w:val="en-GB"/>
        </w:rPr>
        <w:t>Therefore, to find common ground between Eliade and Durkheim regarding the interaction between the realms of the sacred and the profane, Brady’s proposed strategy of seeking dialogue with place could be followed.</w:t>
      </w:r>
      <w:r>
        <w:rPr>
          <w:rStyle w:val="Funotenzeichen"/>
          <w:lang w:val="en-GB"/>
        </w:rPr>
        <w:footnoteReference w:id="42"/>
      </w:r>
      <w:r>
        <w:rPr>
          <w:lang w:val="en-GB"/>
        </w:rPr>
        <w:t xml:space="preserve"> </w:t>
      </w:r>
      <w:r w:rsidR="0046041B">
        <w:rPr>
          <w:lang w:val="en-GB"/>
        </w:rPr>
        <w:t>In this kind of interaction,</w:t>
      </w:r>
      <w:r w:rsidR="0046041B" w:rsidRPr="0046041B">
        <w:rPr>
          <w:lang w:val="en-GB"/>
        </w:rPr>
        <w:t xml:space="preserve"> </w:t>
      </w:r>
      <w:r w:rsidR="00AD6200">
        <w:rPr>
          <w:lang w:val="en-GB"/>
        </w:rPr>
        <w:t>Amy Whitehead argued, the</w:t>
      </w:r>
      <w:r w:rsidR="0046041B" w:rsidRPr="0046041B">
        <w:rPr>
          <w:lang w:val="en-GB"/>
        </w:rPr>
        <w:t xml:space="preserve"> lines between the sacred and the profane can </w:t>
      </w:r>
      <w:r w:rsidR="00AD6200">
        <w:rPr>
          <w:lang w:val="en-GB"/>
        </w:rPr>
        <w:t>blur, creating</w:t>
      </w:r>
      <w:r w:rsidR="0046041B">
        <w:rPr>
          <w:lang w:val="en-GB"/>
        </w:rPr>
        <w:t xml:space="preserve"> new</w:t>
      </w:r>
      <w:r w:rsidR="0046041B" w:rsidRPr="0046041B">
        <w:rPr>
          <w:lang w:val="en-GB"/>
        </w:rPr>
        <w:t xml:space="preserve"> opportunities for both humans and non-human entities to enter into distinctive forms of shared existence</w:t>
      </w:r>
      <w:r w:rsidR="0046041B">
        <w:rPr>
          <w:lang w:val="en-GB"/>
        </w:rPr>
        <w:t>.</w:t>
      </w:r>
      <w:r w:rsidR="0046041B">
        <w:rPr>
          <w:rStyle w:val="Funotenzeichen"/>
          <w:lang w:val="en-GB"/>
        </w:rPr>
        <w:footnoteReference w:id="43"/>
      </w:r>
      <w:r w:rsidR="004B7793">
        <w:rPr>
          <w:lang w:val="en-GB"/>
        </w:rPr>
        <w:t xml:space="preserve"> </w:t>
      </w:r>
    </w:p>
    <w:p w14:paraId="098C995D" w14:textId="7BA90ADB" w:rsidR="00DF58F5" w:rsidRDefault="00DF58F5">
      <w:pPr>
        <w:rPr>
          <w:lang w:val="en-GB"/>
        </w:rPr>
      </w:pPr>
      <w:r>
        <w:rPr>
          <w:lang w:val="en-GB"/>
        </w:rPr>
        <w:br w:type="page"/>
      </w:r>
    </w:p>
    <w:p w14:paraId="30C14438" w14:textId="76C07ACC" w:rsidR="00BA615F" w:rsidRPr="00BA615F" w:rsidRDefault="00BA615F" w:rsidP="00BA615F">
      <w:pPr>
        <w:pStyle w:val="Listenabsatz"/>
        <w:numPr>
          <w:ilvl w:val="0"/>
          <w:numId w:val="4"/>
        </w:numPr>
        <w:rPr>
          <w:b/>
          <w:bCs/>
          <w:lang w:val="en-GB"/>
        </w:rPr>
      </w:pPr>
      <w:r w:rsidRPr="00BA615F">
        <w:rPr>
          <w:b/>
          <w:bCs/>
          <w:lang w:val="en-GB"/>
        </w:rPr>
        <w:t>The real</w:t>
      </w:r>
    </w:p>
    <w:p w14:paraId="454BC321" w14:textId="16555444" w:rsidR="00417C13" w:rsidRDefault="002F4291" w:rsidP="002F4291">
      <w:pPr>
        <w:rPr>
          <w:lang w:val="en-GB"/>
        </w:rPr>
      </w:pPr>
      <w:r w:rsidRPr="002F4291">
        <w:rPr>
          <w:lang w:val="en-GB"/>
        </w:rPr>
        <w:t>The ideas proposed by Durkheim and Eliade about the experience of the sacred led them to frequently use the word ‘real’. It appear</w:t>
      </w:r>
      <w:r w:rsidR="00CE0EDA">
        <w:rPr>
          <w:lang w:val="en-GB"/>
        </w:rPr>
        <w:t>ed</w:t>
      </w:r>
      <w:r w:rsidRPr="002F4291">
        <w:rPr>
          <w:lang w:val="en-GB"/>
        </w:rPr>
        <w:t xml:space="preserve"> in connection with the power that </w:t>
      </w:r>
      <w:r>
        <w:rPr>
          <w:lang w:val="en-GB"/>
        </w:rPr>
        <w:t>is</w:t>
      </w:r>
      <w:r w:rsidRPr="002F4291">
        <w:rPr>
          <w:lang w:val="en-GB"/>
        </w:rPr>
        <w:t xml:space="preserve"> </w:t>
      </w:r>
      <w:r>
        <w:rPr>
          <w:lang w:val="en-GB"/>
        </w:rPr>
        <w:t>experienced</w:t>
      </w:r>
      <w:r w:rsidRPr="002F4291">
        <w:rPr>
          <w:lang w:val="en-GB"/>
        </w:rPr>
        <w:t xml:space="preserve"> </w:t>
      </w:r>
      <w:r w:rsidR="00D372FD">
        <w:rPr>
          <w:lang w:val="en-GB"/>
        </w:rPr>
        <w:t>in relation to the</w:t>
      </w:r>
      <w:r w:rsidRPr="002F4291">
        <w:rPr>
          <w:lang w:val="en-GB"/>
        </w:rPr>
        <w:t xml:space="preserve"> sacred:</w:t>
      </w:r>
      <w:r>
        <w:rPr>
          <w:lang w:val="en-GB"/>
        </w:rPr>
        <w:t xml:space="preserve"> </w:t>
      </w:r>
      <w:r w:rsidR="004600B1">
        <w:rPr>
          <w:lang w:val="en-GB"/>
        </w:rPr>
        <w:t xml:space="preserve">Durkheim claimed </w:t>
      </w:r>
      <w:r w:rsidR="004600B1" w:rsidRPr="000A307F">
        <w:rPr>
          <w:lang w:val="en-GB"/>
        </w:rPr>
        <w:t xml:space="preserve">that power is felt during </w:t>
      </w:r>
      <w:r w:rsidR="004600B1">
        <w:rPr>
          <w:lang w:val="en-GB"/>
        </w:rPr>
        <w:t>‘</w:t>
      </w:r>
      <w:r w:rsidR="004600B1" w:rsidRPr="000A307F">
        <w:rPr>
          <w:lang w:val="en-GB"/>
        </w:rPr>
        <w:t>the cyclically repetitive performance of rites,</w:t>
      </w:r>
      <w:r w:rsidR="004600B1">
        <w:rPr>
          <w:lang w:val="en-GB"/>
        </w:rPr>
        <w:t>’</w:t>
      </w:r>
      <w:r w:rsidR="004600B1" w:rsidRPr="000A307F">
        <w:rPr>
          <w:lang w:val="en-GB"/>
        </w:rPr>
        <w:t xml:space="preserve"> as noted by Fields</w:t>
      </w:r>
      <w:r w:rsidR="004600B1">
        <w:rPr>
          <w:lang w:val="en-GB"/>
        </w:rPr>
        <w:t>,</w:t>
      </w:r>
      <w:r w:rsidR="004600B1">
        <w:rPr>
          <w:rStyle w:val="Funotenzeichen"/>
          <w:lang w:val="en-GB"/>
        </w:rPr>
        <w:footnoteReference w:id="44"/>
      </w:r>
      <w:r w:rsidR="004600B1">
        <w:rPr>
          <w:lang w:val="en-GB"/>
        </w:rPr>
        <w:t xml:space="preserve"> and</w:t>
      </w:r>
      <w:r w:rsidR="004600B1" w:rsidRPr="000A307F">
        <w:rPr>
          <w:lang w:val="en-GB"/>
        </w:rPr>
        <w:t xml:space="preserve"> Eliade describe</w:t>
      </w:r>
      <w:r w:rsidR="004600B1">
        <w:rPr>
          <w:lang w:val="en-GB"/>
        </w:rPr>
        <w:t>d</w:t>
      </w:r>
      <w:r w:rsidR="004600B1" w:rsidRPr="000A307F">
        <w:rPr>
          <w:lang w:val="en-GB"/>
        </w:rPr>
        <w:t xml:space="preserve"> the </w:t>
      </w:r>
      <w:r w:rsidR="004600B1">
        <w:rPr>
          <w:lang w:val="en-GB"/>
        </w:rPr>
        <w:t xml:space="preserve">experience of the </w:t>
      </w:r>
      <w:r w:rsidR="004600B1" w:rsidRPr="000A307F">
        <w:rPr>
          <w:lang w:val="en-GB"/>
        </w:rPr>
        <w:t xml:space="preserve">sacred as a </w:t>
      </w:r>
      <w:r w:rsidR="004600B1">
        <w:rPr>
          <w:lang w:val="en-GB"/>
        </w:rPr>
        <w:t xml:space="preserve">powerful </w:t>
      </w:r>
      <w:r w:rsidR="004600B1" w:rsidRPr="000A307F">
        <w:rPr>
          <w:lang w:val="en-GB"/>
        </w:rPr>
        <w:t xml:space="preserve">moment when </w:t>
      </w:r>
      <w:r w:rsidR="004600B1">
        <w:rPr>
          <w:lang w:val="en-GB"/>
        </w:rPr>
        <w:t>‘</w:t>
      </w:r>
      <w:r w:rsidR="004600B1" w:rsidRPr="000A307F">
        <w:rPr>
          <w:lang w:val="en-GB"/>
        </w:rPr>
        <w:t>the real reveals itself and the world comes into being</w:t>
      </w:r>
      <w:r w:rsidR="004600B1">
        <w:rPr>
          <w:lang w:val="en-GB"/>
        </w:rPr>
        <w:t>.’</w:t>
      </w:r>
      <w:r w:rsidR="004600B1">
        <w:rPr>
          <w:rStyle w:val="Funotenzeichen"/>
          <w:lang w:val="en-GB"/>
        </w:rPr>
        <w:footnoteReference w:id="45"/>
      </w:r>
      <w:r w:rsidR="004600B1" w:rsidRPr="006B7E70">
        <w:rPr>
          <w:lang w:val="en-GB"/>
        </w:rPr>
        <w:t xml:space="preserve"> </w:t>
      </w:r>
      <w:r w:rsidR="00BA615F">
        <w:rPr>
          <w:lang w:val="en-GB"/>
        </w:rPr>
        <w:t>According to Robert Prus, r</w:t>
      </w:r>
      <w:r w:rsidR="00BA615F" w:rsidRPr="0068552A">
        <w:rPr>
          <w:lang w:val="en-GB"/>
        </w:rPr>
        <w:t xml:space="preserve">eality </w:t>
      </w:r>
      <w:r w:rsidR="00BA615F">
        <w:rPr>
          <w:lang w:val="en-GB"/>
        </w:rPr>
        <w:t>for Durkheim was</w:t>
      </w:r>
      <w:r w:rsidR="00BA615F" w:rsidRPr="0068552A">
        <w:rPr>
          <w:lang w:val="en-GB"/>
        </w:rPr>
        <w:t xml:space="preserve"> created at the intersection of individual experiences and the events </w:t>
      </w:r>
      <w:r w:rsidR="00BA615F">
        <w:rPr>
          <w:lang w:val="en-GB"/>
        </w:rPr>
        <w:t>and objects encountered</w:t>
      </w:r>
      <w:r w:rsidR="00BA615F" w:rsidRPr="0068552A">
        <w:rPr>
          <w:lang w:val="en-GB"/>
        </w:rPr>
        <w:t xml:space="preserve">. </w:t>
      </w:r>
      <w:r>
        <w:rPr>
          <w:lang w:val="en-GB"/>
        </w:rPr>
        <w:t>However, b</w:t>
      </w:r>
      <w:r w:rsidR="00782C49">
        <w:rPr>
          <w:lang w:val="en-GB"/>
        </w:rPr>
        <w:t>y contrast, for Eliade</w:t>
      </w:r>
      <w:r w:rsidR="00C240D3">
        <w:rPr>
          <w:lang w:val="en-GB"/>
        </w:rPr>
        <w:t>,</w:t>
      </w:r>
      <w:r w:rsidR="00722EDD">
        <w:rPr>
          <w:lang w:val="en-GB"/>
        </w:rPr>
        <w:t xml:space="preserve"> reality was to be found in the</w:t>
      </w:r>
      <w:r w:rsidR="00782C49">
        <w:rPr>
          <w:lang w:val="en-GB"/>
        </w:rPr>
        <w:t xml:space="preserve"> </w:t>
      </w:r>
      <w:r w:rsidR="00782C49" w:rsidRPr="00FD587E">
        <w:rPr>
          <w:lang w:val="en-GB"/>
        </w:rPr>
        <w:t>sacred space</w:t>
      </w:r>
      <w:r w:rsidR="00722EDD">
        <w:rPr>
          <w:lang w:val="en-GB"/>
        </w:rPr>
        <w:t>, which</w:t>
      </w:r>
      <w:r w:rsidR="00782C49">
        <w:rPr>
          <w:lang w:val="en-GB"/>
        </w:rPr>
        <w:t xml:space="preserve"> was </w:t>
      </w:r>
      <w:r w:rsidR="00782C49" w:rsidRPr="00FD587E">
        <w:rPr>
          <w:lang w:val="en-GB"/>
        </w:rPr>
        <w:t xml:space="preserve">the only true and </w:t>
      </w:r>
      <w:r w:rsidR="00782C49">
        <w:rPr>
          <w:lang w:val="en-GB"/>
        </w:rPr>
        <w:t>real</w:t>
      </w:r>
      <w:r w:rsidR="00782C49" w:rsidRPr="00FD587E">
        <w:rPr>
          <w:lang w:val="en-GB"/>
        </w:rPr>
        <w:t xml:space="preserve"> space</w:t>
      </w:r>
      <w:r w:rsidR="00CE0EDA">
        <w:rPr>
          <w:lang w:val="en-GB"/>
        </w:rPr>
        <w:t xml:space="preserve"> to him</w:t>
      </w:r>
      <w:r w:rsidR="00782C49">
        <w:rPr>
          <w:lang w:val="en-GB"/>
        </w:rPr>
        <w:t>.</w:t>
      </w:r>
      <w:r w:rsidR="00782C49">
        <w:rPr>
          <w:rStyle w:val="Funotenzeichen"/>
          <w:lang w:val="en-GB"/>
        </w:rPr>
        <w:footnoteReference w:id="46"/>
      </w:r>
      <w:r w:rsidR="00782C49">
        <w:rPr>
          <w:lang w:val="en-GB"/>
        </w:rPr>
        <w:t xml:space="preserve"> </w:t>
      </w:r>
      <w:r w:rsidR="00BA615F">
        <w:rPr>
          <w:lang w:val="en-GB"/>
        </w:rPr>
        <w:t xml:space="preserve">Prus remarked that </w:t>
      </w:r>
      <w:r w:rsidR="00BA615F" w:rsidRPr="00584662">
        <w:rPr>
          <w:lang w:val="en-GB"/>
        </w:rPr>
        <w:t>Durkheim further elaborate</w:t>
      </w:r>
      <w:r w:rsidR="00BA615F">
        <w:rPr>
          <w:lang w:val="en-GB"/>
        </w:rPr>
        <w:t>d</w:t>
      </w:r>
      <w:r w:rsidR="00BA615F" w:rsidRPr="00584662">
        <w:rPr>
          <w:lang w:val="en-GB"/>
        </w:rPr>
        <w:t xml:space="preserve"> on the unity of thought and experience by highlighting the essence of </w:t>
      </w:r>
      <w:r w:rsidR="00BA615F">
        <w:rPr>
          <w:lang w:val="en-GB"/>
        </w:rPr>
        <w:t>human</w:t>
      </w:r>
      <w:r w:rsidR="00BA615F" w:rsidRPr="00584662">
        <w:rPr>
          <w:lang w:val="en-GB"/>
        </w:rPr>
        <w:t xml:space="preserve"> interactions with the world. It </w:t>
      </w:r>
      <w:r w:rsidR="00BA615F">
        <w:rPr>
          <w:lang w:val="en-GB"/>
        </w:rPr>
        <w:t>was</w:t>
      </w:r>
      <w:r w:rsidR="00BA615F" w:rsidRPr="00584662">
        <w:rPr>
          <w:lang w:val="en-GB"/>
        </w:rPr>
        <w:t xml:space="preserve"> through these experiences that thought and reality c</w:t>
      </w:r>
      <w:r w:rsidR="00BA615F">
        <w:rPr>
          <w:lang w:val="en-GB"/>
        </w:rPr>
        <w:t>a</w:t>
      </w:r>
      <w:r w:rsidR="00BA615F" w:rsidRPr="00584662">
        <w:rPr>
          <w:lang w:val="en-GB"/>
        </w:rPr>
        <w:t xml:space="preserve">me together, leading to the formation of what </w:t>
      </w:r>
      <w:r w:rsidR="00BA615F">
        <w:rPr>
          <w:lang w:val="en-GB"/>
        </w:rPr>
        <w:t>was</w:t>
      </w:r>
      <w:r w:rsidR="00BA615F" w:rsidRPr="00584662">
        <w:rPr>
          <w:lang w:val="en-GB"/>
        </w:rPr>
        <w:t xml:space="preserve"> perceive</w:t>
      </w:r>
      <w:r w:rsidR="00BA615F">
        <w:rPr>
          <w:lang w:val="en-GB"/>
        </w:rPr>
        <w:t>d</w:t>
      </w:r>
      <w:r w:rsidR="00BA615F" w:rsidRPr="00584662">
        <w:rPr>
          <w:lang w:val="en-GB"/>
        </w:rPr>
        <w:t xml:space="preserve"> as reality. This convergence create</w:t>
      </w:r>
      <w:r w:rsidR="00BA615F">
        <w:rPr>
          <w:lang w:val="en-GB"/>
        </w:rPr>
        <w:t>d</w:t>
      </w:r>
      <w:r w:rsidR="00BA615F" w:rsidRPr="00584662">
        <w:rPr>
          <w:lang w:val="en-GB"/>
        </w:rPr>
        <w:t xml:space="preserve"> a dynamic relationship between thought and objects, allowing for a blending of the subjective and objective</w:t>
      </w:r>
      <w:r w:rsidR="00BA615F">
        <w:rPr>
          <w:lang w:val="en-GB"/>
        </w:rPr>
        <w:t xml:space="preserve">, Prus </w:t>
      </w:r>
      <w:r w:rsidR="00722EDD">
        <w:rPr>
          <w:lang w:val="en-GB"/>
        </w:rPr>
        <w:t>noted</w:t>
      </w:r>
      <w:r w:rsidR="00BA615F" w:rsidRPr="00584662">
        <w:rPr>
          <w:lang w:val="en-GB"/>
        </w:rPr>
        <w:t>.</w:t>
      </w:r>
      <w:r w:rsidR="00BA615F">
        <w:rPr>
          <w:rStyle w:val="Funotenzeichen"/>
          <w:lang w:val="en-GB"/>
        </w:rPr>
        <w:footnoteReference w:id="47"/>
      </w:r>
      <w:r w:rsidR="00BA615F" w:rsidRPr="00584662">
        <w:rPr>
          <w:lang w:val="en-GB"/>
        </w:rPr>
        <w:t xml:space="preserve"> </w:t>
      </w:r>
    </w:p>
    <w:p w14:paraId="2FBBC24E" w14:textId="48ED7204" w:rsidR="00782C49" w:rsidRDefault="00FD587E" w:rsidP="00BA615F">
      <w:pPr>
        <w:rPr>
          <w:lang w:val="en-GB"/>
        </w:rPr>
      </w:pPr>
      <w:r>
        <w:rPr>
          <w:lang w:val="en-GB"/>
        </w:rPr>
        <w:t>Eliade</w:t>
      </w:r>
      <w:r w:rsidR="00417C13">
        <w:rPr>
          <w:lang w:val="en-GB"/>
        </w:rPr>
        <w:t xml:space="preserve"> </w:t>
      </w:r>
      <w:r w:rsidR="00572550">
        <w:rPr>
          <w:lang w:val="en-GB"/>
        </w:rPr>
        <w:t xml:space="preserve">described </w:t>
      </w:r>
      <w:r w:rsidR="002F4291">
        <w:rPr>
          <w:lang w:val="en-GB"/>
        </w:rPr>
        <w:t>such a</w:t>
      </w:r>
      <w:r w:rsidR="00572550">
        <w:rPr>
          <w:lang w:val="en-GB"/>
        </w:rPr>
        <w:t xml:space="preserve"> dynamic </w:t>
      </w:r>
      <w:r w:rsidR="002F4291">
        <w:rPr>
          <w:lang w:val="en-GB"/>
        </w:rPr>
        <w:t>when</w:t>
      </w:r>
      <w:r w:rsidR="00572550">
        <w:rPr>
          <w:lang w:val="en-GB"/>
        </w:rPr>
        <w:t xml:space="preserve"> stating that a religious individual has a profound yearning to engage with reality and, therefore,</w:t>
      </w:r>
      <w:r w:rsidR="00417C13" w:rsidRPr="00FD587E">
        <w:rPr>
          <w:lang w:val="en-GB"/>
        </w:rPr>
        <w:t xml:space="preserve"> to be infused with power.</w:t>
      </w:r>
      <w:r w:rsidR="00417C13">
        <w:rPr>
          <w:rStyle w:val="Funotenzeichen"/>
          <w:lang w:val="en-GB"/>
        </w:rPr>
        <w:footnoteReference w:id="48"/>
      </w:r>
      <w:r w:rsidR="00417C13">
        <w:rPr>
          <w:lang w:val="en-GB"/>
        </w:rPr>
        <w:t xml:space="preserve"> </w:t>
      </w:r>
      <w:r w:rsidR="00CE0EDA">
        <w:rPr>
          <w:lang w:val="en-GB"/>
        </w:rPr>
        <w:t xml:space="preserve">According to Eliade, he does so by </w:t>
      </w:r>
      <w:r w:rsidR="00613AAB">
        <w:rPr>
          <w:lang w:val="en-GB"/>
        </w:rPr>
        <w:t xml:space="preserve">positioning themselves </w:t>
      </w:r>
      <w:r w:rsidR="00613AAB" w:rsidRPr="00CE0EDA">
        <w:rPr>
          <w:lang w:val="en-GB"/>
        </w:rPr>
        <w:t>at the very core of reality</w:t>
      </w:r>
      <w:r w:rsidR="00613AAB">
        <w:rPr>
          <w:lang w:val="en-GB"/>
        </w:rPr>
        <w:t>, at the ‘centre of the world’, the location they feel nearest to the gods.</w:t>
      </w:r>
      <w:r w:rsidR="00613AAB">
        <w:rPr>
          <w:rStyle w:val="Funotenzeichen"/>
          <w:lang w:val="en-GB"/>
        </w:rPr>
        <w:footnoteReference w:id="49"/>
      </w:r>
      <w:r w:rsidR="00613AAB">
        <w:rPr>
          <w:lang w:val="en-GB"/>
        </w:rPr>
        <w:t xml:space="preserve"> </w:t>
      </w:r>
      <w:r w:rsidR="00572550">
        <w:rPr>
          <w:lang w:val="en-GB"/>
        </w:rPr>
        <w:t>Prus further elaborated on Durkheim’s view that reality is established through</w:t>
      </w:r>
      <w:r w:rsidR="00572550" w:rsidRPr="00584662">
        <w:rPr>
          <w:lang w:val="en-GB"/>
        </w:rPr>
        <w:t xml:space="preserve"> the interaction of these two realms of existence, shaping human experiences of feelings, images, and ideas</w:t>
      </w:r>
      <w:r w:rsidR="00572550">
        <w:rPr>
          <w:lang w:val="en-GB"/>
        </w:rPr>
        <w:t>.</w:t>
      </w:r>
      <w:r w:rsidR="00572550" w:rsidRPr="00770B4E">
        <w:rPr>
          <w:rStyle w:val="Funotenzeichen"/>
          <w:lang w:val="en-GB"/>
        </w:rPr>
        <w:footnoteReference w:id="50"/>
      </w:r>
      <w:r w:rsidR="00572550" w:rsidRPr="00770B4E">
        <w:rPr>
          <w:lang w:val="en-GB"/>
        </w:rPr>
        <w:t xml:space="preserve"> </w:t>
      </w:r>
      <w:r w:rsidR="00613AAB" w:rsidRPr="00613AAB">
        <w:rPr>
          <w:lang w:val="en-GB"/>
        </w:rPr>
        <w:t>Both Durkheim and Eliade seem to be talking about a similar longing and similar efforts by humans to experience the real; however, Eliade is concerned with how it can be done through space, while Durkheim is concerned with how it can be done through social activities.</w:t>
      </w:r>
    </w:p>
    <w:p w14:paraId="395E0418" w14:textId="77777777" w:rsidR="00613AAB" w:rsidRDefault="00613AAB" w:rsidP="00BA615F">
      <w:pPr>
        <w:rPr>
          <w:lang w:val="en-GB"/>
        </w:rPr>
      </w:pPr>
    </w:p>
    <w:p w14:paraId="1730F510" w14:textId="3ABD0D95" w:rsidR="00033F30" w:rsidRDefault="0002632F" w:rsidP="00A26EC6">
      <w:pPr>
        <w:pStyle w:val="Listenabsatz"/>
        <w:numPr>
          <w:ilvl w:val="0"/>
          <w:numId w:val="4"/>
        </w:numPr>
        <w:rPr>
          <w:b/>
          <w:bCs/>
          <w:lang w:val="en-GB"/>
        </w:rPr>
      </w:pPr>
      <w:r>
        <w:rPr>
          <w:b/>
          <w:bCs/>
          <w:lang w:val="en-GB"/>
        </w:rPr>
        <w:t>Rituals</w:t>
      </w:r>
    </w:p>
    <w:p w14:paraId="347FC9EB" w14:textId="4B4B9533" w:rsidR="00291354" w:rsidRPr="00FF3A2F" w:rsidRDefault="00FE74A1" w:rsidP="00291354">
      <w:pPr>
        <w:rPr>
          <w:lang w:val="en-GB"/>
        </w:rPr>
      </w:pPr>
      <w:r w:rsidRPr="00FE74A1">
        <w:rPr>
          <w:lang w:val="en-GB"/>
        </w:rPr>
        <w:t>According to Durkheim, power c</w:t>
      </w:r>
      <w:r w:rsidR="00F76C7F">
        <w:rPr>
          <w:lang w:val="en-GB"/>
        </w:rPr>
        <w:t>ould</w:t>
      </w:r>
      <w:r w:rsidRPr="00FE74A1">
        <w:rPr>
          <w:lang w:val="en-GB"/>
        </w:rPr>
        <w:t xml:space="preserve"> be felt through the regular and repetitive execution of rituals, Fields stated</w:t>
      </w:r>
      <w:r w:rsidR="007946E8" w:rsidRPr="007946E8">
        <w:rPr>
          <w:lang w:val="en-GB"/>
        </w:rPr>
        <w:t>. It was this process that created a real sense of togetherness, which was what interested Durkheim</w:t>
      </w:r>
      <w:r w:rsidR="00C807ED">
        <w:rPr>
          <w:lang w:val="en-GB"/>
        </w:rPr>
        <w:t>.</w:t>
      </w:r>
      <w:r w:rsidR="00C807ED">
        <w:rPr>
          <w:rStyle w:val="Funotenzeichen"/>
          <w:lang w:val="en-GB"/>
        </w:rPr>
        <w:footnoteReference w:id="51"/>
      </w:r>
      <w:r w:rsidR="007946E8" w:rsidRPr="007946E8">
        <w:rPr>
          <w:lang w:val="en-GB"/>
        </w:rPr>
        <w:t xml:space="preserve"> </w:t>
      </w:r>
      <w:r w:rsidR="00291354" w:rsidRPr="00FF3A2F">
        <w:rPr>
          <w:lang w:val="en-GB"/>
        </w:rPr>
        <w:t xml:space="preserve">Knott, following Durkheim's line, </w:t>
      </w:r>
      <w:r w:rsidR="00291354">
        <w:rPr>
          <w:lang w:val="en-GB"/>
        </w:rPr>
        <w:t>argued</w:t>
      </w:r>
      <w:r w:rsidR="00291354" w:rsidRPr="00FF3A2F">
        <w:rPr>
          <w:lang w:val="en-GB"/>
        </w:rPr>
        <w:t xml:space="preserve"> with Jonathan Z. Smith that it is rituals that help</w:t>
      </w:r>
      <w:r w:rsidR="00F76C7F">
        <w:rPr>
          <w:lang w:val="en-GB"/>
        </w:rPr>
        <w:t>ed</w:t>
      </w:r>
      <w:r w:rsidR="00291354" w:rsidRPr="00FF3A2F">
        <w:rPr>
          <w:lang w:val="en-GB"/>
        </w:rPr>
        <w:t xml:space="preserve"> create the meaning of a place. Through such sacralization, ordinary spaces bec</w:t>
      </w:r>
      <w:r w:rsidR="00F76C7F">
        <w:rPr>
          <w:lang w:val="en-GB"/>
        </w:rPr>
        <w:t>ame</w:t>
      </w:r>
      <w:r w:rsidR="00291354" w:rsidRPr="00FF3A2F">
        <w:rPr>
          <w:lang w:val="en-GB"/>
        </w:rPr>
        <w:t xml:space="preserve"> sacred spaces of great significance.</w:t>
      </w:r>
      <w:r w:rsidR="00291354">
        <w:rPr>
          <w:rStyle w:val="Funotenzeichen"/>
          <w:lang w:val="en-GB"/>
        </w:rPr>
        <w:footnoteReference w:id="52"/>
      </w:r>
      <w:r w:rsidR="00291354" w:rsidRPr="00FF3A2F">
        <w:rPr>
          <w:lang w:val="en-GB"/>
        </w:rPr>
        <w:t xml:space="preserve"> </w:t>
      </w:r>
      <w:r w:rsidR="00291354">
        <w:rPr>
          <w:lang w:val="en-GB"/>
        </w:rPr>
        <w:t>Arguing</w:t>
      </w:r>
      <w:r w:rsidR="00291354" w:rsidRPr="00291354">
        <w:rPr>
          <w:lang w:val="en-GB"/>
        </w:rPr>
        <w:t xml:space="preserve"> that places of worship create</w:t>
      </w:r>
      <w:r w:rsidR="00F76C7F">
        <w:rPr>
          <w:lang w:val="en-GB"/>
        </w:rPr>
        <w:t>d</w:t>
      </w:r>
      <w:r w:rsidR="00291354" w:rsidRPr="00291354">
        <w:rPr>
          <w:lang w:val="en-GB"/>
        </w:rPr>
        <w:t xml:space="preserve"> a special environment</w:t>
      </w:r>
      <w:r w:rsidR="00291354">
        <w:rPr>
          <w:lang w:val="en-GB"/>
        </w:rPr>
        <w:t>, Knott wrote that religious ideas allow</w:t>
      </w:r>
      <w:r w:rsidR="00F76C7F">
        <w:rPr>
          <w:lang w:val="en-GB"/>
        </w:rPr>
        <w:t>ed</w:t>
      </w:r>
      <w:r w:rsidR="00291354">
        <w:rPr>
          <w:lang w:val="en-GB"/>
        </w:rPr>
        <w:t xml:space="preserve"> for</w:t>
      </w:r>
      <w:r w:rsidR="00291354" w:rsidRPr="00291354">
        <w:rPr>
          <w:lang w:val="en-GB"/>
        </w:rPr>
        <w:t xml:space="preserve"> a physical presence, thanks to the rituals performed by the community</w:t>
      </w:r>
      <w:r w:rsidR="00291354" w:rsidRPr="00FF3A2F">
        <w:rPr>
          <w:lang w:val="en-GB"/>
        </w:rPr>
        <w:t>.</w:t>
      </w:r>
      <w:r w:rsidR="00291354">
        <w:rPr>
          <w:rStyle w:val="Funotenzeichen"/>
          <w:lang w:val="en-GB"/>
        </w:rPr>
        <w:footnoteReference w:id="53"/>
      </w:r>
      <w:r w:rsidR="00291354" w:rsidRPr="00FF3A2F">
        <w:rPr>
          <w:lang w:val="en-GB"/>
        </w:rPr>
        <w:t xml:space="preserve"> </w:t>
      </w:r>
    </w:p>
    <w:p w14:paraId="216D95BA" w14:textId="7011E754" w:rsidR="00950CC6" w:rsidRDefault="0046041B" w:rsidP="0002632F">
      <w:pPr>
        <w:rPr>
          <w:lang w:val="en-GB"/>
        </w:rPr>
      </w:pPr>
      <w:r w:rsidRPr="00157E0C">
        <w:rPr>
          <w:lang w:val="en-GB"/>
        </w:rPr>
        <w:t xml:space="preserve">For Eliade, </w:t>
      </w:r>
      <w:r>
        <w:rPr>
          <w:lang w:val="en-GB"/>
        </w:rPr>
        <w:t xml:space="preserve">by contrast, </w:t>
      </w:r>
      <w:r w:rsidRPr="00157E0C">
        <w:rPr>
          <w:lang w:val="en-GB"/>
        </w:rPr>
        <w:t>rituals did not primarily serve to strengthen unity among a group of people, but rather to connect them with the moment when reality came into being.</w:t>
      </w:r>
      <w:r>
        <w:rPr>
          <w:rStyle w:val="Funotenzeichen"/>
          <w:lang w:val="en-GB"/>
        </w:rPr>
        <w:footnoteReference w:id="54"/>
      </w:r>
      <w:r>
        <w:rPr>
          <w:lang w:val="en-GB"/>
        </w:rPr>
        <w:t xml:space="preserve"> In </w:t>
      </w:r>
      <w:r w:rsidR="0002632F">
        <w:rPr>
          <w:lang w:val="en-GB"/>
        </w:rPr>
        <w:t xml:space="preserve">his </w:t>
      </w:r>
      <w:r>
        <w:rPr>
          <w:lang w:val="en-GB"/>
        </w:rPr>
        <w:t xml:space="preserve">eyes, </w:t>
      </w:r>
      <w:r w:rsidR="00F76C7F">
        <w:rPr>
          <w:lang w:val="en-GB"/>
        </w:rPr>
        <w:t xml:space="preserve">it was the strong, fresh, pure world of illo tempore that </w:t>
      </w:r>
      <w:r>
        <w:rPr>
          <w:lang w:val="en-GB"/>
        </w:rPr>
        <w:t xml:space="preserve">needed to </w:t>
      </w:r>
      <w:r w:rsidRPr="003F61B5">
        <w:rPr>
          <w:lang w:val="en-GB"/>
        </w:rPr>
        <w:t>be regained</w:t>
      </w:r>
      <w:r>
        <w:rPr>
          <w:lang w:val="en-GB"/>
        </w:rPr>
        <w:t xml:space="preserve"> through rituals. This connected humans to the time of origin.</w:t>
      </w:r>
      <w:r>
        <w:rPr>
          <w:rStyle w:val="Funotenzeichen"/>
          <w:lang w:val="en-GB"/>
        </w:rPr>
        <w:footnoteReference w:id="55"/>
      </w:r>
      <w:r w:rsidRPr="003F61B5">
        <w:rPr>
          <w:lang w:val="en-GB"/>
        </w:rPr>
        <w:t xml:space="preserve"> </w:t>
      </w:r>
      <w:r w:rsidR="00D15846">
        <w:rPr>
          <w:lang w:val="en-GB"/>
        </w:rPr>
        <w:t>He argued that an</w:t>
      </w:r>
      <w:r w:rsidR="00D15846" w:rsidRPr="00D15846">
        <w:rPr>
          <w:lang w:val="en-GB"/>
        </w:rPr>
        <w:t xml:space="preserve"> unfamiliar</w:t>
      </w:r>
      <w:r w:rsidR="00D15846">
        <w:rPr>
          <w:lang w:val="en-GB"/>
        </w:rPr>
        <w:t xml:space="preserve"> </w:t>
      </w:r>
      <w:r w:rsidR="00D15846" w:rsidRPr="00D15846">
        <w:rPr>
          <w:lang w:val="en-GB"/>
        </w:rPr>
        <w:t xml:space="preserve">and uninhabited territory </w:t>
      </w:r>
      <w:r w:rsidR="00D15846">
        <w:rPr>
          <w:lang w:val="en-GB"/>
        </w:rPr>
        <w:t>by humans</w:t>
      </w:r>
      <w:r w:rsidR="00D15846" w:rsidRPr="00D15846">
        <w:rPr>
          <w:lang w:val="en-GB"/>
        </w:rPr>
        <w:t xml:space="preserve"> continue</w:t>
      </w:r>
      <w:r w:rsidR="00F76C7F">
        <w:rPr>
          <w:lang w:val="en-GB"/>
        </w:rPr>
        <w:t>d</w:t>
      </w:r>
      <w:r w:rsidR="00D15846" w:rsidRPr="00D15846">
        <w:rPr>
          <w:lang w:val="en-GB"/>
        </w:rPr>
        <w:t xml:space="preserve"> to exist in a state of chaos. When people move</w:t>
      </w:r>
      <w:r w:rsidR="00F76C7F">
        <w:rPr>
          <w:lang w:val="en-GB"/>
        </w:rPr>
        <w:t>d</w:t>
      </w:r>
      <w:r w:rsidR="00D15846" w:rsidRPr="00D15846">
        <w:rPr>
          <w:lang w:val="en-GB"/>
        </w:rPr>
        <w:t xml:space="preserve"> into and </w:t>
      </w:r>
      <w:r w:rsidR="00F76C7F">
        <w:rPr>
          <w:lang w:val="en-GB"/>
        </w:rPr>
        <w:t>settled</w:t>
      </w:r>
      <w:r w:rsidR="00D15846" w:rsidRPr="00D15846">
        <w:rPr>
          <w:lang w:val="en-GB"/>
        </w:rPr>
        <w:t xml:space="preserve"> in that area, they symbolically reshape</w:t>
      </w:r>
      <w:r w:rsidR="00F76C7F">
        <w:rPr>
          <w:lang w:val="en-GB"/>
        </w:rPr>
        <w:t>d</w:t>
      </w:r>
      <w:r w:rsidR="00D15846" w:rsidRPr="00D15846">
        <w:rPr>
          <w:lang w:val="en-GB"/>
        </w:rPr>
        <w:t xml:space="preserve"> it into an organized cosmos through acts that echo</w:t>
      </w:r>
      <w:r w:rsidR="00F76C7F">
        <w:rPr>
          <w:lang w:val="en-GB"/>
        </w:rPr>
        <w:t>ed</w:t>
      </w:r>
      <w:r w:rsidR="00D15846" w:rsidRPr="00D15846">
        <w:rPr>
          <w:lang w:val="en-GB"/>
        </w:rPr>
        <w:t xml:space="preserve"> the creation of the universe.</w:t>
      </w:r>
      <w:r w:rsidR="00D15846">
        <w:rPr>
          <w:rStyle w:val="Funotenzeichen"/>
          <w:lang w:val="en-GB"/>
        </w:rPr>
        <w:footnoteReference w:id="56"/>
      </w:r>
      <w:r w:rsidR="00D15846">
        <w:rPr>
          <w:lang w:val="en-GB"/>
        </w:rPr>
        <w:t xml:space="preserve"> This was done </w:t>
      </w:r>
      <w:r w:rsidRPr="00344D76">
        <w:rPr>
          <w:lang w:val="en-GB"/>
        </w:rPr>
        <w:t>through ritual repetition, with each construction based on the model of the universe's creation by the gods.</w:t>
      </w:r>
      <w:r>
        <w:rPr>
          <w:rStyle w:val="Funotenzeichen"/>
          <w:lang w:val="en-GB"/>
        </w:rPr>
        <w:footnoteReference w:id="57"/>
      </w:r>
      <w:r>
        <w:rPr>
          <w:lang w:val="en-GB"/>
        </w:rPr>
        <w:t xml:space="preserve"> </w:t>
      </w:r>
      <w:r w:rsidR="00F76C7F">
        <w:rPr>
          <w:lang w:val="en-GB"/>
        </w:rPr>
        <w:t xml:space="preserve">According to Eliade, life could be renewed only </w:t>
      </w:r>
      <w:r w:rsidR="00A728A4" w:rsidRPr="0002632F">
        <w:rPr>
          <w:lang w:val="en-GB"/>
        </w:rPr>
        <w:t xml:space="preserve">through </w:t>
      </w:r>
      <w:r w:rsidR="00F76C7F">
        <w:rPr>
          <w:lang w:val="en-GB"/>
        </w:rPr>
        <w:t xml:space="preserve">the </w:t>
      </w:r>
      <w:r w:rsidR="00A728A4" w:rsidRPr="0002632F">
        <w:rPr>
          <w:lang w:val="en-GB"/>
        </w:rPr>
        <w:t>symbolic repetition of the creation story</w:t>
      </w:r>
      <w:r w:rsidR="00A728A4">
        <w:rPr>
          <w:lang w:val="en-GB"/>
        </w:rPr>
        <w:t xml:space="preserve">. </w:t>
      </w:r>
      <w:r w:rsidR="00D15846" w:rsidRPr="0002632F">
        <w:rPr>
          <w:lang w:val="en-GB"/>
        </w:rPr>
        <w:t xml:space="preserve">This </w:t>
      </w:r>
      <w:r w:rsidR="00A728A4">
        <w:rPr>
          <w:lang w:val="en-GB"/>
        </w:rPr>
        <w:t>was</w:t>
      </w:r>
      <w:r w:rsidR="00D15846" w:rsidRPr="0002632F">
        <w:rPr>
          <w:lang w:val="en-GB"/>
        </w:rPr>
        <w:t xml:space="preserve"> because the creation narrative serve</w:t>
      </w:r>
      <w:r w:rsidR="00F76C7F">
        <w:rPr>
          <w:lang w:val="en-GB"/>
        </w:rPr>
        <w:t>d</w:t>
      </w:r>
      <w:r w:rsidR="00D15846" w:rsidRPr="0002632F">
        <w:rPr>
          <w:lang w:val="en-GB"/>
        </w:rPr>
        <w:t xml:space="preserve"> as the ideal example for all forms of creation.</w:t>
      </w:r>
      <w:r w:rsidR="00D15846">
        <w:rPr>
          <w:rStyle w:val="Funotenzeichen"/>
          <w:lang w:val="en-GB"/>
        </w:rPr>
        <w:footnoteReference w:id="58"/>
      </w:r>
      <w:r w:rsidR="00A728A4">
        <w:rPr>
          <w:lang w:val="en-GB"/>
        </w:rPr>
        <w:t xml:space="preserve"> </w:t>
      </w:r>
      <w:r w:rsidR="00291354">
        <w:rPr>
          <w:lang w:val="en-GB"/>
        </w:rPr>
        <w:t xml:space="preserve">As </w:t>
      </w:r>
      <w:r w:rsidR="00291354" w:rsidRPr="00AB332D">
        <w:rPr>
          <w:lang w:val="en-GB"/>
        </w:rPr>
        <w:t xml:space="preserve">Hunter </w:t>
      </w:r>
      <w:r w:rsidR="00291354">
        <w:rPr>
          <w:lang w:val="en-GB"/>
        </w:rPr>
        <w:t>wrote, for Eliade, this holy energy, which reside</w:t>
      </w:r>
      <w:r w:rsidR="00F76C7F">
        <w:rPr>
          <w:lang w:val="en-GB"/>
        </w:rPr>
        <w:t>d</w:t>
      </w:r>
      <w:r w:rsidR="00291354">
        <w:rPr>
          <w:lang w:val="en-GB"/>
        </w:rPr>
        <w:t>—or maybe even collect</w:t>
      </w:r>
      <w:r w:rsidR="00F76C7F">
        <w:rPr>
          <w:lang w:val="en-GB"/>
        </w:rPr>
        <w:t>ed</w:t>
      </w:r>
      <w:r w:rsidR="00291354">
        <w:rPr>
          <w:lang w:val="en-GB"/>
        </w:rPr>
        <w:t>—in specific places, trickle</w:t>
      </w:r>
      <w:r w:rsidR="00F76C7F">
        <w:rPr>
          <w:lang w:val="en-GB"/>
        </w:rPr>
        <w:t>d</w:t>
      </w:r>
      <w:r w:rsidR="00291354">
        <w:rPr>
          <w:lang w:val="en-GB"/>
        </w:rPr>
        <w:t xml:space="preserve"> through fractures in reality and </w:t>
      </w:r>
      <w:r w:rsidR="00F76C7F">
        <w:rPr>
          <w:lang w:val="en-GB"/>
        </w:rPr>
        <w:t>wa</w:t>
      </w:r>
      <w:r w:rsidR="00291354">
        <w:rPr>
          <w:lang w:val="en-GB"/>
        </w:rPr>
        <w:t xml:space="preserve">s </w:t>
      </w:r>
      <w:r w:rsidR="00291354" w:rsidRPr="001B284B">
        <w:rPr>
          <w:lang w:val="en-GB"/>
        </w:rPr>
        <w:t>eager for human engagement.</w:t>
      </w:r>
      <w:r w:rsidR="00291354">
        <w:rPr>
          <w:rStyle w:val="Funotenzeichen"/>
          <w:lang w:val="en-GB"/>
        </w:rPr>
        <w:footnoteReference w:id="59"/>
      </w:r>
      <w:r w:rsidR="0012183F">
        <w:rPr>
          <w:lang w:val="en-GB"/>
        </w:rPr>
        <w:t xml:space="preserve"> </w:t>
      </w:r>
    </w:p>
    <w:p w14:paraId="59E728C1" w14:textId="77777777" w:rsidR="00C807ED" w:rsidRPr="007946E8" w:rsidRDefault="00C807ED" w:rsidP="007946E8">
      <w:pPr>
        <w:rPr>
          <w:lang w:val="en-GB"/>
        </w:rPr>
      </w:pPr>
    </w:p>
    <w:p w14:paraId="326A0BC7" w14:textId="48E1A0A8" w:rsidR="00B32CE5" w:rsidRPr="002A1C6D" w:rsidRDefault="00B32CE5" w:rsidP="00B32CE5">
      <w:pPr>
        <w:rPr>
          <w:b/>
          <w:bCs/>
          <w:sz w:val="24"/>
          <w:szCs w:val="24"/>
          <w:lang w:val="en-GB"/>
        </w:rPr>
      </w:pPr>
      <w:r w:rsidRPr="002A1C6D">
        <w:rPr>
          <w:b/>
          <w:bCs/>
          <w:sz w:val="24"/>
          <w:szCs w:val="24"/>
          <w:lang w:val="en-GB"/>
        </w:rPr>
        <w:t>Conclu</w:t>
      </w:r>
      <w:r w:rsidR="000B0672" w:rsidRPr="002A1C6D">
        <w:rPr>
          <w:b/>
          <w:bCs/>
          <w:sz w:val="24"/>
          <w:szCs w:val="24"/>
          <w:lang w:val="en-GB"/>
        </w:rPr>
        <w:t>sion</w:t>
      </w:r>
      <w:r w:rsidRPr="002A1C6D">
        <w:rPr>
          <w:b/>
          <w:bCs/>
          <w:sz w:val="24"/>
          <w:szCs w:val="24"/>
          <w:lang w:val="en-GB"/>
        </w:rPr>
        <w:t xml:space="preserve"> </w:t>
      </w:r>
    </w:p>
    <w:p w14:paraId="7BBDF4F5" w14:textId="77777777" w:rsidR="00AF454F" w:rsidRDefault="00644B41" w:rsidP="00DF3526">
      <w:pPr>
        <w:rPr>
          <w:lang w:val="en-GB"/>
        </w:rPr>
      </w:pPr>
      <w:r>
        <w:rPr>
          <w:lang w:val="en-GB"/>
        </w:rPr>
        <w:t>This essay c</w:t>
      </w:r>
      <w:r w:rsidRPr="00C53FCA">
        <w:rPr>
          <w:lang w:val="en-GB"/>
        </w:rPr>
        <w:t>ompare</w:t>
      </w:r>
      <w:r w:rsidR="00061E21">
        <w:rPr>
          <w:lang w:val="en-GB"/>
        </w:rPr>
        <w:t xml:space="preserve">d </w:t>
      </w:r>
      <w:r w:rsidRPr="00C53FCA">
        <w:rPr>
          <w:lang w:val="en-GB"/>
        </w:rPr>
        <w:t>and critically contrast</w:t>
      </w:r>
      <w:r w:rsidR="00061E21">
        <w:rPr>
          <w:lang w:val="en-GB"/>
        </w:rPr>
        <w:t xml:space="preserve">ed </w:t>
      </w:r>
      <w:r w:rsidRPr="00C53FCA">
        <w:rPr>
          <w:lang w:val="en-GB"/>
        </w:rPr>
        <w:t xml:space="preserve">Mircea Eliade and </w:t>
      </w:r>
      <w:r>
        <w:rPr>
          <w:lang w:val="en-GB"/>
        </w:rPr>
        <w:t>É</w:t>
      </w:r>
      <w:r w:rsidRPr="00C53FCA">
        <w:rPr>
          <w:lang w:val="en-GB"/>
        </w:rPr>
        <w:t>mile Durkheim’s views of sacred space</w:t>
      </w:r>
      <w:r w:rsidR="00321F76">
        <w:rPr>
          <w:lang w:val="en-GB"/>
        </w:rPr>
        <w:t>.</w:t>
      </w:r>
      <w:r w:rsidR="00061E21">
        <w:rPr>
          <w:lang w:val="en-GB"/>
        </w:rPr>
        <w:t xml:space="preserve"> </w:t>
      </w:r>
      <w:r w:rsidR="004B2236" w:rsidRPr="004B2236">
        <w:rPr>
          <w:lang w:val="en-GB"/>
        </w:rPr>
        <w:t>Generally, Eliade's work contains much more direct reference to sacred space than Durkheim's. This disparity may be attributed to the fact that the concept of sacred geography entered Western academic thought after Durkheim but before Eliade.</w:t>
      </w:r>
      <w:r w:rsidR="00F76C7F">
        <w:rPr>
          <w:lang w:val="en-GB"/>
        </w:rPr>
        <w:t xml:space="preserve"> </w:t>
      </w:r>
    </w:p>
    <w:p w14:paraId="3FDDD242" w14:textId="167929D3" w:rsidR="00AF454F" w:rsidRDefault="00AF454F" w:rsidP="00AF454F">
      <w:pPr>
        <w:rPr>
          <w:lang w:val="en-GB"/>
        </w:rPr>
      </w:pPr>
      <w:r w:rsidRPr="00AF454F">
        <w:rPr>
          <w:lang w:val="en-GB"/>
        </w:rPr>
        <w:t>Durkheim and Eliade both address</w:t>
      </w:r>
      <w:r w:rsidR="00832B32">
        <w:rPr>
          <w:lang w:val="en-GB"/>
        </w:rPr>
        <w:t>ed</w:t>
      </w:r>
      <w:r w:rsidRPr="00AF454F">
        <w:rPr>
          <w:lang w:val="en-GB"/>
        </w:rPr>
        <w:t xml:space="preserve"> </w:t>
      </w:r>
      <w:r w:rsidR="006E3C70">
        <w:rPr>
          <w:lang w:val="en-GB"/>
        </w:rPr>
        <w:t>the</w:t>
      </w:r>
      <w:r w:rsidRPr="00AF454F">
        <w:rPr>
          <w:lang w:val="en-GB"/>
        </w:rPr>
        <w:t xml:space="preserve"> </w:t>
      </w:r>
      <w:r>
        <w:rPr>
          <w:lang w:val="en-GB"/>
        </w:rPr>
        <w:t>human desire</w:t>
      </w:r>
      <w:r w:rsidRPr="00AF454F">
        <w:rPr>
          <w:lang w:val="en-GB"/>
        </w:rPr>
        <w:t xml:space="preserve"> to connect with the </w:t>
      </w:r>
      <w:r>
        <w:rPr>
          <w:lang w:val="en-GB"/>
        </w:rPr>
        <w:t xml:space="preserve">sacred. </w:t>
      </w:r>
      <w:r w:rsidR="00832B32" w:rsidRPr="00832B32">
        <w:rPr>
          <w:lang w:val="en-GB"/>
        </w:rPr>
        <w:t xml:space="preserve">Eliade focused on how this could be achieved through space, whereas Durkheim </w:t>
      </w:r>
      <w:r w:rsidR="006E3C70">
        <w:rPr>
          <w:lang w:val="en-GB"/>
        </w:rPr>
        <w:t>examined</w:t>
      </w:r>
      <w:r w:rsidR="00832B32" w:rsidRPr="00832B32">
        <w:rPr>
          <w:lang w:val="en-GB"/>
        </w:rPr>
        <w:t xml:space="preserve"> the role of social interactions in this pursuit. </w:t>
      </w:r>
      <w:r w:rsidR="006E3C70">
        <w:rPr>
          <w:lang w:val="en-GB"/>
        </w:rPr>
        <w:t>However</w:t>
      </w:r>
      <w:r>
        <w:rPr>
          <w:lang w:val="en-GB"/>
        </w:rPr>
        <w:t xml:space="preserve">, they </w:t>
      </w:r>
      <w:r w:rsidR="00832B32">
        <w:rPr>
          <w:lang w:val="en-GB"/>
        </w:rPr>
        <w:t>arrived at a different result</w:t>
      </w:r>
      <w:r>
        <w:rPr>
          <w:lang w:val="en-GB"/>
        </w:rPr>
        <w:t xml:space="preserve">. </w:t>
      </w:r>
      <w:r w:rsidR="00321F76">
        <w:rPr>
          <w:lang w:val="en-GB"/>
        </w:rPr>
        <w:t>For Eliade, t</w:t>
      </w:r>
      <w:r w:rsidR="00321F76" w:rsidRPr="00AC4BFA">
        <w:rPr>
          <w:lang w:val="en-GB"/>
        </w:rPr>
        <w:t>he sacred reveal</w:t>
      </w:r>
      <w:r w:rsidR="00061E21">
        <w:rPr>
          <w:lang w:val="en-GB"/>
        </w:rPr>
        <w:t>ed</w:t>
      </w:r>
      <w:r w:rsidR="00321F76" w:rsidRPr="00AC4BFA">
        <w:rPr>
          <w:lang w:val="en-GB"/>
        </w:rPr>
        <w:t xml:space="preserve"> itself to humanity through something </w:t>
      </w:r>
      <w:r w:rsidR="00321F76">
        <w:rPr>
          <w:lang w:val="en-GB"/>
        </w:rPr>
        <w:t>that manifest</w:t>
      </w:r>
      <w:r>
        <w:rPr>
          <w:lang w:val="en-GB"/>
        </w:rPr>
        <w:t>ed in a specific location</w:t>
      </w:r>
      <w:r w:rsidR="00321F76">
        <w:rPr>
          <w:lang w:val="en-GB"/>
        </w:rPr>
        <w:t xml:space="preserve"> and</w:t>
      </w:r>
      <w:r w:rsidR="00321F76" w:rsidRPr="00AC4BFA">
        <w:rPr>
          <w:lang w:val="en-GB"/>
        </w:rPr>
        <w:t xml:space="preserve"> d</w:t>
      </w:r>
      <w:r>
        <w:rPr>
          <w:lang w:val="en-GB"/>
        </w:rPr>
        <w:t>id</w:t>
      </w:r>
      <w:r w:rsidR="00321F76" w:rsidRPr="00AC4BFA">
        <w:rPr>
          <w:lang w:val="en-GB"/>
        </w:rPr>
        <w:t xml:space="preserve"> not belong to this profane world</w:t>
      </w:r>
      <w:r w:rsidR="00321F76">
        <w:rPr>
          <w:lang w:val="en-GB"/>
        </w:rPr>
        <w:t>.</w:t>
      </w:r>
      <w:r w:rsidR="00321F76">
        <w:rPr>
          <w:rStyle w:val="Funotenzeichen"/>
          <w:lang w:val="en-GB"/>
        </w:rPr>
        <w:footnoteReference w:id="60"/>
      </w:r>
      <w:r w:rsidR="00321F76">
        <w:rPr>
          <w:lang w:val="en-GB"/>
        </w:rPr>
        <w:t xml:space="preserve"> </w:t>
      </w:r>
      <w:r w:rsidR="00061E21">
        <w:rPr>
          <w:lang w:val="en-GB"/>
        </w:rPr>
        <w:t xml:space="preserve">For </w:t>
      </w:r>
      <w:r w:rsidR="00321F76">
        <w:rPr>
          <w:lang w:val="en-GB"/>
        </w:rPr>
        <w:t>Durkheim</w:t>
      </w:r>
      <w:r w:rsidR="00061E21">
        <w:rPr>
          <w:lang w:val="en-GB"/>
        </w:rPr>
        <w:t>, in contrast</w:t>
      </w:r>
      <w:r w:rsidR="00321F76">
        <w:rPr>
          <w:lang w:val="en-GB"/>
        </w:rPr>
        <w:t xml:space="preserve">, </w:t>
      </w:r>
      <w:r>
        <w:rPr>
          <w:lang w:val="en-GB"/>
        </w:rPr>
        <w:t xml:space="preserve">no place </w:t>
      </w:r>
      <w:r w:rsidR="00061E21">
        <w:rPr>
          <w:lang w:val="en-GB"/>
        </w:rPr>
        <w:t>was</w:t>
      </w:r>
      <w:r w:rsidR="00321F76">
        <w:rPr>
          <w:lang w:val="en-GB"/>
        </w:rPr>
        <w:t xml:space="preserve"> inherently sacred; </w:t>
      </w:r>
      <w:r w:rsidR="00321F76" w:rsidRPr="004012CE">
        <w:rPr>
          <w:lang w:val="en-GB"/>
        </w:rPr>
        <w:t xml:space="preserve">instead, humans </w:t>
      </w:r>
      <w:r w:rsidR="00321F76">
        <w:rPr>
          <w:lang w:val="en-GB"/>
        </w:rPr>
        <w:t>attribute</w:t>
      </w:r>
      <w:r w:rsidR="00061E21">
        <w:rPr>
          <w:lang w:val="en-GB"/>
        </w:rPr>
        <w:t>d</w:t>
      </w:r>
      <w:r w:rsidR="00321F76" w:rsidRPr="004012CE">
        <w:rPr>
          <w:lang w:val="en-GB"/>
        </w:rPr>
        <w:t xml:space="preserve"> sacredness to locations</w:t>
      </w:r>
      <w:r>
        <w:rPr>
          <w:lang w:val="en-GB"/>
        </w:rPr>
        <w:t xml:space="preserve"> and maintained it with their actions</w:t>
      </w:r>
      <w:r w:rsidR="00321F76" w:rsidRPr="009E649F">
        <w:rPr>
          <w:lang w:val="en-GB"/>
        </w:rPr>
        <w:t>.</w:t>
      </w:r>
      <w:r w:rsidR="00321F76">
        <w:rPr>
          <w:rStyle w:val="Funotenzeichen"/>
          <w:lang w:val="en-GB"/>
        </w:rPr>
        <w:footnoteReference w:id="61"/>
      </w:r>
      <w:r w:rsidR="00321F76">
        <w:rPr>
          <w:lang w:val="en-GB"/>
        </w:rPr>
        <w:t xml:space="preserve"> </w:t>
      </w:r>
      <w:r>
        <w:rPr>
          <w:lang w:val="en-GB"/>
        </w:rPr>
        <w:t xml:space="preserve">Both </w:t>
      </w:r>
      <w:r w:rsidR="00832B32">
        <w:rPr>
          <w:lang w:val="en-GB"/>
        </w:rPr>
        <w:t>viewed</w:t>
      </w:r>
      <w:r>
        <w:rPr>
          <w:lang w:val="en-GB"/>
        </w:rPr>
        <w:t xml:space="preserve"> rituals as essential</w:t>
      </w:r>
      <w:r w:rsidR="00832B32">
        <w:rPr>
          <w:lang w:val="en-GB"/>
        </w:rPr>
        <w:t xml:space="preserve">; however, </w:t>
      </w:r>
      <w:r w:rsidR="006E3C70">
        <w:rPr>
          <w:lang w:val="en-GB"/>
        </w:rPr>
        <w:t>serving</w:t>
      </w:r>
      <w:r w:rsidR="00832B32">
        <w:rPr>
          <w:lang w:val="en-GB"/>
        </w:rPr>
        <w:t xml:space="preserve"> different purposes: for Eliade, rituals created and recreated the world, and for Durkheim, they made and maintained the sacredness of</w:t>
      </w:r>
      <w:r>
        <w:rPr>
          <w:lang w:val="en-GB"/>
        </w:rPr>
        <w:t xml:space="preserve"> an object or place.</w:t>
      </w:r>
    </w:p>
    <w:p w14:paraId="6A28E41F" w14:textId="07C2A614" w:rsidR="00644B41" w:rsidRDefault="00DF3526" w:rsidP="00AF454F">
      <w:pPr>
        <w:rPr>
          <w:lang w:val="en-GB"/>
        </w:rPr>
      </w:pPr>
      <w:r>
        <w:rPr>
          <w:lang w:val="en-GB"/>
        </w:rPr>
        <w:t xml:space="preserve">In this sense, even though Durkheim and Eliade’s views on sacred space differ substantially, their approach arose from a similar intent. </w:t>
      </w:r>
      <w:r w:rsidR="00DC5ACF">
        <w:rPr>
          <w:lang w:val="en-GB"/>
        </w:rPr>
        <w:t>A</w:t>
      </w:r>
      <w:r w:rsidRPr="0059287C">
        <w:rPr>
          <w:lang w:val="en-GB"/>
        </w:rPr>
        <w:t xml:space="preserve">s Aristotle </w:t>
      </w:r>
      <w:r w:rsidR="00AA738A">
        <w:rPr>
          <w:lang w:val="en-GB"/>
        </w:rPr>
        <w:t>wrote</w:t>
      </w:r>
      <w:r w:rsidRPr="0059287C">
        <w:rPr>
          <w:lang w:val="en-GB"/>
        </w:rPr>
        <w:t xml:space="preserve"> in </w:t>
      </w:r>
      <w:r>
        <w:rPr>
          <w:lang w:val="en-GB"/>
        </w:rPr>
        <w:t xml:space="preserve">the </w:t>
      </w:r>
      <w:r w:rsidRPr="0059287C">
        <w:rPr>
          <w:lang w:val="en-GB"/>
        </w:rPr>
        <w:t xml:space="preserve">opening </w:t>
      </w:r>
      <w:r>
        <w:rPr>
          <w:lang w:val="en-GB"/>
        </w:rPr>
        <w:t xml:space="preserve">of </w:t>
      </w:r>
      <w:r w:rsidRPr="0059287C">
        <w:rPr>
          <w:lang w:val="en-GB"/>
        </w:rPr>
        <w:t>Physics</w:t>
      </w:r>
      <w:r>
        <w:rPr>
          <w:lang w:val="en-GB"/>
        </w:rPr>
        <w:t>:</w:t>
      </w:r>
      <w:r w:rsidRPr="0059287C">
        <w:rPr>
          <w:lang w:val="en-GB"/>
        </w:rPr>
        <w:t xml:space="preserve"> </w:t>
      </w:r>
      <w:r>
        <w:rPr>
          <w:lang w:val="en-GB"/>
        </w:rPr>
        <w:t>‘</w:t>
      </w:r>
      <w:r w:rsidRPr="0059287C">
        <w:rPr>
          <w:lang w:val="en-GB"/>
        </w:rPr>
        <w:t>Start from the things which are more knowable and obvious to us and proceed towards those which are clearer and more knowable by nature</w:t>
      </w:r>
      <w:r>
        <w:rPr>
          <w:lang w:val="en-GB"/>
        </w:rPr>
        <w:t>.’</w:t>
      </w:r>
      <w:r>
        <w:rPr>
          <w:rStyle w:val="Funotenzeichen"/>
          <w:lang w:val="en-GB"/>
        </w:rPr>
        <w:footnoteReference w:id="62"/>
      </w:r>
      <w:r>
        <w:rPr>
          <w:lang w:val="en-GB"/>
        </w:rPr>
        <w:t xml:space="preserve"> </w:t>
      </w:r>
      <w:r w:rsidR="001372FF">
        <w:rPr>
          <w:lang w:val="en-GB"/>
        </w:rPr>
        <w:t>Eliade and Durkheim both started from their own viewpoints, Eliade</w:t>
      </w:r>
      <w:r w:rsidR="004B2236">
        <w:rPr>
          <w:lang w:val="en-GB"/>
        </w:rPr>
        <w:t xml:space="preserve"> as a historian of religion</w:t>
      </w:r>
      <w:r w:rsidR="00671375">
        <w:rPr>
          <w:lang w:val="en-GB"/>
        </w:rPr>
        <w:t>, being concerned with finding the sacred in place, and Durkheim as a sociologist,</w:t>
      </w:r>
      <w:r w:rsidR="004B2236">
        <w:rPr>
          <w:lang w:val="en-GB"/>
        </w:rPr>
        <w:t xml:space="preserve"> concerned </w:t>
      </w:r>
      <w:r w:rsidR="001372FF">
        <w:rPr>
          <w:lang w:val="en-GB"/>
        </w:rPr>
        <w:t xml:space="preserve">with finding </w:t>
      </w:r>
      <w:r w:rsidR="004B2236">
        <w:rPr>
          <w:lang w:val="en-GB"/>
        </w:rPr>
        <w:t>the sacred</w:t>
      </w:r>
      <w:r w:rsidR="001372FF">
        <w:rPr>
          <w:lang w:val="en-GB"/>
        </w:rPr>
        <w:t xml:space="preserve"> in the human mind. </w:t>
      </w:r>
      <w:r w:rsidR="006E3C70">
        <w:rPr>
          <w:lang w:val="en-GB"/>
        </w:rPr>
        <w:t>Maybe it</w:t>
      </w:r>
      <w:r w:rsidR="00E637B9">
        <w:rPr>
          <w:lang w:val="en-GB"/>
        </w:rPr>
        <w:t xml:space="preserve"> can be expressed by </w:t>
      </w:r>
      <w:r w:rsidR="006E3C70">
        <w:rPr>
          <w:lang w:val="en-GB"/>
        </w:rPr>
        <w:t>Belden C.</w:t>
      </w:r>
      <w:r w:rsidR="00DC5ACF" w:rsidRPr="00AA738A">
        <w:rPr>
          <w:lang w:val="en-GB"/>
        </w:rPr>
        <w:t xml:space="preserve"> Lane</w:t>
      </w:r>
      <w:r w:rsidR="006E3C70">
        <w:rPr>
          <w:lang w:val="en-GB"/>
        </w:rPr>
        <w:t>’s words</w:t>
      </w:r>
      <w:r w:rsidR="00DC5ACF">
        <w:rPr>
          <w:lang w:val="en-GB"/>
        </w:rPr>
        <w:t xml:space="preserve">, </w:t>
      </w:r>
      <w:r w:rsidR="00DC5ACF" w:rsidRPr="00AA738A">
        <w:rPr>
          <w:lang w:val="en-GB"/>
        </w:rPr>
        <w:t xml:space="preserve">who claimed that </w:t>
      </w:r>
      <w:r w:rsidR="006663C1">
        <w:rPr>
          <w:lang w:val="en-GB"/>
        </w:rPr>
        <w:t>‘</w:t>
      </w:r>
      <w:r w:rsidR="00DC5ACF" w:rsidRPr="00AA738A">
        <w:rPr>
          <w:lang w:val="en-GB"/>
        </w:rPr>
        <w:t xml:space="preserve">the sacred </w:t>
      </w:r>
      <w:r w:rsidR="006663C1">
        <w:rPr>
          <w:lang w:val="en-GB"/>
        </w:rPr>
        <w:t>site speaks, then, with its own voice, even as that voice is heard by thoroughly culturally conditioned ears.’</w:t>
      </w:r>
      <w:r w:rsidR="00DC5ACF">
        <w:rPr>
          <w:rStyle w:val="Funotenzeichen"/>
          <w:lang w:val="en-GB"/>
        </w:rPr>
        <w:footnoteReference w:id="63"/>
      </w:r>
    </w:p>
    <w:p w14:paraId="405A2E36" w14:textId="1EFBD387" w:rsidR="00DF58F5" w:rsidRDefault="00DF58F5">
      <w:pPr>
        <w:rPr>
          <w:lang w:val="en-GB"/>
        </w:rPr>
      </w:pPr>
      <w:r>
        <w:rPr>
          <w:lang w:val="en-GB"/>
        </w:rPr>
        <w:br w:type="page"/>
      </w:r>
    </w:p>
    <w:p w14:paraId="7BB6D47D" w14:textId="3698F57B" w:rsidR="00DA1DB8" w:rsidRPr="002A1C6D" w:rsidRDefault="00DA1DB8" w:rsidP="00AF454F">
      <w:pPr>
        <w:rPr>
          <w:b/>
          <w:bCs/>
          <w:sz w:val="24"/>
          <w:szCs w:val="24"/>
          <w:lang w:val="en-GB"/>
        </w:rPr>
      </w:pPr>
      <w:r w:rsidRPr="002A1C6D">
        <w:rPr>
          <w:b/>
          <w:bCs/>
          <w:sz w:val="24"/>
          <w:szCs w:val="24"/>
          <w:lang w:val="en-GB"/>
        </w:rPr>
        <w:t>Bibliography</w:t>
      </w:r>
    </w:p>
    <w:p w14:paraId="3305C167" w14:textId="77777777" w:rsidR="009E10AA" w:rsidRDefault="009E10AA" w:rsidP="00250C2F">
      <w:pPr>
        <w:pStyle w:val="Funotentext"/>
        <w:rPr>
          <w:sz w:val="22"/>
          <w:szCs w:val="22"/>
          <w:lang w:val="en-GB"/>
        </w:rPr>
      </w:pPr>
    </w:p>
    <w:p w14:paraId="3D9B03DA" w14:textId="2C8CDCF7" w:rsidR="00DF58F5" w:rsidRDefault="00250C2F" w:rsidP="00250C2F">
      <w:pPr>
        <w:pStyle w:val="Funotentext"/>
        <w:rPr>
          <w:sz w:val="22"/>
          <w:szCs w:val="22"/>
          <w:lang w:val="en-GB"/>
        </w:rPr>
      </w:pPr>
      <w:r w:rsidRPr="00C85976">
        <w:rPr>
          <w:sz w:val="22"/>
          <w:szCs w:val="22"/>
          <w:lang w:val="en-GB"/>
        </w:rPr>
        <w:t xml:space="preserve">Aristotle, </w:t>
      </w:r>
      <w:r w:rsidRPr="00C85976">
        <w:rPr>
          <w:i/>
          <w:iCs/>
          <w:sz w:val="22"/>
          <w:szCs w:val="22"/>
          <w:lang w:val="en-GB"/>
        </w:rPr>
        <w:t>The Physics in Two Volumes, Vol. I (Loeb Classical Library, Harvard University Press, 1957), Book</w:t>
      </w:r>
      <w:r w:rsidR="009E10AA">
        <w:rPr>
          <w:i/>
          <w:iCs/>
          <w:sz w:val="22"/>
          <w:szCs w:val="22"/>
          <w:lang w:val="en-GB"/>
        </w:rPr>
        <w:t xml:space="preserve">s I and </w:t>
      </w:r>
      <w:r w:rsidRPr="00C85976">
        <w:rPr>
          <w:i/>
          <w:iCs/>
          <w:sz w:val="22"/>
          <w:szCs w:val="22"/>
          <w:lang w:val="en-GB"/>
        </w:rPr>
        <w:t>III</w:t>
      </w:r>
    </w:p>
    <w:p w14:paraId="4CC50791" w14:textId="77777777" w:rsidR="00C75E2E" w:rsidRDefault="00C75E2E" w:rsidP="00250C2F">
      <w:pPr>
        <w:pStyle w:val="Funotentext"/>
        <w:rPr>
          <w:sz w:val="22"/>
          <w:szCs w:val="22"/>
          <w:lang w:val="en-GB"/>
        </w:rPr>
      </w:pPr>
    </w:p>
    <w:p w14:paraId="3853E2A0" w14:textId="77777777" w:rsidR="00250C2F" w:rsidRDefault="00250C2F" w:rsidP="00250C2F">
      <w:pPr>
        <w:pStyle w:val="Funotentext"/>
        <w:rPr>
          <w:sz w:val="22"/>
          <w:szCs w:val="22"/>
          <w:lang w:val="en-GB"/>
        </w:rPr>
      </w:pPr>
      <w:r w:rsidRPr="00BD6B4E">
        <w:rPr>
          <w:sz w:val="22"/>
          <w:szCs w:val="22"/>
          <w:lang w:val="en-GB"/>
        </w:rPr>
        <w:t>Allen</w:t>
      </w:r>
      <w:r>
        <w:rPr>
          <w:sz w:val="22"/>
          <w:szCs w:val="22"/>
          <w:lang w:val="en-GB"/>
        </w:rPr>
        <w:t xml:space="preserve">, </w:t>
      </w:r>
      <w:r w:rsidRPr="00BD6B4E">
        <w:rPr>
          <w:sz w:val="22"/>
          <w:szCs w:val="22"/>
          <w:lang w:val="en-GB"/>
        </w:rPr>
        <w:t xml:space="preserve">Douglas, ‘Prologue: Encounters with Mircea Eliade and his Legacy for the 21st Century’, </w:t>
      </w:r>
      <w:r w:rsidRPr="00BD6B4E">
        <w:rPr>
          <w:i/>
          <w:iCs/>
          <w:sz w:val="22"/>
          <w:szCs w:val="22"/>
          <w:lang w:val="en-GB"/>
        </w:rPr>
        <w:t>Religion,</w:t>
      </w:r>
      <w:r w:rsidRPr="00BD6B4E">
        <w:rPr>
          <w:sz w:val="22"/>
          <w:szCs w:val="22"/>
          <w:lang w:val="en-GB"/>
        </w:rPr>
        <w:t xml:space="preserve"> Volume 38, Issue 4, 2008, </w:t>
      </w:r>
      <w:r>
        <w:rPr>
          <w:sz w:val="22"/>
          <w:szCs w:val="22"/>
          <w:lang w:val="en-GB"/>
        </w:rPr>
        <w:t xml:space="preserve">pp. </w:t>
      </w:r>
      <w:r w:rsidRPr="00852271">
        <w:rPr>
          <w:sz w:val="22"/>
          <w:szCs w:val="22"/>
          <w:lang w:val="en-GB"/>
        </w:rPr>
        <w:t>319–327</w:t>
      </w:r>
      <w:r>
        <w:rPr>
          <w:sz w:val="22"/>
          <w:szCs w:val="22"/>
          <w:lang w:val="en-GB"/>
        </w:rPr>
        <w:t>.</w:t>
      </w:r>
    </w:p>
    <w:p w14:paraId="48AC5DAB" w14:textId="77777777" w:rsidR="00DF58F5" w:rsidRDefault="00DF58F5" w:rsidP="00250C2F">
      <w:pPr>
        <w:pStyle w:val="Funotentext"/>
        <w:rPr>
          <w:sz w:val="22"/>
          <w:szCs w:val="22"/>
          <w:lang w:val="en-GB"/>
        </w:rPr>
      </w:pPr>
    </w:p>
    <w:p w14:paraId="6FC04B9F" w14:textId="77777777" w:rsidR="00B03E9E" w:rsidRDefault="00B03E9E" w:rsidP="00B03E9E">
      <w:pPr>
        <w:pStyle w:val="Funotentext"/>
        <w:rPr>
          <w:sz w:val="22"/>
          <w:szCs w:val="22"/>
          <w:lang w:val="en-GB"/>
        </w:rPr>
      </w:pPr>
      <w:r w:rsidRPr="00C85976">
        <w:rPr>
          <w:sz w:val="22"/>
          <w:szCs w:val="22"/>
          <w:lang w:val="en-GB"/>
        </w:rPr>
        <w:t>Brady,</w:t>
      </w:r>
      <w:r w:rsidRPr="00C85976">
        <w:rPr>
          <w:rStyle w:val="Funotenzeichen"/>
          <w:sz w:val="22"/>
          <w:szCs w:val="22"/>
          <w:lang w:val="en-GB"/>
        </w:rPr>
        <w:t xml:space="preserve"> </w:t>
      </w:r>
      <w:r w:rsidRPr="00C85976">
        <w:rPr>
          <w:sz w:val="22"/>
          <w:szCs w:val="22"/>
          <w:lang w:val="en-GB"/>
        </w:rPr>
        <w:t>Bernadette</w:t>
      </w:r>
      <w:r>
        <w:rPr>
          <w:sz w:val="22"/>
          <w:szCs w:val="22"/>
          <w:lang w:val="en-GB"/>
        </w:rPr>
        <w:t>,</w:t>
      </w:r>
      <w:r w:rsidRPr="00C85976">
        <w:rPr>
          <w:sz w:val="22"/>
          <w:szCs w:val="22"/>
          <w:lang w:val="en-GB"/>
        </w:rPr>
        <w:t xml:space="preserve"> ‘Introduction Part I’, </w:t>
      </w:r>
      <w:r w:rsidRPr="00C85976">
        <w:rPr>
          <w:i/>
          <w:iCs/>
          <w:sz w:val="22"/>
          <w:szCs w:val="22"/>
          <w:lang w:val="en-GB"/>
        </w:rPr>
        <w:t>Sacred Geography: Conversations With The Other</w:t>
      </w:r>
      <w:r w:rsidRPr="00C85976">
        <w:rPr>
          <w:sz w:val="22"/>
          <w:szCs w:val="22"/>
          <w:lang w:val="en-GB"/>
        </w:rPr>
        <w:t>, (Ceredigion, Wales: Sophia Center Press, 2024)</w:t>
      </w:r>
      <w:r>
        <w:rPr>
          <w:sz w:val="22"/>
          <w:szCs w:val="22"/>
          <w:lang w:val="en-GB"/>
        </w:rPr>
        <w:t>.</w:t>
      </w:r>
    </w:p>
    <w:p w14:paraId="15DA4689" w14:textId="77777777" w:rsidR="00B03E9E" w:rsidRDefault="00B03E9E" w:rsidP="00B03E9E">
      <w:pPr>
        <w:pStyle w:val="Funotentext"/>
        <w:rPr>
          <w:sz w:val="22"/>
          <w:szCs w:val="22"/>
          <w:lang w:val="en-GB"/>
        </w:rPr>
      </w:pPr>
    </w:p>
    <w:p w14:paraId="2A7BDDB4" w14:textId="77777777" w:rsidR="00B03E9E" w:rsidRDefault="00B03E9E" w:rsidP="00B03E9E">
      <w:pPr>
        <w:pStyle w:val="Funotentext"/>
        <w:rPr>
          <w:sz w:val="22"/>
          <w:szCs w:val="22"/>
          <w:lang w:val="en-GB"/>
        </w:rPr>
      </w:pPr>
      <w:r w:rsidRPr="00C951FA">
        <w:rPr>
          <w:sz w:val="22"/>
          <w:szCs w:val="22"/>
          <w:lang w:val="en-GB"/>
        </w:rPr>
        <w:t xml:space="preserve">Durkheim, Émile, </w:t>
      </w:r>
      <w:r w:rsidRPr="00C951FA">
        <w:rPr>
          <w:i/>
          <w:iCs/>
          <w:sz w:val="22"/>
          <w:szCs w:val="22"/>
          <w:lang w:val="en-GB"/>
        </w:rPr>
        <w:t xml:space="preserve">The Elementary Forms of Religious Life </w:t>
      </w:r>
      <w:r w:rsidRPr="00C951FA">
        <w:rPr>
          <w:sz w:val="22"/>
          <w:szCs w:val="22"/>
          <w:lang w:val="en-GB"/>
        </w:rPr>
        <w:t>(New York: The Free Press, 1995).</w:t>
      </w:r>
    </w:p>
    <w:p w14:paraId="10408C84" w14:textId="77777777" w:rsidR="00B03E9E" w:rsidRPr="00C951FA" w:rsidRDefault="00B03E9E" w:rsidP="00B03E9E">
      <w:pPr>
        <w:pStyle w:val="Funotentext"/>
        <w:rPr>
          <w:sz w:val="22"/>
          <w:szCs w:val="22"/>
          <w:lang w:val="en-GB"/>
        </w:rPr>
      </w:pPr>
    </w:p>
    <w:p w14:paraId="1F0392AA" w14:textId="77777777" w:rsidR="00250C2F" w:rsidRDefault="00250C2F" w:rsidP="00250C2F">
      <w:pPr>
        <w:pStyle w:val="Funotentext"/>
        <w:rPr>
          <w:sz w:val="22"/>
          <w:szCs w:val="22"/>
          <w:lang w:val="en-GB"/>
        </w:rPr>
      </w:pPr>
      <w:r w:rsidRPr="00BD6B4E">
        <w:rPr>
          <w:sz w:val="22"/>
          <w:szCs w:val="22"/>
          <w:lang w:val="en-GB"/>
        </w:rPr>
        <w:t>Eliade</w:t>
      </w:r>
      <w:r>
        <w:rPr>
          <w:sz w:val="22"/>
          <w:szCs w:val="22"/>
          <w:lang w:val="en-GB"/>
        </w:rPr>
        <w:t xml:space="preserve">, </w:t>
      </w:r>
      <w:r w:rsidRPr="00BD6B4E">
        <w:rPr>
          <w:sz w:val="22"/>
          <w:szCs w:val="22"/>
          <w:lang w:val="en-GB"/>
        </w:rPr>
        <w:t xml:space="preserve">Mircea, </w:t>
      </w:r>
      <w:r w:rsidRPr="00BD6B4E">
        <w:rPr>
          <w:i/>
          <w:iCs/>
          <w:sz w:val="22"/>
          <w:szCs w:val="22"/>
          <w:lang w:val="en-GB"/>
        </w:rPr>
        <w:t>The Sacred and the Profane: The Nature of Religion</w:t>
      </w:r>
      <w:r w:rsidRPr="00BD6B4E">
        <w:rPr>
          <w:sz w:val="22"/>
          <w:szCs w:val="22"/>
          <w:lang w:val="en-GB"/>
        </w:rPr>
        <w:t xml:space="preserve"> (New York: Harcourt, Inc., 1987)</w:t>
      </w:r>
      <w:r>
        <w:rPr>
          <w:sz w:val="22"/>
          <w:szCs w:val="22"/>
          <w:lang w:val="en-GB"/>
        </w:rPr>
        <w:t>.</w:t>
      </w:r>
    </w:p>
    <w:p w14:paraId="2A68897E" w14:textId="77777777" w:rsidR="00250C2F" w:rsidRPr="00C85976" w:rsidRDefault="00250C2F" w:rsidP="00250C2F">
      <w:pPr>
        <w:pStyle w:val="Funotentext"/>
        <w:rPr>
          <w:sz w:val="22"/>
          <w:szCs w:val="22"/>
          <w:lang w:val="en-GB"/>
        </w:rPr>
      </w:pPr>
    </w:p>
    <w:p w14:paraId="69C45F41" w14:textId="1E3A3BF8" w:rsidR="00250C2F" w:rsidRPr="00C951FA" w:rsidRDefault="00B03E9E" w:rsidP="00250C2F">
      <w:pPr>
        <w:pStyle w:val="Funotentext"/>
        <w:rPr>
          <w:sz w:val="22"/>
          <w:szCs w:val="22"/>
          <w:lang w:val="en-GB"/>
        </w:rPr>
      </w:pPr>
      <w:r w:rsidRPr="006B1AC3">
        <w:rPr>
          <w:sz w:val="22"/>
          <w:szCs w:val="22"/>
          <w:lang w:val="en-GB"/>
        </w:rPr>
        <w:t>Eliade, Mircea,</w:t>
      </w:r>
      <w:r>
        <w:rPr>
          <w:i/>
          <w:iCs/>
          <w:sz w:val="22"/>
          <w:szCs w:val="22"/>
          <w:lang w:val="en-GB"/>
        </w:rPr>
        <w:t xml:space="preserve"> </w:t>
      </w:r>
      <w:r w:rsidRPr="006B1AC3">
        <w:rPr>
          <w:i/>
          <w:iCs/>
          <w:sz w:val="22"/>
          <w:szCs w:val="22"/>
          <w:lang w:val="en-GB"/>
        </w:rPr>
        <w:t xml:space="preserve">Patterns in Comparative Religion </w:t>
      </w:r>
      <w:r w:rsidRPr="006B1AC3">
        <w:rPr>
          <w:sz w:val="22"/>
          <w:szCs w:val="22"/>
          <w:lang w:val="en-GB"/>
        </w:rPr>
        <w:t>(Lincoln and London: University of Nebraska Press, 1996)</w:t>
      </w:r>
      <w:r>
        <w:rPr>
          <w:sz w:val="22"/>
          <w:szCs w:val="22"/>
          <w:lang w:val="en-GB"/>
        </w:rPr>
        <w:t>.</w:t>
      </w:r>
    </w:p>
    <w:p w14:paraId="536A7CEF" w14:textId="77777777" w:rsidR="00250C2F" w:rsidRPr="006B1AC3" w:rsidRDefault="00250C2F" w:rsidP="00250C2F">
      <w:pPr>
        <w:pStyle w:val="Funotentext"/>
        <w:rPr>
          <w:sz w:val="22"/>
          <w:szCs w:val="22"/>
          <w:lang w:val="en-GB"/>
        </w:rPr>
      </w:pPr>
    </w:p>
    <w:p w14:paraId="5D43CEC2" w14:textId="77777777" w:rsidR="00250C2F" w:rsidRDefault="00250C2F" w:rsidP="00250C2F">
      <w:pPr>
        <w:pStyle w:val="Funotentext"/>
        <w:rPr>
          <w:sz w:val="22"/>
          <w:szCs w:val="22"/>
          <w:lang w:val="en-GB"/>
        </w:rPr>
      </w:pPr>
      <w:r w:rsidRPr="00BD6B4E">
        <w:rPr>
          <w:sz w:val="22"/>
          <w:szCs w:val="22"/>
          <w:lang w:val="en-GB"/>
        </w:rPr>
        <w:t>Fields, Karin E.</w:t>
      </w:r>
      <w:r>
        <w:rPr>
          <w:sz w:val="22"/>
          <w:szCs w:val="22"/>
          <w:lang w:val="en-GB"/>
        </w:rPr>
        <w:t xml:space="preserve">, </w:t>
      </w:r>
      <w:r w:rsidRPr="00BD6B4E">
        <w:rPr>
          <w:sz w:val="22"/>
          <w:szCs w:val="22"/>
          <w:lang w:val="en-GB"/>
        </w:rPr>
        <w:t xml:space="preserve">‘Translator’s Introduction’ to Émile Durkheim’s </w:t>
      </w:r>
      <w:r w:rsidRPr="00BD6B4E">
        <w:rPr>
          <w:i/>
          <w:iCs/>
          <w:sz w:val="22"/>
          <w:szCs w:val="22"/>
          <w:lang w:val="en-GB"/>
        </w:rPr>
        <w:t xml:space="preserve">The Elementary Forms of Religious Life </w:t>
      </w:r>
      <w:r w:rsidRPr="00BD6B4E">
        <w:rPr>
          <w:sz w:val="22"/>
          <w:szCs w:val="22"/>
          <w:lang w:val="en-GB"/>
        </w:rPr>
        <w:t>(New York: The Free Press, 1995)</w:t>
      </w:r>
      <w:r>
        <w:rPr>
          <w:sz w:val="22"/>
          <w:szCs w:val="22"/>
          <w:lang w:val="en-GB"/>
        </w:rPr>
        <w:t>.</w:t>
      </w:r>
    </w:p>
    <w:p w14:paraId="513AB36F" w14:textId="77777777" w:rsidR="00250C2F" w:rsidRPr="00C85976" w:rsidRDefault="00250C2F" w:rsidP="00250C2F">
      <w:pPr>
        <w:pStyle w:val="Funotentext"/>
        <w:rPr>
          <w:sz w:val="22"/>
          <w:szCs w:val="22"/>
          <w:lang w:val="en-GB"/>
        </w:rPr>
      </w:pPr>
    </w:p>
    <w:p w14:paraId="76582669" w14:textId="3492B312" w:rsidR="00250C2F" w:rsidRPr="00BD6B4E" w:rsidRDefault="00250C2F" w:rsidP="00250C2F">
      <w:pPr>
        <w:pStyle w:val="Funotentext"/>
        <w:rPr>
          <w:sz w:val="22"/>
          <w:szCs w:val="22"/>
          <w:lang w:val="en-GB"/>
        </w:rPr>
      </w:pPr>
      <w:r w:rsidRPr="00BD6B4E">
        <w:rPr>
          <w:sz w:val="22"/>
          <w:szCs w:val="22"/>
          <w:lang w:val="en-GB"/>
        </w:rPr>
        <w:t>Guénon, René</w:t>
      </w:r>
      <w:r>
        <w:rPr>
          <w:sz w:val="22"/>
          <w:szCs w:val="22"/>
          <w:lang w:val="en-GB"/>
        </w:rPr>
        <w:t xml:space="preserve">, </w:t>
      </w:r>
      <w:r w:rsidRPr="00BD6B4E">
        <w:rPr>
          <w:sz w:val="22"/>
          <w:szCs w:val="22"/>
          <w:lang w:val="en-GB"/>
        </w:rPr>
        <w:t xml:space="preserve">‘The Land of the Sun’, </w:t>
      </w:r>
      <w:r w:rsidRPr="00BD6B4E">
        <w:rPr>
          <w:i/>
          <w:iCs/>
          <w:sz w:val="22"/>
          <w:szCs w:val="22"/>
          <w:lang w:val="en-GB"/>
        </w:rPr>
        <w:t>Studies in Comparative Religion,</w:t>
      </w:r>
      <w:r w:rsidRPr="00BD6B4E">
        <w:rPr>
          <w:sz w:val="22"/>
          <w:szCs w:val="22"/>
          <w:lang w:val="en-GB"/>
        </w:rPr>
        <w:t xml:space="preserve"> Vol. 14, Nos. 3 &amp; 4. (World Wisdom, Inc., Summer-Autumn, 1980)</w:t>
      </w:r>
      <w:r w:rsidR="00B03E9E">
        <w:rPr>
          <w:sz w:val="22"/>
          <w:szCs w:val="22"/>
          <w:lang w:val="en-GB"/>
        </w:rPr>
        <w:t xml:space="preserve"> </w:t>
      </w:r>
      <w:r w:rsidRPr="00BD6B4E">
        <w:rPr>
          <w:sz w:val="22"/>
          <w:szCs w:val="22"/>
          <w:lang w:val="en-GB"/>
        </w:rPr>
        <w:t>&lt;http://www.studiesincomparativereligion.com/Public/articles/The_Land_of_th</w:t>
      </w:r>
    </w:p>
    <w:p w14:paraId="2EC67239" w14:textId="77777777" w:rsidR="00250C2F" w:rsidRDefault="00250C2F" w:rsidP="00250C2F">
      <w:pPr>
        <w:pStyle w:val="Funotentext"/>
        <w:rPr>
          <w:sz w:val="22"/>
          <w:szCs w:val="22"/>
          <w:lang w:val="en-GB"/>
        </w:rPr>
      </w:pPr>
      <w:r w:rsidRPr="00BD6B4E">
        <w:rPr>
          <w:sz w:val="22"/>
          <w:szCs w:val="22"/>
          <w:lang w:val="en-GB"/>
        </w:rPr>
        <w:t xml:space="preserve"> e_Sun-by_Ren%C3%A9_Gu%C3%A9non.aspx&gt; [accessed 3 November 2025].</w:t>
      </w:r>
    </w:p>
    <w:p w14:paraId="0E18B3BA" w14:textId="77777777" w:rsidR="00250C2F" w:rsidRPr="00BD6B4E" w:rsidRDefault="00250C2F" w:rsidP="00250C2F">
      <w:pPr>
        <w:pStyle w:val="Funotentext"/>
        <w:rPr>
          <w:sz w:val="22"/>
          <w:szCs w:val="22"/>
          <w:lang w:val="en-GB"/>
        </w:rPr>
      </w:pPr>
    </w:p>
    <w:p w14:paraId="4B569E9C" w14:textId="77777777" w:rsidR="00B03E9E" w:rsidRDefault="00B03E9E" w:rsidP="00B03E9E">
      <w:pPr>
        <w:pStyle w:val="Funotentext"/>
        <w:rPr>
          <w:sz w:val="22"/>
          <w:szCs w:val="22"/>
          <w:lang w:val="en-GB"/>
        </w:rPr>
      </w:pPr>
      <w:r w:rsidRPr="00BD6B4E">
        <w:rPr>
          <w:sz w:val="22"/>
          <w:szCs w:val="22"/>
          <w:lang w:val="en-GB"/>
        </w:rPr>
        <w:t>Hart, Keith</w:t>
      </w:r>
      <w:r>
        <w:rPr>
          <w:sz w:val="22"/>
          <w:szCs w:val="22"/>
          <w:lang w:val="en-GB"/>
        </w:rPr>
        <w:t>,</w:t>
      </w:r>
      <w:r w:rsidRPr="00BD6B4E">
        <w:rPr>
          <w:sz w:val="22"/>
          <w:szCs w:val="22"/>
          <w:lang w:val="en-GB"/>
        </w:rPr>
        <w:t xml:space="preserve"> ‘CSSH Notes, Marcel Fournier, Émile Durkheim: A Biography’, </w:t>
      </w:r>
      <w:r w:rsidRPr="00BD6B4E">
        <w:rPr>
          <w:i/>
          <w:iCs/>
          <w:sz w:val="22"/>
          <w:szCs w:val="22"/>
          <w:lang w:val="en-GB"/>
        </w:rPr>
        <w:t xml:space="preserve">Comparative Studies in Society and History, </w:t>
      </w:r>
      <w:r w:rsidRPr="00BD6B4E">
        <w:rPr>
          <w:sz w:val="22"/>
          <w:szCs w:val="22"/>
          <w:lang w:val="en-GB"/>
        </w:rPr>
        <w:t>Cambridge University Press,</w:t>
      </w:r>
      <w:r w:rsidRPr="00BD6B4E">
        <w:rPr>
          <w:i/>
          <w:iCs/>
          <w:sz w:val="22"/>
          <w:szCs w:val="22"/>
          <w:lang w:val="en-GB"/>
        </w:rPr>
        <w:t xml:space="preserve"> </w:t>
      </w:r>
      <w:r w:rsidRPr="00BD6B4E">
        <w:rPr>
          <w:sz w:val="22"/>
          <w:szCs w:val="22"/>
          <w:lang w:val="en-GB"/>
        </w:rPr>
        <w:t>Volume 56, Issue 2, April 2014</w:t>
      </w:r>
      <w:r>
        <w:rPr>
          <w:sz w:val="22"/>
          <w:szCs w:val="22"/>
          <w:lang w:val="en-GB"/>
        </w:rPr>
        <w:t xml:space="preserve">, pp. </w:t>
      </w:r>
      <w:r w:rsidRPr="00BD6B4E">
        <w:rPr>
          <w:sz w:val="22"/>
          <w:szCs w:val="22"/>
          <w:lang w:val="en-GB"/>
        </w:rPr>
        <w:t>37–553</w:t>
      </w:r>
      <w:r>
        <w:rPr>
          <w:sz w:val="22"/>
          <w:szCs w:val="22"/>
          <w:lang w:val="en-GB"/>
        </w:rPr>
        <w:t>.</w:t>
      </w:r>
    </w:p>
    <w:p w14:paraId="55E6583B" w14:textId="77777777" w:rsidR="00B03E9E" w:rsidRDefault="00B03E9E" w:rsidP="00B03E9E">
      <w:pPr>
        <w:pStyle w:val="Funotentext"/>
        <w:rPr>
          <w:sz w:val="22"/>
          <w:szCs w:val="22"/>
          <w:lang w:val="en-GB"/>
        </w:rPr>
      </w:pPr>
    </w:p>
    <w:p w14:paraId="64B390D4" w14:textId="0E3A6D32" w:rsidR="00250C2F" w:rsidRDefault="00250C2F" w:rsidP="00250C2F">
      <w:pPr>
        <w:pStyle w:val="Funotentext"/>
        <w:rPr>
          <w:sz w:val="22"/>
          <w:szCs w:val="22"/>
          <w:lang w:val="en-GB"/>
        </w:rPr>
      </w:pPr>
      <w:r w:rsidRPr="00B03E9E">
        <w:rPr>
          <w:sz w:val="22"/>
          <w:szCs w:val="22"/>
          <w:lang w:val="en-GB"/>
        </w:rPr>
        <w:t xml:space="preserve">Heinsch, Josef, ‘Principles of prehistoric sacred geography’, </w:t>
      </w:r>
      <w:r w:rsidRPr="00B03E9E">
        <w:rPr>
          <w:i/>
          <w:iCs/>
          <w:sz w:val="22"/>
          <w:szCs w:val="22"/>
          <w:lang w:val="en-GB"/>
        </w:rPr>
        <w:t>Comptes Rendus du Congrès International de Géographie (</w:t>
      </w:r>
      <w:r w:rsidRPr="00B03E9E">
        <w:rPr>
          <w:sz w:val="22"/>
          <w:szCs w:val="22"/>
          <w:lang w:val="en-GB"/>
        </w:rPr>
        <w:t>Amsterdam, 1938)</w:t>
      </w:r>
      <w:r w:rsidR="00B03E9E">
        <w:rPr>
          <w:sz w:val="22"/>
          <w:szCs w:val="22"/>
          <w:lang w:val="en-GB"/>
        </w:rPr>
        <w:t xml:space="preserve"> </w:t>
      </w:r>
      <w:r w:rsidRPr="00BD6B4E">
        <w:rPr>
          <w:sz w:val="22"/>
          <w:szCs w:val="22"/>
          <w:lang w:val="en-GB"/>
        </w:rPr>
        <w:t>&lt;https://www.cantab.net/users/michael.behrend/repubs/ggw/heinsch_gvkg/pages/gvkg_en.html&gt;  [accessed 3 November 2025]</w:t>
      </w:r>
    </w:p>
    <w:p w14:paraId="2EB27BBF" w14:textId="77777777" w:rsidR="00250C2F" w:rsidRDefault="00250C2F" w:rsidP="00250C2F">
      <w:pPr>
        <w:pStyle w:val="Funotentext"/>
        <w:rPr>
          <w:sz w:val="22"/>
          <w:szCs w:val="22"/>
          <w:lang w:val="en-GB"/>
        </w:rPr>
      </w:pPr>
    </w:p>
    <w:p w14:paraId="5E98BAD4" w14:textId="77777777" w:rsidR="00250C2F" w:rsidRDefault="00250C2F" w:rsidP="00250C2F">
      <w:pPr>
        <w:pStyle w:val="Funotentext"/>
        <w:rPr>
          <w:i/>
          <w:iCs/>
          <w:sz w:val="22"/>
          <w:szCs w:val="22"/>
          <w:lang w:val="en-GB"/>
        </w:rPr>
      </w:pPr>
      <w:r w:rsidRPr="00BD6B4E">
        <w:rPr>
          <w:sz w:val="22"/>
          <w:szCs w:val="22"/>
          <w:lang w:val="en-GB"/>
        </w:rPr>
        <w:t>Hold</w:t>
      </w:r>
      <w:r>
        <w:rPr>
          <w:sz w:val="22"/>
          <w:szCs w:val="22"/>
          <w:lang w:val="en-GB"/>
        </w:rPr>
        <w:t xml:space="preserve">, </w:t>
      </w:r>
      <w:r w:rsidRPr="00BD6B4E">
        <w:rPr>
          <w:sz w:val="22"/>
          <w:szCs w:val="22"/>
          <w:lang w:val="en-GB"/>
        </w:rPr>
        <w:t xml:space="preserve">John Clifford, ‘Introduction’ to Mircea Eliade’s </w:t>
      </w:r>
      <w:r w:rsidRPr="00BD6B4E">
        <w:rPr>
          <w:i/>
          <w:iCs/>
          <w:sz w:val="22"/>
          <w:szCs w:val="22"/>
          <w:lang w:val="en-GB"/>
        </w:rPr>
        <w:t xml:space="preserve">Patterns in Comparative Religion </w:t>
      </w:r>
      <w:r w:rsidRPr="00BD6B4E">
        <w:rPr>
          <w:sz w:val="22"/>
          <w:szCs w:val="22"/>
          <w:lang w:val="en-GB"/>
        </w:rPr>
        <w:t>(Lincoln and London: University of Nebraska Press, 1996)</w:t>
      </w:r>
      <w:r>
        <w:rPr>
          <w:i/>
          <w:iCs/>
          <w:sz w:val="22"/>
          <w:szCs w:val="22"/>
          <w:lang w:val="en-GB"/>
        </w:rPr>
        <w:t>.</w:t>
      </w:r>
    </w:p>
    <w:p w14:paraId="65C2CD66" w14:textId="77777777" w:rsidR="00250C2F" w:rsidRDefault="00250C2F" w:rsidP="00250C2F">
      <w:pPr>
        <w:pStyle w:val="Funotentext"/>
        <w:rPr>
          <w:i/>
          <w:iCs/>
          <w:sz w:val="22"/>
          <w:szCs w:val="22"/>
          <w:lang w:val="en-GB"/>
        </w:rPr>
      </w:pPr>
    </w:p>
    <w:p w14:paraId="2EB2F59B" w14:textId="77777777" w:rsidR="00250C2F" w:rsidRDefault="00250C2F" w:rsidP="00250C2F">
      <w:pPr>
        <w:pStyle w:val="Funotentext"/>
        <w:rPr>
          <w:sz w:val="22"/>
          <w:szCs w:val="22"/>
          <w:lang w:val="en-GB"/>
        </w:rPr>
      </w:pPr>
      <w:r w:rsidRPr="00BD6B4E">
        <w:rPr>
          <w:sz w:val="22"/>
          <w:szCs w:val="22"/>
          <w:lang w:val="en-GB"/>
        </w:rPr>
        <w:t xml:space="preserve">Hunter, </w:t>
      </w:r>
      <w:r>
        <w:rPr>
          <w:sz w:val="22"/>
          <w:szCs w:val="22"/>
          <w:lang w:val="en-GB"/>
        </w:rPr>
        <w:t xml:space="preserve">Jack, </w:t>
      </w:r>
      <w:r w:rsidRPr="00BD6B4E">
        <w:rPr>
          <w:sz w:val="22"/>
          <w:szCs w:val="22"/>
          <w:lang w:val="en-GB"/>
        </w:rPr>
        <w:t xml:space="preserve">‘Introduction Part II’, </w:t>
      </w:r>
      <w:r w:rsidRPr="00BD6B4E">
        <w:rPr>
          <w:i/>
          <w:iCs/>
          <w:sz w:val="22"/>
          <w:szCs w:val="22"/>
          <w:lang w:val="en-GB"/>
        </w:rPr>
        <w:t>Sacred Geography: Conversations With The Other</w:t>
      </w:r>
      <w:r w:rsidRPr="00BD6B4E">
        <w:rPr>
          <w:sz w:val="22"/>
          <w:szCs w:val="22"/>
          <w:lang w:val="en-GB"/>
        </w:rPr>
        <w:t>, (Ceredigion, Wales: Sophia Center Press, 2024)</w:t>
      </w:r>
      <w:r>
        <w:rPr>
          <w:sz w:val="22"/>
          <w:szCs w:val="22"/>
          <w:lang w:val="en-GB"/>
        </w:rPr>
        <w:t>.</w:t>
      </w:r>
    </w:p>
    <w:p w14:paraId="4D22BE1C" w14:textId="77777777" w:rsidR="00BD6B4E" w:rsidRDefault="00BD6B4E" w:rsidP="00DA1DB8">
      <w:pPr>
        <w:pStyle w:val="Funotentext"/>
        <w:rPr>
          <w:sz w:val="22"/>
          <w:szCs w:val="22"/>
          <w:lang w:val="en-GB"/>
        </w:rPr>
      </w:pPr>
    </w:p>
    <w:p w14:paraId="1550BBE4" w14:textId="77777777" w:rsidR="00250C2F" w:rsidRDefault="00250C2F" w:rsidP="00250C2F">
      <w:pPr>
        <w:pStyle w:val="Funotentext"/>
        <w:rPr>
          <w:sz w:val="22"/>
          <w:szCs w:val="22"/>
          <w:lang w:val="en-GB"/>
        </w:rPr>
      </w:pPr>
      <w:r w:rsidRPr="00BD6B4E">
        <w:rPr>
          <w:sz w:val="22"/>
          <w:szCs w:val="22"/>
          <w:lang w:val="en-GB"/>
        </w:rPr>
        <w:t xml:space="preserve">Knott, </w:t>
      </w:r>
      <w:r>
        <w:rPr>
          <w:sz w:val="22"/>
          <w:szCs w:val="22"/>
          <w:lang w:val="en-GB"/>
        </w:rPr>
        <w:t xml:space="preserve">Kim, </w:t>
      </w:r>
      <w:r w:rsidRPr="00BD6B4E">
        <w:rPr>
          <w:sz w:val="22"/>
          <w:szCs w:val="22"/>
          <w:lang w:val="en-GB"/>
        </w:rPr>
        <w:t xml:space="preserve">‘Spatial Theory and Method for the Study of Religion’, </w:t>
      </w:r>
      <w:r w:rsidRPr="00BD6B4E">
        <w:rPr>
          <w:i/>
          <w:iCs/>
          <w:sz w:val="22"/>
          <w:szCs w:val="22"/>
          <w:lang w:val="en-GB"/>
        </w:rPr>
        <w:t>The Finnish Society for the Study of Religion</w:t>
      </w:r>
      <w:r w:rsidRPr="00BD6B4E">
        <w:rPr>
          <w:sz w:val="22"/>
          <w:szCs w:val="22"/>
          <w:lang w:val="en-GB"/>
        </w:rPr>
        <w:t xml:space="preserve">, Volume 41, No. 2 (2005), </w:t>
      </w:r>
      <w:r>
        <w:rPr>
          <w:sz w:val="22"/>
          <w:szCs w:val="22"/>
          <w:lang w:val="en-GB"/>
        </w:rPr>
        <w:t xml:space="preserve">pp. </w:t>
      </w:r>
      <w:r w:rsidRPr="00BD6B4E">
        <w:rPr>
          <w:sz w:val="22"/>
          <w:szCs w:val="22"/>
          <w:lang w:val="en-GB"/>
        </w:rPr>
        <w:t>153–184</w:t>
      </w:r>
      <w:r>
        <w:rPr>
          <w:sz w:val="22"/>
          <w:szCs w:val="22"/>
          <w:lang w:val="en-GB"/>
        </w:rPr>
        <w:t>.</w:t>
      </w:r>
    </w:p>
    <w:p w14:paraId="4AE6E21F" w14:textId="77777777" w:rsidR="00250C2F" w:rsidRDefault="00250C2F" w:rsidP="00250C2F">
      <w:pPr>
        <w:pStyle w:val="Funotentext"/>
        <w:rPr>
          <w:sz w:val="22"/>
          <w:szCs w:val="22"/>
          <w:lang w:val="en-GB"/>
        </w:rPr>
      </w:pPr>
    </w:p>
    <w:p w14:paraId="7384CA4B" w14:textId="77777777" w:rsidR="00250C2F" w:rsidRDefault="00250C2F" w:rsidP="00250C2F">
      <w:pPr>
        <w:pStyle w:val="Funotentext"/>
        <w:rPr>
          <w:sz w:val="22"/>
          <w:szCs w:val="22"/>
          <w:lang w:val="en-GB"/>
        </w:rPr>
      </w:pPr>
      <w:r w:rsidRPr="00C85976">
        <w:rPr>
          <w:sz w:val="22"/>
          <w:szCs w:val="22"/>
          <w:lang w:val="en-GB"/>
        </w:rPr>
        <w:t xml:space="preserve">Lane, Beldon C., </w:t>
      </w:r>
      <w:r w:rsidRPr="00C85976">
        <w:rPr>
          <w:i/>
          <w:iCs/>
          <w:sz w:val="22"/>
          <w:szCs w:val="22"/>
          <w:lang w:val="en-GB"/>
        </w:rPr>
        <w:t>Landscapes of the Sacred: Geography and Narrative in American Spirituality</w:t>
      </w:r>
      <w:r w:rsidRPr="00C85976">
        <w:rPr>
          <w:sz w:val="22"/>
          <w:szCs w:val="22"/>
          <w:lang w:val="en-GB"/>
        </w:rPr>
        <w:t xml:space="preserve"> (Baltimore: The John Hopkins University Press, 2001).</w:t>
      </w:r>
    </w:p>
    <w:p w14:paraId="13223B5B" w14:textId="77777777" w:rsidR="00B03E9E" w:rsidRPr="00C85976" w:rsidRDefault="00B03E9E" w:rsidP="00250C2F">
      <w:pPr>
        <w:pStyle w:val="Funotentext"/>
        <w:rPr>
          <w:sz w:val="22"/>
          <w:szCs w:val="22"/>
          <w:lang w:val="en-GB"/>
        </w:rPr>
      </w:pPr>
    </w:p>
    <w:p w14:paraId="17146437" w14:textId="3B6A3B9E" w:rsidR="00B10B66" w:rsidRPr="00B10B66" w:rsidRDefault="00B10B66" w:rsidP="00B10B66">
      <w:pPr>
        <w:pStyle w:val="Funotentext"/>
        <w:rPr>
          <w:sz w:val="22"/>
          <w:szCs w:val="22"/>
          <w:lang w:val="en-GB"/>
        </w:rPr>
      </w:pPr>
      <w:r w:rsidRPr="00B10B66">
        <w:rPr>
          <w:sz w:val="22"/>
          <w:szCs w:val="22"/>
          <w:lang w:val="en-GB"/>
        </w:rPr>
        <w:t xml:space="preserve">Robert Prus, ‘Reconceptualizing the Study of Community Life: Emile Durkheim’s Pragmatism and Sociology’, </w:t>
      </w:r>
      <w:r w:rsidRPr="00B10B66">
        <w:rPr>
          <w:i/>
          <w:iCs/>
          <w:sz w:val="22"/>
          <w:szCs w:val="22"/>
          <w:lang w:val="en-GB"/>
        </w:rPr>
        <w:t>The American Sociologist</w:t>
      </w:r>
      <w:r w:rsidRPr="00B10B66">
        <w:rPr>
          <w:sz w:val="22"/>
          <w:szCs w:val="22"/>
          <w:lang w:val="en-GB"/>
        </w:rPr>
        <w:t xml:space="preserve"> (Springer Science + Business Media, LLC 16 April 2009), 106-146 &lt;DOI 10.1007/s12108-009-9066-1&gt;</w:t>
      </w:r>
    </w:p>
    <w:p w14:paraId="119B8A46" w14:textId="77777777" w:rsidR="00B10B66" w:rsidRPr="00BD6B4E" w:rsidRDefault="00B10B66" w:rsidP="00DA1DB8">
      <w:pPr>
        <w:pStyle w:val="Funotentext"/>
        <w:rPr>
          <w:sz w:val="22"/>
          <w:szCs w:val="22"/>
          <w:lang w:val="en-GB"/>
        </w:rPr>
      </w:pPr>
    </w:p>
    <w:p w14:paraId="10BBD729" w14:textId="43A55B63" w:rsidR="00DA1DB8" w:rsidRDefault="00DA1DB8" w:rsidP="00DA1DB8">
      <w:pPr>
        <w:pStyle w:val="Funotentext"/>
        <w:rPr>
          <w:sz w:val="22"/>
          <w:szCs w:val="22"/>
          <w:lang w:val="en-GB"/>
        </w:rPr>
      </w:pPr>
      <w:r w:rsidRPr="00BD6B4E">
        <w:rPr>
          <w:sz w:val="22"/>
          <w:szCs w:val="22"/>
          <w:lang w:val="en-GB"/>
        </w:rPr>
        <w:t>Studstill</w:t>
      </w:r>
      <w:r w:rsidR="00BD6B4E">
        <w:rPr>
          <w:sz w:val="22"/>
          <w:szCs w:val="22"/>
          <w:lang w:val="en-GB"/>
        </w:rPr>
        <w:t xml:space="preserve"> </w:t>
      </w:r>
      <w:r w:rsidR="00BD6B4E" w:rsidRPr="00BD6B4E">
        <w:rPr>
          <w:sz w:val="22"/>
          <w:szCs w:val="22"/>
          <w:lang w:val="en-GB"/>
        </w:rPr>
        <w:t>Randall</w:t>
      </w:r>
      <w:r w:rsidR="00BD6B4E">
        <w:rPr>
          <w:sz w:val="22"/>
          <w:szCs w:val="22"/>
          <w:lang w:val="en-GB"/>
        </w:rPr>
        <w:t xml:space="preserve">, </w:t>
      </w:r>
      <w:r w:rsidRPr="00BD6B4E">
        <w:rPr>
          <w:sz w:val="22"/>
          <w:szCs w:val="22"/>
          <w:lang w:val="en-GB"/>
        </w:rPr>
        <w:t xml:space="preserve">‘Eliade, Phenomenology, and the Sacred’, </w:t>
      </w:r>
      <w:r w:rsidRPr="00BD6B4E">
        <w:rPr>
          <w:i/>
          <w:iCs/>
          <w:sz w:val="22"/>
          <w:szCs w:val="22"/>
          <w:lang w:val="en-GB"/>
        </w:rPr>
        <w:t>Religious Studies, An International Journal for the Philosophy of Religion,</w:t>
      </w:r>
      <w:r w:rsidRPr="00BD6B4E">
        <w:rPr>
          <w:sz w:val="22"/>
          <w:szCs w:val="22"/>
          <w:lang w:val="en-GB"/>
        </w:rPr>
        <w:t xml:space="preserve"> Cambridge University Press, Volume 36, Issue 2, June 2000</w:t>
      </w:r>
      <w:r w:rsidR="00BD6B4E">
        <w:rPr>
          <w:sz w:val="22"/>
          <w:szCs w:val="22"/>
          <w:lang w:val="en-GB"/>
        </w:rPr>
        <w:t xml:space="preserve">, </w:t>
      </w:r>
      <w:r w:rsidR="00D06BB2">
        <w:rPr>
          <w:sz w:val="22"/>
          <w:szCs w:val="22"/>
          <w:lang w:val="en-GB"/>
        </w:rPr>
        <w:t xml:space="preserve">pp. </w:t>
      </w:r>
      <w:r w:rsidR="00BD6B4E" w:rsidRPr="00BD6B4E">
        <w:rPr>
          <w:sz w:val="22"/>
          <w:szCs w:val="22"/>
          <w:lang w:val="en-GB"/>
        </w:rPr>
        <w:t>177</w:t>
      </w:r>
      <w:r w:rsidR="00BD6B4E">
        <w:rPr>
          <w:sz w:val="22"/>
          <w:szCs w:val="22"/>
          <w:lang w:val="en-GB"/>
        </w:rPr>
        <w:t>-</w:t>
      </w:r>
      <w:r w:rsidR="00BD6B4E" w:rsidRPr="00BD6B4E">
        <w:rPr>
          <w:sz w:val="22"/>
          <w:szCs w:val="22"/>
          <w:lang w:val="en-GB"/>
        </w:rPr>
        <w:t>194</w:t>
      </w:r>
      <w:r w:rsidR="00D06BB2">
        <w:rPr>
          <w:sz w:val="22"/>
          <w:szCs w:val="22"/>
          <w:lang w:val="en-GB"/>
        </w:rPr>
        <w:t>.</w:t>
      </w:r>
    </w:p>
    <w:p w14:paraId="7D18997E" w14:textId="77777777" w:rsidR="00BD6B4E" w:rsidRPr="00BD6B4E" w:rsidRDefault="00BD6B4E" w:rsidP="00DA1DB8">
      <w:pPr>
        <w:pStyle w:val="Funotentext"/>
        <w:rPr>
          <w:sz w:val="22"/>
          <w:szCs w:val="22"/>
          <w:lang w:val="en-GB"/>
        </w:rPr>
      </w:pPr>
    </w:p>
    <w:p w14:paraId="3C8F8AF9" w14:textId="234BC9BB" w:rsidR="00C85976" w:rsidRDefault="00C85976" w:rsidP="00C85976">
      <w:pPr>
        <w:pStyle w:val="Funotentext"/>
        <w:rPr>
          <w:sz w:val="22"/>
          <w:szCs w:val="22"/>
          <w:lang w:val="en-GB"/>
        </w:rPr>
      </w:pPr>
      <w:r w:rsidRPr="00C85976">
        <w:rPr>
          <w:sz w:val="22"/>
          <w:szCs w:val="22"/>
          <w:lang w:val="en-GB"/>
        </w:rPr>
        <w:t>Thorley</w:t>
      </w:r>
      <w:r>
        <w:rPr>
          <w:sz w:val="22"/>
          <w:szCs w:val="22"/>
          <w:lang w:val="en-GB"/>
        </w:rPr>
        <w:t>,</w:t>
      </w:r>
      <w:r w:rsidRPr="00C85976">
        <w:rPr>
          <w:sz w:val="22"/>
          <w:szCs w:val="22"/>
          <w:lang w:val="en-GB"/>
        </w:rPr>
        <w:t xml:space="preserve"> Anthony and Gunn, Celia M</w:t>
      </w:r>
      <w:r>
        <w:rPr>
          <w:sz w:val="22"/>
          <w:szCs w:val="22"/>
          <w:lang w:val="en-GB"/>
        </w:rPr>
        <w:t>.,</w:t>
      </w:r>
      <w:r w:rsidRPr="00C85976">
        <w:rPr>
          <w:sz w:val="22"/>
          <w:szCs w:val="22"/>
          <w:lang w:val="en-GB"/>
        </w:rPr>
        <w:t xml:space="preserve"> ‘Sacred Sites: An Overview’, </w:t>
      </w:r>
      <w:r w:rsidRPr="00C85976">
        <w:rPr>
          <w:i/>
          <w:iCs/>
          <w:sz w:val="22"/>
          <w:szCs w:val="22"/>
          <w:lang w:val="en-GB"/>
        </w:rPr>
        <w:t>A Report for The Gaia Foundation</w:t>
      </w:r>
      <w:r w:rsidRPr="00C85976">
        <w:rPr>
          <w:sz w:val="22"/>
          <w:szCs w:val="22"/>
          <w:lang w:val="en-GB"/>
        </w:rPr>
        <w:t>, 2008 &lt;https://www.academia.edu/103607950/Sacred_Sites_An_Overview&gt;  [accessed 7 October 2025]</w:t>
      </w:r>
    </w:p>
    <w:p w14:paraId="0F932DA2" w14:textId="77777777" w:rsidR="00C85976" w:rsidRPr="00C85976" w:rsidRDefault="00C85976" w:rsidP="00C85976">
      <w:pPr>
        <w:pStyle w:val="Funotentext"/>
        <w:rPr>
          <w:sz w:val="22"/>
          <w:szCs w:val="22"/>
          <w:lang w:val="en-GB"/>
        </w:rPr>
      </w:pPr>
    </w:p>
    <w:p w14:paraId="2DF17FEE" w14:textId="1E8A5EE1" w:rsidR="00C85976" w:rsidRPr="00C85976" w:rsidRDefault="00C85976" w:rsidP="00C85976">
      <w:pPr>
        <w:pStyle w:val="Funotentext"/>
        <w:rPr>
          <w:sz w:val="22"/>
          <w:szCs w:val="22"/>
          <w:lang w:val="en-GB"/>
        </w:rPr>
      </w:pPr>
      <w:r w:rsidRPr="00C85976">
        <w:rPr>
          <w:sz w:val="22"/>
          <w:szCs w:val="22"/>
          <w:lang w:val="en-GB"/>
        </w:rPr>
        <w:t>Whitehead, Amy</w:t>
      </w:r>
      <w:r>
        <w:rPr>
          <w:sz w:val="22"/>
          <w:szCs w:val="22"/>
          <w:lang w:val="en-GB"/>
        </w:rPr>
        <w:t>,</w:t>
      </w:r>
      <w:r w:rsidRPr="00C85976">
        <w:rPr>
          <w:sz w:val="22"/>
          <w:szCs w:val="22"/>
          <w:lang w:val="en-GB"/>
        </w:rPr>
        <w:t xml:space="preserve"> ‘Relationships, Relating, Relationality’</w:t>
      </w:r>
      <w:r w:rsidRPr="00C85976">
        <w:rPr>
          <w:i/>
          <w:iCs/>
          <w:sz w:val="22"/>
          <w:szCs w:val="22"/>
          <w:lang w:val="en-GB"/>
        </w:rPr>
        <w:t>, Religious Statues and Personhood: Testing the Role of Materiality</w:t>
      </w:r>
      <w:r w:rsidRPr="00C85976">
        <w:rPr>
          <w:sz w:val="22"/>
          <w:szCs w:val="22"/>
          <w:lang w:val="en-GB"/>
        </w:rPr>
        <w:t xml:space="preserve"> (London: Bloomsbury, 2013)</w:t>
      </w:r>
      <w:r>
        <w:rPr>
          <w:sz w:val="22"/>
          <w:szCs w:val="22"/>
          <w:lang w:val="en-GB"/>
        </w:rPr>
        <w:t>.</w:t>
      </w:r>
    </w:p>
    <w:p w14:paraId="60B5747A" w14:textId="77777777" w:rsidR="00495475" w:rsidRDefault="00495475" w:rsidP="00BD6B4E">
      <w:pPr>
        <w:pStyle w:val="Funotentext"/>
        <w:rPr>
          <w:sz w:val="22"/>
          <w:szCs w:val="22"/>
          <w:lang w:val="en-GB"/>
        </w:rPr>
      </w:pPr>
    </w:p>
    <w:p w14:paraId="3138041D" w14:textId="77777777" w:rsidR="00C85976" w:rsidRDefault="00C85976" w:rsidP="00BD6B4E">
      <w:pPr>
        <w:pStyle w:val="Funotentext"/>
        <w:rPr>
          <w:sz w:val="22"/>
          <w:szCs w:val="22"/>
          <w:lang w:val="en-GB"/>
        </w:rPr>
      </w:pPr>
    </w:p>
    <w:sectPr w:rsidR="00C85976">
      <w:headerReference w:type="default" r:id="rId9"/>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60E6D4" w14:textId="77777777" w:rsidR="00437FB3" w:rsidRDefault="00437FB3" w:rsidP="00083261">
      <w:pPr>
        <w:spacing w:after="0" w:line="240" w:lineRule="auto"/>
      </w:pPr>
      <w:r>
        <w:separator/>
      </w:r>
    </w:p>
  </w:endnote>
  <w:endnote w:type="continuationSeparator" w:id="0">
    <w:p w14:paraId="5DF3F631" w14:textId="77777777" w:rsidR="00437FB3" w:rsidRDefault="00437FB3" w:rsidP="000832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86E05F" w14:textId="77777777" w:rsidR="00437FB3" w:rsidRDefault="00437FB3" w:rsidP="00083261">
      <w:pPr>
        <w:spacing w:after="0" w:line="240" w:lineRule="auto"/>
      </w:pPr>
      <w:r>
        <w:separator/>
      </w:r>
    </w:p>
  </w:footnote>
  <w:footnote w:type="continuationSeparator" w:id="0">
    <w:p w14:paraId="7AE250B0" w14:textId="77777777" w:rsidR="00437FB3" w:rsidRDefault="00437FB3" w:rsidP="00083261">
      <w:pPr>
        <w:spacing w:after="0" w:line="240" w:lineRule="auto"/>
      </w:pPr>
      <w:r>
        <w:continuationSeparator/>
      </w:r>
    </w:p>
  </w:footnote>
  <w:footnote w:id="1">
    <w:p w14:paraId="2ADBB6E9" w14:textId="317C6C4E" w:rsidR="005C63E4" w:rsidRPr="001E7C31" w:rsidRDefault="005C63E4">
      <w:pPr>
        <w:pStyle w:val="Funotentext"/>
        <w:rPr>
          <w:lang w:val="en-GB"/>
        </w:rPr>
      </w:pPr>
      <w:r>
        <w:rPr>
          <w:rStyle w:val="Funotenzeichen"/>
        </w:rPr>
        <w:footnoteRef/>
      </w:r>
      <w:r w:rsidRPr="001E7C31">
        <w:rPr>
          <w:lang w:val="en-GB"/>
        </w:rPr>
        <w:t xml:space="preserve"> </w:t>
      </w:r>
      <w:r w:rsidR="008F5931" w:rsidRPr="008F5931">
        <w:rPr>
          <w:lang w:val="en-GB"/>
        </w:rPr>
        <w:t xml:space="preserve">Émile </w:t>
      </w:r>
      <w:bookmarkStart w:id="3" w:name="_Hlk213832169"/>
      <w:r w:rsidR="008F5931" w:rsidRPr="008F5931">
        <w:rPr>
          <w:lang w:val="en-GB"/>
        </w:rPr>
        <w:t>Durkheim</w:t>
      </w:r>
      <w:r w:rsidR="008F5931">
        <w:rPr>
          <w:lang w:val="en-GB"/>
        </w:rPr>
        <w:t xml:space="preserve">, </w:t>
      </w:r>
      <w:bookmarkStart w:id="4" w:name="_Hlk213827194"/>
      <w:r w:rsidR="008F5931" w:rsidRPr="008F5931">
        <w:rPr>
          <w:i/>
          <w:iCs/>
          <w:lang w:val="en-GB"/>
        </w:rPr>
        <w:t>The Elementary Forms of Religious Life</w:t>
      </w:r>
      <w:r w:rsidR="001A17E7">
        <w:rPr>
          <w:i/>
          <w:iCs/>
          <w:lang w:val="en-GB"/>
        </w:rPr>
        <w:t xml:space="preserve"> </w:t>
      </w:r>
      <w:r w:rsidR="008F5931" w:rsidRPr="001A17E7">
        <w:rPr>
          <w:lang w:val="en-GB"/>
        </w:rPr>
        <w:t>(New York:</w:t>
      </w:r>
      <w:r w:rsidR="001A17E7">
        <w:rPr>
          <w:lang w:val="en-GB"/>
        </w:rPr>
        <w:t xml:space="preserve"> The Free Press, 1995),</w:t>
      </w:r>
      <w:r w:rsidRPr="001E7C31">
        <w:rPr>
          <w:lang w:val="en-GB"/>
        </w:rPr>
        <w:t xml:space="preserve"> p. 37</w:t>
      </w:r>
      <w:r w:rsidR="001A17E7">
        <w:rPr>
          <w:lang w:val="en-GB"/>
        </w:rPr>
        <w:t>.</w:t>
      </w:r>
      <w:bookmarkEnd w:id="4"/>
    </w:p>
    <w:bookmarkEnd w:id="3"/>
  </w:footnote>
  <w:footnote w:id="2">
    <w:p w14:paraId="59B61E5D" w14:textId="48B4F05E" w:rsidR="005A2F11" w:rsidRPr="00DA1D36" w:rsidRDefault="005A2F11">
      <w:pPr>
        <w:pStyle w:val="Funotentext"/>
        <w:rPr>
          <w:lang w:val="en-GB"/>
        </w:rPr>
      </w:pPr>
      <w:r>
        <w:rPr>
          <w:rStyle w:val="Funotenzeichen"/>
        </w:rPr>
        <w:footnoteRef/>
      </w:r>
      <w:r w:rsidRPr="00DA1D36">
        <w:rPr>
          <w:lang w:val="en-GB"/>
        </w:rPr>
        <w:t xml:space="preserve"> </w:t>
      </w:r>
      <w:r w:rsidR="007F2A73">
        <w:rPr>
          <w:lang w:val="en-GB"/>
        </w:rPr>
        <w:t xml:space="preserve">Mircea </w:t>
      </w:r>
      <w:r w:rsidRPr="00DA1D36">
        <w:rPr>
          <w:lang w:val="en-GB"/>
        </w:rPr>
        <w:t xml:space="preserve">Eliade, </w:t>
      </w:r>
      <w:r w:rsidR="007F2A73" w:rsidRPr="007F2A73">
        <w:rPr>
          <w:i/>
          <w:iCs/>
          <w:lang w:val="en-GB"/>
        </w:rPr>
        <w:t>The Sacred and the Profane: The Nature of Religion</w:t>
      </w:r>
      <w:r w:rsidR="007F2A73">
        <w:rPr>
          <w:lang w:val="en-GB"/>
        </w:rPr>
        <w:t xml:space="preserve"> (New York: Harcourt, Inc., 1987), </w:t>
      </w:r>
      <w:r w:rsidRPr="00DA1D36">
        <w:rPr>
          <w:lang w:val="en-GB"/>
        </w:rPr>
        <w:t>p. 14.</w:t>
      </w:r>
    </w:p>
  </w:footnote>
  <w:footnote w:id="3">
    <w:p w14:paraId="6D88FF09" w14:textId="00E9FC43" w:rsidR="00997C84" w:rsidRPr="00485792" w:rsidRDefault="00997C84" w:rsidP="00997C84">
      <w:pPr>
        <w:pStyle w:val="Funotentext"/>
        <w:rPr>
          <w:lang w:val="en-GB"/>
        </w:rPr>
      </w:pPr>
      <w:r>
        <w:rPr>
          <w:rStyle w:val="Funotenzeichen"/>
        </w:rPr>
        <w:footnoteRef/>
      </w:r>
      <w:r w:rsidRPr="00485792">
        <w:rPr>
          <w:lang w:val="en-GB"/>
        </w:rPr>
        <w:t xml:space="preserve"> </w:t>
      </w:r>
      <w:r>
        <w:rPr>
          <w:lang w:val="en-GB"/>
        </w:rPr>
        <w:t xml:space="preserve">Eliade, </w:t>
      </w:r>
      <w:r w:rsidRPr="00985732">
        <w:rPr>
          <w:i/>
          <w:iCs/>
          <w:lang w:val="en-GB"/>
        </w:rPr>
        <w:t>The Sacred and the Profane,</w:t>
      </w:r>
      <w:r>
        <w:rPr>
          <w:lang w:val="en-GB"/>
        </w:rPr>
        <w:t xml:space="preserve"> </w:t>
      </w:r>
      <w:r w:rsidR="00985732">
        <w:rPr>
          <w:lang w:val="en-GB"/>
        </w:rPr>
        <w:t>pp.</w:t>
      </w:r>
      <w:r>
        <w:rPr>
          <w:lang w:val="en-GB"/>
        </w:rPr>
        <w:t xml:space="preserve"> 20-21.</w:t>
      </w:r>
    </w:p>
  </w:footnote>
  <w:footnote w:id="4">
    <w:p w14:paraId="099FE0B4" w14:textId="4F260C83" w:rsidR="00997C84" w:rsidRPr="00526209" w:rsidRDefault="00997C84" w:rsidP="00997C84">
      <w:pPr>
        <w:pStyle w:val="Funotentext"/>
        <w:rPr>
          <w:lang w:val="en-GB"/>
        </w:rPr>
      </w:pPr>
      <w:r>
        <w:rPr>
          <w:rStyle w:val="Funotenzeichen"/>
        </w:rPr>
        <w:footnoteRef/>
      </w:r>
      <w:r w:rsidRPr="00526209">
        <w:rPr>
          <w:lang w:val="en-GB"/>
        </w:rPr>
        <w:t xml:space="preserve"> Randall Studstill, </w:t>
      </w:r>
      <w:r w:rsidR="00985732">
        <w:rPr>
          <w:lang w:val="en-GB"/>
        </w:rPr>
        <w:t>‘</w:t>
      </w:r>
      <w:r w:rsidR="00985732" w:rsidRPr="00985732">
        <w:rPr>
          <w:lang w:val="en-GB"/>
        </w:rPr>
        <w:t xml:space="preserve">Eliade, </w:t>
      </w:r>
      <w:r w:rsidR="00985732">
        <w:rPr>
          <w:lang w:val="en-GB"/>
        </w:rPr>
        <w:t>P</w:t>
      </w:r>
      <w:r w:rsidR="00985732" w:rsidRPr="00985732">
        <w:rPr>
          <w:lang w:val="en-GB"/>
        </w:rPr>
        <w:t xml:space="preserve">henomenology, and the </w:t>
      </w:r>
      <w:r w:rsidR="00985732">
        <w:rPr>
          <w:lang w:val="en-GB"/>
        </w:rPr>
        <w:t>S</w:t>
      </w:r>
      <w:r w:rsidR="00985732" w:rsidRPr="00985732">
        <w:rPr>
          <w:lang w:val="en-GB"/>
        </w:rPr>
        <w:t>acred</w:t>
      </w:r>
      <w:r w:rsidR="00985732">
        <w:rPr>
          <w:lang w:val="en-GB"/>
        </w:rPr>
        <w:t>’</w:t>
      </w:r>
      <w:r w:rsidR="009F2B80">
        <w:rPr>
          <w:lang w:val="en-GB"/>
        </w:rPr>
        <w:t>,</w:t>
      </w:r>
      <w:r w:rsidR="00ED68B7">
        <w:rPr>
          <w:lang w:val="en-GB"/>
        </w:rPr>
        <w:t xml:space="preserve"> </w:t>
      </w:r>
      <w:r w:rsidR="00AC654E" w:rsidRPr="00AC654E">
        <w:rPr>
          <w:i/>
          <w:iCs/>
          <w:lang w:val="en-GB"/>
        </w:rPr>
        <w:t>Religious Studies</w:t>
      </w:r>
      <w:r w:rsidR="00AC654E">
        <w:rPr>
          <w:i/>
          <w:iCs/>
          <w:lang w:val="en-GB"/>
        </w:rPr>
        <w:t xml:space="preserve">, </w:t>
      </w:r>
      <w:r w:rsidR="00AC654E" w:rsidRPr="00AC654E">
        <w:rPr>
          <w:i/>
          <w:iCs/>
          <w:lang w:val="en-GB"/>
        </w:rPr>
        <w:t>An International Journal for the Philosophy of Religion</w:t>
      </w:r>
      <w:r w:rsidR="00AC654E">
        <w:rPr>
          <w:i/>
          <w:iCs/>
          <w:lang w:val="en-GB"/>
        </w:rPr>
        <w:t>,</w:t>
      </w:r>
      <w:r w:rsidR="00AC654E">
        <w:rPr>
          <w:lang w:val="en-GB"/>
        </w:rPr>
        <w:t xml:space="preserve"> </w:t>
      </w:r>
      <w:r w:rsidR="00AC654E" w:rsidRPr="00AC654E">
        <w:rPr>
          <w:lang w:val="en-GB"/>
        </w:rPr>
        <w:t xml:space="preserve">Cambridge University </w:t>
      </w:r>
      <w:r w:rsidR="00AC654E">
        <w:rPr>
          <w:lang w:val="en-GB"/>
        </w:rPr>
        <w:t xml:space="preserve">Press, </w:t>
      </w:r>
      <w:r w:rsidR="00AC654E" w:rsidRPr="00AC654E">
        <w:rPr>
          <w:lang w:val="en-GB"/>
        </w:rPr>
        <w:t>Vol</w:t>
      </w:r>
      <w:r w:rsidR="00AC654E">
        <w:rPr>
          <w:lang w:val="en-GB"/>
        </w:rPr>
        <w:t>ume</w:t>
      </w:r>
      <w:r w:rsidR="00AC654E" w:rsidRPr="00AC654E">
        <w:rPr>
          <w:lang w:val="en-GB"/>
        </w:rPr>
        <w:t xml:space="preserve"> 36, Issue 2, June 2000</w:t>
      </w:r>
      <w:r w:rsidR="00AC654E">
        <w:rPr>
          <w:lang w:val="en-GB"/>
        </w:rPr>
        <w:t>,</w:t>
      </w:r>
      <w:r w:rsidR="00BD6B4E">
        <w:rPr>
          <w:lang w:val="en-GB"/>
        </w:rPr>
        <w:t xml:space="preserve"> </w:t>
      </w:r>
      <w:r w:rsidR="00BD6B4E" w:rsidRPr="00BD6B4E">
        <w:rPr>
          <w:lang w:val="en-GB"/>
        </w:rPr>
        <w:t>177-194</w:t>
      </w:r>
      <w:r w:rsidR="00AC654E">
        <w:rPr>
          <w:lang w:val="en-GB"/>
        </w:rPr>
        <w:t xml:space="preserve"> </w:t>
      </w:r>
      <w:r w:rsidR="00BD6B4E">
        <w:rPr>
          <w:lang w:val="en-GB"/>
        </w:rPr>
        <w:t>(</w:t>
      </w:r>
      <w:r w:rsidRPr="00526209">
        <w:rPr>
          <w:lang w:val="en-GB"/>
        </w:rPr>
        <w:t xml:space="preserve">p. </w:t>
      </w:r>
      <w:r w:rsidR="00AC654E">
        <w:rPr>
          <w:lang w:val="en-GB"/>
        </w:rPr>
        <w:t>178</w:t>
      </w:r>
      <w:r w:rsidR="00BD6B4E">
        <w:rPr>
          <w:lang w:val="en-GB"/>
        </w:rPr>
        <w:t>)</w:t>
      </w:r>
      <w:r w:rsidR="00AC654E">
        <w:rPr>
          <w:lang w:val="en-GB"/>
        </w:rPr>
        <w:t>.</w:t>
      </w:r>
    </w:p>
  </w:footnote>
  <w:footnote w:id="5">
    <w:p w14:paraId="1C217B5D" w14:textId="06BF9C4F" w:rsidR="00357C03" w:rsidRPr="00DA1D36" w:rsidRDefault="00357C03" w:rsidP="00357C03">
      <w:pPr>
        <w:pStyle w:val="Funotentext"/>
        <w:rPr>
          <w:lang w:val="en-GB"/>
        </w:rPr>
      </w:pPr>
      <w:r>
        <w:rPr>
          <w:rStyle w:val="Funotenzeichen"/>
        </w:rPr>
        <w:footnoteRef/>
      </w:r>
      <w:r w:rsidRPr="00DA1D36">
        <w:rPr>
          <w:lang w:val="en-GB"/>
        </w:rPr>
        <w:t xml:space="preserve"> Karin </w:t>
      </w:r>
      <w:r w:rsidR="00751FBA">
        <w:rPr>
          <w:lang w:val="en-GB"/>
        </w:rPr>
        <w:t xml:space="preserve">E. </w:t>
      </w:r>
      <w:r w:rsidRPr="00DA1D36">
        <w:rPr>
          <w:lang w:val="en-GB"/>
        </w:rPr>
        <w:t>Field</w:t>
      </w:r>
      <w:r w:rsidR="00751FBA">
        <w:rPr>
          <w:lang w:val="en-GB"/>
        </w:rPr>
        <w:t>s</w:t>
      </w:r>
      <w:r w:rsidRPr="00DA1D36">
        <w:rPr>
          <w:lang w:val="en-GB"/>
        </w:rPr>
        <w:t xml:space="preserve">, </w:t>
      </w:r>
      <w:r w:rsidR="00751FBA">
        <w:rPr>
          <w:lang w:val="en-GB"/>
        </w:rPr>
        <w:t>‘Translator’s Introduction’</w:t>
      </w:r>
      <w:r w:rsidR="00ED68B7">
        <w:rPr>
          <w:lang w:val="en-GB"/>
        </w:rPr>
        <w:t xml:space="preserve"> to</w:t>
      </w:r>
      <w:r w:rsidR="0014002A">
        <w:rPr>
          <w:lang w:val="en-GB"/>
        </w:rPr>
        <w:t xml:space="preserve"> </w:t>
      </w:r>
      <w:r w:rsidR="0014002A" w:rsidRPr="0014002A">
        <w:rPr>
          <w:lang w:val="en-GB"/>
        </w:rPr>
        <w:t>Émile Durkheim</w:t>
      </w:r>
      <w:r w:rsidR="0014002A">
        <w:rPr>
          <w:lang w:val="en-GB"/>
        </w:rPr>
        <w:t xml:space="preserve">’s </w:t>
      </w:r>
      <w:r w:rsidR="00751FBA" w:rsidRPr="008F5931">
        <w:rPr>
          <w:i/>
          <w:iCs/>
          <w:lang w:val="en-GB"/>
        </w:rPr>
        <w:t>The Elementary Forms of Religious Life</w:t>
      </w:r>
      <w:r w:rsidR="00751FBA">
        <w:rPr>
          <w:i/>
          <w:iCs/>
          <w:lang w:val="en-GB"/>
        </w:rPr>
        <w:t xml:space="preserve"> </w:t>
      </w:r>
      <w:r w:rsidR="00751FBA" w:rsidRPr="001A17E7">
        <w:rPr>
          <w:lang w:val="en-GB"/>
        </w:rPr>
        <w:t>(New York:</w:t>
      </w:r>
      <w:r w:rsidR="00751FBA">
        <w:rPr>
          <w:lang w:val="en-GB"/>
        </w:rPr>
        <w:t xml:space="preserve"> The Free Press, 1995), </w:t>
      </w:r>
      <w:r w:rsidRPr="00DA1D36">
        <w:rPr>
          <w:lang w:val="en-GB"/>
        </w:rPr>
        <w:t>p. xlvi.</w:t>
      </w:r>
    </w:p>
  </w:footnote>
  <w:footnote w:id="6">
    <w:p w14:paraId="2F29429A" w14:textId="0EEC2BFE" w:rsidR="0077703F" w:rsidRPr="0077703F" w:rsidRDefault="0077703F" w:rsidP="0077703F">
      <w:pPr>
        <w:pStyle w:val="Funotentext"/>
        <w:rPr>
          <w:lang w:val="en-GB"/>
        </w:rPr>
      </w:pPr>
      <w:r>
        <w:rPr>
          <w:rStyle w:val="Funotenzeichen"/>
        </w:rPr>
        <w:footnoteRef/>
      </w:r>
      <w:r w:rsidRPr="0077703F">
        <w:rPr>
          <w:lang w:val="en-GB"/>
        </w:rPr>
        <w:t xml:space="preserve"> </w:t>
      </w:r>
      <w:r>
        <w:rPr>
          <w:lang w:val="en-GB"/>
        </w:rPr>
        <w:t>Keith</w:t>
      </w:r>
      <w:r w:rsidR="00ED68B7">
        <w:rPr>
          <w:lang w:val="en-GB"/>
        </w:rPr>
        <w:t xml:space="preserve"> Hart</w:t>
      </w:r>
      <w:r>
        <w:rPr>
          <w:lang w:val="en-GB"/>
        </w:rPr>
        <w:t xml:space="preserve">, </w:t>
      </w:r>
      <w:r w:rsidR="00ED68B7">
        <w:rPr>
          <w:lang w:val="en-GB"/>
        </w:rPr>
        <w:t xml:space="preserve">‘CSSH Notes, </w:t>
      </w:r>
      <w:r w:rsidR="00944FEA" w:rsidRPr="00ED68B7">
        <w:rPr>
          <w:lang w:val="en-GB"/>
        </w:rPr>
        <w:t>Marcel Fournier, Émile Durkheim: A Biography</w:t>
      </w:r>
      <w:r w:rsidR="00ED68B7">
        <w:rPr>
          <w:lang w:val="en-GB"/>
        </w:rPr>
        <w:t>’</w:t>
      </w:r>
      <w:r w:rsidR="009F2B80">
        <w:rPr>
          <w:lang w:val="en-GB"/>
        </w:rPr>
        <w:t>,</w:t>
      </w:r>
      <w:r w:rsidR="00ED68B7">
        <w:rPr>
          <w:lang w:val="en-GB"/>
        </w:rPr>
        <w:t xml:space="preserve"> </w:t>
      </w:r>
      <w:r w:rsidR="00ED68B7" w:rsidRPr="00ED68B7">
        <w:rPr>
          <w:i/>
          <w:iCs/>
          <w:lang w:val="en-GB"/>
        </w:rPr>
        <w:t>Comparative Studies in Society and Histor</w:t>
      </w:r>
      <w:r w:rsidR="00ED68B7">
        <w:rPr>
          <w:i/>
          <w:iCs/>
          <w:lang w:val="en-GB"/>
        </w:rPr>
        <w:t xml:space="preserve">y, </w:t>
      </w:r>
      <w:r w:rsidR="00ED68B7" w:rsidRPr="00ED68B7">
        <w:rPr>
          <w:lang w:val="en-GB"/>
        </w:rPr>
        <w:t>Cambridge University Press,</w:t>
      </w:r>
      <w:r w:rsidR="00ED68B7">
        <w:rPr>
          <w:i/>
          <w:iCs/>
          <w:lang w:val="en-GB"/>
        </w:rPr>
        <w:t xml:space="preserve"> </w:t>
      </w:r>
      <w:r w:rsidR="00ED68B7">
        <w:rPr>
          <w:lang w:val="en-GB"/>
        </w:rPr>
        <w:t>Volume 56, Issue 2, April 2014,</w:t>
      </w:r>
      <w:r w:rsidR="00BD6B4E">
        <w:rPr>
          <w:lang w:val="en-GB"/>
        </w:rPr>
        <w:t xml:space="preserve"> </w:t>
      </w:r>
      <w:r w:rsidR="00BD6B4E" w:rsidRPr="00BD6B4E">
        <w:rPr>
          <w:lang w:val="en-GB"/>
        </w:rPr>
        <w:t>37–553</w:t>
      </w:r>
      <w:r w:rsidR="00BD6B4E">
        <w:rPr>
          <w:lang w:val="en-GB"/>
        </w:rPr>
        <w:t xml:space="preserve"> (</w:t>
      </w:r>
      <w:r w:rsidR="00ED68B7">
        <w:rPr>
          <w:lang w:val="en-GB"/>
        </w:rPr>
        <w:t>p. 537</w:t>
      </w:r>
      <w:r w:rsidR="00BD6B4E">
        <w:rPr>
          <w:lang w:val="en-GB"/>
        </w:rPr>
        <w:t>)</w:t>
      </w:r>
      <w:r w:rsidR="00ED68B7">
        <w:rPr>
          <w:lang w:val="en-GB"/>
        </w:rPr>
        <w:t>.</w:t>
      </w:r>
    </w:p>
  </w:footnote>
  <w:footnote w:id="7">
    <w:p w14:paraId="2A0CF18E" w14:textId="09F4427F" w:rsidR="00B57782" w:rsidRPr="004D03AB" w:rsidRDefault="00B57782" w:rsidP="00B57782">
      <w:pPr>
        <w:pStyle w:val="Funotentext"/>
        <w:rPr>
          <w:lang w:val="en-GB"/>
        </w:rPr>
      </w:pPr>
      <w:r>
        <w:rPr>
          <w:rStyle w:val="Funotenzeichen"/>
        </w:rPr>
        <w:footnoteRef/>
      </w:r>
      <w:r w:rsidRPr="004D03AB">
        <w:rPr>
          <w:lang w:val="en-GB"/>
        </w:rPr>
        <w:t xml:space="preserve"> </w:t>
      </w:r>
      <w:r w:rsidR="00ED68B7">
        <w:rPr>
          <w:lang w:val="en-GB"/>
        </w:rPr>
        <w:t>Fields</w:t>
      </w:r>
      <w:r w:rsidRPr="004D03AB">
        <w:rPr>
          <w:lang w:val="en-GB"/>
        </w:rPr>
        <w:t xml:space="preserve">, </w:t>
      </w:r>
      <w:r w:rsidR="00ED68B7" w:rsidRPr="00ED68B7">
        <w:rPr>
          <w:i/>
          <w:iCs/>
          <w:lang w:val="en-GB"/>
        </w:rPr>
        <w:t>The Elementary Forms</w:t>
      </w:r>
      <w:r w:rsidR="00ED68B7">
        <w:rPr>
          <w:lang w:val="en-GB"/>
        </w:rPr>
        <w:t xml:space="preserve">, </w:t>
      </w:r>
      <w:r w:rsidRPr="004D03AB">
        <w:rPr>
          <w:lang w:val="en-GB"/>
        </w:rPr>
        <w:t>p</w:t>
      </w:r>
      <w:r>
        <w:rPr>
          <w:lang w:val="en-GB"/>
        </w:rPr>
        <w:t>p</w:t>
      </w:r>
      <w:r w:rsidRPr="004D03AB">
        <w:rPr>
          <w:lang w:val="en-GB"/>
        </w:rPr>
        <w:t xml:space="preserve">. </w:t>
      </w:r>
      <w:r>
        <w:rPr>
          <w:lang w:val="en-GB"/>
        </w:rPr>
        <w:t>x</w:t>
      </w:r>
      <w:r w:rsidRPr="004D03AB">
        <w:rPr>
          <w:lang w:val="en-GB"/>
        </w:rPr>
        <w:t xml:space="preserve">xiv and </w:t>
      </w:r>
      <w:r>
        <w:rPr>
          <w:lang w:val="en-GB"/>
        </w:rPr>
        <w:t>xx.</w:t>
      </w:r>
    </w:p>
  </w:footnote>
  <w:footnote w:id="8">
    <w:p w14:paraId="3B3F920D" w14:textId="6BACF264" w:rsidR="00195CD7" w:rsidRPr="00195CD7" w:rsidRDefault="00195CD7">
      <w:pPr>
        <w:pStyle w:val="Funotentext"/>
        <w:rPr>
          <w:lang w:val="en-GB"/>
        </w:rPr>
      </w:pPr>
      <w:r>
        <w:rPr>
          <w:rStyle w:val="Funotenzeichen"/>
        </w:rPr>
        <w:footnoteRef/>
      </w:r>
      <w:r w:rsidRPr="00195CD7">
        <w:rPr>
          <w:lang w:val="en-GB"/>
        </w:rPr>
        <w:t xml:space="preserve"> </w:t>
      </w:r>
      <w:r>
        <w:rPr>
          <w:lang w:val="en-GB"/>
        </w:rPr>
        <w:t>John Clifford</w:t>
      </w:r>
      <w:r w:rsidR="0014002A">
        <w:rPr>
          <w:lang w:val="en-GB"/>
        </w:rPr>
        <w:t xml:space="preserve"> Hold</w:t>
      </w:r>
      <w:r>
        <w:rPr>
          <w:lang w:val="en-GB"/>
        </w:rPr>
        <w:t xml:space="preserve">, </w:t>
      </w:r>
      <w:r w:rsidR="0014002A">
        <w:rPr>
          <w:lang w:val="en-GB"/>
        </w:rPr>
        <w:t>‘</w:t>
      </w:r>
      <w:r>
        <w:rPr>
          <w:lang w:val="en-GB"/>
        </w:rPr>
        <w:t>Introduction</w:t>
      </w:r>
      <w:r w:rsidR="0014002A">
        <w:rPr>
          <w:lang w:val="en-GB"/>
        </w:rPr>
        <w:t>’</w:t>
      </w:r>
      <w:r>
        <w:rPr>
          <w:lang w:val="en-GB"/>
        </w:rPr>
        <w:t xml:space="preserve"> to </w:t>
      </w:r>
      <w:r w:rsidR="0014002A">
        <w:rPr>
          <w:lang w:val="en-GB"/>
        </w:rPr>
        <w:t xml:space="preserve">Mircea Eliade’s </w:t>
      </w:r>
      <w:bookmarkStart w:id="5" w:name="_Hlk213848081"/>
      <w:r w:rsidRPr="0014002A">
        <w:rPr>
          <w:i/>
          <w:iCs/>
          <w:lang w:val="en-GB"/>
        </w:rPr>
        <w:t xml:space="preserve">Patterns </w:t>
      </w:r>
      <w:r w:rsidR="0014002A">
        <w:rPr>
          <w:i/>
          <w:iCs/>
          <w:lang w:val="en-GB"/>
        </w:rPr>
        <w:t>in</w:t>
      </w:r>
      <w:r w:rsidRPr="0014002A">
        <w:rPr>
          <w:i/>
          <w:iCs/>
          <w:lang w:val="en-GB"/>
        </w:rPr>
        <w:t xml:space="preserve"> Comparative Religio</w:t>
      </w:r>
      <w:r w:rsidR="0014002A">
        <w:rPr>
          <w:i/>
          <w:iCs/>
          <w:lang w:val="en-GB"/>
        </w:rPr>
        <w:t xml:space="preserve">n </w:t>
      </w:r>
      <w:r w:rsidR="0014002A" w:rsidRPr="0014002A">
        <w:rPr>
          <w:lang w:val="en-GB"/>
        </w:rPr>
        <w:t>(Lincoln and London</w:t>
      </w:r>
      <w:r w:rsidR="00272E1F">
        <w:rPr>
          <w:lang w:val="en-GB"/>
        </w:rPr>
        <w:t>:</w:t>
      </w:r>
      <w:r w:rsidR="0014002A" w:rsidRPr="0014002A">
        <w:rPr>
          <w:lang w:val="en-GB"/>
        </w:rPr>
        <w:t xml:space="preserve"> University of Nebraska Press, 1996)</w:t>
      </w:r>
      <w:bookmarkEnd w:id="5"/>
      <w:r w:rsidR="0014002A">
        <w:rPr>
          <w:i/>
          <w:iCs/>
          <w:lang w:val="en-GB"/>
        </w:rPr>
        <w:t>,</w:t>
      </w:r>
      <w:r>
        <w:rPr>
          <w:lang w:val="en-GB"/>
        </w:rPr>
        <w:t xml:space="preserve"> p. xi.</w:t>
      </w:r>
    </w:p>
  </w:footnote>
  <w:footnote w:id="9">
    <w:p w14:paraId="3F235558" w14:textId="1CDA2159" w:rsidR="00BD3373" w:rsidRPr="00BD3373" w:rsidRDefault="00BD3373">
      <w:pPr>
        <w:pStyle w:val="Funotentext"/>
        <w:rPr>
          <w:lang w:val="en-GB"/>
        </w:rPr>
      </w:pPr>
      <w:r>
        <w:rPr>
          <w:rStyle w:val="Funotenzeichen"/>
        </w:rPr>
        <w:footnoteRef/>
      </w:r>
      <w:r w:rsidRPr="00BD3373">
        <w:rPr>
          <w:lang w:val="en-GB"/>
        </w:rPr>
        <w:t xml:space="preserve"> </w:t>
      </w:r>
      <w:r>
        <w:rPr>
          <w:lang w:val="en-GB"/>
        </w:rPr>
        <w:t>Douglas</w:t>
      </w:r>
      <w:r w:rsidR="00C546F8">
        <w:rPr>
          <w:lang w:val="en-GB"/>
        </w:rPr>
        <w:t xml:space="preserve"> Allen</w:t>
      </w:r>
      <w:r>
        <w:rPr>
          <w:lang w:val="en-GB"/>
        </w:rPr>
        <w:t xml:space="preserve">, </w:t>
      </w:r>
      <w:r w:rsidR="00C546F8">
        <w:rPr>
          <w:lang w:val="en-GB"/>
        </w:rPr>
        <w:t>‘</w:t>
      </w:r>
      <w:r w:rsidRPr="003C71F7">
        <w:rPr>
          <w:lang w:val="en-GB"/>
        </w:rPr>
        <w:t xml:space="preserve">Prologue: Encounters with Mircea Eliade and his </w:t>
      </w:r>
      <w:r w:rsidR="00C546F8">
        <w:rPr>
          <w:lang w:val="en-GB"/>
        </w:rPr>
        <w:t>L</w:t>
      </w:r>
      <w:r w:rsidRPr="003C71F7">
        <w:rPr>
          <w:lang w:val="en-GB"/>
        </w:rPr>
        <w:t xml:space="preserve">egacy for the 21st </w:t>
      </w:r>
      <w:r w:rsidR="00C546F8">
        <w:rPr>
          <w:lang w:val="en-GB"/>
        </w:rPr>
        <w:t>C</w:t>
      </w:r>
      <w:r w:rsidRPr="003C71F7">
        <w:rPr>
          <w:lang w:val="en-GB"/>
        </w:rPr>
        <w:t>entury</w:t>
      </w:r>
      <w:r w:rsidR="00C546F8">
        <w:rPr>
          <w:lang w:val="en-GB"/>
        </w:rPr>
        <w:t>’</w:t>
      </w:r>
      <w:r w:rsidR="004B752B">
        <w:rPr>
          <w:lang w:val="en-GB"/>
        </w:rPr>
        <w:t>,</w:t>
      </w:r>
      <w:r w:rsidR="00C546F8">
        <w:rPr>
          <w:lang w:val="en-GB"/>
        </w:rPr>
        <w:t xml:space="preserve"> </w:t>
      </w:r>
      <w:r w:rsidRPr="00C546F8">
        <w:rPr>
          <w:i/>
          <w:iCs/>
          <w:lang w:val="en-GB"/>
        </w:rPr>
        <w:t>Religion,</w:t>
      </w:r>
      <w:r>
        <w:rPr>
          <w:lang w:val="en-GB"/>
        </w:rPr>
        <w:t xml:space="preserve"> </w:t>
      </w:r>
      <w:r w:rsidR="00C546F8" w:rsidRPr="00C546F8">
        <w:rPr>
          <w:lang w:val="en-GB"/>
        </w:rPr>
        <w:t>Volume 38, Issue 4</w:t>
      </w:r>
      <w:r w:rsidR="00C546F8">
        <w:rPr>
          <w:lang w:val="en-GB"/>
        </w:rPr>
        <w:t xml:space="preserve">, </w:t>
      </w:r>
      <w:r w:rsidRPr="003C71F7">
        <w:rPr>
          <w:lang w:val="en-GB"/>
        </w:rPr>
        <w:t>2008</w:t>
      </w:r>
      <w:r>
        <w:rPr>
          <w:lang w:val="en-GB"/>
        </w:rPr>
        <w:t>,</w:t>
      </w:r>
      <w:r w:rsidR="00852271">
        <w:rPr>
          <w:lang w:val="en-GB"/>
        </w:rPr>
        <w:t xml:space="preserve"> </w:t>
      </w:r>
      <w:r w:rsidR="00852271" w:rsidRPr="00852271">
        <w:rPr>
          <w:lang w:val="en-GB"/>
        </w:rPr>
        <w:t>pp. 319–327</w:t>
      </w:r>
      <w:r w:rsidR="00852271">
        <w:rPr>
          <w:lang w:val="en-GB"/>
        </w:rPr>
        <w:t xml:space="preserve"> (</w:t>
      </w:r>
      <w:r w:rsidR="00C546F8">
        <w:rPr>
          <w:lang w:val="en-GB"/>
        </w:rPr>
        <w:t>p. 319</w:t>
      </w:r>
      <w:r w:rsidR="00852271">
        <w:rPr>
          <w:lang w:val="en-GB"/>
        </w:rPr>
        <w:t>)</w:t>
      </w:r>
      <w:r w:rsidR="00C546F8">
        <w:rPr>
          <w:lang w:val="en-GB"/>
        </w:rPr>
        <w:t xml:space="preserve">. </w:t>
      </w:r>
    </w:p>
  </w:footnote>
  <w:footnote w:id="10">
    <w:p w14:paraId="1D59AEF6" w14:textId="0AD326AE" w:rsidR="00DB184B" w:rsidRPr="0069597E" w:rsidRDefault="00DB184B" w:rsidP="00DB184B">
      <w:pPr>
        <w:pStyle w:val="Funotentext"/>
        <w:rPr>
          <w:lang w:val="en-GB"/>
        </w:rPr>
      </w:pPr>
      <w:r>
        <w:rPr>
          <w:rStyle w:val="Funotenzeichen"/>
        </w:rPr>
        <w:footnoteRef/>
      </w:r>
      <w:r w:rsidRPr="0069597E">
        <w:rPr>
          <w:lang w:val="en-GB"/>
        </w:rPr>
        <w:t xml:space="preserve"> </w:t>
      </w:r>
      <w:r>
        <w:rPr>
          <w:lang w:val="en-GB"/>
        </w:rPr>
        <w:t xml:space="preserve"> René</w:t>
      </w:r>
      <w:r w:rsidR="00C546F8">
        <w:rPr>
          <w:lang w:val="en-GB"/>
        </w:rPr>
        <w:t xml:space="preserve"> </w:t>
      </w:r>
      <w:r w:rsidR="00C546F8" w:rsidRPr="00C546F8">
        <w:rPr>
          <w:lang w:val="en-GB"/>
        </w:rPr>
        <w:t>Guénon</w:t>
      </w:r>
      <w:r w:rsidRPr="0069597E">
        <w:rPr>
          <w:lang w:val="en-GB"/>
        </w:rPr>
        <w:t xml:space="preserve">, </w:t>
      </w:r>
      <w:r w:rsidR="00C546F8">
        <w:rPr>
          <w:lang w:val="en-GB"/>
        </w:rPr>
        <w:t>‘</w:t>
      </w:r>
      <w:r w:rsidRPr="00C546F8">
        <w:rPr>
          <w:lang w:val="en-GB"/>
        </w:rPr>
        <w:t>The Land of the Sun</w:t>
      </w:r>
      <w:r w:rsidR="00C546F8">
        <w:rPr>
          <w:lang w:val="en-GB"/>
        </w:rPr>
        <w:t>’</w:t>
      </w:r>
      <w:r w:rsidRPr="00C546F8">
        <w:rPr>
          <w:lang w:val="en-GB"/>
        </w:rPr>
        <w:t xml:space="preserve">, </w:t>
      </w:r>
      <w:r w:rsidR="00C546F8" w:rsidRPr="00C546F8">
        <w:rPr>
          <w:i/>
          <w:iCs/>
          <w:lang w:val="en-GB"/>
        </w:rPr>
        <w:t>Studies in Comparative Religion,</w:t>
      </w:r>
      <w:r w:rsidR="00C546F8" w:rsidRPr="00C546F8">
        <w:rPr>
          <w:lang w:val="en-GB"/>
        </w:rPr>
        <w:t xml:space="preserve"> Vol. 14, Nos. 3 &amp; 4. (</w:t>
      </w:r>
      <w:r w:rsidR="009F2B80" w:rsidRPr="00C546F8">
        <w:rPr>
          <w:lang w:val="en-GB"/>
        </w:rPr>
        <w:t>World Wisdom, Inc.</w:t>
      </w:r>
      <w:r w:rsidR="009F2B80">
        <w:rPr>
          <w:lang w:val="en-GB"/>
        </w:rPr>
        <w:t xml:space="preserve">, </w:t>
      </w:r>
      <w:r w:rsidR="00C546F8" w:rsidRPr="00C546F8">
        <w:rPr>
          <w:lang w:val="en-GB"/>
        </w:rPr>
        <w:t>Summer-Autumn, 1980)</w:t>
      </w:r>
      <w:r w:rsidR="00DF6819">
        <w:rPr>
          <w:lang w:val="en-GB"/>
        </w:rPr>
        <w:t xml:space="preserve">. </w:t>
      </w:r>
      <w:r w:rsidR="009F2B80">
        <w:rPr>
          <w:lang w:val="en-GB"/>
        </w:rPr>
        <w:t>&lt;</w:t>
      </w:r>
      <w:r w:rsidRPr="0069597E">
        <w:rPr>
          <w:lang w:val="en-GB"/>
        </w:rPr>
        <w:t>http://www.studiesincomparativereligion.com/Public/articles/The_Land_of_th</w:t>
      </w:r>
    </w:p>
    <w:p w14:paraId="1499C340" w14:textId="6F18EEA1" w:rsidR="00DB184B" w:rsidRPr="0069597E" w:rsidRDefault="00DB184B" w:rsidP="00DB184B">
      <w:pPr>
        <w:pStyle w:val="Funotentext"/>
        <w:rPr>
          <w:lang w:val="en-GB"/>
        </w:rPr>
      </w:pPr>
      <w:r w:rsidRPr="0069597E">
        <w:rPr>
          <w:lang w:val="en-GB"/>
        </w:rPr>
        <w:t xml:space="preserve"> e_Sun-by_Ren%C3%A9_Gu%C3%A9non.aspx</w:t>
      </w:r>
      <w:r w:rsidR="009F2B80">
        <w:rPr>
          <w:lang w:val="en-GB"/>
        </w:rPr>
        <w:t xml:space="preserve">&gt; </w:t>
      </w:r>
      <w:r w:rsidR="00DF6819">
        <w:rPr>
          <w:lang w:val="en-GB"/>
        </w:rPr>
        <w:t>[accessed 3 November 2025]</w:t>
      </w:r>
    </w:p>
  </w:footnote>
  <w:footnote w:id="11">
    <w:p w14:paraId="69E42459" w14:textId="04EF6596" w:rsidR="00DB184B" w:rsidRPr="000D576C" w:rsidRDefault="00DB184B" w:rsidP="00DB184B">
      <w:pPr>
        <w:pStyle w:val="Funotentext"/>
        <w:rPr>
          <w:lang w:val="en-GB"/>
        </w:rPr>
      </w:pPr>
      <w:r>
        <w:rPr>
          <w:rStyle w:val="Funotenzeichen"/>
        </w:rPr>
        <w:footnoteRef/>
      </w:r>
      <w:r w:rsidRPr="00756E74">
        <w:rPr>
          <w:lang w:val="fr-CH"/>
        </w:rPr>
        <w:t xml:space="preserve"> </w:t>
      </w:r>
      <w:r w:rsidR="00756E74" w:rsidRPr="00756E74">
        <w:rPr>
          <w:lang w:val="fr-CH"/>
        </w:rPr>
        <w:t xml:space="preserve">Josef Heinsch, ‘Principles of prehistoric sacred geography’, </w:t>
      </w:r>
      <w:r w:rsidR="00756E74" w:rsidRPr="00756E74">
        <w:rPr>
          <w:i/>
          <w:iCs/>
          <w:lang w:val="fr-CH"/>
        </w:rPr>
        <w:t>Comptes Rendus du Congrès International de Géographie</w:t>
      </w:r>
      <w:r w:rsidR="00272E1F">
        <w:rPr>
          <w:i/>
          <w:iCs/>
          <w:lang w:val="fr-CH"/>
        </w:rPr>
        <w:t xml:space="preserve"> (</w:t>
      </w:r>
      <w:r w:rsidR="00756E74" w:rsidRPr="00756E74">
        <w:rPr>
          <w:lang w:val="fr-CH"/>
        </w:rPr>
        <w:t>Amsterdam</w:t>
      </w:r>
      <w:r w:rsidR="00A47776">
        <w:rPr>
          <w:lang w:val="fr-CH"/>
        </w:rPr>
        <w:t>,</w:t>
      </w:r>
      <w:r w:rsidR="00756E74" w:rsidRPr="00756E74">
        <w:rPr>
          <w:lang w:val="fr-CH"/>
        </w:rPr>
        <w:t xml:space="preserve"> 1938</w:t>
      </w:r>
      <w:r w:rsidR="00272E1F">
        <w:rPr>
          <w:lang w:val="fr-CH"/>
        </w:rPr>
        <w:t>)</w:t>
      </w:r>
      <w:r w:rsidR="00756E74" w:rsidRPr="00756E74">
        <w:rPr>
          <w:lang w:val="fr-CH"/>
        </w:rPr>
        <w:t xml:space="preserve">. </w:t>
      </w:r>
      <w:r w:rsidR="00756E74">
        <w:rPr>
          <w:lang w:val="en-GB"/>
        </w:rPr>
        <w:t>&lt;</w:t>
      </w:r>
      <w:r w:rsidRPr="000D576C">
        <w:rPr>
          <w:lang w:val="en-GB"/>
        </w:rPr>
        <w:t>https://www.cantab.net/users/michael.behrend/repubs/ggw/heinsch_gvkg/pages/gvkg_en.html</w:t>
      </w:r>
      <w:r w:rsidR="00756E74">
        <w:rPr>
          <w:lang w:val="en-GB"/>
        </w:rPr>
        <w:t>&gt;  [accessed 3 November 2025]</w:t>
      </w:r>
    </w:p>
  </w:footnote>
  <w:footnote w:id="12">
    <w:p w14:paraId="231C7D67" w14:textId="6B557BC8" w:rsidR="007D6435" w:rsidRPr="003F5624" w:rsidRDefault="007D6435" w:rsidP="007D6435">
      <w:pPr>
        <w:pStyle w:val="Funotentext"/>
        <w:rPr>
          <w:lang w:val="en-GB"/>
        </w:rPr>
      </w:pPr>
      <w:r>
        <w:rPr>
          <w:rStyle w:val="Funotenzeichen"/>
        </w:rPr>
        <w:footnoteRef/>
      </w:r>
      <w:r w:rsidRPr="003F5624">
        <w:rPr>
          <w:lang w:val="en-GB"/>
        </w:rPr>
        <w:t xml:space="preserve"> </w:t>
      </w:r>
      <w:r>
        <w:rPr>
          <w:lang w:val="en-GB"/>
        </w:rPr>
        <w:t>Kim</w:t>
      </w:r>
      <w:r w:rsidR="004B752B">
        <w:rPr>
          <w:lang w:val="en-GB"/>
        </w:rPr>
        <w:t xml:space="preserve"> Knott</w:t>
      </w:r>
      <w:r>
        <w:rPr>
          <w:lang w:val="en-GB"/>
        </w:rPr>
        <w:t xml:space="preserve">, </w:t>
      </w:r>
      <w:r w:rsidR="004B752B">
        <w:rPr>
          <w:lang w:val="en-GB"/>
        </w:rPr>
        <w:t>‘</w:t>
      </w:r>
      <w:r w:rsidRPr="004B752B">
        <w:rPr>
          <w:lang w:val="en-GB"/>
        </w:rPr>
        <w:t>Spatial Theory and Method for the Study of Religion</w:t>
      </w:r>
      <w:r w:rsidR="004B752B">
        <w:rPr>
          <w:lang w:val="en-GB"/>
        </w:rPr>
        <w:t>’</w:t>
      </w:r>
      <w:r>
        <w:rPr>
          <w:lang w:val="en-GB"/>
        </w:rPr>
        <w:t xml:space="preserve">, </w:t>
      </w:r>
      <w:r w:rsidR="004B752B" w:rsidRPr="004B752B">
        <w:rPr>
          <w:i/>
          <w:iCs/>
          <w:lang w:val="en-GB"/>
        </w:rPr>
        <w:t>The Finnish Society for the Study of Religion</w:t>
      </w:r>
      <w:r w:rsidR="004B752B">
        <w:rPr>
          <w:lang w:val="en-GB"/>
        </w:rPr>
        <w:t xml:space="preserve">, </w:t>
      </w:r>
      <w:r w:rsidR="004B752B" w:rsidRPr="004B752B">
        <w:rPr>
          <w:lang w:val="en-GB"/>
        </w:rPr>
        <w:t>Vol</w:t>
      </w:r>
      <w:r w:rsidR="004B752B">
        <w:rPr>
          <w:lang w:val="en-GB"/>
        </w:rPr>
        <w:t>ume</w:t>
      </w:r>
      <w:r w:rsidR="004B752B" w:rsidRPr="004B752B">
        <w:rPr>
          <w:lang w:val="en-GB"/>
        </w:rPr>
        <w:t xml:space="preserve"> 41</w:t>
      </w:r>
      <w:r w:rsidR="004B752B">
        <w:rPr>
          <w:lang w:val="en-GB"/>
        </w:rPr>
        <w:t>,</w:t>
      </w:r>
      <w:r w:rsidR="004B752B" w:rsidRPr="004B752B">
        <w:rPr>
          <w:lang w:val="en-GB"/>
        </w:rPr>
        <w:t xml:space="preserve"> No. 2 (2005), 153–184</w:t>
      </w:r>
      <w:r w:rsidR="0095418D">
        <w:rPr>
          <w:lang w:val="en-GB"/>
        </w:rPr>
        <w:t xml:space="preserve"> (p. 169). </w:t>
      </w:r>
    </w:p>
  </w:footnote>
  <w:footnote w:id="13">
    <w:p w14:paraId="5DE5A14C" w14:textId="24FDA677" w:rsidR="00FF4FDE" w:rsidRPr="008800E8" w:rsidRDefault="00FF4FDE" w:rsidP="00F24DB4">
      <w:pPr>
        <w:pStyle w:val="Funotentext"/>
        <w:rPr>
          <w:lang w:val="en-GB"/>
        </w:rPr>
      </w:pPr>
      <w:r>
        <w:rPr>
          <w:rStyle w:val="Funotenzeichen"/>
        </w:rPr>
        <w:footnoteRef/>
      </w:r>
      <w:r w:rsidRPr="008800E8">
        <w:rPr>
          <w:lang w:val="en-GB"/>
        </w:rPr>
        <w:t xml:space="preserve"> </w:t>
      </w:r>
      <w:r w:rsidR="0095418D">
        <w:rPr>
          <w:lang w:val="en-GB"/>
        </w:rPr>
        <w:t xml:space="preserve">Jack </w:t>
      </w:r>
      <w:r w:rsidRPr="008800E8">
        <w:rPr>
          <w:lang w:val="en-GB"/>
        </w:rPr>
        <w:t>Hunter,</w:t>
      </w:r>
      <w:r w:rsidR="0095418D">
        <w:rPr>
          <w:lang w:val="en-GB"/>
        </w:rPr>
        <w:t xml:space="preserve"> </w:t>
      </w:r>
      <w:r w:rsidR="00F24DB4">
        <w:rPr>
          <w:lang w:val="en-GB"/>
        </w:rPr>
        <w:t>‘</w:t>
      </w:r>
      <w:r w:rsidR="00F24DB4" w:rsidRPr="00F24DB4">
        <w:rPr>
          <w:lang w:val="en-GB"/>
        </w:rPr>
        <w:t>Introduction Part I</w:t>
      </w:r>
      <w:r w:rsidR="00F24DB4">
        <w:rPr>
          <w:lang w:val="en-GB"/>
        </w:rPr>
        <w:t xml:space="preserve">I’, </w:t>
      </w:r>
      <w:r w:rsidR="00F24DB4" w:rsidRPr="00F24DB4">
        <w:rPr>
          <w:i/>
          <w:iCs/>
          <w:lang w:val="en-GB"/>
        </w:rPr>
        <w:t xml:space="preserve">Sacred Geography: </w:t>
      </w:r>
      <w:r w:rsidR="00F24DB4">
        <w:rPr>
          <w:i/>
          <w:iCs/>
          <w:lang w:val="en-GB"/>
        </w:rPr>
        <w:t>Conversations</w:t>
      </w:r>
      <w:r w:rsidR="00F24DB4" w:rsidRPr="00F24DB4">
        <w:rPr>
          <w:i/>
          <w:iCs/>
          <w:lang w:val="en-GB"/>
        </w:rPr>
        <w:t xml:space="preserve"> With The Other</w:t>
      </w:r>
      <w:r w:rsidR="00F24DB4">
        <w:rPr>
          <w:lang w:val="en-GB"/>
        </w:rPr>
        <w:t xml:space="preserve">, (Ceredigion, Wales: Sophia Center Press, 2024), </w:t>
      </w:r>
      <w:r w:rsidRPr="008800E8">
        <w:rPr>
          <w:lang w:val="en-GB"/>
        </w:rPr>
        <w:t>p. 11.</w:t>
      </w:r>
    </w:p>
  </w:footnote>
  <w:footnote w:id="14">
    <w:p w14:paraId="6F8DB638" w14:textId="028A0BB2" w:rsidR="009D6041" w:rsidRPr="00715C56" w:rsidRDefault="009D6041" w:rsidP="009D6041">
      <w:pPr>
        <w:pStyle w:val="Funotentext"/>
        <w:rPr>
          <w:lang w:val="en-GB"/>
        </w:rPr>
      </w:pPr>
      <w:r>
        <w:rPr>
          <w:rStyle w:val="Funotenzeichen"/>
        </w:rPr>
        <w:footnoteRef/>
      </w:r>
      <w:r w:rsidRPr="00715C56">
        <w:rPr>
          <w:lang w:val="en-GB"/>
        </w:rPr>
        <w:t xml:space="preserve"> </w:t>
      </w:r>
      <w:bookmarkStart w:id="6" w:name="_Hlk213832221"/>
      <w:r w:rsidRPr="00715C56">
        <w:rPr>
          <w:lang w:val="en-GB"/>
        </w:rPr>
        <w:t>Fields,</w:t>
      </w:r>
      <w:r w:rsidR="008E08FF">
        <w:rPr>
          <w:lang w:val="en-GB"/>
        </w:rPr>
        <w:t xml:space="preserve"> </w:t>
      </w:r>
      <w:r w:rsidR="008E08FF" w:rsidRPr="008E08FF">
        <w:rPr>
          <w:i/>
          <w:iCs/>
          <w:lang w:val="en-GB"/>
        </w:rPr>
        <w:t>The Elementary Forms</w:t>
      </w:r>
      <w:r w:rsidR="008E08FF" w:rsidRPr="008E08FF">
        <w:rPr>
          <w:lang w:val="en-GB"/>
        </w:rPr>
        <w:t>,</w:t>
      </w:r>
      <w:r w:rsidRPr="00715C56">
        <w:rPr>
          <w:lang w:val="en-GB"/>
        </w:rPr>
        <w:t xml:space="preserve"> </w:t>
      </w:r>
      <w:bookmarkEnd w:id="6"/>
      <w:r w:rsidRPr="00715C56">
        <w:rPr>
          <w:lang w:val="en-GB"/>
        </w:rPr>
        <w:t>p.</w:t>
      </w:r>
      <w:r w:rsidR="004B0787">
        <w:rPr>
          <w:lang w:val="en-GB"/>
        </w:rPr>
        <w:t xml:space="preserve"> </w:t>
      </w:r>
      <w:r w:rsidRPr="00715C56">
        <w:rPr>
          <w:lang w:val="en-GB"/>
        </w:rPr>
        <w:t>xlvi</w:t>
      </w:r>
      <w:r w:rsidR="008E08FF">
        <w:rPr>
          <w:lang w:val="en-GB"/>
        </w:rPr>
        <w:t>.</w:t>
      </w:r>
    </w:p>
  </w:footnote>
  <w:footnote w:id="15">
    <w:p w14:paraId="3EF52EED" w14:textId="3F1CFD4D" w:rsidR="009D6041" w:rsidRPr="006D33D6" w:rsidRDefault="009D6041" w:rsidP="009D6041">
      <w:pPr>
        <w:pStyle w:val="Funotentext"/>
        <w:rPr>
          <w:lang w:val="en-GB"/>
        </w:rPr>
      </w:pPr>
      <w:r>
        <w:rPr>
          <w:rStyle w:val="Funotenzeichen"/>
        </w:rPr>
        <w:footnoteRef/>
      </w:r>
      <w:r w:rsidRPr="006D33D6">
        <w:rPr>
          <w:lang w:val="en-GB"/>
        </w:rPr>
        <w:t xml:space="preserve"> Hunter, </w:t>
      </w:r>
      <w:r w:rsidRPr="001D7102">
        <w:rPr>
          <w:i/>
          <w:iCs/>
          <w:lang w:val="en-GB"/>
        </w:rPr>
        <w:t>Sacred Geography</w:t>
      </w:r>
      <w:r>
        <w:rPr>
          <w:lang w:val="en-GB"/>
        </w:rPr>
        <w:t>, p. 11.</w:t>
      </w:r>
    </w:p>
  </w:footnote>
  <w:footnote w:id="16">
    <w:p w14:paraId="6E49CD38" w14:textId="41792A64" w:rsidR="001F3303" w:rsidRPr="00950CC6" w:rsidRDefault="001F3303" w:rsidP="001F3303">
      <w:pPr>
        <w:pStyle w:val="Funotentext"/>
        <w:rPr>
          <w:lang w:val="en-GB"/>
        </w:rPr>
      </w:pPr>
      <w:r>
        <w:rPr>
          <w:rStyle w:val="Funotenzeichen"/>
        </w:rPr>
        <w:footnoteRef/>
      </w:r>
      <w:r w:rsidRPr="00950CC6">
        <w:rPr>
          <w:lang w:val="en-GB"/>
        </w:rPr>
        <w:t xml:space="preserve"> Eliade, </w:t>
      </w:r>
      <w:bookmarkStart w:id="7" w:name="_Hlk213831840"/>
      <w:r w:rsidR="001D7102" w:rsidRPr="001D7102">
        <w:rPr>
          <w:i/>
          <w:iCs/>
          <w:lang w:val="en-GB"/>
        </w:rPr>
        <w:t>The Sacred and the Profane,</w:t>
      </w:r>
      <w:r w:rsidR="001D7102">
        <w:rPr>
          <w:lang w:val="en-GB"/>
        </w:rPr>
        <w:t xml:space="preserve"> </w:t>
      </w:r>
      <w:bookmarkEnd w:id="7"/>
      <w:r w:rsidRPr="00950CC6">
        <w:rPr>
          <w:lang w:val="en-GB"/>
        </w:rPr>
        <w:t>p. 11.</w:t>
      </w:r>
    </w:p>
  </w:footnote>
  <w:footnote w:id="17">
    <w:p w14:paraId="34F4D12E" w14:textId="605C256E" w:rsidR="009D6041" w:rsidRPr="006615C2" w:rsidRDefault="009D6041" w:rsidP="009D6041">
      <w:pPr>
        <w:pStyle w:val="Funotentext"/>
        <w:rPr>
          <w:lang w:val="en-GB"/>
        </w:rPr>
      </w:pPr>
      <w:r>
        <w:rPr>
          <w:rStyle w:val="Funotenzeichen"/>
        </w:rPr>
        <w:footnoteRef/>
      </w:r>
      <w:r w:rsidRPr="006615C2">
        <w:rPr>
          <w:lang w:val="en-GB"/>
        </w:rPr>
        <w:t xml:space="preserve"> </w:t>
      </w:r>
      <w:r>
        <w:rPr>
          <w:lang w:val="en-GB"/>
        </w:rPr>
        <w:t xml:space="preserve">Hunter, </w:t>
      </w:r>
      <w:r w:rsidRPr="001D7102">
        <w:rPr>
          <w:i/>
          <w:iCs/>
          <w:lang w:val="en-GB"/>
        </w:rPr>
        <w:t>Sacred Geography,</w:t>
      </w:r>
      <w:r>
        <w:rPr>
          <w:lang w:val="en-GB"/>
        </w:rPr>
        <w:t xml:space="preserve"> p. 12.</w:t>
      </w:r>
    </w:p>
  </w:footnote>
  <w:footnote w:id="18">
    <w:p w14:paraId="376ABC47" w14:textId="09A3DC87" w:rsidR="000F1E92" w:rsidRPr="00C807ED" w:rsidRDefault="000F1E92">
      <w:pPr>
        <w:pStyle w:val="Funotentext"/>
        <w:rPr>
          <w:lang w:val="en-GB"/>
        </w:rPr>
      </w:pPr>
      <w:r>
        <w:rPr>
          <w:rStyle w:val="Funotenzeichen"/>
        </w:rPr>
        <w:footnoteRef/>
      </w:r>
      <w:r w:rsidRPr="00C807ED">
        <w:rPr>
          <w:lang w:val="en-GB"/>
        </w:rPr>
        <w:t xml:space="preserve"> Eliade, </w:t>
      </w:r>
      <w:r w:rsidR="001D7102" w:rsidRPr="001D7102">
        <w:rPr>
          <w:i/>
          <w:iCs/>
          <w:lang w:val="en-GB"/>
        </w:rPr>
        <w:t>The Sacred and the Profane,</w:t>
      </w:r>
      <w:r w:rsidR="001D7102">
        <w:rPr>
          <w:lang w:val="en-GB"/>
        </w:rPr>
        <w:t xml:space="preserve"> </w:t>
      </w:r>
      <w:r w:rsidRPr="00C807ED">
        <w:rPr>
          <w:lang w:val="en-GB"/>
        </w:rPr>
        <w:t>p. 28.</w:t>
      </w:r>
    </w:p>
  </w:footnote>
  <w:footnote w:id="19">
    <w:p w14:paraId="623BFE38" w14:textId="16A68CAA" w:rsidR="002C3AD6" w:rsidRPr="00C807ED" w:rsidRDefault="002C3AD6">
      <w:pPr>
        <w:pStyle w:val="Funotentext"/>
        <w:rPr>
          <w:lang w:val="en-GB"/>
        </w:rPr>
      </w:pPr>
      <w:r>
        <w:rPr>
          <w:rStyle w:val="Funotenzeichen"/>
        </w:rPr>
        <w:footnoteRef/>
      </w:r>
      <w:r w:rsidRPr="00C807ED">
        <w:rPr>
          <w:lang w:val="en-GB"/>
        </w:rPr>
        <w:t xml:space="preserve"> </w:t>
      </w:r>
      <w:r w:rsidR="00714551" w:rsidRPr="00714551">
        <w:rPr>
          <w:lang w:val="en-GB"/>
        </w:rPr>
        <w:t xml:space="preserve">Durkheim, </w:t>
      </w:r>
      <w:r w:rsidR="00714551" w:rsidRPr="00714551">
        <w:rPr>
          <w:i/>
          <w:iCs/>
          <w:lang w:val="en-GB"/>
        </w:rPr>
        <w:t>The Elementary Forms</w:t>
      </w:r>
      <w:r w:rsidR="00714551">
        <w:rPr>
          <w:lang w:val="en-GB"/>
        </w:rPr>
        <w:t>,</w:t>
      </w:r>
      <w:r w:rsidR="00C464D8" w:rsidRPr="00C807ED">
        <w:rPr>
          <w:lang w:val="en-GB"/>
        </w:rPr>
        <w:t xml:space="preserve"> p. 36.</w:t>
      </w:r>
    </w:p>
  </w:footnote>
  <w:footnote w:id="20">
    <w:p w14:paraId="6C858A49" w14:textId="0D3A78B5" w:rsidR="00C807ED" w:rsidRPr="00A74F9D" w:rsidRDefault="00C807ED" w:rsidP="00C807ED">
      <w:pPr>
        <w:pStyle w:val="Funotentext"/>
        <w:rPr>
          <w:lang w:val="en-GB"/>
        </w:rPr>
      </w:pPr>
      <w:r>
        <w:rPr>
          <w:rStyle w:val="Funotenzeichen"/>
        </w:rPr>
        <w:footnoteRef/>
      </w:r>
      <w:r w:rsidR="005B7F3C">
        <w:rPr>
          <w:lang w:val="en-GB"/>
        </w:rPr>
        <w:t xml:space="preserve"> </w:t>
      </w:r>
      <w:r w:rsidR="005B7F3C" w:rsidRPr="00715C56">
        <w:rPr>
          <w:lang w:val="en-GB"/>
        </w:rPr>
        <w:t>Fields,</w:t>
      </w:r>
      <w:r w:rsidR="005B7F3C">
        <w:rPr>
          <w:lang w:val="en-GB"/>
        </w:rPr>
        <w:t xml:space="preserve"> </w:t>
      </w:r>
      <w:r w:rsidR="005B7F3C" w:rsidRPr="008E08FF">
        <w:rPr>
          <w:i/>
          <w:iCs/>
          <w:lang w:val="en-GB"/>
        </w:rPr>
        <w:t>The Elementary Forms</w:t>
      </w:r>
      <w:r w:rsidRPr="00A74F9D">
        <w:rPr>
          <w:lang w:val="en-GB"/>
        </w:rPr>
        <w:t>, p</w:t>
      </w:r>
      <w:r>
        <w:rPr>
          <w:lang w:val="en-GB"/>
        </w:rPr>
        <w:t>. xlvi.</w:t>
      </w:r>
    </w:p>
  </w:footnote>
  <w:footnote w:id="21">
    <w:p w14:paraId="2BDF5854" w14:textId="70007EAF" w:rsidR="001F3303" w:rsidRPr="005B7F3C" w:rsidRDefault="001F3303" w:rsidP="001F3303">
      <w:pPr>
        <w:pStyle w:val="Funotentext"/>
        <w:rPr>
          <w:lang w:val="en-GB"/>
        </w:rPr>
      </w:pPr>
      <w:r>
        <w:rPr>
          <w:rStyle w:val="Funotenzeichen"/>
        </w:rPr>
        <w:footnoteRef/>
      </w:r>
      <w:r w:rsidRPr="005B7F3C">
        <w:rPr>
          <w:lang w:val="en-GB"/>
        </w:rPr>
        <w:t xml:space="preserve"> </w:t>
      </w:r>
      <w:r w:rsidR="005B7F3C" w:rsidRPr="00714551">
        <w:rPr>
          <w:lang w:val="en-GB"/>
        </w:rPr>
        <w:t xml:space="preserve">Durkheim, </w:t>
      </w:r>
      <w:r w:rsidR="005B7F3C" w:rsidRPr="00714551">
        <w:rPr>
          <w:i/>
          <w:iCs/>
          <w:lang w:val="en-GB"/>
        </w:rPr>
        <w:t>The Elementary Forms</w:t>
      </w:r>
      <w:r w:rsidR="005B7F3C">
        <w:rPr>
          <w:i/>
          <w:iCs/>
          <w:lang w:val="en-GB"/>
        </w:rPr>
        <w:t>,</w:t>
      </w:r>
      <w:r w:rsidRPr="005B7F3C">
        <w:rPr>
          <w:lang w:val="en-GB"/>
        </w:rPr>
        <w:t xml:space="preserve"> p. 37.</w:t>
      </w:r>
    </w:p>
  </w:footnote>
  <w:footnote w:id="22">
    <w:p w14:paraId="7DE2850F" w14:textId="0DBDC4F0" w:rsidR="000B5F37" w:rsidRPr="005B7F3C" w:rsidRDefault="000B5F37" w:rsidP="000B5F37">
      <w:pPr>
        <w:pStyle w:val="Funotentext"/>
        <w:rPr>
          <w:lang w:val="en-GB"/>
        </w:rPr>
      </w:pPr>
      <w:r>
        <w:rPr>
          <w:rStyle w:val="Funotenzeichen"/>
        </w:rPr>
        <w:footnoteRef/>
      </w:r>
      <w:r w:rsidRPr="005B7F3C">
        <w:rPr>
          <w:lang w:val="en-GB"/>
        </w:rPr>
        <w:t xml:space="preserve"> </w:t>
      </w:r>
      <w:r w:rsidR="005B7F3C" w:rsidRPr="00714551">
        <w:rPr>
          <w:lang w:val="en-GB"/>
        </w:rPr>
        <w:t xml:space="preserve">Durkheim, </w:t>
      </w:r>
      <w:r w:rsidR="005B7F3C" w:rsidRPr="00714551">
        <w:rPr>
          <w:i/>
          <w:iCs/>
          <w:lang w:val="en-GB"/>
        </w:rPr>
        <w:t>The Elementary Forms</w:t>
      </w:r>
      <w:r w:rsidR="005B7F3C">
        <w:rPr>
          <w:i/>
          <w:iCs/>
          <w:lang w:val="en-GB"/>
        </w:rPr>
        <w:t xml:space="preserve">, </w:t>
      </w:r>
      <w:r w:rsidRPr="005B7F3C">
        <w:rPr>
          <w:lang w:val="en-GB"/>
        </w:rPr>
        <w:t>p. 82</w:t>
      </w:r>
      <w:r w:rsidR="005B7F3C">
        <w:rPr>
          <w:lang w:val="en-GB"/>
        </w:rPr>
        <w:t>.</w:t>
      </w:r>
    </w:p>
  </w:footnote>
  <w:footnote w:id="23">
    <w:p w14:paraId="5D16F1A2" w14:textId="3E5D201C" w:rsidR="00A4470A" w:rsidRPr="00C743C3" w:rsidRDefault="00A4470A" w:rsidP="00A4470A">
      <w:pPr>
        <w:pStyle w:val="Funotentext"/>
        <w:rPr>
          <w:lang w:val="en-GB"/>
        </w:rPr>
      </w:pPr>
      <w:r>
        <w:rPr>
          <w:rStyle w:val="Funotenzeichen"/>
        </w:rPr>
        <w:footnoteRef/>
      </w:r>
      <w:r w:rsidRPr="00C743C3">
        <w:rPr>
          <w:lang w:val="en-GB"/>
        </w:rPr>
        <w:t xml:space="preserve"> Eliade, </w:t>
      </w:r>
      <w:r w:rsidR="00C743C3" w:rsidRPr="00985732">
        <w:rPr>
          <w:i/>
          <w:iCs/>
          <w:lang w:val="en-GB"/>
        </w:rPr>
        <w:t>The Sacred and the Profane</w:t>
      </w:r>
      <w:r w:rsidR="00C743C3">
        <w:rPr>
          <w:i/>
          <w:iCs/>
          <w:lang w:val="en-GB"/>
        </w:rPr>
        <w:t xml:space="preserve">, </w:t>
      </w:r>
      <w:r w:rsidRPr="00C743C3">
        <w:rPr>
          <w:lang w:val="en-GB"/>
        </w:rPr>
        <w:t>p. 11.</w:t>
      </w:r>
    </w:p>
  </w:footnote>
  <w:footnote w:id="24">
    <w:p w14:paraId="6F2FF740" w14:textId="7D808AF5" w:rsidR="00C743C3" w:rsidRPr="00DA1D36" w:rsidRDefault="00A4470A" w:rsidP="00C743C3">
      <w:pPr>
        <w:pStyle w:val="Funotentext"/>
        <w:rPr>
          <w:lang w:val="en-GB"/>
        </w:rPr>
      </w:pPr>
      <w:r>
        <w:rPr>
          <w:rStyle w:val="Funotenzeichen"/>
        </w:rPr>
        <w:footnoteRef/>
      </w:r>
      <w:r w:rsidRPr="00AD14DE">
        <w:rPr>
          <w:lang w:val="en-GB"/>
        </w:rPr>
        <w:t xml:space="preserve"> </w:t>
      </w:r>
      <w:r w:rsidR="00C743C3">
        <w:rPr>
          <w:lang w:val="en-GB"/>
        </w:rPr>
        <w:t xml:space="preserve">Mircea </w:t>
      </w:r>
      <w:r>
        <w:rPr>
          <w:lang w:val="en-GB"/>
        </w:rPr>
        <w:t xml:space="preserve">Eliade, </w:t>
      </w:r>
      <w:r w:rsidR="00C743C3" w:rsidRPr="007F2A73">
        <w:rPr>
          <w:i/>
          <w:iCs/>
          <w:lang w:val="en-GB"/>
        </w:rPr>
        <w:t>The Sacred and the Profane: The Nature of Religion</w:t>
      </w:r>
      <w:r w:rsidR="00C743C3">
        <w:rPr>
          <w:lang w:val="en-GB"/>
        </w:rPr>
        <w:t xml:space="preserve"> (New York: Harcourt, Inc., 1987).</w:t>
      </w:r>
    </w:p>
    <w:p w14:paraId="54696A41" w14:textId="4233C28D" w:rsidR="00A4470A" w:rsidRPr="00AD14DE" w:rsidRDefault="00C743C3" w:rsidP="00A4470A">
      <w:pPr>
        <w:pStyle w:val="Funotentext"/>
        <w:rPr>
          <w:lang w:val="en-GB"/>
        </w:rPr>
      </w:pPr>
      <w:r>
        <w:rPr>
          <w:rStyle w:val="Funotenzeichen"/>
        </w:rPr>
        <w:footnoteRef/>
      </w:r>
      <w:r w:rsidRPr="00485792">
        <w:rPr>
          <w:lang w:val="en-GB"/>
        </w:rPr>
        <w:t xml:space="preserve"> </w:t>
      </w:r>
      <w:r>
        <w:rPr>
          <w:lang w:val="en-GB"/>
        </w:rPr>
        <w:t xml:space="preserve">Eliade, </w:t>
      </w:r>
      <w:r w:rsidRPr="00985732">
        <w:rPr>
          <w:i/>
          <w:iCs/>
          <w:lang w:val="en-GB"/>
        </w:rPr>
        <w:t>The Sacred and the Profane,</w:t>
      </w:r>
      <w:r>
        <w:rPr>
          <w:lang w:val="en-GB"/>
        </w:rPr>
        <w:t xml:space="preserve"> pp. 20-21.</w:t>
      </w:r>
    </w:p>
  </w:footnote>
  <w:footnote w:id="25">
    <w:p w14:paraId="5440BA34" w14:textId="6F5FF902" w:rsidR="00A4470A" w:rsidRPr="00C743C3" w:rsidRDefault="00A4470A" w:rsidP="00A4470A">
      <w:pPr>
        <w:pStyle w:val="Funotentext"/>
        <w:rPr>
          <w:lang w:val="en-GB"/>
        </w:rPr>
      </w:pPr>
      <w:r>
        <w:rPr>
          <w:rStyle w:val="Funotenzeichen"/>
        </w:rPr>
        <w:footnoteRef/>
      </w:r>
      <w:r w:rsidRPr="00C743C3">
        <w:rPr>
          <w:lang w:val="en-GB"/>
        </w:rPr>
        <w:t xml:space="preserve"> </w:t>
      </w:r>
      <w:r w:rsidR="006B1AC3">
        <w:rPr>
          <w:lang w:val="en-GB"/>
        </w:rPr>
        <w:t xml:space="preserve">Mircea </w:t>
      </w:r>
      <w:r w:rsidRPr="006B1AC3">
        <w:rPr>
          <w:lang w:val="en-GB"/>
        </w:rPr>
        <w:t xml:space="preserve">Eliade, </w:t>
      </w:r>
      <w:r w:rsidR="00124862" w:rsidRPr="006B1AC3">
        <w:rPr>
          <w:i/>
          <w:iCs/>
          <w:lang w:val="en-GB"/>
        </w:rPr>
        <w:t>Patterns in Comparative Religion</w:t>
      </w:r>
      <w:r w:rsidR="006B1AC3">
        <w:rPr>
          <w:lang w:val="en-GB"/>
        </w:rPr>
        <w:t xml:space="preserve"> </w:t>
      </w:r>
      <w:r w:rsidR="006B1AC3" w:rsidRPr="0014002A">
        <w:rPr>
          <w:lang w:val="en-GB"/>
        </w:rPr>
        <w:t>(Lincoln</w:t>
      </w:r>
      <w:r w:rsidR="00D82F7F">
        <w:rPr>
          <w:lang w:val="en-GB"/>
        </w:rPr>
        <w:t>/</w:t>
      </w:r>
      <w:r w:rsidR="006B1AC3" w:rsidRPr="0014002A">
        <w:rPr>
          <w:lang w:val="en-GB"/>
        </w:rPr>
        <w:t>London</w:t>
      </w:r>
      <w:r w:rsidR="006B1AC3">
        <w:rPr>
          <w:lang w:val="en-GB"/>
        </w:rPr>
        <w:t>:</w:t>
      </w:r>
      <w:r w:rsidR="006B1AC3" w:rsidRPr="0014002A">
        <w:rPr>
          <w:lang w:val="en-GB"/>
        </w:rPr>
        <w:t xml:space="preserve"> University of Nebraska Press, 1996)</w:t>
      </w:r>
      <w:r w:rsidR="006B1AC3">
        <w:rPr>
          <w:lang w:val="en-GB"/>
        </w:rPr>
        <w:t xml:space="preserve"> </w:t>
      </w:r>
      <w:r w:rsidR="006B1AC3" w:rsidRPr="006B1AC3">
        <w:rPr>
          <w:lang w:val="en-GB"/>
        </w:rPr>
        <w:t>p. 13</w:t>
      </w:r>
      <w:r w:rsidR="006B1AC3">
        <w:rPr>
          <w:lang w:val="en-GB"/>
        </w:rPr>
        <w:t>.</w:t>
      </w:r>
    </w:p>
  </w:footnote>
  <w:footnote w:id="26">
    <w:p w14:paraId="30A54401" w14:textId="1CCD717D" w:rsidR="00A4470A" w:rsidRPr="00C743C3" w:rsidRDefault="00A4470A" w:rsidP="00A4470A">
      <w:pPr>
        <w:pStyle w:val="Funotentext"/>
        <w:rPr>
          <w:lang w:val="en-GB"/>
        </w:rPr>
      </w:pPr>
      <w:r>
        <w:rPr>
          <w:rStyle w:val="Funotenzeichen"/>
        </w:rPr>
        <w:footnoteRef/>
      </w:r>
      <w:r w:rsidRPr="00C743C3">
        <w:rPr>
          <w:lang w:val="en-GB"/>
        </w:rPr>
        <w:t xml:space="preserve"> Hunter, </w:t>
      </w:r>
      <w:bookmarkStart w:id="8" w:name="_Hlk213833732"/>
      <w:r w:rsidR="00C743C3" w:rsidRPr="001D7102">
        <w:rPr>
          <w:i/>
          <w:iCs/>
          <w:lang w:val="en-GB"/>
        </w:rPr>
        <w:t>Sacred Geography,</w:t>
      </w:r>
      <w:r w:rsidR="00C743C3">
        <w:rPr>
          <w:lang w:val="en-GB"/>
        </w:rPr>
        <w:t xml:space="preserve"> </w:t>
      </w:r>
      <w:bookmarkEnd w:id="8"/>
      <w:r w:rsidRPr="00C743C3">
        <w:rPr>
          <w:lang w:val="en-GB"/>
        </w:rPr>
        <w:t>p. 11.</w:t>
      </w:r>
    </w:p>
  </w:footnote>
  <w:footnote w:id="27">
    <w:p w14:paraId="4F2EB148" w14:textId="1688234B" w:rsidR="00A4470A" w:rsidRPr="006424C8" w:rsidRDefault="00A4470A" w:rsidP="00A4470A">
      <w:pPr>
        <w:pStyle w:val="Funotentext"/>
        <w:rPr>
          <w:lang w:val="en-GB"/>
        </w:rPr>
      </w:pPr>
      <w:r>
        <w:rPr>
          <w:rStyle w:val="Funotenzeichen"/>
        </w:rPr>
        <w:footnoteRef/>
      </w:r>
      <w:r w:rsidRPr="006424C8">
        <w:rPr>
          <w:lang w:val="en-GB"/>
        </w:rPr>
        <w:t xml:space="preserve"> Eliade, </w:t>
      </w:r>
      <w:r w:rsidR="00C743C3" w:rsidRPr="00985732">
        <w:rPr>
          <w:i/>
          <w:iCs/>
          <w:lang w:val="en-GB"/>
        </w:rPr>
        <w:t>The Sacred and the Profane</w:t>
      </w:r>
      <w:r w:rsidR="00C743C3">
        <w:rPr>
          <w:i/>
          <w:iCs/>
          <w:lang w:val="en-GB"/>
        </w:rPr>
        <w:t xml:space="preserve">, </w:t>
      </w:r>
      <w:r w:rsidRPr="006424C8">
        <w:rPr>
          <w:lang w:val="en-GB"/>
        </w:rPr>
        <w:t>p</w:t>
      </w:r>
      <w:r>
        <w:rPr>
          <w:lang w:val="en-GB"/>
        </w:rPr>
        <w:t>. 28.</w:t>
      </w:r>
    </w:p>
  </w:footnote>
  <w:footnote w:id="28">
    <w:p w14:paraId="2F163B52" w14:textId="021DF9C9" w:rsidR="000C7968" w:rsidRPr="00950CC6" w:rsidRDefault="000C7968" w:rsidP="000C7968">
      <w:pPr>
        <w:pStyle w:val="Funotentext"/>
        <w:rPr>
          <w:lang w:val="en-GB"/>
        </w:rPr>
      </w:pPr>
      <w:r>
        <w:rPr>
          <w:rStyle w:val="Funotenzeichen"/>
        </w:rPr>
        <w:footnoteRef/>
      </w:r>
      <w:r w:rsidRPr="00950CC6">
        <w:rPr>
          <w:lang w:val="en-GB"/>
        </w:rPr>
        <w:t xml:space="preserve"> Durkheim,</w:t>
      </w:r>
      <w:r w:rsidR="00C743C3">
        <w:rPr>
          <w:lang w:val="en-GB"/>
        </w:rPr>
        <w:t xml:space="preserve"> </w:t>
      </w:r>
      <w:r w:rsidR="00C743C3" w:rsidRPr="00714551">
        <w:rPr>
          <w:i/>
          <w:iCs/>
          <w:lang w:val="en-GB"/>
        </w:rPr>
        <w:t>The Elementary Forms</w:t>
      </w:r>
      <w:r w:rsidR="00C743C3">
        <w:rPr>
          <w:lang w:val="en-GB"/>
        </w:rPr>
        <w:t>,</w:t>
      </w:r>
      <w:r w:rsidR="00C743C3" w:rsidRPr="00C807ED">
        <w:rPr>
          <w:lang w:val="en-GB"/>
        </w:rPr>
        <w:t xml:space="preserve"> </w:t>
      </w:r>
      <w:r w:rsidRPr="00950CC6">
        <w:rPr>
          <w:lang w:val="en-GB"/>
        </w:rPr>
        <w:t>p. 38.</w:t>
      </w:r>
    </w:p>
  </w:footnote>
  <w:footnote w:id="29">
    <w:p w14:paraId="7E1E4A8E" w14:textId="30CC190D" w:rsidR="000B5F37" w:rsidRPr="008800E8" w:rsidRDefault="000B5F37" w:rsidP="000B5F37">
      <w:pPr>
        <w:pStyle w:val="Funotentext"/>
        <w:rPr>
          <w:lang w:val="en-GB"/>
        </w:rPr>
      </w:pPr>
      <w:r>
        <w:rPr>
          <w:rStyle w:val="Funotenzeichen"/>
        </w:rPr>
        <w:footnoteRef/>
      </w:r>
      <w:r w:rsidRPr="008800E8">
        <w:rPr>
          <w:lang w:val="en-GB"/>
        </w:rPr>
        <w:t xml:space="preserve"> Fields, </w:t>
      </w:r>
      <w:r w:rsidR="00C743C3" w:rsidRPr="00714551">
        <w:rPr>
          <w:i/>
          <w:iCs/>
          <w:lang w:val="en-GB"/>
        </w:rPr>
        <w:t>The Elementary Forms</w:t>
      </w:r>
      <w:r w:rsidR="00C743C3">
        <w:rPr>
          <w:lang w:val="en-GB"/>
        </w:rPr>
        <w:t>,</w:t>
      </w:r>
      <w:r w:rsidR="00C743C3" w:rsidRPr="00C807ED">
        <w:rPr>
          <w:lang w:val="en-GB"/>
        </w:rPr>
        <w:t xml:space="preserve"> </w:t>
      </w:r>
      <w:r w:rsidRPr="008800E8">
        <w:rPr>
          <w:lang w:val="en-GB"/>
        </w:rPr>
        <w:t>p.</w:t>
      </w:r>
      <w:r w:rsidR="002A1C6D">
        <w:rPr>
          <w:lang w:val="en-GB"/>
        </w:rPr>
        <w:t xml:space="preserve"> </w:t>
      </w:r>
      <w:r w:rsidRPr="008800E8">
        <w:rPr>
          <w:lang w:val="en-GB"/>
        </w:rPr>
        <w:t>xlvi</w:t>
      </w:r>
      <w:r w:rsidR="00C743C3">
        <w:rPr>
          <w:lang w:val="en-GB"/>
        </w:rPr>
        <w:t>.</w:t>
      </w:r>
    </w:p>
  </w:footnote>
  <w:footnote w:id="30">
    <w:p w14:paraId="04A03D9D" w14:textId="7FBEBAFA" w:rsidR="001257D7" w:rsidRPr="001257D7" w:rsidRDefault="001257D7" w:rsidP="001257D7">
      <w:pPr>
        <w:pStyle w:val="Funotentext"/>
        <w:rPr>
          <w:lang w:val="en-GB"/>
        </w:rPr>
      </w:pPr>
      <w:r>
        <w:rPr>
          <w:rStyle w:val="Funotenzeichen"/>
        </w:rPr>
        <w:footnoteRef/>
      </w:r>
      <w:r w:rsidRPr="001257D7">
        <w:rPr>
          <w:lang w:val="en-GB"/>
        </w:rPr>
        <w:t xml:space="preserve"> Eliade, </w:t>
      </w:r>
      <w:r w:rsidR="00C743C3" w:rsidRPr="00985732">
        <w:rPr>
          <w:i/>
          <w:iCs/>
          <w:lang w:val="en-GB"/>
        </w:rPr>
        <w:t>The Sacred and the Profane</w:t>
      </w:r>
      <w:r w:rsidR="00C743C3">
        <w:rPr>
          <w:i/>
          <w:iCs/>
          <w:lang w:val="en-GB"/>
        </w:rPr>
        <w:t xml:space="preserve">, </w:t>
      </w:r>
      <w:r w:rsidRPr="001257D7">
        <w:rPr>
          <w:lang w:val="en-GB"/>
        </w:rPr>
        <w:t>p. 28.</w:t>
      </w:r>
    </w:p>
  </w:footnote>
  <w:footnote w:id="31">
    <w:p w14:paraId="12686264" w14:textId="5317F4A4" w:rsidR="001257D7" w:rsidRPr="001257D7" w:rsidRDefault="001257D7" w:rsidP="001257D7">
      <w:pPr>
        <w:pStyle w:val="Funotentext"/>
        <w:rPr>
          <w:lang w:val="en-GB"/>
        </w:rPr>
      </w:pPr>
      <w:r>
        <w:rPr>
          <w:rStyle w:val="Funotenzeichen"/>
        </w:rPr>
        <w:footnoteRef/>
      </w:r>
      <w:r w:rsidRPr="001257D7">
        <w:rPr>
          <w:lang w:val="en-GB"/>
        </w:rPr>
        <w:t xml:space="preserve"> Eliade, </w:t>
      </w:r>
      <w:r w:rsidR="00C743C3" w:rsidRPr="00985732">
        <w:rPr>
          <w:i/>
          <w:iCs/>
          <w:lang w:val="en-GB"/>
        </w:rPr>
        <w:t>The Sacred and the Profane</w:t>
      </w:r>
      <w:r w:rsidR="00C743C3">
        <w:rPr>
          <w:i/>
          <w:iCs/>
          <w:lang w:val="en-GB"/>
        </w:rPr>
        <w:t xml:space="preserve">, </w:t>
      </w:r>
      <w:r w:rsidRPr="001257D7">
        <w:rPr>
          <w:lang w:val="en-GB"/>
        </w:rPr>
        <w:t>p. 26.</w:t>
      </w:r>
    </w:p>
  </w:footnote>
  <w:footnote w:id="32">
    <w:p w14:paraId="3B35B321" w14:textId="1D3061D6" w:rsidR="000C7968" w:rsidRPr="00A4470A" w:rsidRDefault="000C7968" w:rsidP="000C7968">
      <w:pPr>
        <w:pStyle w:val="Funotentext"/>
        <w:rPr>
          <w:lang w:val="en-GB"/>
        </w:rPr>
      </w:pPr>
      <w:r>
        <w:rPr>
          <w:rStyle w:val="Funotenzeichen"/>
        </w:rPr>
        <w:footnoteRef/>
      </w:r>
      <w:r w:rsidRPr="00A4470A">
        <w:rPr>
          <w:lang w:val="en-GB"/>
        </w:rPr>
        <w:t xml:space="preserve"> </w:t>
      </w:r>
      <w:r w:rsidRPr="00316409">
        <w:rPr>
          <w:lang w:val="en-GB"/>
        </w:rPr>
        <w:t>Anthony Thorley and Celia M Gunn</w:t>
      </w:r>
      <w:r>
        <w:rPr>
          <w:lang w:val="en-GB"/>
        </w:rPr>
        <w:t xml:space="preserve">, </w:t>
      </w:r>
      <w:r w:rsidR="00A41955">
        <w:rPr>
          <w:lang w:val="en-GB"/>
        </w:rPr>
        <w:t>‘</w:t>
      </w:r>
      <w:r w:rsidRPr="00316409">
        <w:rPr>
          <w:lang w:val="en-GB"/>
        </w:rPr>
        <w:t>Sacred Sites: An Overview</w:t>
      </w:r>
      <w:r w:rsidR="00A41955">
        <w:rPr>
          <w:lang w:val="en-GB"/>
        </w:rPr>
        <w:t>’</w:t>
      </w:r>
      <w:r>
        <w:rPr>
          <w:lang w:val="en-GB"/>
        </w:rPr>
        <w:t xml:space="preserve">, </w:t>
      </w:r>
      <w:r w:rsidRPr="00A41955">
        <w:rPr>
          <w:i/>
          <w:iCs/>
          <w:lang w:val="en-GB"/>
        </w:rPr>
        <w:t>A Report for The Gaia Foundation</w:t>
      </w:r>
      <w:r>
        <w:rPr>
          <w:lang w:val="en-GB"/>
        </w:rPr>
        <w:t xml:space="preserve">, </w:t>
      </w:r>
      <w:r w:rsidR="00A41955">
        <w:rPr>
          <w:lang w:val="en-GB"/>
        </w:rPr>
        <w:t xml:space="preserve">2008, </w:t>
      </w:r>
      <w:r>
        <w:rPr>
          <w:lang w:val="en-GB"/>
        </w:rPr>
        <w:t>p. 8.</w:t>
      </w:r>
      <w:r w:rsidR="00A41955">
        <w:rPr>
          <w:lang w:val="en-GB"/>
        </w:rPr>
        <w:t xml:space="preserve"> &lt;</w:t>
      </w:r>
      <w:r w:rsidR="00A41955" w:rsidRPr="00A41955">
        <w:rPr>
          <w:lang w:val="en-GB"/>
        </w:rPr>
        <w:t>https://www.academia.edu/103607950/Sacred_Sites_An_Overview</w:t>
      </w:r>
      <w:r w:rsidR="00A41955">
        <w:rPr>
          <w:lang w:val="en-GB"/>
        </w:rPr>
        <w:t>&gt;  [accessed 7 October 2025].</w:t>
      </w:r>
    </w:p>
  </w:footnote>
  <w:footnote w:id="33">
    <w:p w14:paraId="1625BD1A" w14:textId="24A70BB7" w:rsidR="000C7968" w:rsidRPr="00790154" w:rsidRDefault="000C7968" w:rsidP="000C7968">
      <w:pPr>
        <w:pStyle w:val="Funotentext"/>
        <w:rPr>
          <w:lang w:val="en-GB"/>
        </w:rPr>
      </w:pPr>
      <w:r>
        <w:rPr>
          <w:rStyle w:val="Funotenzeichen"/>
        </w:rPr>
        <w:footnoteRef/>
      </w:r>
      <w:r w:rsidRPr="00790154">
        <w:rPr>
          <w:lang w:val="en-GB"/>
        </w:rPr>
        <w:t xml:space="preserve"> Durkheim, </w:t>
      </w:r>
      <w:r w:rsidR="00790154" w:rsidRPr="00714551">
        <w:rPr>
          <w:i/>
          <w:iCs/>
          <w:lang w:val="en-GB"/>
        </w:rPr>
        <w:t>The Elementary Forms</w:t>
      </w:r>
      <w:r w:rsidR="00790154">
        <w:rPr>
          <w:lang w:val="en-GB"/>
        </w:rPr>
        <w:t>,</w:t>
      </w:r>
      <w:r w:rsidR="00790154" w:rsidRPr="00C807ED">
        <w:rPr>
          <w:lang w:val="en-GB"/>
        </w:rPr>
        <w:t xml:space="preserve"> </w:t>
      </w:r>
      <w:r w:rsidRPr="00790154">
        <w:rPr>
          <w:lang w:val="en-GB"/>
        </w:rPr>
        <w:t>p. 38.</w:t>
      </w:r>
    </w:p>
  </w:footnote>
  <w:footnote w:id="34">
    <w:p w14:paraId="42875383" w14:textId="24A67BCD" w:rsidR="003E6C52" w:rsidRPr="00790154" w:rsidRDefault="003E6C52" w:rsidP="003E6C52">
      <w:pPr>
        <w:pStyle w:val="Funotentext"/>
        <w:rPr>
          <w:lang w:val="en-GB"/>
        </w:rPr>
      </w:pPr>
      <w:r>
        <w:rPr>
          <w:rStyle w:val="Funotenzeichen"/>
        </w:rPr>
        <w:footnoteRef/>
      </w:r>
      <w:r w:rsidRPr="00790154">
        <w:rPr>
          <w:lang w:val="en-GB"/>
        </w:rPr>
        <w:t xml:space="preserve"> Durkheim, </w:t>
      </w:r>
      <w:r w:rsidR="00790154" w:rsidRPr="00714551">
        <w:rPr>
          <w:i/>
          <w:iCs/>
          <w:lang w:val="en-GB"/>
        </w:rPr>
        <w:t>The Elementary Forms</w:t>
      </w:r>
      <w:r w:rsidR="00790154">
        <w:rPr>
          <w:lang w:val="en-GB"/>
        </w:rPr>
        <w:t>,</w:t>
      </w:r>
      <w:r w:rsidRPr="00790154">
        <w:rPr>
          <w:lang w:val="en-GB"/>
        </w:rPr>
        <w:t xml:space="preserve"> p. 208.</w:t>
      </w:r>
    </w:p>
  </w:footnote>
  <w:footnote w:id="35">
    <w:p w14:paraId="004629DC" w14:textId="01096E33" w:rsidR="00545EC5" w:rsidRPr="008800E8" w:rsidRDefault="00545EC5" w:rsidP="00545EC5">
      <w:pPr>
        <w:pStyle w:val="Funotentext"/>
        <w:rPr>
          <w:lang w:val="en-GB"/>
        </w:rPr>
      </w:pPr>
      <w:r>
        <w:rPr>
          <w:rStyle w:val="Funotenzeichen"/>
        </w:rPr>
        <w:footnoteRef/>
      </w:r>
      <w:r w:rsidRPr="008800E8">
        <w:rPr>
          <w:lang w:val="en-GB"/>
        </w:rPr>
        <w:t xml:space="preserve"> Eliade, </w:t>
      </w:r>
      <w:r w:rsidR="00C743C3" w:rsidRPr="00985732">
        <w:rPr>
          <w:i/>
          <w:iCs/>
          <w:lang w:val="en-GB"/>
        </w:rPr>
        <w:t>The Sacred and the Profane</w:t>
      </w:r>
      <w:r w:rsidR="00C743C3">
        <w:rPr>
          <w:i/>
          <w:iCs/>
          <w:lang w:val="en-GB"/>
        </w:rPr>
        <w:t xml:space="preserve">, </w:t>
      </w:r>
      <w:r w:rsidRPr="008800E8">
        <w:rPr>
          <w:lang w:val="en-GB"/>
        </w:rPr>
        <w:t>p. 47.</w:t>
      </w:r>
    </w:p>
  </w:footnote>
  <w:footnote w:id="36">
    <w:p w14:paraId="1EC08503" w14:textId="61D54B74" w:rsidR="00545EC5" w:rsidRPr="00C43D87" w:rsidRDefault="00545EC5" w:rsidP="00545EC5">
      <w:pPr>
        <w:pStyle w:val="Funotentext"/>
        <w:rPr>
          <w:lang w:val="en-GB"/>
        </w:rPr>
      </w:pPr>
      <w:r>
        <w:rPr>
          <w:rStyle w:val="Funotenzeichen"/>
        </w:rPr>
        <w:footnoteRef/>
      </w:r>
      <w:r w:rsidRPr="00C43D87">
        <w:rPr>
          <w:lang w:val="en-GB"/>
        </w:rPr>
        <w:t xml:space="preserve"> </w:t>
      </w:r>
      <w:r>
        <w:rPr>
          <w:lang w:val="en-GB"/>
        </w:rPr>
        <w:t xml:space="preserve">Eliade, </w:t>
      </w:r>
      <w:r w:rsidR="00C743C3" w:rsidRPr="00985732">
        <w:rPr>
          <w:i/>
          <w:iCs/>
          <w:lang w:val="en-GB"/>
        </w:rPr>
        <w:t>The Sacred and the Profane</w:t>
      </w:r>
      <w:r w:rsidR="00C743C3">
        <w:rPr>
          <w:i/>
          <w:iCs/>
          <w:lang w:val="en-GB"/>
        </w:rPr>
        <w:t xml:space="preserve">, </w:t>
      </w:r>
      <w:r>
        <w:rPr>
          <w:lang w:val="en-GB"/>
        </w:rPr>
        <w:t>pp. 21 and 63.</w:t>
      </w:r>
    </w:p>
  </w:footnote>
  <w:footnote w:id="37">
    <w:p w14:paraId="5ABB7E62" w14:textId="4EBC926F" w:rsidR="00545EC5" w:rsidRPr="00FF1C64" w:rsidRDefault="00545EC5" w:rsidP="00545EC5">
      <w:pPr>
        <w:pStyle w:val="Funotentext"/>
        <w:rPr>
          <w:lang w:val="en-GB"/>
        </w:rPr>
      </w:pPr>
      <w:r>
        <w:rPr>
          <w:rStyle w:val="Funotenzeichen"/>
        </w:rPr>
        <w:footnoteRef/>
      </w:r>
      <w:r w:rsidRPr="00FF1C64">
        <w:rPr>
          <w:lang w:val="en-GB"/>
        </w:rPr>
        <w:t xml:space="preserve"> Eliade, </w:t>
      </w:r>
      <w:r w:rsidR="00C743C3" w:rsidRPr="00985732">
        <w:rPr>
          <w:i/>
          <w:iCs/>
          <w:lang w:val="en-GB"/>
        </w:rPr>
        <w:t>The Sacred and the Profane</w:t>
      </w:r>
      <w:r w:rsidR="00C743C3">
        <w:rPr>
          <w:i/>
          <w:iCs/>
          <w:lang w:val="en-GB"/>
        </w:rPr>
        <w:t xml:space="preserve">, </w:t>
      </w:r>
      <w:r w:rsidRPr="00FF1C64">
        <w:rPr>
          <w:lang w:val="en-GB"/>
        </w:rPr>
        <w:t>p. 63.</w:t>
      </w:r>
    </w:p>
  </w:footnote>
  <w:footnote w:id="38">
    <w:p w14:paraId="6CA70F8E" w14:textId="334A83D7" w:rsidR="00545EC5" w:rsidRPr="003F4F33" w:rsidRDefault="00545EC5" w:rsidP="00545EC5">
      <w:pPr>
        <w:pStyle w:val="Funotentext"/>
        <w:rPr>
          <w:lang w:val="en-GB"/>
        </w:rPr>
      </w:pPr>
      <w:r>
        <w:rPr>
          <w:rStyle w:val="Funotenzeichen"/>
        </w:rPr>
        <w:footnoteRef/>
      </w:r>
      <w:r w:rsidRPr="003F4F33">
        <w:rPr>
          <w:lang w:val="en-GB"/>
        </w:rPr>
        <w:t xml:space="preserve"> </w:t>
      </w:r>
      <w:r>
        <w:rPr>
          <w:lang w:val="en-GB"/>
        </w:rPr>
        <w:t xml:space="preserve">Eliade, </w:t>
      </w:r>
      <w:r w:rsidRPr="003F4F33">
        <w:rPr>
          <w:i/>
          <w:iCs/>
          <w:lang w:val="en-GB"/>
        </w:rPr>
        <w:t>The Sacred and the Profane,</w:t>
      </w:r>
      <w:r>
        <w:rPr>
          <w:lang w:val="en-GB"/>
        </w:rPr>
        <w:t xml:space="preserve"> p. 21.</w:t>
      </w:r>
    </w:p>
  </w:footnote>
  <w:footnote w:id="39">
    <w:p w14:paraId="600C9B04" w14:textId="30C9CB8F" w:rsidR="00545EC5" w:rsidRPr="000B79C7" w:rsidRDefault="00545EC5" w:rsidP="00545EC5">
      <w:pPr>
        <w:pStyle w:val="Funotentext"/>
        <w:rPr>
          <w:lang w:val="en-GB"/>
        </w:rPr>
      </w:pPr>
      <w:r>
        <w:rPr>
          <w:rStyle w:val="Funotenzeichen"/>
        </w:rPr>
        <w:footnoteRef/>
      </w:r>
      <w:r w:rsidRPr="000B79C7">
        <w:rPr>
          <w:lang w:val="en-GB"/>
        </w:rPr>
        <w:t xml:space="preserve"> </w:t>
      </w:r>
      <w:r w:rsidR="00877DF5">
        <w:rPr>
          <w:lang w:val="en-GB"/>
        </w:rPr>
        <w:t xml:space="preserve">Bernadette </w:t>
      </w:r>
      <w:r w:rsidRPr="000B79C7">
        <w:rPr>
          <w:lang w:val="en-GB"/>
        </w:rPr>
        <w:t xml:space="preserve">Brady, </w:t>
      </w:r>
      <w:r w:rsidR="00877DF5">
        <w:rPr>
          <w:lang w:val="en-GB"/>
        </w:rPr>
        <w:t>‘</w:t>
      </w:r>
      <w:r w:rsidR="00877DF5" w:rsidRPr="00F24DB4">
        <w:rPr>
          <w:lang w:val="en-GB"/>
        </w:rPr>
        <w:t xml:space="preserve">Introduction Part </w:t>
      </w:r>
      <w:r w:rsidR="00877DF5">
        <w:rPr>
          <w:lang w:val="en-GB"/>
        </w:rPr>
        <w:t xml:space="preserve">I’, </w:t>
      </w:r>
      <w:r w:rsidR="00877DF5" w:rsidRPr="00F24DB4">
        <w:rPr>
          <w:i/>
          <w:iCs/>
          <w:lang w:val="en-GB"/>
        </w:rPr>
        <w:t xml:space="preserve">Sacred Geography: </w:t>
      </w:r>
      <w:r w:rsidR="00877DF5">
        <w:rPr>
          <w:i/>
          <w:iCs/>
          <w:lang w:val="en-GB"/>
        </w:rPr>
        <w:t>Conversations</w:t>
      </w:r>
      <w:r w:rsidR="00877DF5" w:rsidRPr="00F24DB4">
        <w:rPr>
          <w:i/>
          <w:iCs/>
          <w:lang w:val="en-GB"/>
        </w:rPr>
        <w:t xml:space="preserve"> With The Other</w:t>
      </w:r>
      <w:r w:rsidR="00877DF5">
        <w:rPr>
          <w:lang w:val="en-GB"/>
        </w:rPr>
        <w:t xml:space="preserve">, (Ceredigion, Wales: Sophia Center Press, 2024), </w:t>
      </w:r>
      <w:r w:rsidRPr="000B79C7">
        <w:rPr>
          <w:lang w:val="en-GB"/>
        </w:rPr>
        <w:t>p. 5.</w:t>
      </w:r>
    </w:p>
  </w:footnote>
  <w:footnote w:id="40">
    <w:p w14:paraId="2108F3EA" w14:textId="52E4DAED" w:rsidR="00A37117" w:rsidRPr="00A37117" w:rsidRDefault="00A37117">
      <w:pPr>
        <w:pStyle w:val="Funotentext"/>
        <w:rPr>
          <w:lang w:val="en-GB"/>
        </w:rPr>
      </w:pPr>
      <w:r>
        <w:rPr>
          <w:rStyle w:val="Funotenzeichen"/>
        </w:rPr>
        <w:footnoteRef/>
      </w:r>
      <w:r w:rsidRPr="00A37117">
        <w:rPr>
          <w:lang w:val="en-GB"/>
        </w:rPr>
        <w:t xml:space="preserve"> Eliade,</w:t>
      </w:r>
      <w:r w:rsidR="00C743C3">
        <w:rPr>
          <w:lang w:val="en-GB"/>
        </w:rPr>
        <w:t xml:space="preserve"> </w:t>
      </w:r>
      <w:r w:rsidR="00C743C3" w:rsidRPr="00985732">
        <w:rPr>
          <w:i/>
          <w:iCs/>
          <w:lang w:val="en-GB"/>
        </w:rPr>
        <w:t>The Sacred and the Profane</w:t>
      </w:r>
      <w:r w:rsidR="00C743C3">
        <w:rPr>
          <w:i/>
          <w:iCs/>
          <w:lang w:val="en-GB"/>
        </w:rPr>
        <w:t>,</w:t>
      </w:r>
      <w:r w:rsidRPr="00A37117">
        <w:rPr>
          <w:lang w:val="en-GB"/>
        </w:rPr>
        <w:t xml:space="preserve"> p</w:t>
      </w:r>
      <w:r>
        <w:rPr>
          <w:lang w:val="en-GB"/>
        </w:rPr>
        <w:t>. 64.</w:t>
      </w:r>
    </w:p>
  </w:footnote>
  <w:footnote w:id="41">
    <w:p w14:paraId="7B880A41" w14:textId="7A2DC79B" w:rsidR="00EC7D78" w:rsidRPr="00BC6901" w:rsidRDefault="00EC7D78" w:rsidP="00EC7D78">
      <w:pPr>
        <w:pStyle w:val="Funotentext"/>
        <w:rPr>
          <w:lang w:val="en-GB"/>
        </w:rPr>
      </w:pPr>
      <w:r>
        <w:rPr>
          <w:rStyle w:val="Funotenzeichen"/>
        </w:rPr>
        <w:footnoteRef/>
      </w:r>
      <w:r w:rsidRPr="00BC6901">
        <w:rPr>
          <w:lang w:val="en-GB"/>
        </w:rPr>
        <w:t xml:space="preserve"> </w:t>
      </w:r>
      <w:r>
        <w:rPr>
          <w:lang w:val="en-GB"/>
        </w:rPr>
        <w:t xml:space="preserve">Aristotle, </w:t>
      </w:r>
      <w:r w:rsidR="00DC297C" w:rsidRPr="00C75E2E">
        <w:rPr>
          <w:i/>
          <w:iCs/>
          <w:lang w:val="en-GB"/>
        </w:rPr>
        <w:t xml:space="preserve">Physics </w:t>
      </w:r>
      <w:r w:rsidR="00DC297C" w:rsidRPr="00DC297C">
        <w:rPr>
          <w:lang w:val="en-GB"/>
        </w:rPr>
        <w:t>20</w:t>
      </w:r>
      <w:r w:rsidR="00DC297C">
        <w:rPr>
          <w:lang w:val="en-GB"/>
        </w:rPr>
        <w:t>6a</w:t>
      </w:r>
      <w:r w:rsidR="00C75E2E">
        <w:rPr>
          <w:lang w:val="en-GB"/>
        </w:rPr>
        <w:t>36-39</w:t>
      </w:r>
    </w:p>
  </w:footnote>
  <w:footnote w:id="42">
    <w:p w14:paraId="4FD3D5B4" w14:textId="2213BC94" w:rsidR="00545EC5" w:rsidRPr="00AF36D9" w:rsidRDefault="00545EC5" w:rsidP="00545EC5">
      <w:pPr>
        <w:pStyle w:val="Funotentext"/>
        <w:rPr>
          <w:lang w:val="en-GB"/>
        </w:rPr>
      </w:pPr>
      <w:r>
        <w:rPr>
          <w:rStyle w:val="Funotenzeichen"/>
        </w:rPr>
        <w:footnoteRef/>
      </w:r>
      <w:r w:rsidRPr="00AF36D9">
        <w:rPr>
          <w:lang w:val="en-GB"/>
        </w:rPr>
        <w:t xml:space="preserve"> Brady, </w:t>
      </w:r>
      <w:r w:rsidRPr="002A1C6D">
        <w:rPr>
          <w:i/>
          <w:iCs/>
          <w:lang w:val="en-GB"/>
        </w:rPr>
        <w:t>Sacred Geography</w:t>
      </w:r>
      <w:r>
        <w:rPr>
          <w:lang w:val="en-GB"/>
        </w:rPr>
        <w:t>, p.</w:t>
      </w:r>
      <w:r w:rsidR="00AD0173">
        <w:rPr>
          <w:lang w:val="en-GB"/>
        </w:rPr>
        <w:t xml:space="preserve"> 4.</w:t>
      </w:r>
    </w:p>
  </w:footnote>
  <w:footnote w:id="43">
    <w:p w14:paraId="48820F5D" w14:textId="4B7B5B5A" w:rsidR="0046041B" w:rsidRPr="0046041B" w:rsidRDefault="0046041B">
      <w:pPr>
        <w:pStyle w:val="Funotentext"/>
        <w:rPr>
          <w:lang w:val="en-GB"/>
        </w:rPr>
      </w:pPr>
      <w:r>
        <w:rPr>
          <w:rStyle w:val="Funotenzeichen"/>
        </w:rPr>
        <w:footnoteRef/>
      </w:r>
      <w:r w:rsidRPr="0046041B">
        <w:rPr>
          <w:lang w:val="en-GB"/>
        </w:rPr>
        <w:t xml:space="preserve"> </w:t>
      </w:r>
      <w:r w:rsidRPr="00AD14DE">
        <w:rPr>
          <w:lang w:val="en-GB"/>
        </w:rPr>
        <w:t xml:space="preserve">Amy Whitehead, </w:t>
      </w:r>
      <w:r w:rsidR="00374BCB">
        <w:rPr>
          <w:lang w:val="en-GB"/>
        </w:rPr>
        <w:t>‘</w:t>
      </w:r>
      <w:r w:rsidR="00374BCB" w:rsidRPr="00374BCB">
        <w:rPr>
          <w:lang w:val="en-GB"/>
        </w:rPr>
        <w:t>Relationships, Relating, Relationality</w:t>
      </w:r>
      <w:r w:rsidR="00374BCB">
        <w:rPr>
          <w:lang w:val="en-GB"/>
        </w:rPr>
        <w:t>’</w:t>
      </w:r>
      <w:r w:rsidR="00374BCB" w:rsidRPr="00374BCB">
        <w:rPr>
          <w:i/>
          <w:iCs/>
          <w:lang w:val="en-GB"/>
        </w:rPr>
        <w:t>, Religious Statues and Personhood: Testing the Role of Materiality</w:t>
      </w:r>
      <w:r w:rsidR="00FE74A1">
        <w:rPr>
          <w:lang w:val="en-GB"/>
        </w:rPr>
        <w:t xml:space="preserve"> </w:t>
      </w:r>
      <w:r w:rsidR="00374BCB">
        <w:rPr>
          <w:lang w:val="en-GB"/>
        </w:rPr>
        <w:t>(</w:t>
      </w:r>
      <w:r w:rsidR="00374BCB" w:rsidRPr="00374BCB">
        <w:rPr>
          <w:lang w:val="en-GB"/>
        </w:rPr>
        <w:t>London: Bloomsbury</w:t>
      </w:r>
      <w:r w:rsidR="00374BCB">
        <w:rPr>
          <w:lang w:val="en-GB"/>
        </w:rPr>
        <w:t xml:space="preserve">, </w:t>
      </w:r>
      <w:r w:rsidR="00374BCB" w:rsidRPr="00374BCB">
        <w:rPr>
          <w:lang w:val="en-GB"/>
        </w:rPr>
        <w:t>2013</w:t>
      </w:r>
      <w:r w:rsidR="00374BCB">
        <w:rPr>
          <w:lang w:val="en-GB"/>
        </w:rPr>
        <w:t xml:space="preserve">), </w:t>
      </w:r>
      <w:r w:rsidRPr="00AD14DE">
        <w:rPr>
          <w:lang w:val="en-GB"/>
        </w:rPr>
        <w:t>p</w:t>
      </w:r>
      <w:r>
        <w:rPr>
          <w:lang w:val="en-GB"/>
        </w:rPr>
        <w:t>. 7.</w:t>
      </w:r>
    </w:p>
  </w:footnote>
  <w:footnote w:id="44">
    <w:p w14:paraId="0C4E8917" w14:textId="77777777" w:rsidR="004600B1" w:rsidRPr="000D2130" w:rsidRDefault="004600B1" w:rsidP="004600B1">
      <w:pPr>
        <w:pStyle w:val="Funotentext"/>
        <w:rPr>
          <w:lang w:val="en-GB"/>
        </w:rPr>
      </w:pPr>
      <w:r>
        <w:rPr>
          <w:rStyle w:val="Funotenzeichen"/>
        </w:rPr>
        <w:footnoteRef/>
      </w:r>
      <w:r w:rsidRPr="000D2130">
        <w:rPr>
          <w:lang w:val="en-GB"/>
        </w:rPr>
        <w:t xml:space="preserve"> </w:t>
      </w:r>
      <w:r w:rsidRPr="00530D0A">
        <w:rPr>
          <w:lang w:val="en-GB"/>
        </w:rPr>
        <w:t>Field</w:t>
      </w:r>
      <w:r>
        <w:rPr>
          <w:lang w:val="en-GB"/>
        </w:rPr>
        <w:t>s</w:t>
      </w:r>
      <w:r w:rsidRPr="00530D0A">
        <w:rPr>
          <w:lang w:val="en-GB"/>
        </w:rPr>
        <w:t xml:space="preserve">, </w:t>
      </w:r>
      <w:r w:rsidRPr="00714551">
        <w:rPr>
          <w:i/>
          <w:iCs/>
          <w:lang w:val="en-GB"/>
        </w:rPr>
        <w:t>The Elementary Forms</w:t>
      </w:r>
      <w:r>
        <w:rPr>
          <w:lang w:val="en-GB"/>
        </w:rPr>
        <w:t>,</w:t>
      </w:r>
      <w:r w:rsidRPr="00C807ED">
        <w:rPr>
          <w:lang w:val="en-GB"/>
        </w:rPr>
        <w:t xml:space="preserve"> </w:t>
      </w:r>
      <w:r w:rsidRPr="00530D0A">
        <w:rPr>
          <w:lang w:val="en-GB"/>
        </w:rPr>
        <w:t>p. xlii</w:t>
      </w:r>
      <w:r>
        <w:rPr>
          <w:lang w:val="en-GB"/>
        </w:rPr>
        <w:t>.</w:t>
      </w:r>
    </w:p>
  </w:footnote>
  <w:footnote w:id="45">
    <w:p w14:paraId="3BEDE297" w14:textId="77777777" w:rsidR="004600B1" w:rsidRPr="00C743C3" w:rsidRDefault="004600B1" w:rsidP="004600B1">
      <w:pPr>
        <w:pStyle w:val="Funotentext"/>
        <w:rPr>
          <w:lang w:val="en-GB"/>
        </w:rPr>
      </w:pPr>
      <w:r>
        <w:rPr>
          <w:rStyle w:val="Funotenzeichen"/>
        </w:rPr>
        <w:footnoteRef/>
      </w:r>
      <w:r w:rsidRPr="00C743C3">
        <w:rPr>
          <w:lang w:val="en-GB"/>
        </w:rPr>
        <w:t xml:space="preserve"> Eliade, </w:t>
      </w:r>
      <w:r w:rsidRPr="00985732">
        <w:rPr>
          <w:i/>
          <w:iCs/>
          <w:lang w:val="en-GB"/>
        </w:rPr>
        <w:t>The Sacred and the Profane</w:t>
      </w:r>
      <w:r>
        <w:rPr>
          <w:i/>
          <w:iCs/>
          <w:lang w:val="en-GB"/>
        </w:rPr>
        <w:t xml:space="preserve">, </w:t>
      </w:r>
      <w:r w:rsidRPr="00C743C3">
        <w:rPr>
          <w:lang w:val="en-GB"/>
        </w:rPr>
        <w:t>p. 63.</w:t>
      </w:r>
    </w:p>
  </w:footnote>
  <w:footnote w:id="46">
    <w:p w14:paraId="7595E465" w14:textId="35D2F423" w:rsidR="00782C49" w:rsidRPr="00782C49" w:rsidRDefault="00782C49">
      <w:pPr>
        <w:pStyle w:val="Funotentext"/>
        <w:rPr>
          <w:lang w:val="en-GB"/>
        </w:rPr>
      </w:pPr>
      <w:r>
        <w:rPr>
          <w:rStyle w:val="Funotenzeichen"/>
        </w:rPr>
        <w:footnoteRef/>
      </w:r>
      <w:r w:rsidRPr="00782C49">
        <w:rPr>
          <w:lang w:val="en-GB"/>
        </w:rPr>
        <w:t xml:space="preserve"> Eliad</w:t>
      </w:r>
      <w:r>
        <w:rPr>
          <w:lang w:val="en-GB"/>
        </w:rPr>
        <w:t xml:space="preserve">e, </w:t>
      </w:r>
      <w:r w:rsidR="00C743C3" w:rsidRPr="00985732">
        <w:rPr>
          <w:i/>
          <w:iCs/>
          <w:lang w:val="en-GB"/>
        </w:rPr>
        <w:t>The Sacred and the Profane</w:t>
      </w:r>
      <w:r w:rsidR="00C743C3">
        <w:rPr>
          <w:i/>
          <w:iCs/>
          <w:lang w:val="en-GB"/>
        </w:rPr>
        <w:t xml:space="preserve">, </w:t>
      </w:r>
      <w:r>
        <w:rPr>
          <w:lang w:val="en-GB"/>
        </w:rPr>
        <w:t>p. 20.</w:t>
      </w:r>
    </w:p>
  </w:footnote>
  <w:footnote w:id="47">
    <w:p w14:paraId="5AC2C112" w14:textId="0286DAC1" w:rsidR="00BA615F" w:rsidRPr="00545EC5" w:rsidRDefault="00BA615F" w:rsidP="00BA615F">
      <w:pPr>
        <w:pStyle w:val="Funotentext"/>
        <w:rPr>
          <w:lang w:val="en-GB"/>
        </w:rPr>
      </w:pPr>
      <w:r>
        <w:rPr>
          <w:rStyle w:val="Funotenzeichen"/>
        </w:rPr>
        <w:footnoteRef/>
      </w:r>
      <w:r w:rsidRPr="00545EC5">
        <w:rPr>
          <w:lang w:val="en-GB"/>
        </w:rPr>
        <w:t xml:space="preserve"> </w:t>
      </w:r>
      <w:r w:rsidR="0099731F" w:rsidRPr="0099731F">
        <w:rPr>
          <w:lang w:val="en-GB"/>
        </w:rPr>
        <w:t>Robert</w:t>
      </w:r>
      <w:r w:rsidR="0099731F">
        <w:rPr>
          <w:lang w:val="en-GB"/>
        </w:rPr>
        <w:t xml:space="preserve"> Prus</w:t>
      </w:r>
      <w:r w:rsidR="0099731F" w:rsidRPr="0099731F">
        <w:rPr>
          <w:lang w:val="en-GB"/>
        </w:rPr>
        <w:t xml:space="preserve">, </w:t>
      </w:r>
      <w:r w:rsidR="005E130D">
        <w:rPr>
          <w:lang w:val="en-GB"/>
        </w:rPr>
        <w:t>‘</w:t>
      </w:r>
      <w:r w:rsidR="0099731F" w:rsidRPr="0099731F">
        <w:rPr>
          <w:lang w:val="en-GB"/>
        </w:rPr>
        <w:t>Reconceptualizing the Study of Community Life: Emile Durkheim’s Pragmatism and Sociology</w:t>
      </w:r>
      <w:r w:rsidR="005E130D">
        <w:rPr>
          <w:lang w:val="en-GB"/>
        </w:rPr>
        <w:t>’</w:t>
      </w:r>
      <w:r w:rsidR="00814D0C">
        <w:rPr>
          <w:lang w:val="en-GB"/>
        </w:rPr>
        <w:t xml:space="preserve">, </w:t>
      </w:r>
      <w:r w:rsidR="00814D0C" w:rsidRPr="00814D0C">
        <w:rPr>
          <w:i/>
          <w:iCs/>
          <w:lang w:val="en-GB"/>
        </w:rPr>
        <w:t>The American Sociologist</w:t>
      </w:r>
      <w:r w:rsidR="00814D0C">
        <w:rPr>
          <w:lang w:val="en-GB"/>
        </w:rPr>
        <w:t xml:space="preserve"> </w:t>
      </w:r>
      <w:r w:rsidR="005E130D">
        <w:rPr>
          <w:lang w:val="en-GB"/>
        </w:rPr>
        <w:t>(</w:t>
      </w:r>
      <w:r w:rsidR="005E130D" w:rsidRPr="005E130D">
        <w:rPr>
          <w:lang w:val="en-GB"/>
        </w:rPr>
        <w:t>Springer Science + Business Media, LLC 16 April 2009</w:t>
      </w:r>
      <w:r w:rsidR="005E130D">
        <w:rPr>
          <w:lang w:val="en-GB"/>
        </w:rPr>
        <w:t>), 106-146 (</w:t>
      </w:r>
      <w:r w:rsidR="0099731F" w:rsidRPr="0099731F">
        <w:rPr>
          <w:lang w:val="en-GB"/>
        </w:rPr>
        <w:t>p. 120</w:t>
      </w:r>
      <w:r w:rsidR="005E130D">
        <w:rPr>
          <w:lang w:val="en-GB"/>
        </w:rPr>
        <w:t xml:space="preserve">) </w:t>
      </w:r>
      <w:r w:rsidR="00814D0C">
        <w:rPr>
          <w:lang w:val="en-GB"/>
        </w:rPr>
        <w:br/>
      </w:r>
      <w:r w:rsidR="005E130D">
        <w:rPr>
          <w:lang w:val="en-GB"/>
        </w:rPr>
        <w:t>&lt;</w:t>
      </w:r>
      <w:r w:rsidR="005E130D" w:rsidRPr="005E130D">
        <w:rPr>
          <w:lang w:val="en-GB"/>
        </w:rPr>
        <w:t>DOI 10.1007/s12108-009-9066-1</w:t>
      </w:r>
      <w:r w:rsidR="005E130D">
        <w:rPr>
          <w:lang w:val="en-GB"/>
        </w:rPr>
        <w:t>&gt;</w:t>
      </w:r>
    </w:p>
  </w:footnote>
  <w:footnote w:id="48">
    <w:p w14:paraId="2BB0BBF6" w14:textId="78ECA88B" w:rsidR="00417C13" w:rsidRPr="00FD587E" w:rsidRDefault="00417C13" w:rsidP="00417C13">
      <w:pPr>
        <w:pStyle w:val="Funotentext"/>
        <w:rPr>
          <w:lang w:val="en-GB"/>
        </w:rPr>
      </w:pPr>
      <w:r>
        <w:rPr>
          <w:rStyle w:val="Funotenzeichen"/>
        </w:rPr>
        <w:footnoteRef/>
      </w:r>
      <w:r w:rsidRPr="00FD587E">
        <w:rPr>
          <w:lang w:val="en-GB"/>
        </w:rPr>
        <w:t xml:space="preserve"> </w:t>
      </w:r>
      <w:r>
        <w:rPr>
          <w:lang w:val="en-GB"/>
        </w:rPr>
        <w:t xml:space="preserve">Eliade, </w:t>
      </w:r>
      <w:r w:rsidR="00C743C3" w:rsidRPr="00985732">
        <w:rPr>
          <w:i/>
          <w:iCs/>
          <w:lang w:val="en-GB"/>
        </w:rPr>
        <w:t>The Sacred and the Profane</w:t>
      </w:r>
      <w:r w:rsidR="00C743C3">
        <w:rPr>
          <w:i/>
          <w:iCs/>
          <w:lang w:val="en-GB"/>
        </w:rPr>
        <w:t xml:space="preserve">, </w:t>
      </w:r>
      <w:r>
        <w:rPr>
          <w:lang w:val="en-GB"/>
        </w:rPr>
        <w:t>p. 13.</w:t>
      </w:r>
    </w:p>
  </w:footnote>
  <w:footnote w:id="49">
    <w:p w14:paraId="39E30A73" w14:textId="77777777" w:rsidR="00613AAB" w:rsidRPr="00C240D3" w:rsidRDefault="00613AAB" w:rsidP="00613AAB">
      <w:pPr>
        <w:pStyle w:val="Funotentext"/>
        <w:rPr>
          <w:lang w:val="en-GB"/>
        </w:rPr>
      </w:pPr>
      <w:r>
        <w:rPr>
          <w:rStyle w:val="Funotenzeichen"/>
        </w:rPr>
        <w:footnoteRef/>
      </w:r>
      <w:r w:rsidRPr="00C240D3">
        <w:rPr>
          <w:lang w:val="en-GB"/>
        </w:rPr>
        <w:t xml:space="preserve"> </w:t>
      </w:r>
      <w:r>
        <w:rPr>
          <w:lang w:val="en-GB"/>
        </w:rPr>
        <w:t xml:space="preserve">Eliade, </w:t>
      </w:r>
      <w:r w:rsidRPr="00985732">
        <w:rPr>
          <w:i/>
          <w:iCs/>
          <w:lang w:val="en-GB"/>
        </w:rPr>
        <w:t>The Sacred and the Profane</w:t>
      </w:r>
      <w:r>
        <w:rPr>
          <w:i/>
          <w:iCs/>
          <w:lang w:val="en-GB"/>
        </w:rPr>
        <w:t xml:space="preserve">, </w:t>
      </w:r>
      <w:r>
        <w:rPr>
          <w:lang w:val="en-GB"/>
        </w:rPr>
        <w:t>p. 64.</w:t>
      </w:r>
    </w:p>
  </w:footnote>
  <w:footnote w:id="50">
    <w:p w14:paraId="63F7C87D" w14:textId="7A854892" w:rsidR="00572550" w:rsidRPr="00710331" w:rsidRDefault="00572550" w:rsidP="00572550">
      <w:pPr>
        <w:pStyle w:val="Funotentext"/>
        <w:rPr>
          <w:lang w:val="en-GB"/>
        </w:rPr>
      </w:pPr>
      <w:r>
        <w:rPr>
          <w:rStyle w:val="Funotenzeichen"/>
        </w:rPr>
        <w:footnoteRef/>
      </w:r>
      <w:r w:rsidRPr="00710331">
        <w:rPr>
          <w:lang w:val="en-GB"/>
        </w:rPr>
        <w:t xml:space="preserve"> Prus, </w:t>
      </w:r>
      <w:r w:rsidRPr="00814D0C">
        <w:rPr>
          <w:i/>
          <w:iCs/>
          <w:lang w:val="en-GB"/>
        </w:rPr>
        <w:t>Reconceptualizing</w:t>
      </w:r>
      <w:r w:rsidR="00814D0C">
        <w:rPr>
          <w:lang w:val="en-GB"/>
        </w:rPr>
        <w:t>,</w:t>
      </w:r>
      <w:r>
        <w:rPr>
          <w:lang w:val="en-GB"/>
        </w:rPr>
        <w:t xml:space="preserve"> p. 120.</w:t>
      </w:r>
    </w:p>
  </w:footnote>
  <w:footnote w:id="51">
    <w:p w14:paraId="586C2F5E" w14:textId="4F3E34A9" w:rsidR="00C807ED" w:rsidRPr="00530D0A" w:rsidRDefault="00C807ED" w:rsidP="00C807ED">
      <w:pPr>
        <w:pStyle w:val="Funotentext"/>
        <w:rPr>
          <w:lang w:val="en-GB"/>
        </w:rPr>
      </w:pPr>
      <w:r>
        <w:rPr>
          <w:rStyle w:val="Funotenzeichen"/>
        </w:rPr>
        <w:footnoteRef/>
      </w:r>
      <w:r w:rsidRPr="00530D0A">
        <w:rPr>
          <w:lang w:val="en-GB"/>
        </w:rPr>
        <w:t xml:space="preserve"> Field</w:t>
      </w:r>
      <w:r w:rsidR="0036548C">
        <w:rPr>
          <w:lang w:val="en-GB"/>
        </w:rPr>
        <w:t>s</w:t>
      </w:r>
      <w:r w:rsidRPr="00530D0A">
        <w:rPr>
          <w:lang w:val="en-GB"/>
        </w:rPr>
        <w:t xml:space="preserve">, </w:t>
      </w:r>
      <w:r w:rsidR="00790154" w:rsidRPr="00714551">
        <w:rPr>
          <w:i/>
          <w:iCs/>
          <w:lang w:val="en-GB"/>
        </w:rPr>
        <w:t>The Elementary Forms</w:t>
      </w:r>
      <w:r w:rsidR="00790154">
        <w:rPr>
          <w:lang w:val="en-GB"/>
        </w:rPr>
        <w:t>,</w:t>
      </w:r>
      <w:r w:rsidR="00790154" w:rsidRPr="00C807ED">
        <w:rPr>
          <w:lang w:val="en-GB"/>
        </w:rPr>
        <w:t xml:space="preserve"> </w:t>
      </w:r>
      <w:r w:rsidRPr="00530D0A">
        <w:rPr>
          <w:lang w:val="en-GB"/>
        </w:rPr>
        <w:t>p. xlii</w:t>
      </w:r>
      <w:r w:rsidR="00790154">
        <w:rPr>
          <w:lang w:val="en-GB"/>
        </w:rPr>
        <w:t>.</w:t>
      </w:r>
    </w:p>
  </w:footnote>
  <w:footnote w:id="52">
    <w:p w14:paraId="25FB9995" w14:textId="0779EF11" w:rsidR="00291354" w:rsidRPr="00E45D63" w:rsidRDefault="00291354" w:rsidP="00291354">
      <w:pPr>
        <w:pStyle w:val="Funotentext"/>
        <w:rPr>
          <w:lang w:val="en-GB"/>
        </w:rPr>
      </w:pPr>
      <w:r>
        <w:rPr>
          <w:rStyle w:val="Funotenzeichen"/>
        </w:rPr>
        <w:footnoteRef/>
      </w:r>
      <w:r w:rsidRPr="00E45D63">
        <w:rPr>
          <w:lang w:val="en-GB"/>
        </w:rPr>
        <w:t xml:space="preserve"> Knott</w:t>
      </w:r>
      <w:r w:rsidRPr="001347F5">
        <w:rPr>
          <w:i/>
          <w:iCs/>
          <w:lang w:val="en-GB"/>
        </w:rPr>
        <w:t xml:space="preserve">, </w:t>
      </w:r>
      <w:r w:rsidR="001347F5" w:rsidRPr="001347F5">
        <w:rPr>
          <w:i/>
          <w:iCs/>
          <w:lang w:val="en-GB"/>
        </w:rPr>
        <w:t>Spatial Theory</w:t>
      </w:r>
      <w:r w:rsidR="001347F5">
        <w:rPr>
          <w:lang w:val="en-GB"/>
        </w:rPr>
        <w:t xml:space="preserve">, </w:t>
      </w:r>
      <w:r w:rsidRPr="00E45D63">
        <w:rPr>
          <w:lang w:val="en-GB"/>
        </w:rPr>
        <w:t>p. 175.</w:t>
      </w:r>
    </w:p>
  </w:footnote>
  <w:footnote w:id="53">
    <w:p w14:paraId="403FB3AF" w14:textId="5AF82D16" w:rsidR="00291354" w:rsidRPr="001347F5" w:rsidRDefault="00291354" w:rsidP="00291354">
      <w:pPr>
        <w:pStyle w:val="Funotentext"/>
        <w:rPr>
          <w:lang w:val="en-GB"/>
        </w:rPr>
      </w:pPr>
      <w:r>
        <w:rPr>
          <w:rStyle w:val="Funotenzeichen"/>
        </w:rPr>
        <w:footnoteRef/>
      </w:r>
      <w:r w:rsidRPr="001347F5">
        <w:rPr>
          <w:lang w:val="en-GB"/>
        </w:rPr>
        <w:t xml:space="preserve"> Knott, </w:t>
      </w:r>
      <w:r w:rsidR="001347F5" w:rsidRPr="001347F5">
        <w:rPr>
          <w:i/>
          <w:iCs/>
          <w:lang w:val="en-GB"/>
        </w:rPr>
        <w:t>Spatial Theory</w:t>
      </w:r>
      <w:r w:rsidR="001347F5">
        <w:rPr>
          <w:lang w:val="en-GB"/>
        </w:rPr>
        <w:t>,</w:t>
      </w:r>
      <w:r w:rsidRPr="001347F5">
        <w:rPr>
          <w:lang w:val="en-GB"/>
        </w:rPr>
        <w:t xml:space="preserve"> p. 162.</w:t>
      </w:r>
    </w:p>
  </w:footnote>
  <w:footnote w:id="54">
    <w:p w14:paraId="6EB6FA24" w14:textId="7F6AFDA1" w:rsidR="0046041B" w:rsidRPr="00C743C3" w:rsidRDefault="0046041B" w:rsidP="0046041B">
      <w:pPr>
        <w:pStyle w:val="Funotentext"/>
        <w:rPr>
          <w:lang w:val="en-GB"/>
        </w:rPr>
      </w:pPr>
      <w:r>
        <w:rPr>
          <w:rStyle w:val="Funotenzeichen"/>
        </w:rPr>
        <w:footnoteRef/>
      </w:r>
      <w:r w:rsidRPr="00C743C3">
        <w:rPr>
          <w:lang w:val="en-GB"/>
        </w:rPr>
        <w:t xml:space="preserve"> Eliade, </w:t>
      </w:r>
      <w:r w:rsidR="00C743C3" w:rsidRPr="00985732">
        <w:rPr>
          <w:i/>
          <w:iCs/>
          <w:lang w:val="en-GB"/>
        </w:rPr>
        <w:t>The Sacred and the Profane</w:t>
      </w:r>
      <w:r w:rsidR="00C743C3">
        <w:rPr>
          <w:i/>
          <w:iCs/>
          <w:lang w:val="en-GB"/>
        </w:rPr>
        <w:t xml:space="preserve">, </w:t>
      </w:r>
      <w:r w:rsidRPr="00C743C3">
        <w:rPr>
          <w:lang w:val="en-GB"/>
        </w:rPr>
        <w:t>p. 85.</w:t>
      </w:r>
    </w:p>
  </w:footnote>
  <w:footnote w:id="55">
    <w:p w14:paraId="7CA72884" w14:textId="4691141B" w:rsidR="0046041B" w:rsidRPr="00C27113" w:rsidRDefault="0046041B" w:rsidP="0046041B">
      <w:pPr>
        <w:pStyle w:val="Funotentext"/>
        <w:rPr>
          <w:lang w:val="en-GB"/>
        </w:rPr>
      </w:pPr>
      <w:r>
        <w:rPr>
          <w:rStyle w:val="Funotenzeichen"/>
        </w:rPr>
        <w:footnoteRef/>
      </w:r>
      <w:r w:rsidRPr="00C27113">
        <w:rPr>
          <w:lang w:val="en-GB"/>
        </w:rPr>
        <w:t xml:space="preserve"> Eliade, </w:t>
      </w:r>
      <w:r w:rsidR="00C743C3" w:rsidRPr="00985732">
        <w:rPr>
          <w:i/>
          <w:iCs/>
          <w:lang w:val="en-GB"/>
        </w:rPr>
        <w:t>The Sacred and the Profane</w:t>
      </w:r>
      <w:r w:rsidR="00C743C3">
        <w:rPr>
          <w:i/>
          <w:iCs/>
          <w:lang w:val="en-GB"/>
        </w:rPr>
        <w:t xml:space="preserve">, </w:t>
      </w:r>
      <w:r w:rsidRPr="00C27113">
        <w:rPr>
          <w:lang w:val="en-GB"/>
        </w:rPr>
        <w:t>p. 94.</w:t>
      </w:r>
    </w:p>
  </w:footnote>
  <w:footnote w:id="56">
    <w:p w14:paraId="20C7B322" w14:textId="46BD2B25" w:rsidR="00D15846" w:rsidRPr="00D15846" w:rsidRDefault="00D15846">
      <w:pPr>
        <w:pStyle w:val="Funotentext"/>
        <w:rPr>
          <w:lang w:val="en-GB"/>
        </w:rPr>
      </w:pPr>
      <w:r>
        <w:rPr>
          <w:rStyle w:val="Funotenzeichen"/>
        </w:rPr>
        <w:footnoteRef/>
      </w:r>
      <w:r w:rsidRPr="00D15846">
        <w:rPr>
          <w:lang w:val="en-GB"/>
        </w:rPr>
        <w:t xml:space="preserve"> Eliade, </w:t>
      </w:r>
      <w:r w:rsidR="00C743C3" w:rsidRPr="00985732">
        <w:rPr>
          <w:i/>
          <w:iCs/>
          <w:lang w:val="en-GB"/>
        </w:rPr>
        <w:t>The Sacred and the Profane</w:t>
      </w:r>
      <w:r w:rsidR="00C743C3">
        <w:rPr>
          <w:i/>
          <w:iCs/>
          <w:lang w:val="en-GB"/>
        </w:rPr>
        <w:t xml:space="preserve">, </w:t>
      </w:r>
      <w:r w:rsidRPr="00D15846">
        <w:rPr>
          <w:lang w:val="en-GB"/>
        </w:rPr>
        <w:t>p. 30.</w:t>
      </w:r>
    </w:p>
  </w:footnote>
  <w:footnote w:id="57">
    <w:p w14:paraId="33CA5075" w14:textId="622D1463" w:rsidR="0046041B" w:rsidRPr="008250D3" w:rsidRDefault="0046041B" w:rsidP="0046041B">
      <w:pPr>
        <w:pStyle w:val="Funotentext"/>
        <w:rPr>
          <w:lang w:val="en-GB"/>
        </w:rPr>
      </w:pPr>
      <w:r>
        <w:rPr>
          <w:rStyle w:val="Funotenzeichen"/>
        </w:rPr>
        <w:footnoteRef/>
      </w:r>
      <w:r w:rsidRPr="008250D3">
        <w:rPr>
          <w:lang w:val="en-GB"/>
        </w:rPr>
        <w:t xml:space="preserve"> Eliade, </w:t>
      </w:r>
      <w:r w:rsidR="00C743C3" w:rsidRPr="00985732">
        <w:rPr>
          <w:i/>
          <w:iCs/>
          <w:lang w:val="en-GB"/>
        </w:rPr>
        <w:t>The Sacred and the Profane</w:t>
      </w:r>
      <w:r w:rsidR="00C743C3">
        <w:rPr>
          <w:i/>
          <w:iCs/>
          <w:lang w:val="en-GB"/>
        </w:rPr>
        <w:t xml:space="preserve">, </w:t>
      </w:r>
      <w:r w:rsidRPr="008250D3">
        <w:rPr>
          <w:lang w:val="en-GB"/>
        </w:rPr>
        <w:t>p. 30.</w:t>
      </w:r>
    </w:p>
  </w:footnote>
  <w:footnote w:id="58">
    <w:p w14:paraId="4A860DEB" w14:textId="76741405" w:rsidR="00D15846" w:rsidRPr="00D15846" w:rsidRDefault="00D15846" w:rsidP="00D15846">
      <w:pPr>
        <w:pStyle w:val="Funotentext"/>
        <w:rPr>
          <w:lang w:val="en-GB"/>
        </w:rPr>
      </w:pPr>
      <w:r>
        <w:rPr>
          <w:rStyle w:val="Funotenzeichen"/>
        </w:rPr>
        <w:footnoteRef/>
      </w:r>
      <w:r w:rsidRPr="00D15846">
        <w:rPr>
          <w:lang w:val="en-GB"/>
        </w:rPr>
        <w:t xml:space="preserve"> Eliade, </w:t>
      </w:r>
      <w:r w:rsidR="00C743C3" w:rsidRPr="00985732">
        <w:rPr>
          <w:i/>
          <w:iCs/>
          <w:lang w:val="en-GB"/>
        </w:rPr>
        <w:t>The Sacred and the Profane</w:t>
      </w:r>
      <w:r w:rsidR="00C743C3">
        <w:rPr>
          <w:i/>
          <w:iCs/>
          <w:lang w:val="en-GB"/>
        </w:rPr>
        <w:t xml:space="preserve">, </w:t>
      </w:r>
      <w:r w:rsidRPr="00D15846">
        <w:rPr>
          <w:lang w:val="en-GB"/>
        </w:rPr>
        <w:t>p. 82.</w:t>
      </w:r>
    </w:p>
  </w:footnote>
  <w:footnote w:id="59">
    <w:p w14:paraId="48466FF4" w14:textId="0DCEBD3B" w:rsidR="00291354" w:rsidRPr="009672A3" w:rsidRDefault="00291354" w:rsidP="00291354">
      <w:pPr>
        <w:pStyle w:val="Funotentext"/>
        <w:rPr>
          <w:lang w:val="en-GB"/>
        </w:rPr>
      </w:pPr>
      <w:r>
        <w:rPr>
          <w:rStyle w:val="Funotenzeichen"/>
        </w:rPr>
        <w:footnoteRef/>
      </w:r>
      <w:r w:rsidRPr="009672A3">
        <w:rPr>
          <w:lang w:val="en-GB"/>
        </w:rPr>
        <w:t xml:space="preserve"> Hunter, </w:t>
      </w:r>
      <w:r w:rsidR="0036548C" w:rsidRPr="001D7102">
        <w:rPr>
          <w:i/>
          <w:iCs/>
          <w:lang w:val="en-GB"/>
        </w:rPr>
        <w:t>Sacred Geography</w:t>
      </w:r>
      <w:r>
        <w:rPr>
          <w:lang w:val="en-GB"/>
        </w:rPr>
        <w:t>, p. 12.</w:t>
      </w:r>
    </w:p>
  </w:footnote>
  <w:footnote w:id="60">
    <w:p w14:paraId="094D8FEC" w14:textId="5E30FFE5" w:rsidR="00321F76" w:rsidRPr="004B2236" w:rsidRDefault="00321F76" w:rsidP="00321F76">
      <w:pPr>
        <w:pStyle w:val="Funotentext"/>
        <w:rPr>
          <w:lang w:val="en-GB"/>
        </w:rPr>
      </w:pPr>
      <w:r>
        <w:rPr>
          <w:rStyle w:val="Funotenzeichen"/>
        </w:rPr>
        <w:footnoteRef/>
      </w:r>
      <w:r w:rsidRPr="004B2236">
        <w:rPr>
          <w:lang w:val="en-GB"/>
        </w:rPr>
        <w:t xml:space="preserve"> Eliade, </w:t>
      </w:r>
      <w:r w:rsidR="00C743C3" w:rsidRPr="00985732">
        <w:rPr>
          <w:i/>
          <w:iCs/>
          <w:lang w:val="en-GB"/>
        </w:rPr>
        <w:t>The Sacred and the Profane</w:t>
      </w:r>
      <w:r w:rsidR="00C743C3">
        <w:rPr>
          <w:i/>
          <w:iCs/>
          <w:lang w:val="en-GB"/>
        </w:rPr>
        <w:t xml:space="preserve">, </w:t>
      </w:r>
      <w:r w:rsidRPr="004B2236">
        <w:rPr>
          <w:lang w:val="en-GB"/>
        </w:rPr>
        <w:t>p. 11.</w:t>
      </w:r>
    </w:p>
  </w:footnote>
  <w:footnote w:id="61">
    <w:p w14:paraId="5DD750D1" w14:textId="23AD5ADA" w:rsidR="00321F76" w:rsidRPr="00715C56" w:rsidRDefault="00321F76" w:rsidP="00321F76">
      <w:pPr>
        <w:pStyle w:val="Funotentext"/>
        <w:rPr>
          <w:lang w:val="en-GB"/>
        </w:rPr>
      </w:pPr>
      <w:r>
        <w:rPr>
          <w:rStyle w:val="Funotenzeichen"/>
        </w:rPr>
        <w:footnoteRef/>
      </w:r>
      <w:r w:rsidRPr="00715C56">
        <w:rPr>
          <w:lang w:val="en-GB"/>
        </w:rPr>
        <w:t xml:space="preserve"> Field, </w:t>
      </w:r>
      <w:r w:rsidR="00790154" w:rsidRPr="00714551">
        <w:rPr>
          <w:i/>
          <w:iCs/>
          <w:lang w:val="en-GB"/>
        </w:rPr>
        <w:t>The Elementary Forms</w:t>
      </w:r>
      <w:r w:rsidR="00790154">
        <w:rPr>
          <w:lang w:val="en-GB"/>
        </w:rPr>
        <w:t>,</w:t>
      </w:r>
      <w:r w:rsidR="00790154" w:rsidRPr="00C807ED">
        <w:rPr>
          <w:lang w:val="en-GB"/>
        </w:rPr>
        <w:t xml:space="preserve"> </w:t>
      </w:r>
      <w:r w:rsidR="00790154">
        <w:rPr>
          <w:lang w:val="en-GB"/>
        </w:rPr>
        <w:t>p. xlii</w:t>
      </w:r>
      <w:r>
        <w:rPr>
          <w:lang w:val="en-GB"/>
        </w:rPr>
        <w:t>.</w:t>
      </w:r>
    </w:p>
  </w:footnote>
  <w:footnote w:id="62">
    <w:p w14:paraId="0F54DB0A" w14:textId="77777777" w:rsidR="00DF3526" w:rsidRPr="00BF7B34" w:rsidRDefault="00DF3526" w:rsidP="00DF3526">
      <w:pPr>
        <w:pStyle w:val="Funotentext"/>
        <w:rPr>
          <w:lang w:val="en-GB"/>
        </w:rPr>
      </w:pPr>
      <w:r>
        <w:rPr>
          <w:rStyle w:val="Funotenzeichen"/>
        </w:rPr>
        <w:footnoteRef/>
      </w:r>
      <w:r w:rsidRPr="00BF7B34">
        <w:rPr>
          <w:lang w:val="en-GB"/>
        </w:rPr>
        <w:t xml:space="preserve"> </w:t>
      </w:r>
      <w:r>
        <w:rPr>
          <w:lang w:val="en-GB"/>
        </w:rPr>
        <w:t xml:space="preserve">Aristotle, </w:t>
      </w:r>
      <w:r w:rsidRPr="00C75E2E">
        <w:rPr>
          <w:i/>
          <w:iCs/>
          <w:lang w:val="en-GB"/>
        </w:rPr>
        <w:t xml:space="preserve">Physics </w:t>
      </w:r>
      <w:r w:rsidRPr="0059287C">
        <w:rPr>
          <w:lang w:val="en-GB"/>
        </w:rPr>
        <w:t>184a17–18</w:t>
      </w:r>
    </w:p>
  </w:footnote>
  <w:footnote w:id="63">
    <w:p w14:paraId="1CD2C84C" w14:textId="4D62199C" w:rsidR="00DC5ACF" w:rsidRPr="00E81D67" w:rsidRDefault="00DC5ACF" w:rsidP="00DC5ACF">
      <w:pPr>
        <w:pStyle w:val="Funotentext"/>
        <w:rPr>
          <w:lang w:val="en-GB"/>
        </w:rPr>
      </w:pPr>
      <w:r>
        <w:rPr>
          <w:rStyle w:val="Funotenzeichen"/>
        </w:rPr>
        <w:footnoteRef/>
      </w:r>
      <w:r w:rsidRPr="00E81D67">
        <w:rPr>
          <w:lang w:val="en-GB"/>
        </w:rPr>
        <w:t xml:space="preserve"> Beldon C</w:t>
      </w:r>
      <w:r w:rsidR="006E3C70">
        <w:rPr>
          <w:lang w:val="en-GB"/>
        </w:rPr>
        <w:t xml:space="preserve">. Lane, </w:t>
      </w:r>
      <w:r w:rsidR="006E3C70" w:rsidRPr="006E3C70">
        <w:rPr>
          <w:i/>
          <w:iCs/>
          <w:lang w:val="en-GB"/>
        </w:rPr>
        <w:t>Landscapes of the Sacred: Geography and Narrative in American Spirituality</w:t>
      </w:r>
      <w:r w:rsidR="006E3C70">
        <w:rPr>
          <w:lang w:val="en-GB"/>
        </w:rPr>
        <w:t xml:space="preserve"> (Baltimore: The John Hopkins University Press, 2001)</w:t>
      </w:r>
      <w:r w:rsidRPr="00E81D67">
        <w:rPr>
          <w:lang w:val="en-GB"/>
        </w:rPr>
        <w:t xml:space="preserve">, p. </w:t>
      </w:r>
      <w:r>
        <w:rPr>
          <w:lang w:val="en-GB"/>
        </w:rPr>
        <w:t>56.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336367"/>
      <w:docPartObj>
        <w:docPartGallery w:val="Page Numbers (Top of Page)"/>
        <w:docPartUnique/>
      </w:docPartObj>
    </w:sdtPr>
    <w:sdtContent>
      <w:p w14:paraId="5B6021D5" w14:textId="576EBC33" w:rsidR="00BB27F4" w:rsidRDefault="00FC6FBF" w:rsidP="00FC6FBF">
        <w:pPr>
          <w:pStyle w:val="Kopfzeile"/>
        </w:pPr>
        <w:r>
          <w:t xml:space="preserve">Hofmann Andrea   </w:t>
        </w:r>
        <w:r w:rsidRPr="00FC6FBF">
          <w:t>2324045</w:t>
        </w:r>
        <w:r>
          <w:tab/>
        </w:r>
        <w:r>
          <w:tab/>
        </w:r>
        <w:r w:rsidR="00BB27F4">
          <w:rPr>
            <w:lang w:val="de-DE"/>
          </w:rPr>
          <w:t xml:space="preserve">page </w:t>
        </w:r>
        <w:r w:rsidR="00BB27F4">
          <w:rPr>
            <w:b/>
            <w:bCs/>
            <w:sz w:val="24"/>
            <w:szCs w:val="24"/>
          </w:rPr>
          <w:fldChar w:fldCharType="begin"/>
        </w:r>
        <w:r w:rsidR="00BB27F4">
          <w:rPr>
            <w:b/>
            <w:bCs/>
          </w:rPr>
          <w:instrText>PAGE</w:instrText>
        </w:r>
        <w:r w:rsidR="00BB27F4">
          <w:rPr>
            <w:b/>
            <w:bCs/>
            <w:sz w:val="24"/>
            <w:szCs w:val="24"/>
          </w:rPr>
          <w:fldChar w:fldCharType="separate"/>
        </w:r>
        <w:r w:rsidR="00BB27F4">
          <w:rPr>
            <w:b/>
            <w:bCs/>
            <w:lang w:val="de-DE"/>
          </w:rPr>
          <w:t>2</w:t>
        </w:r>
        <w:r w:rsidR="00BB27F4">
          <w:rPr>
            <w:b/>
            <w:bCs/>
            <w:sz w:val="24"/>
            <w:szCs w:val="24"/>
          </w:rPr>
          <w:fldChar w:fldCharType="end"/>
        </w:r>
        <w:r w:rsidR="00BB27F4">
          <w:rPr>
            <w:lang w:val="de-DE"/>
          </w:rPr>
          <w:t xml:space="preserve"> of </w:t>
        </w:r>
        <w:r w:rsidR="00BB27F4">
          <w:rPr>
            <w:b/>
            <w:bCs/>
            <w:sz w:val="24"/>
            <w:szCs w:val="24"/>
          </w:rPr>
          <w:fldChar w:fldCharType="begin"/>
        </w:r>
        <w:r w:rsidR="00BB27F4">
          <w:rPr>
            <w:b/>
            <w:bCs/>
          </w:rPr>
          <w:instrText>NUMPAGES</w:instrText>
        </w:r>
        <w:r w:rsidR="00BB27F4">
          <w:rPr>
            <w:b/>
            <w:bCs/>
            <w:sz w:val="24"/>
            <w:szCs w:val="24"/>
          </w:rPr>
          <w:fldChar w:fldCharType="separate"/>
        </w:r>
        <w:r w:rsidR="00BB27F4">
          <w:rPr>
            <w:b/>
            <w:bCs/>
            <w:lang w:val="de-DE"/>
          </w:rPr>
          <w:t>2</w:t>
        </w:r>
        <w:r w:rsidR="00BB27F4">
          <w:rPr>
            <w:b/>
            <w:bCs/>
            <w:sz w:val="24"/>
            <w:szCs w:val="24"/>
          </w:rPr>
          <w:fldChar w:fldCharType="end"/>
        </w:r>
      </w:p>
    </w:sdtContent>
  </w:sdt>
  <w:p w14:paraId="1D2D162C" w14:textId="258ADD7F" w:rsidR="00BB27F4" w:rsidRDefault="00BB27F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3121D"/>
    <w:multiLevelType w:val="hybridMultilevel"/>
    <w:tmpl w:val="90B8876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DF7E7C"/>
    <w:multiLevelType w:val="hybridMultilevel"/>
    <w:tmpl w:val="EB16509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 w15:restartNumberingAfterBreak="0">
    <w:nsid w:val="06D3042C"/>
    <w:multiLevelType w:val="hybridMultilevel"/>
    <w:tmpl w:val="6C7C4394"/>
    <w:lvl w:ilvl="0" w:tplc="FFFFFFFF">
      <w:start w:val="1"/>
      <w:numFmt w:val="decimal"/>
      <w:lvlText w:val="%1."/>
      <w:lvlJc w:val="left"/>
      <w:pPr>
        <w:ind w:left="785" w:hanging="360"/>
      </w:pPr>
      <w:rPr>
        <w:rFonts w:hint="default"/>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3" w15:restartNumberingAfterBreak="0">
    <w:nsid w:val="11C61454"/>
    <w:multiLevelType w:val="hybridMultilevel"/>
    <w:tmpl w:val="21BA32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7AD3F66"/>
    <w:multiLevelType w:val="hybridMultilevel"/>
    <w:tmpl w:val="238060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BFB047A"/>
    <w:multiLevelType w:val="hybridMultilevel"/>
    <w:tmpl w:val="B6A670DE"/>
    <w:lvl w:ilvl="0" w:tplc="0B10D71A">
      <w:numFmt w:val="bullet"/>
      <w:lvlText w:val=""/>
      <w:lvlJc w:val="left"/>
      <w:pPr>
        <w:ind w:left="720" w:hanging="360"/>
      </w:pPr>
      <w:rPr>
        <w:rFonts w:ascii="Calibri" w:eastAsiaTheme="minorHAnsi" w:hAnsi="Calibri" w:cs="Calibri"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6" w15:restartNumberingAfterBreak="0">
    <w:nsid w:val="2EA24166"/>
    <w:multiLevelType w:val="hybridMultilevel"/>
    <w:tmpl w:val="1618E16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2E75DCC"/>
    <w:multiLevelType w:val="hybridMultilevel"/>
    <w:tmpl w:val="E1EA4DE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8" w15:restartNumberingAfterBreak="0">
    <w:nsid w:val="500174D4"/>
    <w:multiLevelType w:val="hybridMultilevel"/>
    <w:tmpl w:val="97B4690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025683B"/>
    <w:multiLevelType w:val="hybridMultilevel"/>
    <w:tmpl w:val="E044419A"/>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0" w15:restartNumberingAfterBreak="0">
    <w:nsid w:val="68473DCD"/>
    <w:multiLevelType w:val="hybridMultilevel"/>
    <w:tmpl w:val="6C7C4394"/>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16cid:durableId="466554550">
    <w:abstractNumId w:val="1"/>
  </w:num>
  <w:num w:numId="2" w16cid:durableId="2047025874">
    <w:abstractNumId w:val="5"/>
  </w:num>
  <w:num w:numId="3" w16cid:durableId="778647976">
    <w:abstractNumId w:val="3"/>
  </w:num>
  <w:num w:numId="4" w16cid:durableId="1080057862">
    <w:abstractNumId w:val="10"/>
  </w:num>
  <w:num w:numId="5" w16cid:durableId="585960217">
    <w:abstractNumId w:val="6"/>
  </w:num>
  <w:num w:numId="6" w16cid:durableId="1120104735">
    <w:abstractNumId w:val="8"/>
  </w:num>
  <w:num w:numId="7" w16cid:durableId="2074617003">
    <w:abstractNumId w:val="4"/>
  </w:num>
  <w:num w:numId="8" w16cid:durableId="549151622">
    <w:abstractNumId w:val="0"/>
  </w:num>
  <w:num w:numId="9" w16cid:durableId="696546797">
    <w:abstractNumId w:val="2"/>
  </w:num>
  <w:num w:numId="10" w16cid:durableId="1017461919">
    <w:abstractNumId w:val="7"/>
  </w:num>
  <w:num w:numId="11" w16cid:durableId="65603705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CE5"/>
    <w:rsid w:val="0000021A"/>
    <w:rsid w:val="0000040B"/>
    <w:rsid w:val="000154D1"/>
    <w:rsid w:val="0002632F"/>
    <w:rsid w:val="00033F30"/>
    <w:rsid w:val="000345C7"/>
    <w:rsid w:val="00041BB0"/>
    <w:rsid w:val="00045332"/>
    <w:rsid w:val="000477E7"/>
    <w:rsid w:val="0005358B"/>
    <w:rsid w:val="00055DC7"/>
    <w:rsid w:val="00061E21"/>
    <w:rsid w:val="0006653A"/>
    <w:rsid w:val="00075708"/>
    <w:rsid w:val="00083261"/>
    <w:rsid w:val="000A307F"/>
    <w:rsid w:val="000B0672"/>
    <w:rsid w:val="000B5A9E"/>
    <w:rsid w:val="000B5F37"/>
    <w:rsid w:val="000B79C7"/>
    <w:rsid w:val="000C0506"/>
    <w:rsid w:val="000C7968"/>
    <w:rsid w:val="000D2130"/>
    <w:rsid w:val="000D576C"/>
    <w:rsid w:val="000D62D7"/>
    <w:rsid w:val="000E779E"/>
    <w:rsid w:val="000F0B05"/>
    <w:rsid w:val="000F1E92"/>
    <w:rsid w:val="000F2140"/>
    <w:rsid w:val="00100F66"/>
    <w:rsid w:val="00105A09"/>
    <w:rsid w:val="00112502"/>
    <w:rsid w:val="0012183F"/>
    <w:rsid w:val="00124862"/>
    <w:rsid w:val="001257D7"/>
    <w:rsid w:val="001306E1"/>
    <w:rsid w:val="0013076E"/>
    <w:rsid w:val="001347F5"/>
    <w:rsid w:val="00136E1F"/>
    <w:rsid w:val="001372FF"/>
    <w:rsid w:val="0014002A"/>
    <w:rsid w:val="001460F5"/>
    <w:rsid w:val="001536A1"/>
    <w:rsid w:val="00154052"/>
    <w:rsid w:val="00155115"/>
    <w:rsid w:val="00157E0C"/>
    <w:rsid w:val="00174AA2"/>
    <w:rsid w:val="00195CD7"/>
    <w:rsid w:val="001A17E7"/>
    <w:rsid w:val="001A2EC7"/>
    <w:rsid w:val="001B284B"/>
    <w:rsid w:val="001B78E7"/>
    <w:rsid w:val="001C096C"/>
    <w:rsid w:val="001C2F8B"/>
    <w:rsid w:val="001C3A19"/>
    <w:rsid w:val="001C6B37"/>
    <w:rsid w:val="001D7102"/>
    <w:rsid w:val="001E779E"/>
    <w:rsid w:val="001E7C31"/>
    <w:rsid w:val="001F3303"/>
    <w:rsid w:val="00207BC7"/>
    <w:rsid w:val="00214ADA"/>
    <w:rsid w:val="00221366"/>
    <w:rsid w:val="00221657"/>
    <w:rsid w:val="00222CDE"/>
    <w:rsid w:val="002378EF"/>
    <w:rsid w:val="00250C2F"/>
    <w:rsid w:val="00261D32"/>
    <w:rsid w:val="0027259D"/>
    <w:rsid w:val="00272E1F"/>
    <w:rsid w:val="002836D0"/>
    <w:rsid w:val="002909A2"/>
    <w:rsid w:val="00291354"/>
    <w:rsid w:val="002A1C6D"/>
    <w:rsid w:val="002A2BE8"/>
    <w:rsid w:val="002A52C7"/>
    <w:rsid w:val="002B7367"/>
    <w:rsid w:val="002C1F94"/>
    <w:rsid w:val="002C23F8"/>
    <w:rsid w:val="002C3AD6"/>
    <w:rsid w:val="002D41C0"/>
    <w:rsid w:val="002D5C42"/>
    <w:rsid w:val="002E21B6"/>
    <w:rsid w:val="002E3E03"/>
    <w:rsid w:val="002E787D"/>
    <w:rsid w:val="002E799E"/>
    <w:rsid w:val="002E7FB4"/>
    <w:rsid w:val="002F4291"/>
    <w:rsid w:val="0031502C"/>
    <w:rsid w:val="00316409"/>
    <w:rsid w:val="00316A3F"/>
    <w:rsid w:val="00316C8B"/>
    <w:rsid w:val="00321F76"/>
    <w:rsid w:val="00326C07"/>
    <w:rsid w:val="003437C7"/>
    <w:rsid w:val="00344D76"/>
    <w:rsid w:val="00354380"/>
    <w:rsid w:val="00357C03"/>
    <w:rsid w:val="00361FD2"/>
    <w:rsid w:val="00364464"/>
    <w:rsid w:val="0036548C"/>
    <w:rsid w:val="00370672"/>
    <w:rsid w:val="00374BCB"/>
    <w:rsid w:val="0037514E"/>
    <w:rsid w:val="00386D74"/>
    <w:rsid w:val="003A29F2"/>
    <w:rsid w:val="003A5B82"/>
    <w:rsid w:val="003A76D8"/>
    <w:rsid w:val="003C63A0"/>
    <w:rsid w:val="003C71F7"/>
    <w:rsid w:val="003D34A3"/>
    <w:rsid w:val="003E6C52"/>
    <w:rsid w:val="003F1C45"/>
    <w:rsid w:val="003F23D1"/>
    <w:rsid w:val="003F4F33"/>
    <w:rsid w:val="003F5624"/>
    <w:rsid w:val="003F61B5"/>
    <w:rsid w:val="003F7401"/>
    <w:rsid w:val="004012CE"/>
    <w:rsid w:val="00413E7A"/>
    <w:rsid w:val="0041790B"/>
    <w:rsid w:val="00417C13"/>
    <w:rsid w:val="00432896"/>
    <w:rsid w:val="00435F06"/>
    <w:rsid w:val="00437FB3"/>
    <w:rsid w:val="0044197A"/>
    <w:rsid w:val="004478C1"/>
    <w:rsid w:val="00450802"/>
    <w:rsid w:val="00457530"/>
    <w:rsid w:val="004600B1"/>
    <w:rsid w:val="0046041B"/>
    <w:rsid w:val="00463A99"/>
    <w:rsid w:val="00465D83"/>
    <w:rsid w:val="0048309D"/>
    <w:rsid w:val="004845D7"/>
    <w:rsid w:val="00485792"/>
    <w:rsid w:val="00492761"/>
    <w:rsid w:val="00495475"/>
    <w:rsid w:val="00495F07"/>
    <w:rsid w:val="00497382"/>
    <w:rsid w:val="00497599"/>
    <w:rsid w:val="004B0787"/>
    <w:rsid w:val="004B2236"/>
    <w:rsid w:val="004B752B"/>
    <w:rsid w:val="004B7793"/>
    <w:rsid w:val="004D03AB"/>
    <w:rsid w:val="004E383E"/>
    <w:rsid w:val="004F1C2C"/>
    <w:rsid w:val="00526209"/>
    <w:rsid w:val="00530D0A"/>
    <w:rsid w:val="005322E5"/>
    <w:rsid w:val="00545EC5"/>
    <w:rsid w:val="005505E0"/>
    <w:rsid w:val="00553046"/>
    <w:rsid w:val="00572550"/>
    <w:rsid w:val="00584662"/>
    <w:rsid w:val="00585FC8"/>
    <w:rsid w:val="005A2AA4"/>
    <w:rsid w:val="005A2F11"/>
    <w:rsid w:val="005B4A22"/>
    <w:rsid w:val="005B4C69"/>
    <w:rsid w:val="005B5FD4"/>
    <w:rsid w:val="005B7F3C"/>
    <w:rsid w:val="005C498F"/>
    <w:rsid w:val="005C63E4"/>
    <w:rsid w:val="005D50F7"/>
    <w:rsid w:val="005E130D"/>
    <w:rsid w:val="005F6667"/>
    <w:rsid w:val="00602E63"/>
    <w:rsid w:val="00613AAB"/>
    <w:rsid w:val="00625717"/>
    <w:rsid w:val="0063153D"/>
    <w:rsid w:val="00632265"/>
    <w:rsid w:val="006412D6"/>
    <w:rsid w:val="006424C8"/>
    <w:rsid w:val="00642EDE"/>
    <w:rsid w:val="00644B41"/>
    <w:rsid w:val="00645B21"/>
    <w:rsid w:val="0064662E"/>
    <w:rsid w:val="00647496"/>
    <w:rsid w:val="00650B4F"/>
    <w:rsid w:val="006615C2"/>
    <w:rsid w:val="00664406"/>
    <w:rsid w:val="006663C1"/>
    <w:rsid w:val="00671375"/>
    <w:rsid w:val="00672007"/>
    <w:rsid w:val="00677026"/>
    <w:rsid w:val="00683C11"/>
    <w:rsid w:val="0068552A"/>
    <w:rsid w:val="0069033B"/>
    <w:rsid w:val="0069597E"/>
    <w:rsid w:val="006A0C0B"/>
    <w:rsid w:val="006B1AC3"/>
    <w:rsid w:val="006B7E70"/>
    <w:rsid w:val="006D33D6"/>
    <w:rsid w:val="006D4E26"/>
    <w:rsid w:val="006E141D"/>
    <w:rsid w:val="006E3C70"/>
    <w:rsid w:val="006E7F49"/>
    <w:rsid w:val="006F2E0A"/>
    <w:rsid w:val="006F74A2"/>
    <w:rsid w:val="006F7AFE"/>
    <w:rsid w:val="00706625"/>
    <w:rsid w:val="007102BE"/>
    <w:rsid w:val="00710331"/>
    <w:rsid w:val="00713663"/>
    <w:rsid w:val="00714551"/>
    <w:rsid w:val="00715C56"/>
    <w:rsid w:val="007200D1"/>
    <w:rsid w:val="0072118F"/>
    <w:rsid w:val="00722EDD"/>
    <w:rsid w:val="0073575D"/>
    <w:rsid w:val="00737AB0"/>
    <w:rsid w:val="00750C2A"/>
    <w:rsid w:val="00751FBA"/>
    <w:rsid w:val="00756E74"/>
    <w:rsid w:val="00763B8D"/>
    <w:rsid w:val="00764B55"/>
    <w:rsid w:val="00770B4E"/>
    <w:rsid w:val="0077703F"/>
    <w:rsid w:val="00777A7A"/>
    <w:rsid w:val="00777FCF"/>
    <w:rsid w:val="0078193E"/>
    <w:rsid w:val="00782C49"/>
    <w:rsid w:val="00784781"/>
    <w:rsid w:val="00790154"/>
    <w:rsid w:val="007945D0"/>
    <w:rsid w:val="007946E8"/>
    <w:rsid w:val="007A5974"/>
    <w:rsid w:val="007B1080"/>
    <w:rsid w:val="007D13CD"/>
    <w:rsid w:val="007D6435"/>
    <w:rsid w:val="007E3C1A"/>
    <w:rsid w:val="007F078F"/>
    <w:rsid w:val="007F2A73"/>
    <w:rsid w:val="007F44E6"/>
    <w:rsid w:val="00801895"/>
    <w:rsid w:val="00811FC4"/>
    <w:rsid w:val="0081277B"/>
    <w:rsid w:val="00814D0C"/>
    <w:rsid w:val="008250D3"/>
    <w:rsid w:val="00832B32"/>
    <w:rsid w:val="0083681E"/>
    <w:rsid w:val="00841E70"/>
    <w:rsid w:val="00850AFC"/>
    <w:rsid w:val="00852271"/>
    <w:rsid w:val="00853B01"/>
    <w:rsid w:val="00853D9B"/>
    <w:rsid w:val="00861DF5"/>
    <w:rsid w:val="0086392F"/>
    <w:rsid w:val="008775E1"/>
    <w:rsid w:val="00877DF5"/>
    <w:rsid w:val="008800E8"/>
    <w:rsid w:val="008801C1"/>
    <w:rsid w:val="00880488"/>
    <w:rsid w:val="00886973"/>
    <w:rsid w:val="00891806"/>
    <w:rsid w:val="00892449"/>
    <w:rsid w:val="008A2A43"/>
    <w:rsid w:val="008C4404"/>
    <w:rsid w:val="008D3F94"/>
    <w:rsid w:val="008E08FF"/>
    <w:rsid w:val="008E2955"/>
    <w:rsid w:val="008F539A"/>
    <w:rsid w:val="008F5931"/>
    <w:rsid w:val="00902063"/>
    <w:rsid w:val="00907309"/>
    <w:rsid w:val="009177B5"/>
    <w:rsid w:val="00924544"/>
    <w:rsid w:val="00927B3C"/>
    <w:rsid w:val="009308D3"/>
    <w:rsid w:val="00935E16"/>
    <w:rsid w:val="00936E6D"/>
    <w:rsid w:val="00944FEA"/>
    <w:rsid w:val="00950CC6"/>
    <w:rsid w:val="00951600"/>
    <w:rsid w:val="0095418D"/>
    <w:rsid w:val="009556F1"/>
    <w:rsid w:val="00955CF2"/>
    <w:rsid w:val="00957A92"/>
    <w:rsid w:val="0096302E"/>
    <w:rsid w:val="00964CA0"/>
    <w:rsid w:val="009672A3"/>
    <w:rsid w:val="00977316"/>
    <w:rsid w:val="0098097C"/>
    <w:rsid w:val="00985732"/>
    <w:rsid w:val="0099731F"/>
    <w:rsid w:val="00997C84"/>
    <w:rsid w:val="009A1FCD"/>
    <w:rsid w:val="009B1059"/>
    <w:rsid w:val="009B4092"/>
    <w:rsid w:val="009D0558"/>
    <w:rsid w:val="009D1079"/>
    <w:rsid w:val="009D3332"/>
    <w:rsid w:val="009D6041"/>
    <w:rsid w:val="009E10AA"/>
    <w:rsid w:val="009E649F"/>
    <w:rsid w:val="009F1963"/>
    <w:rsid w:val="009F2B80"/>
    <w:rsid w:val="00A0342F"/>
    <w:rsid w:val="00A05F48"/>
    <w:rsid w:val="00A106E6"/>
    <w:rsid w:val="00A14775"/>
    <w:rsid w:val="00A22530"/>
    <w:rsid w:val="00A24981"/>
    <w:rsid w:val="00A25468"/>
    <w:rsid w:val="00A256F8"/>
    <w:rsid w:val="00A26EC6"/>
    <w:rsid w:val="00A34A59"/>
    <w:rsid w:val="00A3589B"/>
    <w:rsid w:val="00A35D9A"/>
    <w:rsid w:val="00A37117"/>
    <w:rsid w:val="00A37377"/>
    <w:rsid w:val="00A41955"/>
    <w:rsid w:val="00A4470A"/>
    <w:rsid w:val="00A47776"/>
    <w:rsid w:val="00A52E7B"/>
    <w:rsid w:val="00A71216"/>
    <w:rsid w:val="00A71451"/>
    <w:rsid w:val="00A722EA"/>
    <w:rsid w:val="00A728A4"/>
    <w:rsid w:val="00A743CE"/>
    <w:rsid w:val="00A74F9D"/>
    <w:rsid w:val="00A83AE3"/>
    <w:rsid w:val="00AA0727"/>
    <w:rsid w:val="00AA0EE5"/>
    <w:rsid w:val="00AA6B5E"/>
    <w:rsid w:val="00AA738A"/>
    <w:rsid w:val="00AB332D"/>
    <w:rsid w:val="00AB4B61"/>
    <w:rsid w:val="00AC2AC8"/>
    <w:rsid w:val="00AC2D74"/>
    <w:rsid w:val="00AC4BFA"/>
    <w:rsid w:val="00AC654E"/>
    <w:rsid w:val="00AC7CD9"/>
    <w:rsid w:val="00AD0173"/>
    <w:rsid w:val="00AD14DE"/>
    <w:rsid w:val="00AD6200"/>
    <w:rsid w:val="00AE1EF7"/>
    <w:rsid w:val="00AF1C12"/>
    <w:rsid w:val="00AF36D9"/>
    <w:rsid w:val="00AF454F"/>
    <w:rsid w:val="00B03E9E"/>
    <w:rsid w:val="00B060F9"/>
    <w:rsid w:val="00B065BC"/>
    <w:rsid w:val="00B10B66"/>
    <w:rsid w:val="00B12C1D"/>
    <w:rsid w:val="00B1384F"/>
    <w:rsid w:val="00B14580"/>
    <w:rsid w:val="00B16A72"/>
    <w:rsid w:val="00B257C6"/>
    <w:rsid w:val="00B32CE5"/>
    <w:rsid w:val="00B33576"/>
    <w:rsid w:val="00B50C48"/>
    <w:rsid w:val="00B57782"/>
    <w:rsid w:val="00B6168A"/>
    <w:rsid w:val="00B675E5"/>
    <w:rsid w:val="00B71865"/>
    <w:rsid w:val="00B90668"/>
    <w:rsid w:val="00B97AEE"/>
    <w:rsid w:val="00BA615F"/>
    <w:rsid w:val="00BA6438"/>
    <w:rsid w:val="00BB27F4"/>
    <w:rsid w:val="00BC1C89"/>
    <w:rsid w:val="00BC6901"/>
    <w:rsid w:val="00BD3373"/>
    <w:rsid w:val="00BD6B4E"/>
    <w:rsid w:val="00BF7B34"/>
    <w:rsid w:val="00C11F3B"/>
    <w:rsid w:val="00C14389"/>
    <w:rsid w:val="00C21546"/>
    <w:rsid w:val="00C240D3"/>
    <w:rsid w:val="00C24E76"/>
    <w:rsid w:val="00C27113"/>
    <w:rsid w:val="00C34A50"/>
    <w:rsid w:val="00C43BCE"/>
    <w:rsid w:val="00C43D87"/>
    <w:rsid w:val="00C464D8"/>
    <w:rsid w:val="00C50CA2"/>
    <w:rsid w:val="00C52C56"/>
    <w:rsid w:val="00C53FCA"/>
    <w:rsid w:val="00C546F8"/>
    <w:rsid w:val="00C565C2"/>
    <w:rsid w:val="00C72161"/>
    <w:rsid w:val="00C743C3"/>
    <w:rsid w:val="00C75E2E"/>
    <w:rsid w:val="00C807ED"/>
    <w:rsid w:val="00C82812"/>
    <w:rsid w:val="00C85976"/>
    <w:rsid w:val="00C91AD7"/>
    <w:rsid w:val="00C951FA"/>
    <w:rsid w:val="00CB03A5"/>
    <w:rsid w:val="00CB1FCA"/>
    <w:rsid w:val="00CB5017"/>
    <w:rsid w:val="00CD07E7"/>
    <w:rsid w:val="00CE0EDA"/>
    <w:rsid w:val="00CE4C15"/>
    <w:rsid w:val="00CE5612"/>
    <w:rsid w:val="00CE713E"/>
    <w:rsid w:val="00D06BB2"/>
    <w:rsid w:val="00D15846"/>
    <w:rsid w:val="00D15A38"/>
    <w:rsid w:val="00D27ED4"/>
    <w:rsid w:val="00D32918"/>
    <w:rsid w:val="00D372FD"/>
    <w:rsid w:val="00D37B75"/>
    <w:rsid w:val="00D41A2C"/>
    <w:rsid w:val="00D548BF"/>
    <w:rsid w:val="00D574C3"/>
    <w:rsid w:val="00D755EF"/>
    <w:rsid w:val="00D82F7F"/>
    <w:rsid w:val="00D87E01"/>
    <w:rsid w:val="00DA1D36"/>
    <w:rsid w:val="00DA1DB8"/>
    <w:rsid w:val="00DA6186"/>
    <w:rsid w:val="00DB184B"/>
    <w:rsid w:val="00DB1BF5"/>
    <w:rsid w:val="00DC297C"/>
    <w:rsid w:val="00DC3783"/>
    <w:rsid w:val="00DC5ACF"/>
    <w:rsid w:val="00DC6811"/>
    <w:rsid w:val="00DC7DCA"/>
    <w:rsid w:val="00DF3526"/>
    <w:rsid w:val="00DF4CE1"/>
    <w:rsid w:val="00DF55C4"/>
    <w:rsid w:val="00DF58F5"/>
    <w:rsid w:val="00DF6819"/>
    <w:rsid w:val="00DF78A3"/>
    <w:rsid w:val="00E021BE"/>
    <w:rsid w:val="00E03EFE"/>
    <w:rsid w:val="00E16659"/>
    <w:rsid w:val="00E229C8"/>
    <w:rsid w:val="00E27E40"/>
    <w:rsid w:val="00E31461"/>
    <w:rsid w:val="00E3225D"/>
    <w:rsid w:val="00E34209"/>
    <w:rsid w:val="00E44516"/>
    <w:rsid w:val="00E45D63"/>
    <w:rsid w:val="00E50DF7"/>
    <w:rsid w:val="00E60380"/>
    <w:rsid w:val="00E637B9"/>
    <w:rsid w:val="00E65D91"/>
    <w:rsid w:val="00E67E3A"/>
    <w:rsid w:val="00E7131E"/>
    <w:rsid w:val="00E739E9"/>
    <w:rsid w:val="00E81D67"/>
    <w:rsid w:val="00E93244"/>
    <w:rsid w:val="00E939BA"/>
    <w:rsid w:val="00EA0594"/>
    <w:rsid w:val="00EA0AD6"/>
    <w:rsid w:val="00EA2C01"/>
    <w:rsid w:val="00EA71A5"/>
    <w:rsid w:val="00EB16D4"/>
    <w:rsid w:val="00EB19E3"/>
    <w:rsid w:val="00EC3895"/>
    <w:rsid w:val="00EC7D78"/>
    <w:rsid w:val="00ED57B0"/>
    <w:rsid w:val="00ED68B7"/>
    <w:rsid w:val="00EF2122"/>
    <w:rsid w:val="00F00C10"/>
    <w:rsid w:val="00F032A9"/>
    <w:rsid w:val="00F0686E"/>
    <w:rsid w:val="00F10F5E"/>
    <w:rsid w:val="00F15ED9"/>
    <w:rsid w:val="00F16211"/>
    <w:rsid w:val="00F20A34"/>
    <w:rsid w:val="00F24DB4"/>
    <w:rsid w:val="00F26DE5"/>
    <w:rsid w:val="00F3292B"/>
    <w:rsid w:val="00F37D6A"/>
    <w:rsid w:val="00F41759"/>
    <w:rsid w:val="00F42FBD"/>
    <w:rsid w:val="00F5002D"/>
    <w:rsid w:val="00F60020"/>
    <w:rsid w:val="00F6116B"/>
    <w:rsid w:val="00F72F3D"/>
    <w:rsid w:val="00F76C7F"/>
    <w:rsid w:val="00F80850"/>
    <w:rsid w:val="00F80FE1"/>
    <w:rsid w:val="00F820E7"/>
    <w:rsid w:val="00F83FDD"/>
    <w:rsid w:val="00F87ACD"/>
    <w:rsid w:val="00F96910"/>
    <w:rsid w:val="00FB73FE"/>
    <w:rsid w:val="00FC021F"/>
    <w:rsid w:val="00FC66AE"/>
    <w:rsid w:val="00FC6FBF"/>
    <w:rsid w:val="00FD2AD6"/>
    <w:rsid w:val="00FD587E"/>
    <w:rsid w:val="00FD67C1"/>
    <w:rsid w:val="00FE4F11"/>
    <w:rsid w:val="00FE5E79"/>
    <w:rsid w:val="00FE74A1"/>
    <w:rsid w:val="00FF005B"/>
    <w:rsid w:val="00FF1C64"/>
    <w:rsid w:val="00FF3A2F"/>
    <w:rsid w:val="00FF4FDE"/>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EF5009"/>
  <w15:chartTrackingRefBased/>
  <w15:docId w15:val="{6DB05423-D438-452E-8225-8461B7B1B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CH"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B32CE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berschrift2">
    <w:name w:val="heading 2"/>
    <w:basedOn w:val="Standard"/>
    <w:next w:val="Standard"/>
    <w:link w:val="berschrift2Zchn"/>
    <w:uiPriority w:val="9"/>
    <w:semiHidden/>
    <w:unhideWhenUsed/>
    <w:qFormat/>
    <w:rsid w:val="00B32CE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berschrift3">
    <w:name w:val="heading 3"/>
    <w:basedOn w:val="Standard"/>
    <w:next w:val="Standard"/>
    <w:link w:val="berschrift3Zchn"/>
    <w:semiHidden/>
    <w:unhideWhenUsed/>
    <w:qFormat/>
    <w:rsid w:val="00B32CE5"/>
    <w:pPr>
      <w:keepNext/>
      <w:keepLines/>
      <w:spacing w:before="160" w:after="80"/>
      <w:outlineLvl w:val="2"/>
    </w:pPr>
    <w:rPr>
      <w:rFonts w:eastAsiaTheme="majorEastAsia" w:cstheme="majorBidi"/>
      <w:color w:val="2F5496" w:themeColor="accent1" w:themeShade="BF"/>
      <w:sz w:val="28"/>
      <w:szCs w:val="28"/>
    </w:rPr>
  </w:style>
  <w:style w:type="paragraph" w:styleId="berschrift4">
    <w:name w:val="heading 4"/>
    <w:basedOn w:val="Standard"/>
    <w:next w:val="Standard"/>
    <w:link w:val="berschrift4Zchn"/>
    <w:uiPriority w:val="9"/>
    <w:semiHidden/>
    <w:unhideWhenUsed/>
    <w:qFormat/>
    <w:rsid w:val="00B32CE5"/>
    <w:pPr>
      <w:keepNext/>
      <w:keepLines/>
      <w:spacing w:before="80" w:after="40"/>
      <w:outlineLvl w:val="3"/>
    </w:pPr>
    <w:rPr>
      <w:rFonts w:eastAsiaTheme="majorEastAsia" w:cstheme="majorBidi"/>
      <w:i/>
      <w:iCs/>
      <w:color w:val="2F5496" w:themeColor="accent1" w:themeShade="BF"/>
    </w:rPr>
  </w:style>
  <w:style w:type="paragraph" w:styleId="berschrift5">
    <w:name w:val="heading 5"/>
    <w:basedOn w:val="Standard"/>
    <w:next w:val="Standard"/>
    <w:link w:val="berschrift5Zchn"/>
    <w:uiPriority w:val="9"/>
    <w:semiHidden/>
    <w:unhideWhenUsed/>
    <w:qFormat/>
    <w:rsid w:val="00B32CE5"/>
    <w:pPr>
      <w:keepNext/>
      <w:keepLines/>
      <w:spacing w:before="80" w:after="40"/>
      <w:outlineLvl w:val="4"/>
    </w:pPr>
    <w:rPr>
      <w:rFonts w:eastAsiaTheme="majorEastAsia" w:cstheme="majorBidi"/>
      <w:color w:val="2F5496" w:themeColor="accent1" w:themeShade="BF"/>
    </w:rPr>
  </w:style>
  <w:style w:type="paragraph" w:styleId="berschrift6">
    <w:name w:val="heading 6"/>
    <w:basedOn w:val="Standard"/>
    <w:next w:val="Standard"/>
    <w:link w:val="berschrift6Zchn"/>
    <w:uiPriority w:val="9"/>
    <w:semiHidden/>
    <w:unhideWhenUsed/>
    <w:qFormat/>
    <w:rsid w:val="00B32CE5"/>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B32CE5"/>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B32CE5"/>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B32CE5"/>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B32CE5"/>
    <w:rPr>
      <w:rFonts w:asciiTheme="majorHAnsi" w:eastAsiaTheme="majorEastAsia" w:hAnsiTheme="majorHAnsi" w:cstheme="majorBidi"/>
      <w:color w:val="2F5496" w:themeColor="accent1" w:themeShade="BF"/>
      <w:sz w:val="40"/>
      <w:szCs w:val="40"/>
    </w:rPr>
  </w:style>
  <w:style w:type="character" w:customStyle="1" w:styleId="berschrift2Zchn">
    <w:name w:val="Überschrift 2 Zchn"/>
    <w:basedOn w:val="Absatz-Standardschriftart"/>
    <w:link w:val="berschrift2"/>
    <w:uiPriority w:val="9"/>
    <w:semiHidden/>
    <w:rsid w:val="00B32CE5"/>
    <w:rPr>
      <w:rFonts w:asciiTheme="majorHAnsi" w:eastAsiaTheme="majorEastAsia" w:hAnsiTheme="majorHAnsi" w:cstheme="majorBidi"/>
      <w:color w:val="2F5496" w:themeColor="accent1" w:themeShade="BF"/>
      <w:sz w:val="32"/>
      <w:szCs w:val="32"/>
    </w:rPr>
  </w:style>
  <w:style w:type="character" w:customStyle="1" w:styleId="berschrift3Zchn">
    <w:name w:val="Überschrift 3 Zchn"/>
    <w:basedOn w:val="Absatz-Standardschriftart"/>
    <w:link w:val="berschrift3"/>
    <w:semiHidden/>
    <w:rsid w:val="00B32CE5"/>
    <w:rPr>
      <w:rFonts w:eastAsiaTheme="majorEastAsia" w:cstheme="majorBidi"/>
      <w:color w:val="2F5496" w:themeColor="accent1" w:themeShade="BF"/>
      <w:sz w:val="28"/>
      <w:szCs w:val="28"/>
    </w:rPr>
  </w:style>
  <w:style w:type="character" w:customStyle="1" w:styleId="berschrift4Zchn">
    <w:name w:val="Überschrift 4 Zchn"/>
    <w:basedOn w:val="Absatz-Standardschriftart"/>
    <w:link w:val="berschrift4"/>
    <w:uiPriority w:val="9"/>
    <w:semiHidden/>
    <w:rsid w:val="00B32CE5"/>
    <w:rPr>
      <w:rFonts w:eastAsiaTheme="majorEastAsia" w:cstheme="majorBidi"/>
      <w:i/>
      <w:iCs/>
      <w:color w:val="2F5496" w:themeColor="accent1" w:themeShade="BF"/>
    </w:rPr>
  </w:style>
  <w:style w:type="character" w:customStyle="1" w:styleId="berschrift5Zchn">
    <w:name w:val="Überschrift 5 Zchn"/>
    <w:basedOn w:val="Absatz-Standardschriftart"/>
    <w:link w:val="berschrift5"/>
    <w:uiPriority w:val="9"/>
    <w:semiHidden/>
    <w:rsid w:val="00B32CE5"/>
    <w:rPr>
      <w:rFonts w:eastAsiaTheme="majorEastAsia" w:cstheme="majorBidi"/>
      <w:color w:val="2F5496" w:themeColor="accent1" w:themeShade="BF"/>
    </w:rPr>
  </w:style>
  <w:style w:type="character" w:customStyle="1" w:styleId="berschrift6Zchn">
    <w:name w:val="Überschrift 6 Zchn"/>
    <w:basedOn w:val="Absatz-Standardschriftart"/>
    <w:link w:val="berschrift6"/>
    <w:uiPriority w:val="9"/>
    <w:semiHidden/>
    <w:rsid w:val="00B32CE5"/>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B32CE5"/>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B32CE5"/>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B32CE5"/>
    <w:rPr>
      <w:rFonts w:eastAsiaTheme="majorEastAsia" w:cstheme="majorBidi"/>
      <w:color w:val="272727" w:themeColor="text1" w:themeTint="D8"/>
    </w:rPr>
  </w:style>
  <w:style w:type="paragraph" w:styleId="Titel">
    <w:name w:val="Title"/>
    <w:basedOn w:val="Standard"/>
    <w:next w:val="Standard"/>
    <w:link w:val="TitelZchn"/>
    <w:uiPriority w:val="10"/>
    <w:qFormat/>
    <w:rsid w:val="00B32C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B32CE5"/>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B32CE5"/>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B32CE5"/>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B32CE5"/>
    <w:pPr>
      <w:spacing w:before="160"/>
      <w:jc w:val="center"/>
    </w:pPr>
    <w:rPr>
      <w:i/>
      <w:iCs/>
      <w:color w:val="404040" w:themeColor="text1" w:themeTint="BF"/>
    </w:rPr>
  </w:style>
  <w:style w:type="character" w:customStyle="1" w:styleId="ZitatZchn">
    <w:name w:val="Zitat Zchn"/>
    <w:basedOn w:val="Absatz-Standardschriftart"/>
    <w:link w:val="Zitat"/>
    <w:uiPriority w:val="29"/>
    <w:rsid w:val="00B32CE5"/>
    <w:rPr>
      <w:i/>
      <w:iCs/>
      <w:color w:val="404040" w:themeColor="text1" w:themeTint="BF"/>
    </w:rPr>
  </w:style>
  <w:style w:type="paragraph" w:styleId="Listenabsatz">
    <w:name w:val="List Paragraph"/>
    <w:basedOn w:val="Standard"/>
    <w:link w:val="ListenabsatzZchn"/>
    <w:qFormat/>
    <w:rsid w:val="00B32CE5"/>
    <w:pPr>
      <w:ind w:left="720"/>
      <w:contextualSpacing/>
    </w:pPr>
  </w:style>
  <w:style w:type="character" w:styleId="IntensiveHervorhebung">
    <w:name w:val="Intense Emphasis"/>
    <w:basedOn w:val="Absatz-Standardschriftart"/>
    <w:uiPriority w:val="21"/>
    <w:qFormat/>
    <w:rsid w:val="00B32CE5"/>
    <w:rPr>
      <w:i/>
      <w:iCs/>
      <w:color w:val="2F5496" w:themeColor="accent1" w:themeShade="BF"/>
    </w:rPr>
  </w:style>
  <w:style w:type="paragraph" w:styleId="IntensivesZitat">
    <w:name w:val="Intense Quote"/>
    <w:basedOn w:val="Standard"/>
    <w:next w:val="Standard"/>
    <w:link w:val="IntensivesZitatZchn"/>
    <w:uiPriority w:val="30"/>
    <w:qFormat/>
    <w:rsid w:val="00B32CE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ivesZitatZchn">
    <w:name w:val="Intensives Zitat Zchn"/>
    <w:basedOn w:val="Absatz-Standardschriftart"/>
    <w:link w:val="IntensivesZitat"/>
    <w:uiPriority w:val="30"/>
    <w:rsid w:val="00B32CE5"/>
    <w:rPr>
      <w:i/>
      <w:iCs/>
      <w:color w:val="2F5496" w:themeColor="accent1" w:themeShade="BF"/>
    </w:rPr>
  </w:style>
  <w:style w:type="character" w:styleId="IntensiverVerweis">
    <w:name w:val="Intense Reference"/>
    <w:basedOn w:val="Absatz-Standardschriftart"/>
    <w:uiPriority w:val="32"/>
    <w:qFormat/>
    <w:rsid w:val="00B32CE5"/>
    <w:rPr>
      <w:b/>
      <w:bCs/>
      <w:smallCaps/>
      <w:color w:val="2F5496" w:themeColor="accent1" w:themeShade="BF"/>
      <w:spacing w:val="5"/>
    </w:rPr>
  </w:style>
  <w:style w:type="paragraph" w:styleId="Funotentext">
    <w:name w:val="footnote text"/>
    <w:basedOn w:val="Standard"/>
    <w:link w:val="FunotentextZchn"/>
    <w:uiPriority w:val="99"/>
    <w:unhideWhenUsed/>
    <w:rsid w:val="00083261"/>
    <w:pPr>
      <w:spacing w:after="0" w:line="240" w:lineRule="auto"/>
    </w:pPr>
    <w:rPr>
      <w:sz w:val="20"/>
      <w:szCs w:val="20"/>
    </w:rPr>
  </w:style>
  <w:style w:type="character" w:customStyle="1" w:styleId="FunotentextZchn">
    <w:name w:val="Fußnotentext Zchn"/>
    <w:basedOn w:val="Absatz-Standardschriftart"/>
    <w:link w:val="Funotentext"/>
    <w:uiPriority w:val="99"/>
    <w:rsid w:val="00083261"/>
    <w:rPr>
      <w:sz w:val="20"/>
      <w:szCs w:val="20"/>
    </w:rPr>
  </w:style>
  <w:style w:type="character" w:styleId="Funotenzeichen">
    <w:name w:val="footnote reference"/>
    <w:basedOn w:val="Absatz-Standardschriftart"/>
    <w:uiPriority w:val="99"/>
    <w:semiHidden/>
    <w:unhideWhenUsed/>
    <w:rsid w:val="00083261"/>
    <w:rPr>
      <w:vertAlign w:val="superscript"/>
    </w:rPr>
  </w:style>
  <w:style w:type="character" w:customStyle="1" w:styleId="ListenabsatzZchn">
    <w:name w:val="Listenabsatz Zchn"/>
    <w:link w:val="Listenabsatz"/>
    <w:qFormat/>
    <w:locked/>
    <w:rsid w:val="00F26DE5"/>
  </w:style>
  <w:style w:type="paragraph" w:styleId="StandardWeb">
    <w:name w:val="Normal (Web)"/>
    <w:basedOn w:val="Standard"/>
    <w:uiPriority w:val="99"/>
    <w:unhideWhenUsed/>
    <w:rsid w:val="00DF3526"/>
    <w:pPr>
      <w:spacing w:before="100" w:beforeAutospacing="1" w:after="100" w:afterAutospacing="1" w:line="240" w:lineRule="auto"/>
    </w:pPr>
    <w:rPr>
      <w:rFonts w:ascii="Times New Roman" w:eastAsia="Times New Roman" w:hAnsi="Times New Roman" w:cs="Times New Roman"/>
      <w:kern w:val="0"/>
      <w:sz w:val="24"/>
      <w:szCs w:val="24"/>
      <w:lang w:eastAsia="de-CH"/>
      <w14:ligatures w14:val="none"/>
    </w:rPr>
  </w:style>
  <w:style w:type="character" w:styleId="Hyperlink">
    <w:name w:val="Hyperlink"/>
    <w:basedOn w:val="Absatz-Standardschriftart"/>
    <w:uiPriority w:val="99"/>
    <w:unhideWhenUsed/>
    <w:rsid w:val="00DF3526"/>
    <w:rPr>
      <w:color w:val="0000FF"/>
      <w:u w:val="single"/>
    </w:rPr>
  </w:style>
  <w:style w:type="paragraph" w:styleId="Kopfzeile">
    <w:name w:val="header"/>
    <w:basedOn w:val="Standard"/>
    <w:link w:val="KopfzeileZchn"/>
    <w:uiPriority w:val="99"/>
    <w:unhideWhenUsed/>
    <w:rsid w:val="00BB27F4"/>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BB27F4"/>
  </w:style>
  <w:style w:type="paragraph" w:styleId="Fuzeile">
    <w:name w:val="footer"/>
    <w:basedOn w:val="Standard"/>
    <w:link w:val="FuzeileZchn"/>
    <w:uiPriority w:val="99"/>
    <w:unhideWhenUsed/>
    <w:rsid w:val="00BB27F4"/>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BB27F4"/>
  </w:style>
  <w:style w:type="character" w:styleId="NichtaufgelsteErwhnung">
    <w:name w:val="Unresolved Mention"/>
    <w:basedOn w:val="Absatz-Standardschriftart"/>
    <w:uiPriority w:val="99"/>
    <w:semiHidden/>
    <w:unhideWhenUsed/>
    <w:rsid w:val="00756E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DEFC87-1737-4793-B72D-1D0840E7D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2979</Words>
  <Characters>16539</Characters>
  <Application>Microsoft Office Word</Application>
  <DocSecurity>0</DocSecurity>
  <Lines>359</Lines>
  <Paragraphs>111</Paragraphs>
  <ScaleCrop>false</ScaleCrop>
  <HeadingPairs>
    <vt:vector size="4" baseType="variant">
      <vt:variant>
        <vt:lpstr>Titel</vt:lpstr>
      </vt:variant>
      <vt:variant>
        <vt:i4>1</vt:i4>
      </vt:variant>
      <vt:variant>
        <vt:lpstr>Überschriften</vt:lpstr>
      </vt:variant>
      <vt:variant>
        <vt:i4>2</vt:i4>
      </vt:variant>
    </vt:vector>
  </HeadingPairs>
  <TitlesOfParts>
    <vt:vector size="3" baseType="lpstr">
      <vt:lpstr/>
      <vt:lpstr>        THIS SHEET MUST BE THE FIRST PAGE OF THE ASSIGNMENT YOU ARE SUBMITTING (DO NOT S</vt:lpstr>
      <vt:lpstr>        </vt:lpstr>
    </vt:vector>
  </TitlesOfParts>
  <Company/>
  <LinksUpToDate>false</LinksUpToDate>
  <CharactersWithSpaces>19407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Hofman</dc:creator>
  <cp:keywords/>
  <dc:description/>
  <cp:lastModifiedBy>Andrea Hofman</cp:lastModifiedBy>
  <cp:revision>5</cp:revision>
  <cp:lastPrinted>2025-11-10T15:43:00Z</cp:lastPrinted>
  <dcterms:created xsi:type="dcterms:W3CDTF">2025-11-12T13:10:00Z</dcterms:created>
  <dcterms:modified xsi:type="dcterms:W3CDTF">2025-11-12T18:04:00Z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d81bb82e-8336-420f-a9e9-29344bf7b6b7</vt:lpwstr>
  </property>
</Properties>
</file>