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FB7" w:rsidRDefault="00FF7FB7" w:rsidP="00FF7FB7">
      <w:pPr>
        <w:jc w:val="center"/>
        <w:rPr>
          <w:rFonts w:ascii="Segoe UI" w:hAnsi="Segoe UI" w:cs="Segoe UI"/>
          <w:color w:val="1C1917"/>
          <w:sz w:val="27"/>
          <w:szCs w:val="27"/>
          <w:shd w:val="clear" w:color="auto" w:fill="FFFFFF"/>
        </w:rPr>
      </w:pPr>
    </w:p>
    <w:p w:rsidR="00FF7FB7" w:rsidRDefault="00FF7FB7" w:rsidP="00FF7FB7">
      <w:pPr>
        <w:jc w:val="center"/>
        <w:rPr>
          <w:rFonts w:ascii="Segoe UI" w:hAnsi="Segoe UI" w:cs="Segoe UI"/>
          <w:color w:val="1C1917"/>
          <w:sz w:val="27"/>
          <w:szCs w:val="27"/>
          <w:shd w:val="clear" w:color="auto" w:fill="FFFFFF"/>
        </w:rPr>
      </w:pPr>
    </w:p>
    <w:p w:rsidR="00FF7FB7" w:rsidRDefault="00FF7FB7" w:rsidP="00FF7FB7">
      <w:pPr>
        <w:jc w:val="center"/>
        <w:rPr>
          <w:rFonts w:ascii="Segoe UI" w:hAnsi="Segoe UI" w:cs="Segoe UI"/>
          <w:color w:val="1C1917"/>
          <w:sz w:val="27"/>
          <w:szCs w:val="27"/>
          <w:shd w:val="clear" w:color="auto" w:fill="FFFFFF"/>
        </w:rPr>
      </w:pPr>
    </w:p>
    <w:p w:rsidR="00FF7FB7" w:rsidRDefault="00FF7FB7" w:rsidP="00FF7FB7">
      <w:pPr>
        <w:jc w:val="center"/>
        <w:rPr>
          <w:rFonts w:ascii="Segoe UI" w:hAnsi="Segoe UI" w:cs="Segoe UI"/>
          <w:color w:val="1C1917"/>
          <w:sz w:val="27"/>
          <w:szCs w:val="27"/>
          <w:shd w:val="clear" w:color="auto" w:fill="FFFFFF"/>
        </w:rPr>
      </w:pPr>
    </w:p>
    <w:p w:rsidR="00FF7FB7" w:rsidRDefault="00FF7FB7" w:rsidP="00FF7FB7">
      <w:pPr>
        <w:jc w:val="center"/>
        <w:rPr>
          <w:rFonts w:ascii="Segoe UI" w:hAnsi="Segoe UI" w:cs="Segoe UI"/>
          <w:color w:val="1C1917"/>
          <w:sz w:val="27"/>
          <w:szCs w:val="27"/>
          <w:shd w:val="clear" w:color="auto" w:fill="FFFFFF"/>
        </w:rPr>
      </w:pPr>
    </w:p>
    <w:p w:rsidR="009A23C4" w:rsidRPr="00FF7FB7" w:rsidRDefault="009A23C4" w:rsidP="00FF7FB7">
      <w:pPr>
        <w:jc w:val="center"/>
        <w:rPr>
          <w:rFonts w:ascii="Segoe UI" w:hAnsi="Segoe UI" w:cs="Segoe UI"/>
          <w:i/>
          <w:color w:val="1C1917"/>
          <w:sz w:val="40"/>
          <w:szCs w:val="40"/>
          <w:shd w:val="clear" w:color="auto" w:fill="FFFFFF"/>
        </w:rPr>
      </w:pPr>
      <w:r w:rsidRPr="00FF7FB7">
        <w:rPr>
          <w:rFonts w:ascii="Segoe UI" w:hAnsi="Segoe UI" w:cs="Segoe UI"/>
          <w:i/>
          <w:color w:val="1C1917"/>
          <w:sz w:val="40"/>
          <w:szCs w:val="40"/>
          <w:shd w:val="clear" w:color="auto" w:fill="FFFFFF"/>
        </w:rPr>
        <w:t>Managing Currency Risk in Global Markets: Strategies for Multinational Corporations</w:t>
      </w:r>
    </w:p>
    <w:p w:rsidR="00FF7FB7" w:rsidRPr="00FF7FB7" w:rsidRDefault="00FF7FB7">
      <w:pPr>
        <w:rPr>
          <w:i/>
          <w:sz w:val="40"/>
          <w:szCs w:val="40"/>
        </w:rPr>
      </w:pPr>
    </w:p>
    <w:p w:rsidR="009A23C4" w:rsidRDefault="009A23C4"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bookmarkStart w:id="0" w:name="_GoBack"/>
      <w:bookmarkEnd w:id="0"/>
    </w:p>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FF7FB7" w:rsidRDefault="00FF7FB7" w:rsidP="009A23C4"/>
    <w:p w:rsidR="009A23C4" w:rsidRDefault="009A23C4">
      <w:pPr>
        <w:pStyle w:val="TOCHeading"/>
      </w:pPr>
    </w:p>
    <w:sdt>
      <w:sdtPr>
        <w:id w:val="1723094530"/>
        <w:docPartObj>
          <w:docPartGallery w:val="Table of Contents"/>
          <w:docPartUnique/>
        </w:docPartObj>
      </w:sdtPr>
      <w:sdtEndPr>
        <w:rPr>
          <w:b/>
          <w:bCs/>
          <w:noProof/>
        </w:rPr>
      </w:sdtEndPr>
      <w:sdtContent>
        <w:p w:rsidR="009A23C4" w:rsidRPr="009A23C4" w:rsidRDefault="009A23C4" w:rsidP="009A23C4">
          <w:pPr>
            <w:rPr>
              <w:i/>
            </w:rPr>
          </w:pPr>
          <w:r w:rsidRPr="009A23C4">
            <w:rPr>
              <w:i/>
            </w:rPr>
            <w:t>Table of Contents</w:t>
          </w:r>
        </w:p>
        <w:p w:rsidR="009A23C4" w:rsidRDefault="009A23C4" w:rsidP="009A23C4"/>
        <w:p w:rsidR="0030075D" w:rsidRDefault="009A23C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53901219" w:history="1">
            <w:r w:rsidR="0030075D" w:rsidRPr="007C7D0E">
              <w:rPr>
                <w:rStyle w:val="Hyperlink"/>
                <w:i/>
                <w:noProof/>
              </w:rPr>
              <w:t>Introduction</w:t>
            </w:r>
            <w:r w:rsidR="0030075D">
              <w:rPr>
                <w:noProof/>
                <w:webHidden/>
              </w:rPr>
              <w:tab/>
            </w:r>
            <w:r w:rsidR="0030075D">
              <w:rPr>
                <w:noProof/>
                <w:webHidden/>
              </w:rPr>
              <w:fldChar w:fldCharType="begin"/>
            </w:r>
            <w:r w:rsidR="0030075D">
              <w:rPr>
                <w:noProof/>
                <w:webHidden/>
              </w:rPr>
              <w:instrText xml:space="preserve"> PAGEREF _Toc153901219 \h </w:instrText>
            </w:r>
            <w:r w:rsidR="0030075D">
              <w:rPr>
                <w:noProof/>
                <w:webHidden/>
              </w:rPr>
            </w:r>
            <w:r w:rsidR="0030075D">
              <w:rPr>
                <w:noProof/>
                <w:webHidden/>
              </w:rPr>
              <w:fldChar w:fldCharType="separate"/>
            </w:r>
            <w:r w:rsidR="0030075D">
              <w:rPr>
                <w:noProof/>
                <w:webHidden/>
              </w:rPr>
              <w:t>3</w:t>
            </w:r>
            <w:r w:rsidR="0030075D">
              <w:rPr>
                <w:noProof/>
                <w:webHidden/>
              </w:rPr>
              <w:fldChar w:fldCharType="end"/>
            </w:r>
          </w:hyperlink>
        </w:p>
        <w:p w:rsidR="0030075D" w:rsidRDefault="0030075D">
          <w:pPr>
            <w:pStyle w:val="TOC1"/>
            <w:tabs>
              <w:tab w:val="right" w:leader="dot" w:pos="9016"/>
            </w:tabs>
            <w:rPr>
              <w:rFonts w:eastAsiaTheme="minorEastAsia"/>
              <w:noProof/>
              <w:lang w:eastAsia="en-GB"/>
            </w:rPr>
          </w:pPr>
          <w:hyperlink w:anchor="_Toc153901220" w:history="1">
            <w:r w:rsidRPr="007C7D0E">
              <w:rPr>
                <w:rStyle w:val="Hyperlink"/>
                <w:i/>
                <w:noProof/>
              </w:rPr>
              <w:t>Body</w:t>
            </w:r>
            <w:r>
              <w:rPr>
                <w:noProof/>
                <w:webHidden/>
              </w:rPr>
              <w:tab/>
            </w:r>
            <w:r>
              <w:rPr>
                <w:noProof/>
                <w:webHidden/>
              </w:rPr>
              <w:fldChar w:fldCharType="begin"/>
            </w:r>
            <w:r>
              <w:rPr>
                <w:noProof/>
                <w:webHidden/>
              </w:rPr>
              <w:instrText xml:space="preserve"> PAGEREF _Toc153901220 \h </w:instrText>
            </w:r>
            <w:r>
              <w:rPr>
                <w:noProof/>
                <w:webHidden/>
              </w:rPr>
            </w:r>
            <w:r>
              <w:rPr>
                <w:noProof/>
                <w:webHidden/>
              </w:rPr>
              <w:fldChar w:fldCharType="separate"/>
            </w:r>
            <w:r>
              <w:rPr>
                <w:noProof/>
                <w:webHidden/>
              </w:rPr>
              <w:t>3</w:t>
            </w:r>
            <w:r>
              <w:rPr>
                <w:noProof/>
                <w:webHidden/>
              </w:rPr>
              <w:fldChar w:fldCharType="end"/>
            </w:r>
          </w:hyperlink>
        </w:p>
        <w:p w:rsidR="0030075D" w:rsidRDefault="0030075D">
          <w:pPr>
            <w:pStyle w:val="TOC1"/>
            <w:tabs>
              <w:tab w:val="right" w:leader="dot" w:pos="9016"/>
            </w:tabs>
            <w:rPr>
              <w:rFonts w:eastAsiaTheme="minorEastAsia"/>
              <w:noProof/>
              <w:lang w:eastAsia="en-GB"/>
            </w:rPr>
          </w:pPr>
          <w:hyperlink w:anchor="_Toc153901221" w:history="1">
            <w:r w:rsidRPr="007C7D0E">
              <w:rPr>
                <w:rStyle w:val="Hyperlink"/>
                <w:i/>
                <w:noProof/>
              </w:rPr>
              <w:t>Conclusion</w:t>
            </w:r>
            <w:r>
              <w:rPr>
                <w:noProof/>
                <w:webHidden/>
              </w:rPr>
              <w:tab/>
            </w:r>
            <w:r>
              <w:rPr>
                <w:noProof/>
                <w:webHidden/>
              </w:rPr>
              <w:fldChar w:fldCharType="begin"/>
            </w:r>
            <w:r>
              <w:rPr>
                <w:noProof/>
                <w:webHidden/>
              </w:rPr>
              <w:instrText xml:space="preserve"> PAGEREF _Toc153901221 \h </w:instrText>
            </w:r>
            <w:r>
              <w:rPr>
                <w:noProof/>
                <w:webHidden/>
              </w:rPr>
            </w:r>
            <w:r>
              <w:rPr>
                <w:noProof/>
                <w:webHidden/>
              </w:rPr>
              <w:fldChar w:fldCharType="separate"/>
            </w:r>
            <w:r>
              <w:rPr>
                <w:noProof/>
                <w:webHidden/>
              </w:rPr>
              <w:t>6</w:t>
            </w:r>
            <w:r>
              <w:rPr>
                <w:noProof/>
                <w:webHidden/>
              </w:rPr>
              <w:fldChar w:fldCharType="end"/>
            </w:r>
          </w:hyperlink>
        </w:p>
        <w:p w:rsidR="0030075D" w:rsidRDefault="0030075D">
          <w:pPr>
            <w:pStyle w:val="TOC1"/>
            <w:tabs>
              <w:tab w:val="right" w:leader="dot" w:pos="9016"/>
            </w:tabs>
            <w:rPr>
              <w:rFonts w:eastAsiaTheme="minorEastAsia"/>
              <w:noProof/>
              <w:lang w:eastAsia="en-GB"/>
            </w:rPr>
          </w:pPr>
          <w:hyperlink w:anchor="_Toc153901222" w:history="1">
            <w:r w:rsidRPr="007C7D0E">
              <w:rPr>
                <w:rStyle w:val="Hyperlink"/>
                <w:i/>
                <w:noProof/>
              </w:rPr>
              <w:t>References</w:t>
            </w:r>
            <w:r>
              <w:rPr>
                <w:noProof/>
                <w:webHidden/>
              </w:rPr>
              <w:tab/>
            </w:r>
            <w:r>
              <w:rPr>
                <w:noProof/>
                <w:webHidden/>
              </w:rPr>
              <w:fldChar w:fldCharType="begin"/>
            </w:r>
            <w:r>
              <w:rPr>
                <w:noProof/>
                <w:webHidden/>
              </w:rPr>
              <w:instrText xml:space="preserve"> PAGEREF _Toc153901222 \h </w:instrText>
            </w:r>
            <w:r>
              <w:rPr>
                <w:noProof/>
                <w:webHidden/>
              </w:rPr>
            </w:r>
            <w:r>
              <w:rPr>
                <w:noProof/>
                <w:webHidden/>
              </w:rPr>
              <w:fldChar w:fldCharType="separate"/>
            </w:r>
            <w:r>
              <w:rPr>
                <w:noProof/>
                <w:webHidden/>
              </w:rPr>
              <w:t>7</w:t>
            </w:r>
            <w:r>
              <w:rPr>
                <w:noProof/>
                <w:webHidden/>
              </w:rPr>
              <w:fldChar w:fldCharType="end"/>
            </w:r>
          </w:hyperlink>
        </w:p>
        <w:p w:rsidR="009A23C4" w:rsidRDefault="009A23C4">
          <w:r>
            <w:rPr>
              <w:b/>
              <w:bCs/>
              <w:noProof/>
            </w:rPr>
            <w:fldChar w:fldCharType="end"/>
          </w:r>
        </w:p>
      </w:sdtContent>
    </w:sdt>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Default="009A23C4"/>
    <w:p w:rsidR="009A23C4" w:rsidRPr="009A23C4" w:rsidRDefault="009A23C4" w:rsidP="009A23C4">
      <w:pPr>
        <w:pStyle w:val="Heading1"/>
        <w:rPr>
          <w:i/>
        </w:rPr>
      </w:pPr>
      <w:bookmarkStart w:id="1" w:name="_Toc153901219"/>
      <w:r w:rsidRPr="009A23C4">
        <w:rPr>
          <w:i/>
        </w:rPr>
        <w:t>Introduction</w:t>
      </w:r>
      <w:bookmarkEnd w:id="1"/>
    </w:p>
    <w:p w:rsidR="009A23C4" w:rsidRPr="009A23C4" w:rsidRDefault="009A23C4" w:rsidP="009A23C4"/>
    <w:p w:rsidR="001D4C8C" w:rsidRDefault="001D4C8C" w:rsidP="009A23C4">
      <w:pPr>
        <w:spacing w:line="360" w:lineRule="auto"/>
        <w:jc w:val="both"/>
      </w:pPr>
      <w:r>
        <w:t>Multinational corporations (MNCs) operating and transacting in multiple currencies face substantial foreign exchange risk when operating and transacting abroad. Foreign exchange risk refers to how changes in foreign exchange rates could negatively impact cash flows, assets, liabilities or financial statements of an MNC (Madura, 2022). Multinationals usually employ various strategies to manage this risk such as internal and external hedging techniques, adapting financial and operational strategies accordingly and taking speculative currency positions (</w:t>
      </w:r>
      <w:proofErr w:type="spellStart"/>
      <w:r>
        <w:t>Czinkota</w:t>
      </w:r>
      <w:proofErr w:type="spellEnd"/>
      <w:r>
        <w:t xml:space="preserve"> et al, 2019).</w:t>
      </w:r>
    </w:p>
    <w:p w:rsidR="0030075D" w:rsidRDefault="0030075D" w:rsidP="0030075D">
      <w:pPr>
        <w:pStyle w:val="Heading1"/>
        <w:rPr>
          <w:i/>
        </w:rPr>
      </w:pPr>
      <w:bookmarkStart w:id="2" w:name="_Toc153901220"/>
      <w:r w:rsidRPr="0030075D">
        <w:rPr>
          <w:i/>
        </w:rPr>
        <w:t>Body</w:t>
      </w:r>
      <w:bookmarkEnd w:id="2"/>
    </w:p>
    <w:p w:rsidR="0030075D" w:rsidRPr="0030075D" w:rsidRDefault="0030075D" w:rsidP="0030075D"/>
    <w:p w:rsidR="001D4C8C" w:rsidRDefault="001D4C8C" w:rsidP="009A23C4">
      <w:pPr>
        <w:spacing w:line="360" w:lineRule="auto"/>
        <w:jc w:val="both"/>
      </w:pPr>
      <w:r>
        <w:t>Internal hedging strategies refer to methods that adjust operations within a company to mitigate foreign exchange risk. Such measures could include matching currency flows between inflows and outflows, adjusting prices in response to currency fluctuations, managing currency exposure through invoicing strategies or localising inputs and operations (</w:t>
      </w:r>
      <w:proofErr w:type="spellStart"/>
      <w:r>
        <w:t>Eiteman</w:t>
      </w:r>
      <w:proofErr w:type="spellEnd"/>
      <w:r>
        <w:t xml:space="preserve"> et al, 2016). For instance, companies could invoice exports and imports in local currency while billing imports in foreign currency to minimize transaction exposure from currency fluctuations (</w:t>
      </w:r>
      <w:proofErr w:type="spellStart"/>
      <w:r>
        <w:t>Czinkota</w:t>
      </w:r>
      <w:proofErr w:type="spellEnd"/>
      <w:r>
        <w:t xml:space="preserve"> et al, 2019). Finally, localising operations reduce currency risk as both costs and revenues denominated in local currency (</w:t>
      </w:r>
      <w:proofErr w:type="spellStart"/>
      <w:r>
        <w:t>Eiteman</w:t>
      </w:r>
      <w:proofErr w:type="spellEnd"/>
      <w:r>
        <w:t xml:space="preserve"> et al, 2016).</w:t>
      </w:r>
    </w:p>
    <w:p w:rsidR="001D4C8C" w:rsidRDefault="001D4C8C" w:rsidP="009A23C4">
      <w:pPr>
        <w:spacing w:line="360" w:lineRule="auto"/>
        <w:jc w:val="both"/>
      </w:pPr>
      <w:r>
        <w:t xml:space="preserve">External Hedging techniques refer to the use of derivative instruments like forwards, futures, options and swaps to manage currency risk. Forwards allow companies to lock-in an exchange rate for future foreign currency transactions; futures act in a similar fashion for standardised contracts on exchanges; options allow you to buy or sell currency at set rates in future; while currency swaps enable the swapping of loan payments and principal in different currencies (Madura, 2022). Such instruments can effectively hedge both transaction and translation risks - </w:t>
      </w:r>
      <w:proofErr w:type="spellStart"/>
      <w:r>
        <w:t>Eiteman</w:t>
      </w:r>
      <w:proofErr w:type="spellEnd"/>
      <w:r>
        <w:t xml:space="preserve"> et al (2016) detail how Intel used options and swaps to hedge EUR2.5 billion over three years for sales revenue over three years!</w:t>
      </w:r>
    </w:p>
    <w:p w:rsidR="001D4C8C" w:rsidRDefault="001D4C8C" w:rsidP="009A23C4">
      <w:pPr>
        <w:spacing w:line="360" w:lineRule="auto"/>
        <w:jc w:val="both"/>
      </w:pPr>
      <w:r>
        <w:t xml:space="preserve">MNCs can manage foreign exchange risks through more extensive financial and operational strategies besides simply using specific hedging methods, including diversifying financing through multiple currencies in order to reduce over-reliance on one volatile one, adapting investment appraisal metrics to accommodate for currency risk, matching currency flows through operational adjustments, and maintaining a currency risk management policy (Berk &amp; </w:t>
      </w:r>
      <w:proofErr w:type="spellStart"/>
      <w:r>
        <w:t>DeMarzo</w:t>
      </w:r>
      <w:proofErr w:type="spellEnd"/>
      <w:r>
        <w:t xml:space="preserve"> 2017). Maintaining low debt levels also offers financial flexibility to withstand currency fluctuations.</w:t>
      </w:r>
    </w:p>
    <w:p w:rsidR="001D4C8C" w:rsidRDefault="001D4C8C" w:rsidP="009A23C4">
      <w:pPr>
        <w:spacing w:line="360" w:lineRule="auto"/>
        <w:jc w:val="both"/>
      </w:pPr>
      <w:r>
        <w:lastRenderedPageBreak/>
        <w:t>Some MNCs also engage in more speculative strategies by either leaving certain currency exposures unhedged or taking one-sided currency positions to anticipate currency movements (Madura, 2022). While such speculation can increase potential risks significantly as currencies can be extremely unpredictable.</w:t>
      </w:r>
    </w:p>
    <w:p w:rsidR="001D4C8C" w:rsidRDefault="001D4C8C" w:rsidP="009A23C4">
      <w:pPr>
        <w:spacing w:line="360" w:lineRule="auto"/>
        <w:jc w:val="both"/>
      </w:pPr>
      <w:r>
        <w:t>Internal hedging methods offer many advantages when evaluating strategies, as they allow businesses to directly reduce currency risk without incurring the transaction costs associated with external derivatives (</w:t>
      </w:r>
      <w:proofErr w:type="spellStart"/>
      <w:r>
        <w:t>Czinkota</w:t>
      </w:r>
      <w:proofErr w:type="spellEnd"/>
      <w:r>
        <w:t xml:space="preserve"> et al, 2019). External hedges offer greater flexibility through customisable instruments; however hedging doesn't completely eliminate currency risk and derivatives can expose companies to counterparty and basis risk (Berk &amp; </w:t>
      </w:r>
      <w:proofErr w:type="spellStart"/>
      <w:r>
        <w:t>DeMarzo</w:t>
      </w:r>
      <w:proofErr w:type="spellEnd"/>
      <w:r>
        <w:t>, 2017). Altering financial and operational parameters provides a prudential approach while restricting global expansion while speculation can create windfall gains but also cause unexpected and significant losses that cannot be predicted or anticipated by management (</w:t>
      </w:r>
      <w:proofErr w:type="spellStart"/>
      <w:r>
        <w:t>Czinkota</w:t>
      </w:r>
      <w:proofErr w:type="spellEnd"/>
      <w:r>
        <w:t xml:space="preserve"> et al, 2019).</w:t>
      </w:r>
    </w:p>
    <w:p w:rsidR="001D4C8C" w:rsidRDefault="001D4C8C" w:rsidP="009A23C4">
      <w:pPr>
        <w:spacing w:line="360" w:lineRule="auto"/>
        <w:jc w:val="both"/>
      </w:pPr>
      <w:r>
        <w:t>Empirical evidence on currency hedging indicates that larger firms with greater international operations tend to hedge more of their currency exposure using options and forwards as instruments (</w:t>
      </w:r>
      <w:proofErr w:type="spellStart"/>
      <w:r>
        <w:t>Allayannis</w:t>
      </w:r>
      <w:proofErr w:type="spellEnd"/>
      <w:r>
        <w:t xml:space="preserve"> &amp; </w:t>
      </w:r>
      <w:proofErr w:type="spellStart"/>
      <w:r>
        <w:t>Ofek</w:t>
      </w:r>
      <w:proofErr w:type="spellEnd"/>
      <w:r>
        <w:t>, 2001; Elliott et al, 2003). Surveys reveal 65-90% of firms engage in some hedging activity (</w:t>
      </w:r>
      <w:proofErr w:type="spellStart"/>
      <w:r>
        <w:t>Bodnar</w:t>
      </w:r>
      <w:proofErr w:type="spellEnd"/>
      <w:r>
        <w:t xml:space="preserve"> et al, 1998; </w:t>
      </w:r>
      <w:proofErr w:type="spellStart"/>
      <w:r>
        <w:t>Almazari</w:t>
      </w:r>
      <w:proofErr w:type="spellEnd"/>
      <w:r>
        <w:t>, 2021), although optimal hedging levels vary considerably based on industry country factors so tailored strategies may be preferable over blanket policies (Clark &amp; Judge, 2008; Hutson &amp; Stevenson 2010).</w:t>
      </w:r>
    </w:p>
    <w:p w:rsidR="001D4C8C" w:rsidRDefault="001D4C8C" w:rsidP="009A23C4">
      <w:pPr>
        <w:spacing w:line="360" w:lineRule="auto"/>
        <w:jc w:val="both"/>
      </w:pPr>
      <w:r>
        <w:t>Conclusion While numerous currency risk management strategies exist, effective implementation must take account of industry and country-specific considerations when choosing which strategies to utilize. A multi-pronged approach using operational and financial hedges as part of strategic planning alongside flexible hedging techniques provides optimal protection from currency risk while keeping global competitiveness intact. Speculation should supplement rather than dominate currency risk management while further research into cost-effective low cost hedging methods could provide invaluable guidance for multinational corporations facing growing global currency volatility.</w:t>
      </w:r>
    </w:p>
    <w:p w:rsidR="001D4C8C" w:rsidRDefault="001D4C8C" w:rsidP="009A23C4">
      <w:pPr>
        <w:spacing w:line="360" w:lineRule="auto"/>
        <w:jc w:val="both"/>
      </w:pPr>
      <w:r>
        <w:t xml:space="preserve">Operability and Financial Hedging Techniques of Hedging for Multinational Corporations Reconciling operational hedging strategies with financial hedging techniques requires multinational corporations to carefully weigh up a series of </w:t>
      </w:r>
      <w:proofErr w:type="spellStart"/>
      <w:r>
        <w:t>tradeoffs</w:t>
      </w:r>
      <w:proofErr w:type="spellEnd"/>
      <w:r>
        <w:t xml:space="preserve"> when selecting their approach to risk mitigation. Adjusting invoicing, production, sourcing and financing to balance currency exposures across currencies provides direct risk mitigation but may inhibit competitiveness, growth and market responsiveness (</w:t>
      </w:r>
      <w:proofErr w:type="spellStart"/>
      <w:r>
        <w:t>Czinkota</w:t>
      </w:r>
      <w:proofErr w:type="spellEnd"/>
      <w:r>
        <w:t xml:space="preserve"> et al, 2019). External Hedging instruments offer extensive customization of risk management - however these instruments typically incur direct or indirect costs from counterparty risks between </w:t>
      </w:r>
      <w:r>
        <w:lastRenderedPageBreak/>
        <w:t xml:space="preserve">derivative contracts as well as basis or timing differences as well as implementation complexities (Berk &amp; </w:t>
      </w:r>
      <w:proofErr w:type="spellStart"/>
      <w:r>
        <w:t>DeMarzo</w:t>
      </w:r>
      <w:proofErr w:type="spellEnd"/>
      <w:r>
        <w:t xml:space="preserve"> 2017).</w:t>
      </w:r>
    </w:p>
    <w:p w:rsidR="001D4C8C" w:rsidRDefault="001D4C8C" w:rsidP="009A23C4">
      <w:pPr>
        <w:spacing w:line="360" w:lineRule="auto"/>
        <w:jc w:val="both"/>
      </w:pPr>
      <w:r>
        <w:t xml:space="preserve">These </w:t>
      </w:r>
      <w:proofErr w:type="spellStart"/>
      <w:r>
        <w:t>tradeoffs</w:t>
      </w:r>
      <w:proofErr w:type="spellEnd"/>
      <w:r>
        <w:t xml:space="preserve"> demonstrate why a selective, adaptive, and hybrid approach is required, with careful use of financial and operational hedges based on a careful assessment of exposures, costs and market conditions. </w:t>
      </w:r>
      <w:proofErr w:type="spellStart"/>
      <w:r>
        <w:t>Eiteman</w:t>
      </w:r>
      <w:proofErr w:type="spellEnd"/>
      <w:r>
        <w:t xml:space="preserve"> et al (2016) advocate assessing key currency risks through sensitivity analyses of financial statements, cash flows and competitiveness to identify maximum acceptable exposure. After this step has been completed, using risk management methods tailored specifically for your exposure profile is suggested. Strategic planning with foresight analysis for future currency needs are vital when employing operational hedges which inherently shape transactions, investments and global market footprint.</w:t>
      </w:r>
    </w:p>
    <w:p w:rsidR="001D4C8C" w:rsidRDefault="001D4C8C" w:rsidP="009A23C4">
      <w:pPr>
        <w:spacing w:line="360" w:lineRule="auto"/>
        <w:jc w:val="both"/>
      </w:pPr>
      <w:r>
        <w:t xml:space="preserve">Country factors also significantly determine appropriate currency risk management strategies. Emerging market currencies experience greater fluctuations due to macroeconomic and political risks; their derivative markets tend to be underdeveloped; as a result, emerging market currencies require greater operational adjustments or maintaining low leverage as key </w:t>
      </w:r>
      <w:proofErr w:type="spellStart"/>
      <w:r>
        <w:t>defense</w:t>
      </w:r>
      <w:proofErr w:type="spellEnd"/>
      <w:r>
        <w:t xml:space="preserve"> mechanisms (</w:t>
      </w:r>
      <w:proofErr w:type="spellStart"/>
      <w:r>
        <w:t>Almazari</w:t>
      </w:r>
      <w:proofErr w:type="spellEnd"/>
      <w:r>
        <w:t>, 2021). Established economies provide deeper hedging markets but often experience persistent exchange rate misalignments between trade partners that necessitate using currency hedges alongside responding trade policies or supply chain adjustments (</w:t>
      </w:r>
      <w:proofErr w:type="spellStart"/>
      <w:r>
        <w:t>Czinkota</w:t>
      </w:r>
      <w:proofErr w:type="spellEnd"/>
      <w:r>
        <w:t xml:space="preserve"> et al, 2019).</w:t>
      </w:r>
    </w:p>
    <w:p w:rsidR="001D4C8C" w:rsidRDefault="001D4C8C" w:rsidP="009A23C4">
      <w:pPr>
        <w:spacing w:line="360" w:lineRule="auto"/>
        <w:jc w:val="both"/>
      </w:pPr>
      <w:r>
        <w:t>Research demonstrates the significance of industry influences as well, with research showing the use of foreign currency derivatives differing widely between industries based on competitive exposure to exchange rates. Elliott et al (2003) discovered that industries engaging in foreign outsourcing, imported inputs and dollar invoicing typically hedge more of their currency risk as exchange rates can directly influence costs and hence relative competitiveness. International scale and production flexibility enable manufacturing, resources and technology firms to successfully hedge currency risk through switching production across countries when currencies fluctuate (</w:t>
      </w:r>
      <w:proofErr w:type="spellStart"/>
      <w:r>
        <w:t>Dohring</w:t>
      </w:r>
      <w:proofErr w:type="spellEnd"/>
      <w:r>
        <w:t xml:space="preserve"> 2008). Service industries tend to be more vulnerable due to revenue streams from abroad not easily being replaced across locations when currencies decline (</w:t>
      </w:r>
      <w:proofErr w:type="spellStart"/>
      <w:r>
        <w:t>Dohring</w:t>
      </w:r>
      <w:proofErr w:type="spellEnd"/>
      <w:r>
        <w:t xml:space="preserve"> 2008), necessitating more creative financial and operational hedging solutions for service firms.</w:t>
      </w:r>
    </w:p>
    <w:p w:rsidR="001D4C8C" w:rsidRDefault="001D4C8C" w:rsidP="009A23C4">
      <w:pPr>
        <w:spacing w:line="360" w:lineRule="auto"/>
        <w:jc w:val="both"/>
      </w:pPr>
      <w:r>
        <w:t>Empirical evidence clearly supports adaptive "managed float" strategies which adjust hedging amounts based on market conditions are superior to inflexible policies hedging a fixed proportion (Clark &amp; Judge 2008; Hutson &amp; Stevenson 2010). Since currencies follow volatile and unpredictable trajectories, regular assessments and adjustments to your mix of operational and financial risk management instruments is key; research recommends keeping hedge levels between one-third to two-thirds due to costs, residual basis risks, and foregone upside.</w:t>
      </w:r>
    </w:p>
    <w:p w:rsidR="001D4C8C" w:rsidRDefault="001D4C8C" w:rsidP="009A23C4">
      <w:pPr>
        <w:spacing w:line="360" w:lineRule="auto"/>
        <w:jc w:val="both"/>
      </w:pPr>
      <w:r>
        <w:lastRenderedPageBreak/>
        <w:t>Managing complex currency risks in today's global markets demands a highly tailored, adaptive and strategic approach by multinationals using both financial and operational hedges with discretion. Customising and fine-tuning this mixture should be determined based on rigorous financial analysis and foresight of currency exposures; consideration of costs and risks related to hedging across specific firm/country contexts; responsiveness to changing currency trajectory impacts as well as competitiveness issues; as well as striking a balance between prudent risk mitigation with maintaining exposure to positive exchange rate movements; seeking multiple avenues of risk reduction whilst remaining flexible is vital in managing global currency volatility effectively.</w:t>
      </w:r>
    </w:p>
    <w:p w:rsidR="001D4C8C" w:rsidRDefault="001D4C8C" w:rsidP="009A23C4">
      <w:pPr>
        <w:spacing w:line="360" w:lineRule="auto"/>
        <w:jc w:val="both"/>
      </w:pPr>
      <w:r>
        <w:t>Considerations related to environmental, social and governance (ESG) factors are becoming more vital when managing foreign exchange risk. Focused solely on short-term financial exposures may overlook wider threats associated with climate change, resource limitations, geopolitics, social license to operate issues in host countries or governance issues within host nations - thus making the integration of analysis of ESG factors into foreign exchange strategy essential for ethically sound multinationals who care about social responsibility.</w:t>
      </w:r>
    </w:p>
    <w:p w:rsidR="001D4C8C" w:rsidRDefault="001D4C8C" w:rsidP="009A23C4">
      <w:pPr>
        <w:spacing w:line="360" w:lineRule="auto"/>
        <w:jc w:val="both"/>
      </w:pPr>
      <w:r>
        <w:t xml:space="preserve">On the environmental front, intensifying climate impacts and transitioning to a low-emissions economy over coming decades have profound currency repercussions, calling for their incorporation into foreign exchange risk planning (Berk &amp; </w:t>
      </w:r>
      <w:proofErr w:type="spellStart"/>
      <w:r>
        <w:t>DeMarzo</w:t>
      </w:r>
      <w:proofErr w:type="spellEnd"/>
      <w:r>
        <w:t xml:space="preserve"> 2021). For example, countries dependent on fossil fuel exports could experience severe depreciation and volatility as renewable energy transition occurs - potentially necessitating operational hedging strategies such as switching power supplies over to renewables for multinationals; any speculation on currency movements would violate environmental responsibility.</w:t>
      </w:r>
    </w:p>
    <w:p w:rsidR="001D4C8C" w:rsidRDefault="001D4C8C" w:rsidP="009A23C4">
      <w:pPr>
        <w:spacing w:line="360" w:lineRule="auto"/>
        <w:jc w:val="both"/>
      </w:pPr>
      <w:r>
        <w:t>Social risk management and maintaining social license through strong local community relations, equitable hiring practices, supply chains free from human rights abuses and compliance with global ethical norms are also vitally important to multinationals in mitigating exchange rate shifts caused by weakening social stability or restrictive policies in host countries (</w:t>
      </w:r>
      <w:proofErr w:type="spellStart"/>
      <w:r>
        <w:t>Czinkota</w:t>
      </w:r>
      <w:proofErr w:type="spellEnd"/>
      <w:r>
        <w:t xml:space="preserve"> et al, 2019). Failing to effectively address social risks could prompt backlash against them, diminishing revenue and assets in that currency (</w:t>
      </w:r>
      <w:proofErr w:type="spellStart"/>
      <w:r>
        <w:t>Czinkota</w:t>
      </w:r>
      <w:proofErr w:type="spellEnd"/>
      <w:r>
        <w:t xml:space="preserve"> et al, 2019).</w:t>
      </w:r>
    </w:p>
    <w:p w:rsidR="009A23C4" w:rsidRDefault="009A23C4" w:rsidP="009A23C4">
      <w:pPr>
        <w:pStyle w:val="Heading1"/>
        <w:rPr>
          <w:i/>
        </w:rPr>
      </w:pPr>
      <w:bookmarkStart w:id="3" w:name="_Toc153901221"/>
      <w:r w:rsidRPr="009A23C4">
        <w:rPr>
          <w:i/>
        </w:rPr>
        <w:t>Conclusion</w:t>
      </w:r>
      <w:bookmarkEnd w:id="3"/>
    </w:p>
    <w:p w:rsidR="009A23C4" w:rsidRPr="009A23C4" w:rsidRDefault="009A23C4" w:rsidP="009A23C4"/>
    <w:p w:rsidR="001D4C8C" w:rsidRDefault="001D4C8C" w:rsidP="009A23C4">
      <w:pPr>
        <w:spacing w:line="360" w:lineRule="auto"/>
        <w:jc w:val="both"/>
      </w:pPr>
      <w:r>
        <w:t>From a governance perspective, currency risk management strategies must take into account risks like corruption, weak legal protections and institutions, nationalisation or capital controls that could seriously devalue assets in local currencies (</w:t>
      </w:r>
      <w:proofErr w:type="spellStart"/>
      <w:r>
        <w:t>Eiteman</w:t>
      </w:r>
      <w:proofErr w:type="spellEnd"/>
      <w:r>
        <w:t xml:space="preserve"> et al, 2016). Socially responsible multinational corporations should avoid engaging in any speculative strategies exploiting governance weaknesses </w:t>
      </w:r>
      <w:r>
        <w:lastRenderedPageBreak/>
        <w:t>which may harm local communities; where production cannot be transferred across countries due to specific assets required for production purposes then increased financial hedging is warranted.</w:t>
      </w:r>
    </w:p>
    <w:p w:rsidR="001D4C8C" w:rsidRDefault="001D4C8C" w:rsidP="009A23C4">
      <w:pPr>
        <w:spacing w:line="360" w:lineRule="auto"/>
        <w:jc w:val="both"/>
      </w:pPr>
      <w:r>
        <w:t>Integrating analyses of environmental sustainability, social impacts and governance risks as well as ethical norms into their foreign exchange strategy allows multinationals to build currency resilience while maintaining their social license to operate globally. With stakeholders increasingly demanding increased transparency and responsibility regarding currency risk management that impacts local communities, ESG considerations have become key components of business decision-making.</w:t>
      </w:r>
    </w:p>
    <w:p w:rsidR="001D4C8C" w:rsidRDefault="001D4C8C" w:rsidP="009A23C4">
      <w:pPr>
        <w:spacing w:line="360" w:lineRule="auto"/>
        <w:jc w:val="both"/>
      </w:pPr>
      <w:r>
        <w:t xml:space="preserve">Conclusions would remain consistent, underscoring the necessity of developing adaptive, selective and prudent currency risk management policies tailored to each multinational's exposure profile and operating context in order to provide effective risk mitigation, upside exposure management, competitive impact </w:t>
      </w:r>
      <w:proofErr w:type="spellStart"/>
      <w:r>
        <w:t>impact</w:t>
      </w:r>
      <w:proofErr w:type="spellEnd"/>
      <w:r>
        <w:t xml:space="preserve"> mitigation and social responsibility impacts management.</w:t>
      </w:r>
    </w:p>
    <w:p w:rsidR="001D4C8C" w:rsidRDefault="009A23C4" w:rsidP="009A23C4">
      <w:pPr>
        <w:pStyle w:val="Heading1"/>
        <w:rPr>
          <w:i/>
        </w:rPr>
      </w:pPr>
      <w:bookmarkStart w:id="4" w:name="_Toc153901222"/>
      <w:r w:rsidRPr="009A23C4">
        <w:rPr>
          <w:i/>
        </w:rPr>
        <w:t>References</w:t>
      </w:r>
      <w:bookmarkEnd w:id="4"/>
    </w:p>
    <w:p w:rsidR="009A23C4" w:rsidRPr="009A23C4" w:rsidRDefault="009A23C4" w:rsidP="009A23C4"/>
    <w:p w:rsidR="001D4C8C" w:rsidRPr="001D4C8C" w:rsidRDefault="001D4C8C" w:rsidP="009A23C4">
      <w:pPr>
        <w:jc w:val="both"/>
      </w:pPr>
      <w:proofErr w:type="spellStart"/>
      <w:r w:rsidRPr="001D4C8C">
        <w:t>Almazari</w:t>
      </w:r>
      <w:proofErr w:type="spellEnd"/>
      <w:r w:rsidRPr="001D4C8C">
        <w:t>, A.A., 2021. Currency risk management strategies in emerging countries. Research in International Business and Finance, 56, p.101415.</w:t>
      </w:r>
    </w:p>
    <w:p w:rsidR="001D4C8C" w:rsidRPr="001D4C8C" w:rsidRDefault="001D4C8C" w:rsidP="009A23C4">
      <w:pPr>
        <w:jc w:val="both"/>
      </w:pPr>
      <w:proofErr w:type="spellStart"/>
      <w:r w:rsidRPr="001D4C8C">
        <w:t>Allayannis</w:t>
      </w:r>
      <w:proofErr w:type="spellEnd"/>
      <w:r w:rsidRPr="001D4C8C">
        <w:t xml:space="preserve">, G. and </w:t>
      </w:r>
      <w:proofErr w:type="spellStart"/>
      <w:r w:rsidRPr="001D4C8C">
        <w:t>Ofek</w:t>
      </w:r>
      <w:proofErr w:type="spellEnd"/>
      <w:r w:rsidRPr="001D4C8C">
        <w:t>, E., 2001. Exchange rate exposure, hedging, and the use of foreign currency derivatives. Journal of International Money and Finance, 20(2), pp.273-296.</w:t>
      </w:r>
    </w:p>
    <w:p w:rsidR="001D4C8C" w:rsidRPr="001D4C8C" w:rsidRDefault="001D4C8C" w:rsidP="009A23C4">
      <w:pPr>
        <w:jc w:val="both"/>
      </w:pPr>
      <w:r w:rsidRPr="001D4C8C">
        <w:t xml:space="preserve">Berk, J. and </w:t>
      </w:r>
      <w:proofErr w:type="spellStart"/>
      <w:r w:rsidRPr="001D4C8C">
        <w:t>DeMarzo</w:t>
      </w:r>
      <w:proofErr w:type="spellEnd"/>
      <w:r w:rsidRPr="001D4C8C">
        <w:t>, P., 2017. Corporate Finance. Pearson Education. 5th Ed.</w:t>
      </w:r>
    </w:p>
    <w:p w:rsidR="001D4C8C" w:rsidRPr="001D4C8C" w:rsidRDefault="001D4C8C" w:rsidP="009A23C4">
      <w:pPr>
        <w:jc w:val="both"/>
      </w:pPr>
      <w:proofErr w:type="spellStart"/>
      <w:r w:rsidRPr="001D4C8C">
        <w:t>Bodnar</w:t>
      </w:r>
      <w:proofErr w:type="spellEnd"/>
      <w:r w:rsidRPr="001D4C8C">
        <w:t xml:space="preserve">, G.M., </w:t>
      </w:r>
      <w:proofErr w:type="spellStart"/>
      <w:r w:rsidRPr="001D4C8C">
        <w:t>Hayt</w:t>
      </w:r>
      <w:proofErr w:type="spellEnd"/>
      <w:r w:rsidRPr="001D4C8C">
        <w:t>, G.S. and Marston, R.C., 1998. 1998 Wharton Survey of Financial Risk Management by US Non-Financial Firms. Financial Management, pp.70-91.</w:t>
      </w:r>
    </w:p>
    <w:p w:rsidR="001D4C8C" w:rsidRPr="001D4C8C" w:rsidRDefault="001D4C8C" w:rsidP="009A23C4">
      <w:pPr>
        <w:jc w:val="both"/>
      </w:pPr>
      <w:r w:rsidRPr="001D4C8C">
        <w:t>Clark, E. and Judge, A., 2008. The determinants of foreign currency hedging: Does foreign currency debt induce a bias</w:t>
      </w:r>
      <w:proofErr w:type="gramStart"/>
      <w:r w:rsidRPr="001D4C8C">
        <w:t>?.</w:t>
      </w:r>
      <w:proofErr w:type="gramEnd"/>
      <w:r w:rsidRPr="001D4C8C">
        <w:t xml:space="preserve"> European Financial Management, 14(3), pp.445-469.</w:t>
      </w:r>
    </w:p>
    <w:p w:rsidR="001D4C8C" w:rsidRPr="001D4C8C" w:rsidRDefault="001D4C8C" w:rsidP="009A23C4">
      <w:pPr>
        <w:jc w:val="both"/>
      </w:pPr>
      <w:proofErr w:type="spellStart"/>
      <w:r w:rsidRPr="001D4C8C">
        <w:t>Czinkota</w:t>
      </w:r>
      <w:proofErr w:type="spellEnd"/>
      <w:r w:rsidRPr="001D4C8C">
        <w:t xml:space="preserve">, M., </w:t>
      </w:r>
      <w:proofErr w:type="spellStart"/>
      <w:r w:rsidRPr="001D4C8C">
        <w:t>Ronkainen</w:t>
      </w:r>
      <w:proofErr w:type="spellEnd"/>
      <w:r w:rsidRPr="001D4C8C">
        <w:t xml:space="preserve">, I., Moffett, M., </w:t>
      </w:r>
      <w:proofErr w:type="spellStart"/>
      <w:r w:rsidRPr="001D4C8C">
        <w:t>Marinova</w:t>
      </w:r>
      <w:proofErr w:type="spellEnd"/>
      <w:r w:rsidRPr="001D4C8C">
        <w:t xml:space="preserve">, S. and </w:t>
      </w:r>
      <w:proofErr w:type="spellStart"/>
      <w:r w:rsidRPr="001D4C8C">
        <w:t>Marinov</w:t>
      </w:r>
      <w:proofErr w:type="spellEnd"/>
      <w:r w:rsidRPr="001D4C8C">
        <w:t>, M., 2009. International business. John Wiley and Sons Ltd.</w:t>
      </w:r>
    </w:p>
    <w:p w:rsidR="001D4C8C" w:rsidRPr="001D4C8C" w:rsidRDefault="001D4C8C" w:rsidP="009A23C4">
      <w:pPr>
        <w:jc w:val="both"/>
      </w:pPr>
      <w:r w:rsidRPr="001D4C8C">
        <w:t>Elliott, W.B., Huffman, S.P. and Makar, S.D., 2003. Foreign-denominated debt and foreign currency derivatives: complements or substitutes in hedging foreign currency risk</w:t>
      </w:r>
      <w:proofErr w:type="gramStart"/>
      <w:r w:rsidRPr="001D4C8C">
        <w:t>?.</w:t>
      </w:r>
      <w:proofErr w:type="gramEnd"/>
      <w:r w:rsidRPr="001D4C8C">
        <w:t xml:space="preserve"> Journal of Multinational Financial Management, 13(2), pp.123-139.</w:t>
      </w:r>
    </w:p>
    <w:p w:rsidR="001D4C8C" w:rsidRPr="001D4C8C" w:rsidRDefault="001D4C8C" w:rsidP="009A23C4">
      <w:pPr>
        <w:jc w:val="both"/>
      </w:pPr>
      <w:proofErr w:type="spellStart"/>
      <w:r w:rsidRPr="001D4C8C">
        <w:t>Eiteman</w:t>
      </w:r>
      <w:proofErr w:type="spellEnd"/>
      <w:r w:rsidRPr="001D4C8C">
        <w:t xml:space="preserve">, D.K., </w:t>
      </w:r>
      <w:proofErr w:type="spellStart"/>
      <w:r w:rsidRPr="001D4C8C">
        <w:t>Stonehill</w:t>
      </w:r>
      <w:proofErr w:type="spellEnd"/>
      <w:r w:rsidRPr="001D4C8C">
        <w:t>, A.I. and Moffett, M.H., 2016. Multinational business finance. Pearson. 14th Ed.</w:t>
      </w:r>
    </w:p>
    <w:p w:rsidR="001D4C8C" w:rsidRPr="001D4C8C" w:rsidRDefault="001D4C8C" w:rsidP="009A23C4">
      <w:pPr>
        <w:jc w:val="both"/>
      </w:pPr>
      <w:r w:rsidRPr="001D4C8C">
        <w:t>Hutson, E. and Stevenson, S., 2010. Openness, hedging incentives and foreign exchange exposure: A firm-level multi-country study. Journal of International Business Studies, 41(1), pp.105-122.</w:t>
      </w:r>
    </w:p>
    <w:p w:rsidR="001D4C8C" w:rsidRPr="001D4C8C" w:rsidRDefault="001D4C8C" w:rsidP="009A23C4">
      <w:pPr>
        <w:jc w:val="both"/>
      </w:pPr>
      <w:r w:rsidRPr="001D4C8C">
        <w:t>Madura, J., 2022. International financial management. Cengage Learning. 14th Ed.</w:t>
      </w:r>
    </w:p>
    <w:p w:rsidR="00C43B92" w:rsidRDefault="00C43B92" w:rsidP="009A23C4">
      <w:pPr>
        <w:jc w:val="both"/>
      </w:pPr>
    </w:p>
    <w:sectPr w:rsidR="00C43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C01"/>
    <w:rsid w:val="001D4C8C"/>
    <w:rsid w:val="0030075D"/>
    <w:rsid w:val="009A23C4"/>
    <w:rsid w:val="00C43B92"/>
    <w:rsid w:val="00DA1C01"/>
    <w:rsid w:val="00FF7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A5CF3A-F645-44AE-91E1-D60A70EA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23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3C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A23C4"/>
    <w:pPr>
      <w:outlineLvl w:val="9"/>
    </w:pPr>
    <w:rPr>
      <w:lang w:val="en-US"/>
    </w:rPr>
  </w:style>
  <w:style w:type="paragraph" w:styleId="TOC1">
    <w:name w:val="toc 1"/>
    <w:basedOn w:val="Normal"/>
    <w:next w:val="Normal"/>
    <w:autoRedefine/>
    <w:uiPriority w:val="39"/>
    <w:unhideWhenUsed/>
    <w:rsid w:val="009A23C4"/>
    <w:pPr>
      <w:spacing w:after="100"/>
    </w:pPr>
  </w:style>
  <w:style w:type="character" w:styleId="Hyperlink">
    <w:name w:val="Hyperlink"/>
    <w:basedOn w:val="DefaultParagraphFont"/>
    <w:uiPriority w:val="99"/>
    <w:unhideWhenUsed/>
    <w:rsid w:val="009A23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955916">
      <w:bodyDiv w:val="1"/>
      <w:marLeft w:val="0"/>
      <w:marRight w:val="0"/>
      <w:marTop w:val="0"/>
      <w:marBottom w:val="0"/>
      <w:divBdr>
        <w:top w:val="none" w:sz="0" w:space="0" w:color="auto"/>
        <w:left w:val="none" w:sz="0" w:space="0" w:color="auto"/>
        <w:bottom w:val="none" w:sz="0" w:space="0" w:color="auto"/>
        <w:right w:val="none" w:sz="0" w:space="0" w:color="auto"/>
      </w:divBdr>
    </w:div>
    <w:div w:id="873229728">
      <w:bodyDiv w:val="1"/>
      <w:marLeft w:val="0"/>
      <w:marRight w:val="0"/>
      <w:marTop w:val="0"/>
      <w:marBottom w:val="0"/>
      <w:divBdr>
        <w:top w:val="none" w:sz="0" w:space="0" w:color="auto"/>
        <w:left w:val="none" w:sz="0" w:space="0" w:color="auto"/>
        <w:bottom w:val="none" w:sz="0" w:space="0" w:color="auto"/>
        <w:right w:val="none" w:sz="0" w:space="0" w:color="auto"/>
      </w:divBdr>
    </w:div>
    <w:div w:id="964044240">
      <w:bodyDiv w:val="1"/>
      <w:marLeft w:val="0"/>
      <w:marRight w:val="0"/>
      <w:marTop w:val="0"/>
      <w:marBottom w:val="0"/>
      <w:divBdr>
        <w:top w:val="none" w:sz="0" w:space="0" w:color="auto"/>
        <w:left w:val="none" w:sz="0" w:space="0" w:color="auto"/>
        <w:bottom w:val="none" w:sz="0" w:space="0" w:color="auto"/>
        <w:right w:val="none" w:sz="0" w:space="0" w:color="auto"/>
      </w:divBdr>
    </w:div>
    <w:div w:id="1733693147">
      <w:bodyDiv w:val="1"/>
      <w:marLeft w:val="0"/>
      <w:marRight w:val="0"/>
      <w:marTop w:val="0"/>
      <w:marBottom w:val="0"/>
      <w:divBdr>
        <w:top w:val="none" w:sz="0" w:space="0" w:color="auto"/>
        <w:left w:val="none" w:sz="0" w:space="0" w:color="auto"/>
        <w:bottom w:val="none" w:sz="0" w:space="0" w:color="auto"/>
        <w:right w:val="none" w:sz="0" w:space="0" w:color="auto"/>
      </w:divBdr>
    </w:div>
    <w:div w:id="1809391454">
      <w:bodyDiv w:val="1"/>
      <w:marLeft w:val="0"/>
      <w:marRight w:val="0"/>
      <w:marTop w:val="0"/>
      <w:marBottom w:val="0"/>
      <w:divBdr>
        <w:top w:val="none" w:sz="0" w:space="0" w:color="auto"/>
        <w:left w:val="none" w:sz="0" w:space="0" w:color="auto"/>
        <w:bottom w:val="none" w:sz="0" w:space="0" w:color="auto"/>
        <w:right w:val="none" w:sz="0" w:space="0" w:color="auto"/>
      </w:divBdr>
    </w:div>
    <w:div w:id="1978759112">
      <w:bodyDiv w:val="1"/>
      <w:marLeft w:val="0"/>
      <w:marRight w:val="0"/>
      <w:marTop w:val="0"/>
      <w:marBottom w:val="0"/>
      <w:divBdr>
        <w:top w:val="none" w:sz="0" w:space="0" w:color="auto"/>
        <w:left w:val="none" w:sz="0" w:space="0" w:color="auto"/>
        <w:bottom w:val="none" w:sz="0" w:space="0" w:color="auto"/>
        <w:right w:val="none" w:sz="0" w:space="0" w:color="auto"/>
      </w:divBdr>
    </w:div>
    <w:div w:id="1998337795">
      <w:bodyDiv w:val="1"/>
      <w:marLeft w:val="0"/>
      <w:marRight w:val="0"/>
      <w:marTop w:val="0"/>
      <w:marBottom w:val="0"/>
      <w:divBdr>
        <w:top w:val="none" w:sz="0" w:space="0" w:color="auto"/>
        <w:left w:val="none" w:sz="0" w:space="0" w:color="auto"/>
        <w:bottom w:val="none" w:sz="0" w:space="0" w:color="auto"/>
        <w:right w:val="none" w:sz="0" w:space="0" w:color="auto"/>
      </w:divBdr>
    </w:div>
    <w:div w:id="210183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5ADA8-82B5-422C-9EBF-C1C2BCE0F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Boy</dc:creator>
  <cp:keywords/>
  <dc:description/>
  <cp:lastModifiedBy>Golden Boy</cp:lastModifiedBy>
  <cp:revision>3</cp:revision>
  <dcterms:created xsi:type="dcterms:W3CDTF">2023-12-19T09:37:00Z</dcterms:created>
  <dcterms:modified xsi:type="dcterms:W3CDTF">2023-12-19T16:00:00Z</dcterms:modified>
</cp:coreProperties>
</file>