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6353461"/>
        <w:docPartObj>
          <w:docPartGallery w:val="Cover Pages"/>
          <w:docPartUnique/>
        </w:docPartObj>
      </w:sdtPr>
      <w:sdtContent>
        <w:p w14:paraId="468810DB" w14:textId="11B6F2D6" w:rsidR="001A12B7" w:rsidRDefault="001A12B7">
          <w:r>
            <w:rPr>
              <w:noProof/>
            </w:rPr>
            <mc:AlternateContent>
              <mc:Choice Requires="wpg">
                <w:drawing>
                  <wp:anchor distT="0" distB="0" distL="114300" distR="114300" simplePos="0" relativeHeight="251659264" behindDoc="0" locked="0" layoutInCell="1" allowOverlap="1" wp14:anchorId="6CFB8A75" wp14:editId="08FB8FBC">
                    <wp:simplePos x="0" y="0"/>
                    <wp:positionH relativeFrom="page">
                      <wp:align>center</wp:align>
                    </wp:positionH>
                    <wp:positionV relativeFrom="page">
                      <wp:align>center</wp:align>
                    </wp:positionV>
                    <wp:extent cx="7333488" cy="9601200"/>
                    <wp:effectExtent l="0" t="0" r="127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9"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89251DE" w14:textId="38B35DF6" w:rsidR="001A12B7" w:rsidRDefault="001A12B7">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BMHP4018</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05B8112" w14:textId="26FF545C" w:rsidR="001A12B7" w:rsidRDefault="001A12B7">
                                      <w:pPr>
                                        <w:pStyle w:val="NoSpacing"/>
                                        <w:spacing w:line="264" w:lineRule="auto"/>
                                        <w:rPr>
                                          <w:color w:val="E8E8E8" w:themeColor="background2"/>
                                          <w:spacing w:val="20"/>
                                          <w:sz w:val="40"/>
                                          <w:szCs w:val="40"/>
                                        </w:rPr>
                                      </w:pPr>
                                      <w:r>
                                        <w:rPr>
                                          <w:color w:val="E8E8E8" w:themeColor="background2"/>
                                          <w:spacing w:val="20"/>
                                          <w:sz w:val="40"/>
                                          <w:szCs w:val="40"/>
                                        </w:rPr>
                                        <w:t>Contemporary Challenges: Making a Difference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1737E0F" w14:textId="16B50390" w:rsidR="001A12B7" w:rsidRDefault="001A12B7">
                                      <w:pPr>
                                        <w:pStyle w:val="NoSpacing"/>
                                        <w:spacing w:after="180"/>
                                        <w:rPr>
                                          <w:color w:val="E8E8E8" w:themeColor="background2"/>
                                          <w:spacing w:val="20"/>
                                          <w:sz w:val="36"/>
                                          <w:szCs w:val="36"/>
                                        </w:rPr>
                                      </w:pPr>
                                      <w:r>
                                        <w:rPr>
                                          <w:color w:val="E8E8E8" w:themeColor="background2"/>
                                          <w:spacing w:val="20"/>
                                          <w:sz w:val="36"/>
                                          <w:szCs w:val="36"/>
                                        </w:rPr>
                                        <w:t>Olabisi Obadare</w:t>
                                      </w:r>
                                    </w:p>
                                  </w:sdtContent>
                                </w:sdt>
                                <w:p w14:paraId="36B7DC38" w14:textId="3F2D1540" w:rsidR="001A12B7" w:rsidRDefault="001A12B7">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8E8E8" w:themeColor="background2"/>
                                          <w:spacing w:val="20"/>
                                          <w:sz w:val="36"/>
                                          <w:szCs w:val="36"/>
                                        </w:rPr>
                                        <w:t>1904923</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CFB8A75"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0"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89251DE" w14:textId="38B35DF6" w:rsidR="001A12B7" w:rsidRDefault="001A12B7">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BMHP4018</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05B8112" w14:textId="26FF545C" w:rsidR="001A12B7" w:rsidRDefault="001A12B7">
                                <w:pPr>
                                  <w:pStyle w:val="NoSpacing"/>
                                  <w:spacing w:line="264" w:lineRule="auto"/>
                                  <w:rPr>
                                    <w:color w:val="E8E8E8" w:themeColor="background2"/>
                                    <w:spacing w:val="20"/>
                                    <w:sz w:val="40"/>
                                    <w:szCs w:val="40"/>
                                  </w:rPr>
                                </w:pPr>
                                <w:r>
                                  <w:rPr>
                                    <w:color w:val="E8E8E8" w:themeColor="background2"/>
                                    <w:spacing w:val="20"/>
                                    <w:sz w:val="40"/>
                                    <w:szCs w:val="40"/>
                                  </w:rPr>
                                  <w:t>Contemporary Challenges: Making a Difference</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1737E0F" w14:textId="16B50390" w:rsidR="001A12B7" w:rsidRDefault="001A12B7">
                                <w:pPr>
                                  <w:pStyle w:val="NoSpacing"/>
                                  <w:spacing w:after="180"/>
                                  <w:rPr>
                                    <w:color w:val="E8E8E8" w:themeColor="background2"/>
                                    <w:spacing w:val="20"/>
                                    <w:sz w:val="36"/>
                                    <w:szCs w:val="36"/>
                                  </w:rPr>
                                </w:pPr>
                                <w:r>
                                  <w:rPr>
                                    <w:color w:val="E8E8E8" w:themeColor="background2"/>
                                    <w:spacing w:val="20"/>
                                    <w:sz w:val="36"/>
                                    <w:szCs w:val="36"/>
                                  </w:rPr>
                                  <w:t>Olabisi Obadare</w:t>
                                </w:r>
                              </w:p>
                            </w:sdtContent>
                          </w:sdt>
                          <w:p w14:paraId="36B7DC38" w14:textId="3F2D1540" w:rsidR="001A12B7" w:rsidRDefault="001A12B7">
                            <w:pPr>
                              <w:pStyle w:val="NoSpacing"/>
                              <w:rPr>
                                <w:color w:val="E8E8E8" w:themeColor="background2"/>
                                <w:spacing w:val="20"/>
                                <w:sz w:val="36"/>
                                <w:szCs w:val="36"/>
                              </w:rPr>
                            </w:pPr>
                            <w:sdt>
                              <w:sdtPr>
                                <w:rPr>
                                  <w:color w:val="E8E8E8"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8E8E8" w:themeColor="background2"/>
                                    <w:spacing w:val="20"/>
                                    <w:sz w:val="36"/>
                                    <w:szCs w:val="36"/>
                                  </w:rPr>
                                  <w:t>1904923</w:t>
                                </w:r>
                              </w:sdtContent>
                            </w:sdt>
                          </w:p>
                        </w:txbxContent>
                      </v:textbox>
                    </v:shape>
                    <w10:wrap anchorx="page" anchory="page"/>
                  </v:group>
                </w:pict>
              </mc:Fallback>
            </mc:AlternateContent>
          </w:r>
        </w:p>
        <w:p w14:paraId="1D96ADB2" w14:textId="1A999A08" w:rsidR="001A12B7" w:rsidRDefault="001A12B7">
          <w:r>
            <w:br w:type="page"/>
          </w:r>
        </w:p>
      </w:sdtContent>
    </w:sdt>
    <w:p w14:paraId="2EF269A9" w14:textId="17511B72" w:rsidR="009F7908" w:rsidRPr="000D1723" w:rsidRDefault="009F7908" w:rsidP="009F7908">
      <w:pPr>
        <w:pStyle w:val="Heading1"/>
        <w:rPr>
          <w:rFonts w:ascii="Times New Roman" w:hAnsi="Times New Roman" w:cs="Times New Roman"/>
          <w:sz w:val="24"/>
          <w:szCs w:val="24"/>
        </w:rPr>
      </w:pPr>
      <w:r w:rsidRPr="000D1723">
        <w:rPr>
          <w:rFonts w:ascii="Times New Roman" w:hAnsi="Times New Roman" w:cs="Times New Roman"/>
          <w:sz w:val="24"/>
          <w:szCs w:val="24"/>
        </w:rPr>
        <w:lastRenderedPageBreak/>
        <w:t>Contents page</w:t>
      </w:r>
    </w:p>
    <w:p w14:paraId="67256B3B" w14:textId="5D49D5B1" w:rsidR="009F7908" w:rsidRPr="000D1723" w:rsidRDefault="009F7908" w:rsidP="009F7908">
      <w:pPr>
        <w:rPr>
          <w:rFonts w:ascii="Times New Roman" w:hAnsi="Times New Roman" w:cs="Times New Roman"/>
        </w:rPr>
      </w:pPr>
      <w:r w:rsidRPr="000D1723">
        <w:rPr>
          <w:rFonts w:ascii="Times New Roman" w:hAnsi="Times New Roman" w:cs="Times New Roman"/>
        </w:rPr>
        <w:t xml:space="preserve">Introduction </w:t>
      </w:r>
    </w:p>
    <w:p w14:paraId="7F06FAA8" w14:textId="5B390F50" w:rsidR="009F7908" w:rsidRPr="000D1723" w:rsidRDefault="009F7908" w:rsidP="009F7908">
      <w:pPr>
        <w:rPr>
          <w:rFonts w:ascii="Times New Roman" w:hAnsi="Times New Roman" w:cs="Times New Roman"/>
        </w:rPr>
      </w:pPr>
      <w:r w:rsidRPr="000D1723">
        <w:rPr>
          <w:rFonts w:ascii="Times New Roman" w:hAnsi="Times New Roman" w:cs="Times New Roman"/>
        </w:rPr>
        <w:t>Mind map</w:t>
      </w:r>
    </w:p>
    <w:p w14:paraId="133ADBB5" w14:textId="47F79740" w:rsidR="009F7908" w:rsidRPr="000D1723" w:rsidRDefault="009F7908" w:rsidP="009F7908">
      <w:pPr>
        <w:rPr>
          <w:rFonts w:ascii="Times New Roman" w:hAnsi="Times New Roman" w:cs="Times New Roman"/>
        </w:rPr>
      </w:pPr>
      <w:r w:rsidRPr="000D1723">
        <w:rPr>
          <w:rFonts w:ascii="Times New Roman" w:hAnsi="Times New Roman" w:cs="Times New Roman"/>
        </w:rPr>
        <w:t xml:space="preserve">Fishbone </w:t>
      </w:r>
      <w:r w:rsidR="000D1723" w:rsidRPr="000D1723">
        <w:rPr>
          <w:rFonts w:ascii="Times New Roman" w:hAnsi="Times New Roman" w:cs="Times New Roman"/>
        </w:rPr>
        <w:t>diagram</w:t>
      </w:r>
      <w:r w:rsidRPr="000D1723">
        <w:rPr>
          <w:rFonts w:ascii="Times New Roman" w:hAnsi="Times New Roman" w:cs="Times New Roman"/>
        </w:rPr>
        <w:t>:</w:t>
      </w:r>
      <w:r w:rsidR="000D1723" w:rsidRPr="000D1723">
        <w:rPr>
          <w:rFonts w:ascii="Times New Roman" w:hAnsi="Times New Roman" w:cs="Times New Roman"/>
        </w:rPr>
        <w:t xml:space="preserve"> </w:t>
      </w:r>
      <w:r w:rsidRPr="000D1723">
        <w:rPr>
          <w:rFonts w:ascii="Times New Roman" w:hAnsi="Times New Roman" w:cs="Times New Roman"/>
        </w:rPr>
        <w:t xml:space="preserve">Cause and </w:t>
      </w:r>
      <w:r w:rsidR="000D1723" w:rsidRPr="000D1723">
        <w:rPr>
          <w:rFonts w:ascii="Times New Roman" w:hAnsi="Times New Roman" w:cs="Times New Roman"/>
        </w:rPr>
        <w:t xml:space="preserve">effect </w:t>
      </w:r>
    </w:p>
    <w:p w14:paraId="2C96FA2A" w14:textId="64C230B1" w:rsidR="000D1723" w:rsidRPr="000D1723" w:rsidRDefault="000D1723" w:rsidP="009F7908">
      <w:pPr>
        <w:rPr>
          <w:rFonts w:ascii="Times New Roman" w:hAnsi="Times New Roman" w:cs="Times New Roman"/>
        </w:rPr>
      </w:pPr>
      <w:r w:rsidRPr="000D1723">
        <w:rPr>
          <w:rFonts w:ascii="Times New Roman" w:hAnsi="Times New Roman" w:cs="Times New Roman"/>
        </w:rPr>
        <w:t>Evaluation:</w:t>
      </w:r>
    </w:p>
    <w:p w14:paraId="1D39A7B7" w14:textId="33E548F2" w:rsidR="000D1723" w:rsidRPr="000D1723" w:rsidRDefault="000D1723" w:rsidP="000D1723">
      <w:pPr>
        <w:pStyle w:val="ListParagraph"/>
        <w:numPr>
          <w:ilvl w:val="0"/>
          <w:numId w:val="1"/>
        </w:numPr>
        <w:rPr>
          <w:rFonts w:ascii="Times New Roman" w:hAnsi="Times New Roman" w:cs="Times New Roman"/>
        </w:rPr>
      </w:pPr>
      <w:r w:rsidRPr="000D1723">
        <w:rPr>
          <w:rFonts w:ascii="Times New Roman" w:hAnsi="Times New Roman" w:cs="Times New Roman"/>
        </w:rPr>
        <w:t>.Socio-economic factor</w:t>
      </w:r>
    </w:p>
    <w:p w14:paraId="482EDB2D" w14:textId="1D00E018" w:rsidR="000D1723" w:rsidRPr="000D1723" w:rsidRDefault="000D1723" w:rsidP="000D1723">
      <w:pPr>
        <w:pStyle w:val="ListParagraph"/>
        <w:numPr>
          <w:ilvl w:val="0"/>
          <w:numId w:val="1"/>
        </w:numPr>
        <w:rPr>
          <w:rFonts w:ascii="Times New Roman" w:hAnsi="Times New Roman" w:cs="Times New Roman"/>
        </w:rPr>
      </w:pPr>
      <w:r w:rsidRPr="000D1723">
        <w:rPr>
          <w:rFonts w:ascii="Times New Roman" w:hAnsi="Times New Roman" w:cs="Times New Roman"/>
        </w:rPr>
        <w:t>Structural</w:t>
      </w:r>
      <w:r w:rsidR="00AD7377">
        <w:rPr>
          <w:rFonts w:ascii="Times New Roman" w:hAnsi="Times New Roman" w:cs="Times New Roman"/>
        </w:rPr>
        <w:t xml:space="preserve"> </w:t>
      </w:r>
      <w:r w:rsidRPr="000D1723">
        <w:rPr>
          <w:rFonts w:ascii="Times New Roman" w:hAnsi="Times New Roman" w:cs="Times New Roman"/>
        </w:rPr>
        <w:t>&amp; Institution Racism</w:t>
      </w:r>
    </w:p>
    <w:p w14:paraId="3903CF8C" w14:textId="137ECB1C" w:rsidR="000D1723" w:rsidRPr="000D1723" w:rsidRDefault="000D1723" w:rsidP="000D1723">
      <w:pPr>
        <w:pStyle w:val="ListParagraph"/>
        <w:numPr>
          <w:ilvl w:val="0"/>
          <w:numId w:val="1"/>
        </w:numPr>
        <w:rPr>
          <w:rFonts w:ascii="Times New Roman" w:hAnsi="Times New Roman" w:cs="Times New Roman"/>
        </w:rPr>
      </w:pPr>
      <w:r w:rsidRPr="000D1723">
        <w:rPr>
          <w:rFonts w:ascii="Times New Roman" w:hAnsi="Times New Roman" w:cs="Times New Roman"/>
        </w:rPr>
        <w:t>Access to healthcare</w:t>
      </w:r>
    </w:p>
    <w:p w14:paraId="525CDE58" w14:textId="339CDF1D" w:rsidR="000D1723" w:rsidRPr="000D1723" w:rsidRDefault="000D1723" w:rsidP="000D1723">
      <w:pPr>
        <w:pStyle w:val="ListParagraph"/>
        <w:numPr>
          <w:ilvl w:val="0"/>
          <w:numId w:val="1"/>
        </w:numPr>
        <w:rPr>
          <w:rFonts w:ascii="Times New Roman" w:hAnsi="Times New Roman" w:cs="Times New Roman"/>
        </w:rPr>
      </w:pPr>
      <w:r w:rsidRPr="000D1723">
        <w:rPr>
          <w:rFonts w:ascii="Times New Roman" w:hAnsi="Times New Roman" w:cs="Times New Roman"/>
        </w:rPr>
        <w:t>Cultural &amp; communication barriers</w:t>
      </w:r>
    </w:p>
    <w:p w14:paraId="3DBBCEB3" w14:textId="59758489" w:rsidR="000D1723" w:rsidRPr="000D1723" w:rsidRDefault="000D1723" w:rsidP="000D1723">
      <w:pPr>
        <w:pStyle w:val="ListParagraph"/>
        <w:numPr>
          <w:ilvl w:val="0"/>
          <w:numId w:val="1"/>
        </w:numPr>
        <w:rPr>
          <w:rFonts w:ascii="Times New Roman" w:hAnsi="Times New Roman" w:cs="Times New Roman"/>
        </w:rPr>
      </w:pPr>
      <w:r w:rsidRPr="000D1723">
        <w:rPr>
          <w:rFonts w:ascii="Times New Roman" w:hAnsi="Times New Roman" w:cs="Times New Roman"/>
        </w:rPr>
        <w:t>Policy &amp;system gaps</w:t>
      </w:r>
    </w:p>
    <w:p w14:paraId="68403DE0" w14:textId="77777777" w:rsidR="000D1723" w:rsidRPr="000D1723" w:rsidRDefault="000D1723" w:rsidP="000D1723">
      <w:pPr>
        <w:pStyle w:val="ListParagraph"/>
        <w:ind w:left="1108"/>
        <w:rPr>
          <w:rFonts w:ascii="Times New Roman" w:hAnsi="Times New Roman" w:cs="Times New Roman"/>
        </w:rPr>
      </w:pPr>
    </w:p>
    <w:p w14:paraId="3EA2DE24" w14:textId="2A2A6BB2" w:rsidR="000D1723" w:rsidRPr="000D1723" w:rsidRDefault="000D1723" w:rsidP="000D1723">
      <w:pPr>
        <w:ind w:left="748"/>
        <w:jc w:val="both"/>
        <w:rPr>
          <w:rFonts w:ascii="Times New Roman" w:hAnsi="Times New Roman" w:cs="Times New Roman"/>
        </w:rPr>
      </w:pPr>
      <w:r w:rsidRPr="000D1723">
        <w:rPr>
          <w:rFonts w:ascii="Times New Roman" w:hAnsi="Times New Roman" w:cs="Times New Roman"/>
        </w:rPr>
        <w:t xml:space="preserve">Conclusion </w:t>
      </w:r>
    </w:p>
    <w:p w14:paraId="15B2EE4D" w14:textId="30E975F7" w:rsidR="000D1723" w:rsidRPr="000D1723" w:rsidRDefault="000D1723" w:rsidP="000D1723">
      <w:pPr>
        <w:ind w:left="748"/>
        <w:jc w:val="both"/>
        <w:rPr>
          <w:rFonts w:ascii="Times New Roman" w:hAnsi="Times New Roman" w:cs="Times New Roman"/>
        </w:rPr>
      </w:pPr>
      <w:r w:rsidRPr="000D1723">
        <w:rPr>
          <w:rFonts w:ascii="Times New Roman" w:hAnsi="Times New Roman" w:cs="Times New Roman"/>
        </w:rPr>
        <w:t>References list</w:t>
      </w:r>
    </w:p>
    <w:p w14:paraId="036CBDAB" w14:textId="663F3A53" w:rsidR="000D1723" w:rsidRPr="000D1723" w:rsidRDefault="000D1723" w:rsidP="009F7908">
      <w:pPr>
        <w:rPr>
          <w:rFonts w:ascii="Times New Roman" w:hAnsi="Times New Roman" w:cs="Times New Roman"/>
        </w:rPr>
      </w:pPr>
      <w:r w:rsidRPr="000D1723">
        <w:rPr>
          <w:rFonts w:ascii="Times New Roman" w:hAnsi="Times New Roman" w:cs="Times New Roman"/>
        </w:rPr>
        <w:t xml:space="preserve">        </w:t>
      </w:r>
    </w:p>
    <w:p w14:paraId="166990D0" w14:textId="77777777" w:rsidR="000D1723" w:rsidRPr="009F7908" w:rsidRDefault="000D1723" w:rsidP="009F7908"/>
    <w:p w14:paraId="4369CA73" w14:textId="77777777" w:rsidR="000D1723" w:rsidRDefault="000D1723">
      <w:pPr>
        <w:rPr>
          <w:rFonts w:ascii="Times New Roman" w:eastAsiaTheme="majorEastAsia" w:hAnsi="Times New Roman" w:cs="Times New Roman"/>
          <w:color w:val="0F4761" w:themeColor="accent1" w:themeShade="BF"/>
        </w:rPr>
      </w:pPr>
      <w:r>
        <w:rPr>
          <w:rFonts w:ascii="Times New Roman" w:eastAsiaTheme="majorEastAsia" w:hAnsi="Times New Roman" w:cs="Times New Roman"/>
          <w:color w:val="0F4761" w:themeColor="accent1" w:themeShade="BF"/>
        </w:rPr>
        <w:br w:type="page"/>
      </w:r>
    </w:p>
    <w:p w14:paraId="6784D07F" w14:textId="1C3285F6" w:rsidR="00E11EA0" w:rsidRPr="00E01699" w:rsidRDefault="00E11EA0">
      <w:pPr>
        <w:rPr>
          <w:rFonts w:ascii="Times New Roman" w:hAnsi="Times New Roman" w:cs="Times New Roman"/>
        </w:rPr>
      </w:pPr>
      <w:r w:rsidRPr="00E01699">
        <w:rPr>
          <w:rFonts w:ascii="Times New Roman" w:hAnsi="Times New Roman" w:cs="Times New Roman"/>
          <w:noProof/>
        </w:rPr>
        <w:lastRenderedPageBreak/>
        <w:drawing>
          <wp:inline distT="0" distB="0" distL="0" distR="0" wp14:anchorId="1DF18C6F" wp14:editId="1D352F91">
            <wp:extent cx="5731510" cy="3223895"/>
            <wp:effectExtent l="0" t="0" r="0" b="1905"/>
            <wp:docPr id="777722711" name="Picture 1"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22711" name="Picture 1" descr="A diagram of a company structur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B5DF6F" w14:textId="77777777" w:rsidR="00E11EA0" w:rsidRPr="00E01699" w:rsidRDefault="00E11EA0">
      <w:pPr>
        <w:rPr>
          <w:rFonts w:ascii="Times New Roman" w:hAnsi="Times New Roman" w:cs="Times New Roman"/>
        </w:rPr>
      </w:pPr>
    </w:p>
    <w:p w14:paraId="151EBA3E" w14:textId="77777777" w:rsidR="00E11EA0" w:rsidRPr="00E01699" w:rsidRDefault="00E11EA0">
      <w:pPr>
        <w:rPr>
          <w:rFonts w:ascii="Times New Roman" w:hAnsi="Times New Roman" w:cs="Times New Roman"/>
        </w:rPr>
      </w:pPr>
    </w:p>
    <w:p w14:paraId="41B15058" w14:textId="77777777" w:rsidR="00E11EA0" w:rsidRPr="00E01699" w:rsidRDefault="00E11EA0">
      <w:pPr>
        <w:rPr>
          <w:rFonts w:ascii="Times New Roman" w:hAnsi="Times New Roman" w:cs="Times New Roman"/>
        </w:rPr>
      </w:pPr>
    </w:p>
    <w:p w14:paraId="7AE906C4" w14:textId="77777777" w:rsidR="00E11EA0" w:rsidRPr="00E01699" w:rsidRDefault="00E11EA0">
      <w:pPr>
        <w:rPr>
          <w:rFonts w:ascii="Times New Roman" w:hAnsi="Times New Roman" w:cs="Times New Roman"/>
        </w:rPr>
      </w:pPr>
    </w:p>
    <w:p w14:paraId="49E74A8B" w14:textId="77777777" w:rsidR="00E11EA0" w:rsidRPr="00E01699" w:rsidRDefault="00E11EA0">
      <w:pPr>
        <w:rPr>
          <w:rFonts w:ascii="Times New Roman" w:hAnsi="Times New Roman" w:cs="Times New Roman"/>
        </w:rPr>
      </w:pPr>
    </w:p>
    <w:p w14:paraId="73DDEAFD" w14:textId="77777777" w:rsidR="00E11EA0" w:rsidRPr="00E01699" w:rsidRDefault="00E11EA0">
      <w:pPr>
        <w:rPr>
          <w:rFonts w:ascii="Times New Roman" w:hAnsi="Times New Roman" w:cs="Times New Roman"/>
        </w:rPr>
      </w:pPr>
    </w:p>
    <w:p w14:paraId="708183BF" w14:textId="77777777" w:rsidR="00E11EA0" w:rsidRPr="00E01699" w:rsidRDefault="00E11EA0">
      <w:pPr>
        <w:rPr>
          <w:rFonts w:ascii="Times New Roman" w:hAnsi="Times New Roman" w:cs="Times New Roman"/>
        </w:rPr>
      </w:pPr>
    </w:p>
    <w:p w14:paraId="56F57405" w14:textId="77777777" w:rsidR="00E11EA0" w:rsidRPr="00E01699" w:rsidRDefault="00E11EA0">
      <w:pPr>
        <w:rPr>
          <w:rFonts w:ascii="Times New Roman" w:hAnsi="Times New Roman" w:cs="Times New Roman"/>
        </w:rPr>
      </w:pPr>
    </w:p>
    <w:p w14:paraId="7C84CF12" w14:textId="77777777" w:rsidR="00E11EA0" w:rsidRPr="00E01699" w:rsidRDefault="00E11EA0">
      <w:pPr>
        <w:rPr>
          <w:rFonts w:ascii="Times New Roman" w:hAnsi="Times New Roman" w:cs="Times New Roman"/>
        </w:rPr>
      </w:pPr>
    </w:p>
    <w:p w14:paraId="07065454" w14:textId="77777777" w:rsidR="00E11EA0" w:rsidRPr="00E01699" w:rsidRDefault="00E11EA0">
      <w:pPr>
        <w:rPr>
          <w:rFonts w:ascii="Times New Roman" w:hAnsi="Times New Roman" w:cs="Times New Roman"/>
        </w:rPr>
      </w:pPr>
    </w:p>
    <w:p w14:paraId="0F6E03DF" w14:textId="77777777" w:rsidR="00E11EA0" w:rsidRPr="00E01699" w:rsidRDefault="00E11EA0">
      <w:pPr>
        <w:rPr>
          <w:rFonts w:ascii="Times New Roman" w:hAnsi="Times New Roman" w:cs="Times New Roman"/>
        </w:rPr>
      </w:pPr>
    </w:p>
    <w:p w14:paraId="68391391" w14:textId="77777777" w:rsidR="00E11EA0" w:rsidRPr="00E01699" w:rsidRDefault="00E11EA0">
      <w:pPr>
        <w:rPr>
          <w:rFonts w:ascii="Times New Roman" w:hAnsi="Times New Roman" w:cs="Times New Roman"/>
        </w:rPr>
      </w:pPr>
    </w:p>
    <w:p w14:paraId="430E289C" w14:textId="77777777" w:rsidR="00E11EA0" w:rsidRPr="00E01699" w:rsidRDefault="00E11EA0">
      <w:pPr>
        <w:rPr>
          <w:rFonts w:ascii="Times New Roman" w:hAnsi="Times New Roman" w:cs="Times New Roman"/>
        </w:rPr>
      </w:pPr>
    </w:p>
    <w:p w14:paraId="487CB96B" w14:textId="77777777" w:rsidR="00E11EA0" w:rsidRPr="00E01699" w:rsidRDefault="00E11EA0">
      <w:pPr>
        <w:rPr>
          <w:rFonts w:ascii="Times New Roman" w:hAnsi="Times New Roman" w:cs="Times New Roman"/>
        </w:rPr>
      </w:pPr>
    </w:p>
    <w:p w14:paraId="4432ED19" w14:textId="77777777" w:rsidR="00E11EA0" w:rsidRPr="00E01699" w:rsidRDefault="00E11EA0">
      <w:pPr>
        <w:rPr>
          <w:rFonts w:ascii="Times New Roman" w:hAnsi="Times New Roman" w:cs="Times New Roman"/>
        </w:rPr>
      </w:pPr>
    </w:p>
    <w:p w14:paraId="603DAB13" w14:textId="77777777" w:rsidR="00E11EA0" w:rsidRPr="00E01699" w:rsidRDefault="00E11EA0">
      <w:pPr>
        <w:rPr>
          <w:rFonts w:ascii="Times New Roman" w:hAnsi="Times New Roman" w:cs="Times New Roman"/>
        </w:rPr>
      </w:pPr>
    </w:p>
    <w:p w14:paraId="745D1061" w14:textId="77777777" w:rsidR="00E11EA0" w:rsidRPr="00E01699" w:rsidRDefault="00E11EA0">
      <w:pPr>
        <w:rPr>
          <w:rFonts w:ascii="Times New Roman" w:hAnsi="Times New Roman" w:cs="Times New Roman"/>
        </w:rPr>
      </w:pPr>
    </w:p>
    <w:p w14:paraId="087F0208" w14:textId="77777777" w:rsidR="00E11EA0" w:rsidRPr="00E01699" w:rsidRDefault="00E11EA0">
      <w:pPr>
        <w:rPr>
          <w:rFonts w:ascii="Times New Roman" w:hAnsi="Times New Roman" w:cs="Times New Roman"/>
        </w:rPr>
      </w:pPr>
    </w:p>
    <w:p w14:paraId="6CF78759" w14:textId="77777777" w:rsidR="00E11EA0" w:rsidRPr="00E01699" w:rsidRDefault="00E11EA0">
      <w:pPr>
        <w:rPr>
          <w:rFonts w:ascii="Times New Roman" w:hAnsi="Times New Roman" w:cs="Times New Roman"/>
        </w:rPr>
      </w:pPr>
    </w:p>
    <w:p w14:paraId="62B133FB" w14:textId="77777777" w:rsidR="00E11EA0" w:rsidRPr="00E01699" w:rsidRDefault="00E11EA0">
      <w:pPr>
        <w:rPr>
          <w:rFonts w:ascii="Times New Roman" w:hAnsi="Times New Roman" w:cs="Times New Roman"/>
        </w:rPr>
      </w:pPr>
    </w:p>
    <w:p w14:paraId="5C49FEFF" w14:textId="77777777" w:rsidR="00E11EA0" w:rsidRPr="00E01699" w:rsidRDefault="00E11EA0">
      <w:pPr>
        <w:rPr>
          <w:rFonts w:ascii="Times New Roman" w:hAnsi="Times New Roman" w:cs="Times New Roman"/>
        </w:rPr>
      </w:pPr>
    </w:p>
    <w:p w14:paraId="2E282443" w14:textId="77777777" w:rsidR="00E11EA0" w:rsidRPr="00E01699" w:rsidRDefault="00E11EA0">
      <w:pPr>
        <w:rPr>
          <w:rFonts w:ascii="Times New Roman" w:hAnsi="Times New Roman" w:cs="Times New Roman"/>
        </w:rPr>
      </w:pPr>
    </w:p>
    <w:p w14:paraId="14718D18" w14:textId="77777777" w:rsidR="00E11EA0" w:rsidRPr="00E01699" w:rsidRDefault="00E11EA0">
      <w:pPr>
        <w:rPr>
          <w:rFonts w:ascii="Times New Roman" w:hAnsi="Times New Roman" w:cs="Times New Roman"/>
        </w:rPr>
      </w:pPr>
    </w:p>
    <w:p w14:paraId="5801696F" w14:textId="63563406" w:rsidR="00E01699" w:rsidRPr="00E01699" w:rsidRDefault="00E01699">
      <w:pPr>
        <w:rPr>
          <w:rFonts w:ascii="Times New Roman" w:hAnsi="Times New Roman" w:cs="Times New Roman"/>
          <w:noProof/>
        </w:rPr>
      </w:pPr>
    </w:p>
    <w:p w14:paraId="51ABE497" w14:textId="77777777" w:rsidR="00E01699" w:rsidRPr="00E01699" w:rsidRDefault="00E01699">
      <w:pPr>
        <w:rPr>
          <w:rFonts w:ascii="Times New Roman" w:hAnsi="Times New Roman" w:cs="Times New Roman"/>
          <w:noProof/>
        </w:rPr>
      </w:pPr>
      <w:r w:rsidRPr="00E01699">
        <w:rPr>
          <w:rFonts w:ascii="Times New Roman" w:hAnsi="Times New Roman" w:cs="Times New Roman"/>
          <w:noProof/>
        </w:rPr>
        <w:br w:type="page"/>
      </w:r>
    </w:p>
    <w:p w14:paraId="05A0EAB8" w14:textId="44B6F1B5" w:rsidR="006744A3" w:rsidRPr="004358A6" w:rsidRDefault="00E01699" w:rsidP="00E01699">
      <w:pPr>
        <w:spacing w:line="480" w:lineRule="auto"/>
        <w:rPr>
          <w:rFonts w:ascii="Times New Roman" w:hAnsi="Times New Roman" w:cs="Times New Roman"/>
        </w:rPr>
      </w:pPr>
      <w:r w:rsidRPr="004358A6">
        <w:rPr>
          <w:rFonts w:ascii="Times New Roman" w:hAnsi="Times New Roman" w:cs="Times New Roman"/>
          <w:b/>
          <w:bCs/>
        </w:rPr>
        <w:lastRenderedPageBreak/>
        <w:t>Cause and Effect Diagram:</w:t>
      </w:r>
      <w:r w:rsidR="004358A6" w:rsidRPr="004358A6">
        <w:rPr>
          <w:rFonts w:ascii="Times New Roman" w:hAnsi="Times New Roman" w:cs="Times New Roman"/>
          <w:b/>
          <w:bCs/>
        </w:rPr>
        <w:t xml:space="preserve"> Racial Health Inequality</w:t>
      </w:r>
      <w:r w:rsidR="00CB2417" w:rsidRPr="004358A6">
        <w:rPr>
          <w:rFonts w:ascii="Times New Roman" w:hAnsi="Times New Roman" w:cs="Times New Roman"/>
          <w:noProof/>
        </w:rPr>
        <w:drawing>
          <wp:inline distT="0" distB="0" distL="0" distR="0" wp14:anchorId="4AD66241" wp14:editId="17A911B4">
            <wp:extent cx="5731510" cy="3223895"/>
            <wp:effectExtent l="0" t="0" r="0" b="1905"/>
            <wp:docPr id="1682775207" name="Picture 2"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75207" name="Picture 2" descr="A diagram of a health care syste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7169DB" w14:textId="77777777" w:rsidR="006744A3" w:rsidRPr="004358A6" w:rsidRDefault="006744A3">
      <w:pPr>
        <w:rPr>
          <w:rFonts w:ascii="Times New Roman" w:hAnsi="Times New Roman" w:cs="Times New Roman"/>
        </w:rPr>
      </w:pPr>
    </w:p>
    <w:p w14:paraId="6A233407" w14:textId="77777777" w:rsidR="00E01699" w:rsidRPr="004358A6" w:rsidRDefault="00E01699">
      <w:pPr>
        <w:rPr>
          <w:rFonts w:ascii="Times New Roman" w:hAnsi="Times New Roman" w:cs="Times New Roman"/>
        </w:rPr>
      </w:pPr>
    </w:p>
    <w:p w14:paraId="212282F2" w14:textId="77777777" w:rsidR="00E01699" w:rsidRPr="004358A6" w:rsidRDefault="00E01699">
      <w:pPr>
        <w:rPr>
          <w:rFonts w:ascii="Times New Roman" w:hAnsi="Times New Roman" w:cs="Times New Roman"/>
        </w:rPr>
      </w:pPr>
    </w:p>
    <w:p w14:paraId="3D651235" w14:textId="77777777" w:rsidR="00E01699" w:rsidRPr="004358A6" w:rsidRDefault="00E01699">
      <w:pPr>
        <w:rPr>
          <w:rFonts w:ascii="Times New Roman" w:hAnsi="Times New Roman" w:cs="Times New Roman"/>
        </w:rPr>
      </w:pPr>
    </w:p>
    <w:p w14:paraId="77BF4CE9" w14:textId="77777777" w:rsidR="00E01699" w:rsidRPr="004358A6" w:rsidRDefault="00E01699">
      <w:pPr>
        <w:rPr>
          <w:rFonts w:ascii="Times New Roman" w:hAnsi="Times New Roman" w:cs="Times New Roman"/>
        </w:rPr>
      </w:pPr>
    </w:p>
    <w:p w14:paraId="08BD8842" w14:textId="77777777" w:rsidR="00E01699" w:rsidRPr="004358A6" w:rsidRDefault="00E01699">
      <w:pPr>
        <w:rPr>
          <w:rFonts w:ascii="Times New Roman" w:hAnsi="Times New Roman" w:cs="Times New Roman"/>
        </w:rPr>
      </w:pPr>
    </w:p>
    <w:p w14:paraId="0E7F079F" w14:textId="77777777" w:rsidR="00E01699" w:rsidRPr="004358A6" w:rsidRDefault="00E01699" w:rsidP="00E01699">
      <w:pPr>
        <w:pStyle w:val="NoSpacing"/>
        <w:spacing w:line="480" w:lineRule="auto"/>
        <w:rPr>
          <w:rFonts w:ascii="Times New Roman" w:hAnsi="Times New Roman" w:cs="Times New Roman"/>
          <w:sz w:val="24"/>
          <w:szCs w:val="24"/>
        </w:rPr>
      </w:pPr>
    </w:p>
    <w:p w14:paraId="489A17E6" w14:textId="0ABD8480" w:rsidR="00E01699" w:rsidRPr="004358A6" w:rsidRDefault="00E01699" w:rsidP="00E01699">
      <w:pPr>
        <w:pStyle w:val="NoSpacing"/>
        <w:spacing w:line="480" w:lineRule="auto"/>
        <w:rPr>
          <w:rFonts w:ascii="Times New Roman" w:hAnsi="Times New Roman" w:cs="Times New Roman"/>
          <w:sz w:val="24"/>
          <w:szCs w:val="24"/>
        </w:rPr>
      </w:pPr>
    </w:p>
    <w:p w14:paraId="147EE439" w14:textId="77777777" w:rsidR="00E01699" w:rsidRPr="004358A6" w:rsidRDefault="00E01699" w:rsidP="00E01699">
      <w:pPr>
        <w:pStyle w:val="NoSpacing"/>
        <w:spacing w:line="480" w:lineRule="auto"/>
        <w:rPr>
          <w:rFonts w:ascii="Times New Roman" w:hAnsi="Times New Roman" w:cs="Times New Roman"/>
          <w:sz w:val="24"/>
          <w:szCs w:val="24"/>
        </w:rPr>
      </w:pPr>
    </w:p>
    <w:p w14:paraId="7DDA0560" w14:textId="77777777" w:rsidR="00E01699" w:rsidRPr="004358A6" w:rsidRDefault="00E01699" w:rsidP="00E01699">
      <w:pPr>
        <w:pStyle w:val="NoSpacing"/>
        <w:spacing w:line="480" w:lineRule="auto"/>
        <w:rPr>
          <w:rFonts w:ascii="Times New Roman" w:hAnsi="Times New Roman" w:cs="Times New Roman"/>
          <w:sz w:val="24"/>
          <w:szCs w:val="24"/>
        </w:rPr>
      </w:pPr>
    </w:p>
    <w:p w14:paraId="072622E9" w14:textId="0C9A52E7" w:rsidR="00E01699" w:rsidRPr="004358A6" w:rsidRDefault="00E01699" w:rsidP="00E01699">
      <w:pPr>
        <w:pStyle w:val="NoSpacing"/>
        <w:spacing w:line="480" w:lineRule="auto"/>
        <w:rPr>
          <w:rFonts w:ascii="Times New Roman" w:hAnsi="Times New Roman" w:cs="Times New Roman"/>
          <w:sz w:val="24"/>
          <w:szCs w:val="24"/>
        </w:rPr>
      </w:pPr>
    </w:p>
    <w:p w14:paraId="176B0C90" w14:textId="1160AC8A" w:rsidR="00E01699" w:rsidRPr="004358A6" w:rsidRDefault="00E01699" w:rsidP="00E01699">
      <w:pPr>
        <w:pStyle w:val="NoSpacing"/>
        <w:spacing w:line="480" w:lineRule="auto"/>
        <w:rPr>
          <w:rFonts w:ascii="Times New Roman" w:hAnsi="Times New Roman" w:cs="Times New Roman"/>
          <w:sz w:val="24"/>
          <w:szCs w:val="24"/>
        </w:rPr>
      </w:pPr>
    </w:p>
    <w:p w14:paraId="57810B46" w14:textId="77777777" w:rsidR="00E01699" w:rsidRPr="004358A6" w:rsidRDefault="00E01699" w:rsidP="00E01699">
      <w:pPr>
        <w:pStyle w:val="NoSpacing"/>
        <w:spacing w:line="480" w:lineRule="auto"/>
        <w:rPr>
          <w:rFonts w:ascii="Times New Roman" w:hAnsi="Times New Roman" w:cs="Times New Roman"/>
          <w:sz w:val="24"/>
          <w:szCs w:val="24"/>
        </w:rPr>
      </w:pPr>
    </w:p>
    <w:p w14:paraId="47BB759A" w14:textId="77777777" w:rsidR="00E01699" w:rsidRPr="004358A6" w:rsidRDefault="00E01699" w:rsidP="00E01699">
      <w:pPr>
        <w:pStyle w:val="NoSpacing"/>
        <w:spacing w:line="480" w:lineRule="auto"/>
        <w:rPr>
          <w:rFonts w:ascii="Times New Roman" w:hAnsi="Times New Roman" w:cs="Times New Roman"/>
          <w:sz w:val="24"/>
          <w:szCs w:val="24"/>
        </w:rPr>
      </w:pPr>
    </w:p>
    <w:p w14:paraId="504077D1" w14:textId="77777777" w:rsidR="00E01699" w:rsidRPr="004358A6" w:rsidRDefault="00E01699" w:rsidP="00E01699">
      <w:pPr>
        <w:pStyle w:val="NoSpacing"/>
        <w:spacing w:line="480" w:lineRule="auto"/>
        <w:rPr>
          <w:rFonts w:ascii="Times New Roman" w:hAnsi="Times New Roman" w:cs="Times New Roman"/>
          <w:sz w:val="24"/>
          <w:szCs w:val="24"/>
        </w:rPr>
      </w:pPr>
    </w:p>
    <w:p w14:paraId="6FB954B6" w14:textId="77777777" w:rsidR="00E01699" w:rsidRPr="004358A6" w:rsidRDefault="00E01699" w:rsidP="00E01699">
      <w:pPr>
        <w:pStyle w:val="NoSpacing"/>
        <w:spacing w:line="480" w:lineRule="auto"/>
        <w:rPr>
          <w:rFonts w:ascii="Times New Roman" w:hAnsi="Times New Roman" w:cs="Times New Roman"/>
          <w:sz w:val="24"/>
          <w:szCs w:val="24"/>
        </w:rPr>
      </w:pPr>
    </w:p>
    <w:p w14:paraId="2A777F9B" w14:textId="77777777" w:rsidR="00E01699" w:rsidRPr="004358A6" w:rsidRDefault="00E01699" w:rsidP="00E01699">
      <w:pPr>
        <w:pStyle w:val="NoSpacing"/>
        <w:spacing w:line="480" w:lineRule="auto"/>
        <w:rPr>
          <w:rFonts w:ascii="Times New Roman" w:hAnsi="Times New Roman" w:cs="Times New Roman"/>
          <w:sz w:val="24"/>
          <w:szCs w:val="24"/>
        </w:rPr>
      </w:pPr>
    </w:p>
    <w:p w14:paraId="28001F7E" w14:textId="77777777" w:rsidR="00E01699" w:rsidRPr="004358A6" w:rsidRDefault="00E01699" w:rsidP="00E01699">
      <w:pPr>
        <w:pStyle w:val="NoSpacing"/>
        <w:spacing w:line="480" w:lineRule="auto"/>
        <w:rPr>
          <w:rFonts w:ascii="Times New Roman" w:hAnsi="Times New Roman" w:cs="Times New Roman"/>
          <w:sz w:val="24"/>
          <w:szCs w:val="24"/>
        </w:rPr>
      </w:pPr>
    </w:p>
    <w:p w14:paraId="549B23C9" w14:textId="7C8C645E" w:rsidR="00E01699" w:rsidRPr="004358A6" w:rsidRDefault="00B23C75" w:rsidP="00E01699">
      <w:pPr>
        <w:rPr>
          <w:rFonts w:ascii="Times New Roman" w:hAnsi="Times New Roman" w:cs="Times New Roman"/>
          <w:b/>
          <w:bCs/>
        </w:rPr>
      </w:pPr>
      <w:r w:rsidRPr="004358A6">
        <w:rPr>
          <w:rFonts w:ascii="Times New Roman" w:hAnsi="Times New Roman" w:cs="Times New Roman"/>
          <w:b/>
          <w:bCs/>
        </w:rPr>
        <w:lastRenderedPageBreak/>
        <w:t>Persistent Racial Health Inequalities in the United Kingdom: Causes, Policy Responses and Implications for Sustainable Development</w:t>
      </w:r>
    </w:p>
    <w:p w14:paraId="244782BA" w14:textId="77777777" w:rsidR="00B23C75" w:rsidRPr="004358A6" w:rsidRDefault="00B23C75" w:rsidP="00E01699">
      <w:pPr>
        <w:rPr>
          <w:rFonts w:ascii="Times New Roman" w:hAnsi="Times New Roman" w:cs="Times New Roman"/>
          <w:b/>
          <w:bCs/>
        </w:rPr>
      </w:pPr>
    </w:p>
    <w:p w14:paraId="5742B359" w14:textId="40BB7D6A" w:rsidR="00E01699" w:rsidRDefault="00B6068B"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Persistent racial health inequalities in the U</w:t>
      </w:r>
      <w:r w:rsidR="00B23C75" w:rsidRPr="004358A6">
        <w:rPr>
          <w:rFonts w:ascii="Times New Roman" w:hAnsi="Times New Roman" w:cs="Times New Roman"/>
          <w:sz w:val="24"/>
          <w:szCs w:val="24"/>
        </w:rPr>
        <w:t xml:space="preserve">nited Kingdom (UK) </w:t>
      </w:r>
      <w:r w:rsidRPr="004358A6">
        <w:rPr>
          <w:rFonts w:ascii="Times New Roman" w:hAnsi="Times New Roman" w:cs="Times New Roman"/>
          <w:sz w:val="24"/>
          <w:szCs w:val="24"/>
        </w:rPr>
        <w:t>refer to the systematic differences in health outcomes, healthcare</w:t>
      </w:r>
      <w:r w:rsidR="00B23C75" w:rsidRPr="004358A6">
        <w:rPr>
          <w:rFonts w:ascii="Times New Roman" w:hAnsi="Times New Roman" w:cs="Times New Roman"/>
          <w:sz w:val="24"/>
          <w:szCs w:val="24"/>
        </w:rPr>
        <w:t xml:space="preserve"> access,</w:t>
      </w:r>
      <w:r w:rsidRPr="004358A6">
        <w:rPr>
          <w:rFonts w:ascii="Times New Roman" w:hAnsi="Times New Roman" w:cs="Times New Roman"/>
          <w:sz w:val="24"/>
          <w:szCs w:val="24"/>
        </w:rPr>
        <w:t xml:space="preserve"> and quality of treatment experienced by ethnic minority </w:t>
      </w:r>
      <w:r w:rsidR="00B23C75" w:rsidRPr="004358A6">
        <w:rPr>
          <w:rFonts w:ascii="Times New Roman" w:hAnsi="Times New Roman" w:cs="Times New Roman"/>
          <w:sz w:val="24"/>
          <w:szCs w:val="24"/>
        </w:rPr>
        <w:t>populations compared with the White British majority. These disparities have been consistently documented across several key health indicators,</w:t>
      </w:r>
      <w:r w:rsidR="00C83463" w:rsidRPr="004358A6">
        <w:rPr>
          <w:rFonts w:ascii="Times New Roman" w:hAnsi="Times New Roman" w:cs="Times New Roman"/>
          <w:sz w:val="24"/>
          <w:szCs w:val="24"/>
        </w:rPr>
        <w:t xml:space="preserve"> </w:t>
      </w:r>
      <w:r w:rsidR="00B23C75" w:rsidRPr="004358A6">
        <w:rPr>
          <w:rFonts w:ascii="Times New Roman" w:hAnsi="Times New Roman" w:cs="Times New Roman"/>
          <w:sz w:val="24"/>
          <w:szCs w:val="24"/>
        </w:rPr>
        <w:t xml:space="preserve">including life </w:t>
      </w:r>
      <w:r w:rsidR="00C83463" w:rsidRPr="004358A6">
        <w:rPr>
          <w:rFonts w:ascii="Times New Roman" w:hAnsi="Times New Roman" w:cs="Times New Roman"/>
          <w:sz w:val="24"/>
          <w:szCs w:val="24"/>
        </w:rPr>
        <w:t xml:space="preserve">expectancy, maternal mortality, and the prevalence of chronic illnesses. Data from the Office for National Statistics shows that ethnic minority communities experience higher levels of long-term health conditions and poorer general health outcomes compared with the wider population (Office for National Statistics,2023). Research has identified significant disparities in maternal health outcomes. Studies indicate that Black Women in the United Kingdom face a substantially higher risk of maternal mortality compared with white women, reflecting inequalities in healthcare access, treatment quality, and broader socioeconomic conditions (Knight et al.,2023). These disparities </w:t>
      </w:r>
      <w:r w:rsidR="00D75A67" w:rsidRPr="004358A6">
        <w:rPr>
          <w:rFonts w:ascii="Times New Roman" w:hAnsi="Times New Roman" w:cs="Times New Roman"/>
          <w:sz w:val="24"/>
          <w:szCs w:val="24"/>
        </w:rPr>
        <w:t>became particularly visible during the COVID-19 pandemic, when infection and mortality rates were significantly higher among minority populations (Bambra et al.,2020; Public Health England,2021).</w:t>
      </w:r>
    </w:p>
    <w:p w14:paraId="691D7CE7" w14:textId="185DA99A" w:rsidR="0041193A" w:rsidRPr="0041193A" w:rsidRDefault="0041193A" w:rsidP="00E01699">
      <w:pPr>
        <w:pStyle w:val="NoSpacing"/>
        <w:spacing w:line="480" w:lineRule="auto"/>
        <w:rPr>
          <w:rFonts w:ascii="Times New Roman" w:hAnsi="Times New Roman" w:cs="Times New Roman"/>
          <w:b/>
          <w:bCs/>
          <w:sz w:val="24"/>
          <w:szCs w:val="24"/>
        </w:rPr>
      </w:pPr>
      <w:r w:rsidRPr="0041193A">
        <w:rPr>
          <w:rFonts w:ascii="Times New Roman" w:hAnsi="Times New Roman" w:cs="Times New Roman"/>
          <w:b/>
          <w:bCs/>
          <w:sz w:val="24"/>
          <w:szCs w:val="24"/>
        </w:rPr>
        <w:t>Access to healthcare</w:t>
      </w:r>
    </w:p>
    <w:p w14:paraId="24094783" w14:textId="77777777" w:rsidR="0041193A" w:rsidRDefault="00D75A67"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Health inequalities are strongly influenced by the wider social determinants of health,</w:t>
      </w:r>
      <w:r w:rsidR="00D1210B" w:rsidRPr="004358A6">
        <w:rPr>
          <w:rFonts w:ascii="Times New Roman" w:hAnsi="Times New Roman" w:cs="Times New Roman"/>
          <w:sz w:val="24"/>
          <w:szCs w:val="24"/>
        </w:rPr>
        <w:t xml:space="preserve"> </w:t>
      </w:r>
      <w:r w:rsidRPr="004358A6">
        <w:rPr>
          <w:rFonts w:ascii="Times New Roman" w:hAnsi="Times New Roman" w:cs="Times New Roman"/>
          <w:sz w:val="24"/>
          <w:szCs w:val="24"/>
        </w:rPr>
        <w:t>including employment,</w:t>
      </w:r>
      <w:r w:rsidR="00D1210B" w:rsidRPr="004358A6">
        <w:rPr>
          <w:rFonts w:ascii="Times New Roman" w:hAnsi="Times New Roman" w:cs="Times New Roman"/>
          <w:sz w:val="24"/>
          <w:szCs w:val="24"/>
        </w:rPr>
        <w:t xml:space="preserve"> </w:t>
      </w:r>
      <w:r w:rsidRPr="004358A6">
        <w:rPr>
          <w:rFonts w:ascii="Times New Roman" w:hAnsi="Times New Roman" w:cs="Times New Roman"/>
          <w:sz w:val="24"/>
          <w:szCs w:val="24"/>
        </w:rPr>
        <w:t>housing conditions,</w:t>
      </w:r>
      <w:r w:rsidR="00D1210B" w:rsidRPr="004358A6">
        <w:rPr>
          <w:rFonts w:ascii="Times New Roman" w:hAnsi="Times New Roman" w:cs="Times New Roman"/>
          <w:sz w:val="24"/>
          <w:szCs w:val="24"/>
        </w:rPr>
        <w:t xml:space="preserve"> </w:t>
      </w:r>
      <w:r w:rsidRPr="004358A6">
        <w:rPr>
          <w:rFonts w:ascii="Times New Roman" w:hAnsi="Times New Roman" w:cs="Times New Roman"/>
          <w:sz w:val="24"/>
          <w:szCs w:val="24"/>
        </w:rPr>
        <w:t>education,</w:t>
      </w:r>
      <w:r w:rsidR="00D1210B" w:rsidRPr="004358A6">
        <w:rPr>
          <w:rFonts w:ascii="Times New Roman" w:hAnsi="Times New Roman" w:cs="Times New Roman"/>
          <w:sz w:val="24"/>
          <w:szCs w:val="24"/>
        </w:rPr>
        <w:t xml:space="preserve"> </w:t>
      </w:r>
      <w:r w:rsidRPr="004358A6">
        <w:rPr>
          <w:rFonts w:ascii="Times New Roman" w:hAnsi="Times New Roman" w:cs="Times New Roman"/>
          <w:sz w:val="24"/>
          <w:szCs w:val="24"/>
        </w:rPr>
        <w:t xml:space="preserve">and environmental exposure. The World Health </w:t>
      </w:r>
      <w:r w:rsidR="00D1210B" w:rsidRPr="004358A6">
        <w:rPr>
          <w:rFonts w:ascii="Times New Roman" w:hAnsi="Times New Roman" w:cs="Times New Roman"/>
          <w:sz w:val="24"/>
          <w:szCs w:val="24"/>
        </w:rPr>
        <w:t>Organization</w:t>
      </w:r>
      <w:r w:rsidRPr="004358A6">
        <w:rPr>
          <w:rFonts w:ascii="Times New Roman" w:hAnsi="Times New Roman" w:cs="Times New Roman"/>
          <w:sz w:val="24"/>
          <w:szCs w:val="24"/>
        </w:rPr>
        <w:t xml:space="preserve"> highlights that social and economic conditions significantly influence health outcomes and access to healthcare</w:t>
      </w:r>
      <w:r w:rsidR="00D1210B" w:rsidRPr="004358A6">
        <w:rPr>
          <w:rFonts w:ascii="Times New Roman" w:hAnsi="Times New Roman" w:cs="Times New Roman"/>
          <w:sz w:val="24"/>
          <w:szCs w:val="24"/>
        </w:rPr>
        <w:t xml:space="preserve"> services (World Health Organization, 2025). In the United Kingdom, ethnic minority groups are disproportionately represented in low-paid and insecure employment sectors and are more likely to live in areas experiencing higher levels of deprivation. These structural conditions increase vulnerability to poor health outcomes and limit access to preventative healthcare services (The King’s Fund,2023). </w:t>
      </w:r>
    </w:p>
    <w:p w14:paraId="77E9D772" w14:textId="3DAA61E7" w:rsidR="0041193A" w:rsidRPr="0041193A" w:rsidRDefault="0041193A" w:rsidP="00E01699">
      <w:pPr>
        <w:pStyle w:val="NoSpacing"/>
        <w:spacing w:line="480" w:lineRule="auto"/>
        <w:rPr>
          <w:rFonts w:ascii="Times New Roman" w:hAnsi="Times New Roman" w:cs="Times New Roman"/>
          <w:b/>
          <w:bCs/>
          <w:sz w:val="24"/>
          <w:szCs w:val="24"/>
        </w:rPr>
      </w:pPr>
      <w:r w:rsidRPr="0041193A">
        <w:rPr>
          <w:rFonts w:ascii="Times New Roman" w:hAnsi="Times New Roman" w:cs="Times New Roman"/>
          <w:b/>
          <w:bCs/>
          <w:sz w:val="24"/>
          <w:szCs w:val="24"/>
        </w:rPr>
        <w:t>Soci</w:t>
      </w:r>
      <w:r>
        <w:rPr>
          <w:rFonts w:ascii="Times New Roman" w:hAnsi="Times New Roman" w:cs="Times New Roman"/>
          <w:b/>
          <w:bCs/>
          <w:sz w:val="24"/>
          <w:szCs w:val="24"/>
        </w:rPr>
        <w:t>o-</w:t>
      </w:r>
      <w:r w:rsidRPr="0041193A">
        <w:rPr>
          <w:rFonts w:ascii="Times New Roman" w:hAnsi="Times New Roman" w:cs="Times New Roman"/>
          <w:b/>
          <w:bCs/>
          <w:sz w:val="24"/>
          <w:szCs w:val="24"/>
        </w:rPr>
        <w:t>economic factors</w:t>
      </w:r>
    </w:p>
    <w:p w14:paraId="19A2473D" w14:textId="71AC3E95" w:rsidR="00C83463" w:rsidRPr="004358A6" w:rsidRDefault="00D1210B"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lastRenderedPageBreak/>
        <w:t>However, socioeconomic disadvantage alone cannot fully explain the persistence of racial health inequalities. Research suggests that disparities often remain even when factors such as education and income are controlled for, indicating the influence of deeper structural and institutional factors (Nazroo et al., 2020; Kapadia et al., 2022). Stru</w:t>
      </w:r>
      <w:r w:rsidR="008277F1" w:rsidRPr="004358A6">
        <w:rPr>
          <w:rFonts w:ascii="Times New Roman" w:hAnsi="Times New Roman" w:cs="Times New Roman"/>
          <w:sz w:val="24"/>
          <w:szCs w:val="24"/>
        </w:rPr>
        <w:t>c</w:t>
      </w:r>
      <w:r w:rsidRPr="004358A6">
        <w:rPr>
          <w:rFonts w:ascii="Times New Roman" w:hAnsi="Times New Roman" w:cs="Times New Roman"/>
          <w:sz w:val="24"/>
          <w:szCs w:val="24"/>
        </w:rPr>
        <w:t>t</w:t>
      </w:r>
      <w:r w:rsidR="008277F1" w:rsidRPr="004358A6">
        <w:rPr>
          <w:rFonts w:ascii="Times New Roman" w:hAnsi="Times New Roman" w:cs="Times New Roman"/>
          <w:sz w:val="24"/>
          <w:szCs w:val="24"/>
        </w:rPr>
        <w:t>ural racism embedded within social institutions, including healthcare systems, continues to shape patterns of access, treatment, and health outcomes. Consequently, racial health inequality should be understood as a complex structural problem that requires systemic policy responses rather than isolated interventions (NHS Race and Health Observatory,2022).</w:t>
      </w:r>
    </w:p>
    <w:p w14:paraId="51E8CEE1" w14:textId="5F9040A3" w:rsidR="008277F1" w:rsidRPr="004358A6" w:rsidRDefault="008277F1"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Socioeconomic disadvantage remains one of the most significant contributors to health inequality in the United Kingdom. Individuals living in deprived communities are more likely to experience poor housing conditions, insecure employment, and</w:t>
      </w:r>
      <w:r w:rsidR="009D7E64" w:rsidRPr="004358A6">
        <w:rPr>
          <w:rFonts w:ascii="Times New Roman" w:hAnsi="Times New Roman" w:cs="Times New Roman"/>
          <w:sz w:val="24"/>
          <w:szCs w:val="24"/>
        </w:rPr>
        <w:t xml:space="preserve"> limited access to educational opportunities. These conditions increase exposure to environmental health risks and reduce opportunities for maintaining healthy lifestyles. Research from the Health Foundation demonstrates that long-term underinvestment in deprived areas has contributed significantly to health inequalities across the United Kingdom (Health Foundation,2023).</w:t>
      </w:r>
    </w:p>
    <w:p w14:paraId="546117BC" w14:textId="52DBD57A" w:rsidR="00204A1C" w:rsidRPr="004358A6" w:rsidRDefault="00204A1C"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Housing conditions represent an important factor influencing health outcomes. Overcrowded housing increases the spread of infectious diseases and can contribute to stress-related health problems. Ethnic minority communities are disproportionately affected by housing deprivation, which contributes to higher rates of chronic illnesses such as cardiovascular disease and respiratory conditions (Marmot et al., 2020). These socioeconomic disadvantages interact with other structural barriers, reinforcing cycles of inequality that persist across generations.</w:t>
      </w:r>
    </w:p>
    <w:p w14:paraId="596397E9" w14:textId="589A4E28" w:rsidR="00204A1C" w:rsidRDefault="00204A1C"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Beyond socioeconomic factors, structural racism plays a significant role in shaping racial health inequalities. Structural racism refers to the systemic patterns of discrimination embedded within institutions that reproduce and opportunities.</w:t>
      </w:r>
      <w:r w:rsidR="00B0243E" w:rsidRPr="004358A6">
        <w:rPr>
          <w:rFonts w:ascii="Times New Roman" w:hAnsi="Times New Roman" w:cs="Times New Roman"/>
          <w:sz w:val="24"/>
          <w:szCs w:val="24"/>
        </w:rPr>
        <w:t xml:space="preserve"> </w:t>
      </w:r>
      <w:r w:rsidRPr="004358A6">
        <w:rPr>
          <w:rFonts w:ascii="Times New Roman" w:hAnsi="Times New Roman" w:cs="Times New Roman"/>
          <w:sz w:val="24"/>
          <w:szCs w:val="24"/>
        </w:rPr>
        <w:t>Withi</w:t>
      </w:r>
      <w:r w:rsidR="00B0243E" w:rsidRPr="004358A6">
        <w:rPr>
          <w:rFonts w:ascii="Times New Roman" w:hAnsi="Times New Roman" w:cs="Times New Roman"/>
          <w:sz w:val="24"/>
          <w:szCs w:val="24"/>
        </w:rPr>
        <w:t xml:space="preserve">n </w:t>
      </w:r>
      <w:r w:rsidRPr="004358A6">
        <w:rPr>
          <w:rFonts w:ascii="Times New Roman" w:hAnsi="Times New Roman" w:cs="Times New Roman"/>
          <w:sz w:val="24"/>
          <w:szCs w:val="24"/>
        </w:rPr>
        <w:t>healthcare systems,</w:t>
      </w:r>
      <w:r w:rsidR="00F147E6" w:rsidRPr="004358A6">
        <w:rPr>
          <w:rFonts w:ascii="Times New Roman" w:hAnsi="Times New Roman" w:cs="Times New Roman"/>
          <w:sz w:val="24"/>
          <w:szCs w:val="24"/>
        </w:rPr>
        <w:t xml:space="preserve"> </w:t>
      </w:r>
      <w:r w:rsidRPr="004358A6">
        <w:rPr>
          <w:rFonts w:ascii="Times New Roman" w:hAnsi="Times New Roman" w:cs="Times New Roman"/>
          <w:sz w:val="24"/>
          <w:szCs w:val="24"/>
        </w:rPr>
        <w:lastRenderedPageBreak/>
        <w:t>institutional bias may influence dia</w:t>
      </w:r>
      <w:r w:rsidR="00F147E6" w:rsidRPr="004358A6">
        <w:rPr>
          <w:rFonts w:ascii="Times New Roman" w:hAnsi="Times New Roman" w:cs="Times New Roman"/>
          <w:sz w:val="24"/>
          <w:szCs w:val="24"/>
        </w:rPr>
        <w:t xml:space="preserve">gnostic decisions, referral processes, and treatment quality. Evidence </w:t>
      </w:r>
      <w:r w:rsidR="00B0243E" w:rsidRPr="004358A6">
        <w:rPr>
          <w:rFonts w:ascii="Times New Roman" w:hAnsi="Times New Roman" w:cs="Times New Roman"/>
          <w:sz w:val="24"/>
          <w:szCs w:val="24"/>
        </w:rPr>
        <w:t>suggests that minority patients sometimes report poorer healthcare experiences and lower levels of trust in medical institutions due to perceived discrimination (Salway et al., 2021).</w:t>
      </w:r>
    </w:p>
    <w:p w14:paraId="17E025E5" w14:textId="3B9FDD5C" w:rsidR="0041193A" w:rsidRPr="0041193A" w:rsidRDefault="0041193A" w:rsidP="00E01699">
      <w:pPr>
        <w:pStyle w:val="NoSpacing"/>
        <w:spacing w:line="480" w:lineRule="auto"/>
        <w:rPr>
          <w:rFonts w:ascii="Times New Roman" w:hAnsi="Times New Roman" w:cs="Times New Roman"/>
          <w:b/>
          <w:bCs/>
          <w:sz w:val="24"/>
          <w:szCs w:val="24"/>
        </w:rPr>
      </w:pPr>
      <w:r w:rsidRPr="0041193A">
        <w:rPr>
          <w:rFonts w:ascii="Times New Roman" w:hAnsi="Times New Roman" w:cs="Times New Roman"/>
          <w:b/>
          <w:bCs/>
          <w:sz w:val="24"/>
          <w:szCs w:val="24"/>
        </w:rPr>
        <w:t>Structural &amp;Institutional Racism</w:t>
      </w:r>
    </w:p>
    <w:p w14:paraId="6DC90CC6" w14:textId="0AAB5C41" w:rsidR="00B0243E" w:rsidRPr="004358A6" w:rsidRDefault="00B0243E"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Historical processes such as colonialism and racial segregation have also contributed to persistent inequalities in wealth distribution, education, and healthcare access. Recent research highlights that structural racism remains a fundamental cause of health inequality because it shapes the distribution of social determinants such as housing, employment, and environmental exposure (Kisa and Kisa,2025). These structural factors continue to influence health outcomes even when formal anti-discrimination policies are in place</w:t>
      </w:r>
      <w:r w:rsidR="00AC50EE" w:rsidRPr="004358A6">
        <w:rPr>
          <w:rFonts w:ascii="Times New Roman" w:hAnsi="Times New Roman" w:cs="Times New Roman"/>
          <w:sz w:val="24"/>
          <w:szCs w:val="24"/>
        </w:rPr>
        <w:t>.</w:t>
      </w:r>
    </w:p>
    <w:p w14:paraId="4FB95E6A" w14:textId="44D2563F" w:rsidR="00AC50EE" w:rsidRDefault="00AC50EE"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Access barriers represent another key cause of racial health inequality. Although the United Kingdom operates a universal healthcare system, inequalities in access still exist. Geographic distribution of healthcare facilities, language barriers, and digital exclusion can limit minority populations' ability to engage with healthcare services. Preventive healthcare services, including health screenings and early diagnosis programmes, are essential for improving long-term health outcomes. However, research indicates that participation rates in these programmes are often lower among minority communities due to accessibility challenges and cultural barriers (The King’s Fund, 2022).</w:t>
      </w:r>
    </w:p>
    <w:p w14:paraId="1F42336E" w14:textId="696F27DE" w:rsidR="0041193A" w:rsidRPr="0041193A" w:rsidRDefault="0041193A" w:rsidP="00E01699">
      <w:pPr>
        <w:pStyle w:val="NoSpacing"/>
        <w:spacing w:line="480" w:lineRule="auto"/>
        <w:rPr>
          <w:rFonts w:ascii="Times New Roman" w:hAnsi="Times New Roman" w:cs="Times New Roman"/>
          <w:b/>
          <w:bCs/>
          <w:sz w:val="24"/>
          <w:szCs w:val="24"/>
        </w:rPr>
      </w:pPr>
      <w:r w:rsidRPr="0041193A">
        <w:rPr>
          <w:rFonts w:ascii="Times New Roman" w:hAnsi="Times New Roman" w:cs="Times New Roman"/>
          <w:b/>
          <w:bCs/>
          <w:sz w:val="24"/>
          <w:szCs w:val="24"/>
        </w:rPr>
        <w:t>Cultural &amp; Communication barriers</w:t>
      </w:r>
    </w:p>
    <w:p w14:paraId="3ED56E40" w14:textId="6D4D28AB" w:rsidR="00AC50EE" w:rsidRPr="004358A6" w:rsidRDefault="00AC50EE"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 xml:space="preserve">Healthcare systems that fail to provide culturally appropriate services may unintentionally reinforce inequalities. </w:t>
      </w:r>
      <w:r w:rsidR="001C1224" w:rsidRPr="004358A6">
        <w:rPr>
          <w:rFonts w:ascii="Times New Roman" w:hAnsi="Times New Roman" w:cs="Times New Roman"/>
          <w:sz w:val="24"/>
          <w:szCs w:val="24"/>
        </w:rPr>
        <w:t>D</w:t>
      </w:r>
      <w:r w:rsidRPr="004358A6">
        <w:rPr>
          <w:rFonts w:ascii="Times New Roman" w:hAnsi="Times New Roman" w:cs="Times New Roman"/>
          <w:sz w:val="24"/>
          <w:szCs w:val="24"/>
        </w:rPr>
        <w:t>if</w:t>
      </w:r>
      <w:r w:rsidR="001C1224" w:rsidRPr="004358A6">
        <w:rPr>
          <w:rFonts w:ascii="Times New Roman" w:hAnsi="Times New Roman" w:cs="Times New Roman"/>
          <w:sz w:val="24"/>
          <w:szCs w:val="24"/>
        </w:rPr>
        <w:t xml:space="preserve">ferences in communication styles, health beliefs, and cultural expectations can create misunderstandings between healthcare providers and patients. These barriers can lead to delayed diagnoses, reduced treatment adherence, and poorer overall health outcomes (NHS Race and Health Observatory,2022). Cultural competence within </w:t>
      </w:r>
      <w:r w:rsidR="001C1224" w:rsidRPr="004358A6">
        <w:rPr>
          <w:rFonts w:ascii="Times New Roman" w:hAnsi="Times New Roman" w:cs="Times New Roman"/>
          <w:sz w:val="24"/>
          <w:szCs w:val="24"/>
        </w:rPr>
        <w:lastRenderedPageBreak/>
        <w:t>healthcare institutions is increasingly recognised as an important factor in addressing health inequality. Miscommunication between healthcare professionals and patients can result in incorrect di</w:t>
      </w:r>
      <w:r w:rsidR="00E034EB" w:rsidRPr="004358A6">
        <w:rPr>
          <w:rFonts w:ascii="Times New Roman" w:hAnsi="Times New Roman" w:cs="Times New Roman"/>
          <w:sz w:val="24"/>
          <w:szCs w:val="24"/>
        </w:rPr>
        <w:t>a</w:t>
      </w:r>
      <w:r w:rsidR="001C1224" w:rsidRPr="004358A6">
        <w:rPr>
          <w:rFonts w:ascii="Times New Roman" w:hAnsi="Times New Roman" w:cs="Times New Roman"/>
          <w:sz w:val="24"/>
          <w:szCs w:val="24"/>
        </w:rPr>
        <w:t>gnoses or ineffective treatment plans. Studies show that limited cul</w:t>
      </w:r>
      <w:r w:rsidR="00E034EB" w:rsidRPr="004358A6">
        <w:rPr>
          <w:rFonts w:ascii="Times New Roman" w:hAnsi="Times New Roman" w:cs="Times New Roman"/>
          <w:sz w:val="24"/>
          <w:szCs w:val="24"/>
        </w:rPr>
        <w:t>tural awareness among healthcare staff may discourage minority patients from seeking medical care or fully engaging with treatment recommendations (Nazroo et al., 2020).</w:t>
      </w:r>
    </w:p>
    <w:p w14:paraId="1B5110AB" w14:textId="292E8C33" w:rsidR="00C83463" w:rsidRDefault="00E034EB"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Language barriers also contribute to unequal healthcare access. Patients who cannot easily communicate with healthcare providers may struggle to explain symptoms or understand medical advice. This can result in delayed treatment or misinterpretation of medical instructions. Community outreach and culturally sensitive healthcare practices have therefore been identified as important strategies for improving healthcare access and patient trust (NHS Race and Health Observatory,2022). Despite growing recognition of racial health disparities, policy responses have often been fragmented. One major challeng</w:t>
      </w:r>
      <w:r w:rsidR="003C7B30" w:rsidRPr="004358A6">
        <w:rPr>
          <w:rFonts w:ascii="Times New Roman" w:hAnsi="Times New Roman" w:cs="Times New Roman"/>
          <w:sz w:val="24"/>
          <w:szCs w:val="24"/>
        </w:rPr>
        <w:t xml:space="preserve">e </w:t>
      </w:r>
      <w:r w:rsidRPr="004358A6">
        <w:rPr>
          <w:rFonts w:ascii="Times New Roman" w:hAnsi="Times New Roman" w:cs="Times New Roman"/>
          <w:sz w:val="24"/>
          <w:szCs w:val="24"/>
        </w:rPr>
        <w:t>is the limited availability of comprehensive ethnicity-based health data.</w:t>
      </w:r>
      <w:r w:rsidR="003C7B30" w:rsidRPr="004358A6">
        <w:rPr>
          <w:rFonts w:ascii="Times New Roman" w:hAnsi="Times New Roman" w:cs="Times New Roman"/>
          <w:sz w:val="24"/>
          <w:szCs w:val="24"/>
        </w:rPr>
        <w:t xml:space="preserve"> Without reliable data, it becomes difficult to identify disparities or evaluate the effectiveness of policy interventions (NHS Race and Observatory,2022). In addition, healthcare funding distribution may not adequately reflect the needs of disadvantaged communities. Researchers argue that uniform policy approaches may fail to address the structural inequalities affecting minority populations. Targeted investment in deprived areas is therefore necessary to address long- standing disparities (NHS Race and Observatory,2022).</w:t>
      </w:r>
    </w:p>
    <w:p w14:paraId="46A11859" w14:textId="52F8CBC9" w:rsidR="0041193A" w:rsidRPr="0041193A" w:rsidRDefault="0041193A" w:rsidP="00E01699">
      <w:pPr>
        <w:pStyle w:val="NoSpacing"/>
        <w:spacing w:line="480" w:lineRule="auto"/>
        <w:rPr>
          <w:rFonts w:ascii="Times New Roman" w:hAnsi="Times New Roman" w:cs="Times New Roman"/>
          <w:b/>
          <w:bCs/>
          <w:sz w:val="24"/>
          <w:szCs w:val="24"/>
        </w:rPr>
      </w:pPr>
      <w:r w:rsidRPr="0041193A">
        <w:rPr>
          <w:rFonts w:ascii="Times New Roman" w:hAnsi="Times New Roman" w:cs="Times New Roman"/>
          <w:b/>
          <w:bCs/>
          <w:sz w:val="24"/>
          <w:szCs w:val="24"/>
        </w:rPr>
        <w:t>Policy &amp; system Gaps</w:t>
      </w:r>
    </w:p>
    <w:p w14:paraId="1DE1969B" w14:textId="68B750C6" w:rsidR="003C7B30" w:rsidRPr="004358A6" w:rsidRDefault="003C7B30"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Persistent racial health inequalities also undermine the objectives of the United Nations Sustainable Development Goals (SDGs). Two goals are particularly relevant: SDG 3, which focuses on good health and well-being and SDG 10, which aims to reduce inequalities within societies (United Nations,2015).</w:t>
      </w:r>
      <w:r w:rsidR="00AD5E50" w:rsidRPr="004358A6">
        <w:rPr>
          <w:rFonts w:ascii="Times New Roman" w:hAnsi="Times New Roman" w:cs="Times New Roman"/>
          <w:sz w:val="24"/>
          <w:szCs w:val="24"/>
        </w:rPr>
        <w:t xml:space="preserve"> SDG 3 emphasises the importance of equitable healthcare access and the reduction of preventable mortality across populations. However, the existence </w:t>
      </w:r>
      <w:r w:rsidR="00AD5E50" w:rsidRPr="004358A6">
        <w:rPr>
          <w:rFonts w:ascii="Times New Roman" w:hAnsi="Times New Roman" w:cs="Times New Roman"/>
          <w:sz w:val="24"/>
          <w:szCs w:val="24"/>
        </w:rPr>
        <w:lastRenderedPageBreak/>
        <w:t>of significant racial disparities in healthcare provision alone does not guarantee equality. Structural barriers continue to prevent certain communities from accessing high-quality healthcare services (World Health Organization,2025). Similarly, SDG10 highlights the need to reduce inequalities based on income, ethnicity, and social status. Racial health inequalities illustrate how broader socioeconomic disparities translate directly into unequal health outcomes. Achieving this global development, therefore, requires coordinated action across multiple policy areas</w:t>
      </w:r>
      <w:r w:rsidR="001F7E88" w:rsidRPr="004358A6">
        <w:rPr>
          <w:rFonts w:ascii="Times New Roman" w:hAnsi="Times New Roman" w:cs="Times New Roman"/>
          <w:sz w:val="24"/>
          <w:szCs w:val="24"/>
        </w:rPr>
        <w:t>,</w:t>
      </w:r>
      <w:r w:rsidR="00AD5E50" w:rsidRPr="004358A6">
        <w:rPr>
          <w:rFonts w:ascii="Times New Roman" w:hAnsi="Times New Roman" w:cs="Times New Roman"/>
          <w:sz w:val="24"/>
          <w:szCs w:val="24"/>
        </w:rPr>
        <w:t xml:space="preserve"> including housing,</w:t>
      </w:r>
      <w:r w:rsidR="001F7E88" w:rsidRPr="004358A6">
        <w:rPr>
          <w:rFonts w:ascii="Times New Roman" w:hAnsi="Times New Roman" w:cs="Times New Roman"/>
          <w:sz w:val="24"/>
          <w:szCs w:val="24"/>
        </w:rPr>
        <w:t xml:space="preserve"> </w:t>
      </w:r>
      <w:r w:rsidR="00AD5E50" w:rsidRPr="004358A6">
        <w:rPr>
          <w:rFonts w:ascii="Times New Roman" w:hAnsi="Times New Roman" w:cs="Times New Roman"/>
          <w:sz w:val="24"/>
          <w:szCs w:val="24"/>
        </w:rPr>
        <w:t>employment,</w:t>
      </w:r>
      <w:r w:rsidR="001F7E88" w:rsidRPr="004358A6">
        <w:rPr>
          <w:rFonts w:ascii="Times New Roman" w:hAnsi="Times New Roman" w:cs="Times New Roman"/>
          <w:sz w:val="24"/>
          <w:szCs w:val="24"/>
        </w:rPr>
        <w:t xml:space="preserve"> education, and</w:t>
      </w:r>
      <w:r w:rsidR="00AD5E50" w:rsidRPr="004358A6">
        <w:rPr>
          <w:rFonts w:ascii="Times New Roman" w:hAnsi="Times New Roman" w:cs="Times New Roman"/>
          <w:sz w:val="24"/>
          <w:szCs w:val="24"/>
        </w:rPr>
        <w:t xml:space="preserve"> healthcare (United Nations,201</w:t>
      </w:r>
      <w:r w:rsidR="001F7E88" w:rsidRPr="004358A6">
        <w:rPr>
          <w:rFonts w:ascii="Times New Roman" w:hAnsi="Times New Roman" w:cs="Times New Roman"/>
          <w:sz w:val="24"/>
          <w:szCs w:val="24"/>
        </w:rPr>
        <w:t>5). In recent years, policymakers in the United Kingdom have acknowledged the existence of racial health inequalities and introduced several strategies aimed at addressing the issues. The National Health Service has developed equality, diversity, and inclusion frameworks designed to improve workforce representation and reduce discrimination within healthcare delivery (NHS England,2022). These initiatives aim to ensure that healthcare institutions are more responsive to the needs of diverse populations.</w:t>
      </w:r>
    </w:p>
    <w:p w14:paraId="09F07A5E" w14:textId="29BBF436" w:rsidR="001F7E88" w:rsidRPr="004358A6" w:rsidRDefault="001F7E88"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Policy initiatives across the United Kingdom have increasingly prioritised health equity through strategies focused on the social determinants of health and long-term well-being planning (NHS England,2022). These policies emphasise the importance of addressing broader socioeconomic conditions that influence health outcomes.</w:t>
      </w:r>
      <w:r w:rsidR="00E009F8" w:rsidRPr="004358A6">
        <w:rPr>
          <w:rFonts w:ascii="Times New Roman" w:hAnsi="Times New Roman" w:cs="Times New Roman"/>
          <w:sz w:val="24"/>
          <w:szCs w:val="24"/>
        </w:rPr>
        <w:t xml:space="preserve"> However, the effectiveness of these policy initiatives remains debated. Critics argue that many strategies focus primarily on awareness campaigns and diversity training rather than addressing the deeper structural causes of inequality. Without substantial investment in deprived communities and improved accountability mechanisms, disparities are likely to persist (NHS Race and Observatory, 2022). Addressing racial health inequalities requires a comprehensive policy approach that targets both healthcare systems and the broader social determinants of health. One key strategy is redistributive investment in disadvantaged communities. Research demonstrates that long- term underinvestment in deprived areas contribute</w:t>
      </w:r>
      <w:r w:rsidR="00271075" w:rsidRPr="004358A6">
        <w:rPr>
          <w:rFonts w:ascii="Times New Roman" w:hAnsi="Times New Roman" w:cs="Times New Roman"/>
          <w:sz w:val="24"/>
          <w:szCs w:val="24"/>
        </w:rPr>
        <w:t>s</w:t>
      </w:r>
      <w:r w:rsidR="00E009F8" w:rsidRPr="004358A6">
        <w:rPr>
          <w:rFonts w:ascii="Times New Roman" w:hAnsi="Times New Roman" w:cs="Times New Roman"/>
          <w:sz w:val="24"/>
          <w:szCs w:val="24"/>
        </w:rPr>
        <w:t xml:space="preserve"> significantly to health </w:t>
      </w:r>
      <w:r w:rsidR="00E009F8" w:rsidRPr="004358A6">
        <w:rPr>
          <w:rFonts w:ascii="Times New Roman" w:hAnsi="Times New Roman" w:cs="Times New Roman"/>
          <w:sz w:val="24"/>
          <w:szCs w:val="24"/>
        </w:rPr>
        <w:lastRenderedPageBreak/>
        <w:t>inequalities,</w:t>
      </w:r>
      <w:r w:rsidR="00271075" w:rsidRPr="004358A6">
        <w:rPr>
          <w:rFonts w:ascii="Times New Roman" w:hAnsi="Times New Roman" w:cs="Times New Roman"/>
          <w:sz w:val="24"/>
          <w:szCs w:val="24"/>
        </w:rPr>
        <w:t xml:space="preserve"> </w:t>
      </w:r>
      <w:r w:rsidR="00E009F8" w:rsidRPr="004358A6">
        <w:rPr>
          <w:rFonts w:ascii="Times New Roman" w:hAnsi="Times New Roman" w:cs="Times New Roman"/>
          <w:sz w:val="24"/>
          <w:szCs w:val="24"/>
        </w:rPr>
        <w:t>making targeted funding essential for improving outcomes (Marmot et al.,2020; Health Foundation,2023).</w:t>
      </w:r>
      <w:r w:rsidR="00271075" w:rsidRPr="004358A6">
        <w:rPr>
          <w:rFonts w:ascii="Times New Roman" w:hAnsi="Times New Roman" w:cs="Times New Roman"/>
          <w:sz w:val="24"/>
          <w:szCs w:val="24"/>
        </w:rPr>
        <w:t xml:space="preserve"> Another important reform involves strengthening accountability mechanisms within healthcare systems. Mandatory collection of </w:t>
      </w:r>
      <w:proofErr w:type="gramStart"/>
      <w:r w:rsidR="00271075" w:rsidRPr="004358A6">
        <w:rPr>
          <w:rFonts w:ascii="Times New Roman" w:hAnsi="Times New Roman" w:cs="Times New Roman"/>
          <w:sz w:val="24"/>
          <w:szCs w:val="24"/>
        </w:rPr>
        <w:t>ethnicity</w:t>
      </w:r>
      <w:proofErr w:type="gramEnd"/>
      <w:r w:rsidR="00271075" w:rsidRPr="004358A6">
        <w:rPr>
          <w:rFonts w:ascii="Times New Roman" w:hAnsi="Times New Roman" w:cs="Times New Roman"/>
          <w:sz w:val="24"/>
          <w:szCs w:val="24"/>
        </w:rPr>
        <w:t xml:space="preserve"> -disaggregated health data would allow policymakers to identify disparities more accurately and evaluate the impact of interventions (Office for National Statistics,2023). Improving cultural competence within healthcare institutions is also critical. Together</w:t>
      </w:r>
      <w:r w:rsidR="007414A5" w:rsidRPr="004358A6">
        <w:rPr>
          <w:rFonts w:ascii="Times New Roman" w:hAnsi="Times New Roman" w:cs="Times New Roman"/>
          <w:sz w:val="24"/>
          <w:szCs w:val="24"/>
        </w:rPr>
        <w:t xml:space="preserve">, these reforms align with the objectives of SDG 3 and SDG 10 by addressing both healthcare delivery and the structural determinants of health inequality (NHS Race and Health Observatory,2022). </w:t>
      </w:r>
    </w:p>
    <w:p w14:paraId="7959DE14" w14:textId="309C4E27" w:rsidR="007414A5" w:rsidRPr="004358A6" w:rsidRDefault="007414A5"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 xml:space="preserve">Conclusion </w:t>
      </w:r>
    </w:p>
    <w:p w14:paraId="672D3B58" w14:textId="3F5A6EFE" w:rsidR="00C83463" w:rsidRPr="004358A6" w:rsidRDefault="007414A5" w:rsidP="00E01699">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t>Persistent racial health inequalities in the United Kingdom remain a major public health con</w:t>
      </w:r>
      <w:r w:rsidR="0095337C" w:rsidRPr="004358A6">
        <w:rPr>
          <w:rFonts w:ascii="Times New Roman" w:hAnsi="Times New Roman" w:cs="Times New Roman"/>
          <w:sz w:val="24"/>
          <w:szCs w:val="24"/>
        </w:rPr>
        <w:t>c</w:t>
      </w:r>
      <w:r w:rsidRPr="004358A6">
        <w:rPr>
          <w:rFonts w:ascii="Times New Roman" w:hAnsi="Times New Roman" w:cs="Times New Roman"/>
          <w:sz w:val="24"/>
          <w:szCs w:val="24"/>
        </w:rPr>
        <w:t>ern shaped by the interaction of socioeconomic disadvantages</w:t>
      </w:r>
      <w:r w:rsidR="0095337C" w:rsidRPr="004358A6">
        <w:rPr>
          <w:rFonts w:ascii="Times New Roman" w:hAnsi="Times New Roman" w:cs="Times New Roman"/>
          <w:sz w:val="24"/>
          <w:szCs w:val="24"/>
        </w:rPr>
        <w:t>,</w:t>
      </w:r>
      <w:r w:rsidRPr="004358A6">
        <w:rPr>
          <w:rFonts w:ascii="Times New Roman" w:hAnsi="Times New Roman" w:cs="Times New Roman"/>
          <w:sz w:val="24"/>
          <w:szCs w:val="24"/>
        </w:rPr>
        <w:t xml:space="preserve"> stru</w:t>
      </w:r>
      <w:r w:rsidR="0095337C" w:rsidRPr="004358A6">
        <w:rPr>
          <w:rFonts w:ascii="Times New Roman" w:hAnsi="Times New Roman" w:cs="Times New Roman"/>
          <w:sz w:val="24"/>
          <w:szCs w:val="24"/>
        </w:rPr>
        <w:t>ctur</w:t>
      </w:r>
      <w:r w:rsidRPr="004358A6">
        <w:rPr>
          <w:rFonts w:ascii="Times New Roman" w:hAnsi="Times New Roman" w:cs="Times New Roman"/>
          <w:sz w:val="24"/>
          <w:szCs w:val="24"/>
        </w:rPr>
        <w:t>al racism</w:t>
      </w:r>
      <w:r w:rsidR="0095337C" w:rsidRPr="004358A6">
        <w:rPr>
          <w:rFonts w:ascii="Times New Roman" w:hAnsi="Times New Roman" w:cs="Times New Roman"/>
          <w:sz w:val="24"/>
          <w:szCs w:val="24"/>
        </w:rPr>
        <w:t>, and unequal access to healthcare. While factors such as income, housing, and employment contribute significantly to disparities in health outcomes, they do not fully explain their persistence, as deeper structural and institutional influences continue to play a critical role. The analysis shows that structural racism affects both the wider social determinants of health and experiences within healthcare systems, influencing access, treatment quality, and patient outcomes. Barriers such as language differences and limited culturally appropriate services further worsen these inequalities, often leading to delayed diagnosis and poorer health outcomes. Although policy efforts in the United Kingdom have acknowledged these issues,</w:t>
      </w:r>
      <w:r w:rsidR="006E3F2F" w:rsidRPr="004358A6">
        <w:rPr>
          <w:rFonts w:ascii="Times New Roman" w:hAnsi="Times New Roman" w:cs="Times New Roman"/>
          <w:sz w:val="24"/>
          <w:szCs w:val="24"/>
        </w:rPr>
        <w:t xml:space="preserve"> </w:t>
      </w:r>
      <w:r w:rsidR="0095337C" w:rsidRPr="004358A6">
        <w:rPr>
          <w:rFonts w:ascii="Times New Roman" w:hAnsi="Times New Roman" w:cs="Times New Roman"/>
          <w:sz w:val="24"/>
          <w:szCs w:val="24"/>
        </w:rPr>
        <w:t>current responses remain insufficient to address the root causes</w:t>
      </w:r>
      <w:r w:rsidR="006E3F2F" w:rsidRPr="004358A6">
        <w:rPr>
          <w:rFonts w:ascii="Times New Roman" w:hAnsi="Times New Roman" w:cs="Times New Roman"/>
          <w:sz w:val="24"/>
          <w:szCs w:val="24"/>
        </w:rPr>
        <w:t xml:space="preserve">. A </w:t>
      </w:r>
      <w:r w:rsidR="0095337C" w:rsidRPr="004358A6">
        <w:rPr>
          <w:rFonts w:ascii="Times New Roman" w:hAnsi="Times New Roman" w:cs="Times New Roman"/>
          <w:sz w:val="24"/>
          <w:szCs w:val="24"/>
        </w:rPr>
        <w:t>mo</w:t>
      </w:r>
      <w:r w:rsidR="006E3F2F" w:rsidRPr="004358A6">
        <w:rPr>
          <w:rFonts w:ascii="Times New Roman" w:hAnsi="Times New Roman" w:cs="Times New Roman"/>
          <w:sz w:val="24"/>
          <w:szCs w:val="24"/>
        </w:rPr>
        <w:t>re comprehensive and coordinated approach is required, including targeted investment in disadvantaged communities, improved ethnicity -based data collection, and greater accountability within healthcare systems. Addressing racial health inequalities is essential not only for improving health outcomes but also for achieving wider goals of social justice and sustainable development. Without sustained and systemic action, these disparities are likely to persist.</w:t>
      </w:r>
    </w:p>
    <w:p w14:paraId="6C7383FF" w14:textId="77777777" w:rsidR="004358A6" w:rsidRPr="004358A6" w:rsidRDefault="006E3F2F" w:rsidP="004358A6">
      <w:pPr>
        <w:pStyle w:val="NoSpacing"/>
        <w:spacing w:line="480" w:lineRule="auto"/>
        <w:rPr>
          <w:rFonts w:ascii="Times New Roman" w:hAnsi="Times New Roman" w:cs="Times New Roman"/>
          <w:sz w:val="24"/>
          <w:szCs w:val="24"/>
        </w:rPr>
      </w:pPr>
      <w:r w:rsidRPr="004358A6">
        <w:rPr>
          <w:rFonts w:ascii="Times New Roman" w:hAnsi="Times New Roman" w:cs="Times New Roman"/>
          <w:sz w:val="24"/>
          <w:szCs w:val="24"/>
        </w:rPr>
        <w:lastRenderedPageBreak/>
        <w:t>References</w:t>
      </w:r>
    </w:p>
    <w:p w14:paraId="26D3B016" w14:textId="292430DE" w:rsidR="004358A6" w:rsidRPr="004358A6" w:rsidRDefault="004358A6" w:rsidP="004358A6">
      <w:pPr>
        <w:pStyle w:val="NoSpacing"/>
        <w:spacing w:line="480" w:lineRule="auto"/>
        <w:rPr>
          <w:rFonts w:ascii="Times New Roman" w:hAnsi="Times New Roman" w:cs="Times New Roman"/>
          <w:sz w:val="24"/>
          <w:szCs w:val="24"/>
        </w:rPr>
      </w:pPr>
      <w:r w:rsidRPr="004358A6">
        <w:rPr>
          <w:rFonts w:ascii="Times New Roman" w:hAnsi="Times New Roman" w:cs="Times New Roman"/>
          <w:color w:val="000000"/>
          <w:sz w:val="24"/>
          <w:szCs w:val="24"/>
        </w:rPr>
        <w:t>Bambra, C., Riordan, R., Ford, J. and Matthews, F. (2020) ‘The COVID-19 pandemic and health inequalities’, Journal of Epidemiology and Community Health, 74(11), pp. 964–968.</w:t>
      </w:r>
      <w:r w:rsidRPr="004358A6">
        <w:rPr>
          <w:rStyle w:val="apple-converted-space"/>
          <w:rFonts w:ascii="Times New Roman" w:hAnsi="Times New Roman" w:cs="Times New Roman"/>
          <w:color w:val="000000"/>
          <w:sz w:val="24"/>
          <w:szCs w:val="24"/>
        </w:rPr>
        <w:t> </w:t>
      </w:r>
      <w:hyperlink r:id="rId13" w:history="1">
        <w:r w:rsidRPr="004358A6">
          <w:rPr>
            <w:rStyle w:val="Hyperlink"/>
            <w:rFonts w:ascii="Times New Roman" w:hAnsi="Times New Roman" w:cs="Times New Roman"/>
            <w:sz w:val="24"/>
            <w:szCs w:val="24"/>
          </w:rPr>
          <w:t>https://jech.bmj.com/content/74/11/964</w:t>
        </w:r>
      </w:hyperlink>
      <w:r w:rsidRPr="004358A6">
        <w:rPr>
          <w:rFonts w:ascii="Times New Roman" w:hAnsi="Times New Roman" w:cs="Times New Roman"/>
          <w:color w:val="000000"/>
          <w:sz w:val="24"/>
          <w:szCs w:val="24"/>
        </w:rPr>
        <w:t xml:space="preserve"> [Accessed: 12 March 2026].</w:t>
      </w:r>
    </w:p>
    <w:p w14:paraId="22170B6B" w14:textId="77777777" w:rsidR="004358A6" w:rsidRPr="004358A6" w:rsidRDefault="004358A6" w:rsidP="006C08FD">
      <w:pPr>
        <w:pStyle w:val="NormalWeb"/>
        <w:spacing w:before="0" w:beforeAutospacing="0" w:after="240" w:afterAutospacing="0" w:line="360" w:lineRule="atLeast"/>
        <w:rPr>
          <w:color w:val="000000"/>
        </w:rPr>
      </w:pPr>
      <w:r w:rsidRPr="004358A6">
        <w:rPr>
          <w:color w:val="000000"/>
        </w:rPr>
        <w:t>Kapadia, D., Nazroo, J. and Tranmer, M. (2022) ‘Ethnic inequalities in health and socioeconomic position in the UK’, Sociology of Health and Illness.</w:t>
      </w:r>
      <w:r w:rsidRPr="004358A6">
        <w:rPr>
          <w:rStyle w:val="apple-converted-space"/>
          <w:color w:val="000000"/>
        </w:rPr>
        <w:t> </w:t>
      </w:r>
      <w:hyperlink r:id="rId14" w:history="1">
        <w:r w:rsidRPr="004358A6">
          <w:rPr>
            <w:rStyle w:val="Hyperlink"/>
          </w:rPr>
          <w:t>https://onlinel</w:t>
        </w:r>
      </w:hyperlink>
      <w:hyperlink r:id="rId15" w:history="1">
        <w:r w:rsidRPr="004358A6">
          <w:rPr>
            <w:rStyle w:val="Hyperlink"/>
          </w:rPr>
          <w:t>ibrary.wiley.com/doi/10.1111/1467-9566.13410</w:t>
        </w:r>
      </w:hyperlink>
      <w:r w:rsidRPr="004358A6">
        <w:rPr>
          <w:color w:val="000000"/>
        </w:rPr>
        <w:t> </w:t>
      </w:r>
      <w:r w:rsidRPr="004358A6">
        <w:rPr>
          <w:color w:val="000000"/>
        </w:rPr>
        <w:t>[Accessed: 13 March 2026]</w:t>
      </w:r>
    </w:p>
    <w:p w14:paraId="691DD006" w14:textId="77777777" w:rsidR="004358A6" w:rsidRPr="004358A6" w:rsidRDefault="004358A6" w:rsidP="00AB496E">
      <w:pPr>
        <w:pStyle w:val="NormalWeb"/>
        <w:spacing w:before="0" w:beforeAutospacing="0" w:after="240" w:afterAutospacing="0" w:line="360" w:lineRule="atLeast"/>
        <w:rPr>
          <w:color w:val="000000"/>
        </w:rPr>
      </w:pPr>
      <w:r w:rsidRPr="004358A6">
        <w:rPr>
          <w:color w:val="000000"/>
        </w:rPr>
        <w:t>Kapadia, D., Zhang, J., Salway, S., Nazroo, J., Booth, A., Villarroel-Williams, N., Bécares, L. and Esmail, A. (2022).</w:t>
      </w:r>
      <w:r w:rsidRPr="004358A6">
        <w:rPr>
          <w:rStyle w:val="apple-converted-space"/>
          <w:color w:val="000000"/>
        </w:rPr>
        <w:t> </w:t>
      </w:r>
      <w:r w:rsidRPr="004358A6">
        <w:rPr>
          <w:color w:val="000000"/>
        </w:rPr>
        <w:t xml:space="preserve">Ethnic Inequalities in Healthcare: A Rapid Evidence Review. [online] NHS Race and Health Observatory. Available at: </w:t>
      </w:r>
      <w:hyperlink r:id="rId16" w:history="1">
        <w:r w:rsidRPr="004358A6">
          <w:rPr>
            <w:rStyle w:val="Hyperlink"/>
          </w:rPr>
          <w:t>https://www.nhsrho.org/wp-content/uploads/2023/05/RHO-Rapid-Review-Final-Report_.pdf</w:t>
        </w:r>
        <w:r w:rsidRPr="004358A6">
          <w:rPr>
            <w:rStyle w:val="Hyperlink"/>
          </w:rPr>
          <w:t>.</w:t>
        </w:r>
        <w:r w:rsidRPr="004358A6">
          <w:rPr>
            <w:rStyle w:val="Hyperlink"/>
          </w:rPr>
          <w:t>[</w:t>
        </w:r>
        <w:r w:rsidRPr="004358A6">
          <w:rPr>
            <w:rStyle w:val="Hyperlink"/>
          </w:rPr>
          <w:t>A</w:t>
        </w:r>
        <w:r w:rsidRPr="004358A6">
          <w:rPr>
            <w:rStyle w:val="Hyperlink"/>
          </w:rPr>
          <w:t>cces</w:t>
        </w:r>
        <w:r w:rsidRPr="004358A6">
          <w:rPr>
            <w:rStyle w:val="Hyperlink"/>
          </w:rPr>
          <w:t>s</w:t>
        </w:r>
        <w:r w:rsidRPr="004358A6">
          <w:rPr>
            <w:rStyle w:val="Hyperlink"/>
          </w:rPr>
          <w:t>ed</w:t>
        </w:r>
      </w:hyperlink>
      <w:r w:rsidRPr="004358A6">
        <w:rPr>
          <w:color w:val="000000"/>
        </w:rPr>
        <w:t xml:space="preserve">:14 March 2026] </w:t>
      </w:r>
    </w:p>
    <w:p w14:paraId="37C27350" w14:textId="77777777" w:rsidR="004358A6" w:rsidRPr="004358A6" w:rsidRDefault="004358A6" w:rsidP="00720BF5">
      <w:pPr>
        <w:pStyle w:val="NormalWeb"/>
        <w:spacing w:before="0" w:beforeAutospacing="0" w:after="240" w:afterAutospacing="0" w:line="360" w:lineRule="atLeast"/>
        <w:rPr>
          <w:color w:val="000000"/>
        </w:rPr>
      </w:pPr>
      <w:r w:rsidRPr="004358A6">
        <w:rPr>
          <w:color w:val="000000"/>
        </w:rPr>
        <w:t>Kapadia, D., Zhang, J., Salway, S., Nazroo, J., Booth, A., Villarroel-Williams, N., Bécares, L. and Esmail, A. (2022b).</w:t>
      </w:r>
      <w:r w:rsidRPr="004358A6">
        <w:rPr>
          <w:rStyle w:val="apple-converted-space"/>
          <w:color w:val="000000"/>
        </w:rPr>
        <w:t> </w:t>
      </w:r>
      <w:r w:rsidRPr="004358A6">
        <w:rPr>
          <w:color w:val="000000"/>
        </w:rPr>
        <w:t>Ethnic Inequalities in Healthcare: A Rapid Evidence Review.[online] NHS Race and Health Observatory. Available at:</w:t>
      </w:r>
      <w:r w:rsidRPr="004358A6">
        <w:rPr>
          <w:color w:val="000000"/>
        </w:rPr>
        <w:fldChar w:fldCharType="begin"/>
      </w:r>
      <w:r w:rsidRPr="004358A6">
        <w:rPr>
          <w:color w:val="000000"/>
        </w:rPr>
        <w:instrText>HYPERLINK "</w:instrText>
      </w:r>
      <w:r w:rsidRPr="004358A6">
        <w:rPr>
          <w:color w:val="000000"/>
        </w:rPr>
        <w:instrText>https://www.nhsrho.org/wp-content/uploads/2023/05/RHO-Rapid-Review-Final-Report_.pdf</w:instrText>
      </w:r>
      <w:r w:rsidRPr="004358A6">
        <w:rPr>
          <w:color w:val="000000"/>
        </w:rPr>
        <w:instrText>"</w:instrText>
      </w:r>
      <w:r w:rsidRPr="004358A6">
        <w:rPr>
          <w:color w:val="000000"/>
        </w:rPr>
        <w:fldChar w:fldCharType="separate"/>
      </w:r>
      <w:r w:rsidRPr="004358A6">
        <w:rPr>
          <w:rStyle w:val="Hyperlink"/>
        </w:rPr>
        <w:t>https://www.nhsrho.org/wp-content/uploads/2023/05/RHO-Rapid-Review-Final-Report_.pdf</w:t>
      </w:r>
      <w:r w:rsidRPr="004358A6">
        <w:rPr>
          <w:color w:val="000000"/>
        </w:rPr>
        <w:fldChar w:fldCharType="end"/>
      </w:r>
      <w:r w:rsidRPr="004358A6">
        <w:rPr>
          <w:color w:val="000000"/>
        </w:rPr>
        <w:t>[Accessed 19 Mar. 2023]</w:t>
      </w:r>
      <w:r w:rsidRPr="004358A6">
        <w:rPr>
          <w:color w:val="000000"/>
        </w:rPr>
        <w:t>.</w:t>
      </w:r>
    </w:p>
    <w:p w14:paraId="39CE8494" w14:textId="77777777" w:rsidR="004358A6" w:rsidRPr="004358A6" w:rsidRDefault="004358A6" w:rsidP="006C08FD">
      <w:pPr>
        <w:pStyle w:val="NormalWeb"/>
        <w:spacing w:before="0" w:beforeAutospacing="0" w:after="240" w:afterAutospacing="0" w:line="360" w:lineRule="atLeast"/>
        <w:rPr>
          <w:rFonts w:eastAsiaTheme="minorHAnsi"/>
          <w:color w:val="000000"/>
          <w:kern w:val="2"/>
          <w:lang w:eastAsia="en-US"/>
          <w14:ligatures w14:val="standardContextual"/>
        </w:rPr>
      </w:pPr>
      <w:r w:rsidRPr="004358A6">
        <w:rPr>
          <w:rFonts w:eastAsiaTheme="minorHAnsi"/>
          <w:color w:val="000000"/>
          <w:kern w:val="2"/>
          <w:lang w:eastAsia="en-US"/>
          <w14:ligatures w14:val="standardContextual"/>
        </w:rPr>
        <w:t>Kisa, A. and Kisa, S. (2025) ‘Structural racism as a fundamental cause of health inequities: a scoping review’, International Journal for Equity in Health. </w:t>
      </w:r>
      <w:hyperlink r:id="rId17" w:history="1">
        <w:r w:rsidRPr="004358A6">
          <w:rPr>
            <w:rStyle w:val="Hyperlink"/>
            <w:rFonts w:eastAsiaTheme="minorHAnsi"/>
            <w:kern w:val="2"/>
            <w:lang w:eastAsia="en-US"/>
            <w14:ligatures w14:val="standardContextual"/>
          </w:rPr>
          <w:t>https://link.springer.com/article/10.1186/s12939-025-02644-7</w:t>
        </w:r>
        <w:r w:rsidRPr="004358A6">
          <w:rPr>
            <w:rStyle w:val="Hyperlink"/>
            <w:rFonts w:eastAsiaTheme="minorHAnsi"/>
            <w:kern w:val="2"/>
            <w:lang w:eastAsia="en-US"/>
            <w14:ligatures w14:val="standardContextual"/>
          </w:rPr>
          <w:t>[Accessed</w:t>
        </w:r>
      </w:hyperlink>
      <w:r w:rsidRPr="004358A6">
        <w:rPr>
          <w:rFonts w:eastAsiaTheme="minorHAnsi"/>
          <w:color w:val="000000"/>
          <w:kern w:val="2"/>
          <w:lang w:eastAsia="en-US"/>
          <w14:ligatures w14:val="standardContextual"/>
        </w:rPr>
        <w:t xml:space="preserve"> :13 March 2026]</w:t>
      </w:r>
    </w:p>
    <w:p w14:paraId="42C0E44D" w14:textId="77777777" w:rsidR="004358A6" w:rsidRPr="004358A6" w:rsidRDefault="004358A6" w:rsidP="00AB496E">
      <w:pPr>
        <w:pStyle w:val="NormalWeb"/>
        <w:spacing w:before="0" w:beforeAutospacing="0" w:after="240" w:afterAutospacing="0" w:line="360" w:lineRule="atLeast"/>
        <w:rPr>
          <w:color w:val="000000"/>
        </w:rPr>
      </w:pPr>
      <w:r w:rsidRPr="004358A6">
        <w:rPr>
          <w:color w:val="000000"/>
        </w:rPr>
        <w:t xml:space="preserve">Knight, M. et al. (2023) Saving Lives, Improving Mothers’ Care State of the Nation Surveillance Report Maternal, Newborn and Infant Clinical Outcome Review Programme Saving Lives, Improving Mothers’ Care. (2023). Available at: </w:t>
      </w:r>
      <w:hyperlink r:id="rId18" w:history="1">
        <w:r w:rsidRPr="004358A6">
          <w:rPr>
            <w:rStyle w:val="Hyperlink"/>
          </w:rPr>
          <w:t>https://www.npeu.ox.ac.uk/assets/downloads/mbrrace-uk/reports/maternal-report-2023/MBRRACE-UK_Maternal_Compiled_Report_2023.pdf</w:t>
        </w:r>
      </w:hyperlink>
      <w:r w:rsidRPr="004358A6">
        <w:rPr>
          <w:color w:val="000000"/>
        </w:rPr>
        <w:t>?</w:t>
      </w:r>
      <w:r w:rsidRPr="004358A6">
        <w:rPr>
          <w:color w:val="000000"/>
        </w:rPr>
        <w:t>[</w:t>
      </w:r>
      <w:r w:rsidRPr="004358A6">
        <w:rPr>
          <w:color w:val="000000"/>
        </w:rPr>
        <w:t xml:space="preserve">Accessed </w:t>
      </w:r>
      <w:r w:rsidRPr="004358A6">
        <w:rPr>
          <w:color w:val="000000"/>
        </w:rPr>
        <w:t>14 March 2026]</w:t>
      </w:r>
    </w:p>
    <w:p w14:paraId="7D034333" w14:textId="77777777" w:rsidR="004358A6" w:rsidRPr="004358A6" w:rsidRDefault="004358A6" w:rsidP="006C08FD">
      <w:pPr>
        <w:pStyle w:val="NormalWeb"/>
        <w:spacing w:before="0" w:beforeAutospacing="0" w:after="240" w:afterAutospacing="0" w:line="360" w:lineRule="atLeast"/>
        <w:rPr>
          <w:color w:val="000000"/>
        </w:rPr>
      </w:pPr>
      <w:r w:rsidRPr="004358A6">
        <w:rPr>
          <w:color w:val="000000"/>
        </w:rPr>
        <w:t>Marmot, M., Allen, J., Boyce, T., Goldblatt, P. and Morrison, J. (2020).</w:t>
      </w:r>
      <w:r w:rsidRPr="004358A6">
        <w:rPr>
          <w:rStyle w:val="apple-converted-space"/>
          <w:color w:val="000000"/>
        </w:rPr>
        <w:t> </w:t>
      </w:r>
      <w:r w:rsidRPr="004358A6">
        <w:rPr>
          <w:color w:val="000000"/>
        </w:rPr>
        <w:t xml:space="preserve">Health equity in England: The Marmot review 10 years on. [online] The Health Foundation. Available at: </w:t>
      </w:r>
      <w:hyperlink r:id="rId19" w:history="1">
        <w:r w:rsidRPr="004358A6">
          <w:rPr>
            <w:rStyle w:val="Hyperlink"/>
          </w:rPr>
          <w:t>https://www</w:t>
        </w:r>
        <w:r w:rsidRPr="004358A6">
          <w:rPr>
            <w:rStyle w:val="Hyperlink"/>
          </w:rPr>
          <w:t>.</w:t>
        </w:r>
        <w:r w:rsidRPr="004358A6">
          <w:rPr>
            <w:rStyle w:val="Hyperlink"/>
          </w:rPr>
          <w:t>health.org.uk/publications/reports/the-marmot-review-10-years-on</w:t>
        </w:r>
        <w:r w:rsidRPr="004358A6">
          <w:rPr>
            <w:rStyle w:val="Hyperlink"/>
          </w:rPr>
          <w:t>[Assessed</w:t>
        </w:r>
      </w:hyperlink>
      <w:r w:rsidRPr="004358A6">
        <w:rPr>
          <w:color w:val="000000"/>
        </w:rPr>
        <w:t xml:space="preserve"> :16 March 2026]</w:t>
      </w:r>
    </w:p>
    <w:p w14:paraId="0135E495" w14:textId="77777777" w:rsidR="004358A6" w:rsidRPr="004358A6" w:rsidRDefault="004358A6" w:rsidP="00CD190A">
      <w:pPr>
        <w:rPr>
          <w:rFonts w:ascii="Times New Roman" w:eastAsia="Times New Roman" w:hAnsi="Times New Roman" w:cs="Times New Roman"/>
          <w:color w:val="000000"/>
          <w:kern w:val="0"/>
          <w:lang w:eastAsia="en-GB"/>
          <w14:ligatures w14:val="none"/>
        </w:rPr>
      </w:pPr>
      <w:r w:rsidRPr="004358A6">
        <w:rPr>
          <w:rFonts w:ascii="Times New Roman" w:eastAsia="Times New Roman" w:hAnsi="Times New Roman" w:cs="Times New Roman"/>
          <w:color w:val="000000"/>
          <w:kern w:val="0"/>
          <w:lang w:eastAsia="en-GB"/>
          <w14:ligatures w14:val="none"/>
        </w:rPr>
        <w:t>Marmot, M., Naqvi, H., Ofori, C. and Fenton, K. (2024) ‘Structural racism and the social determinants of health’, BMJ, 387, q2139</w:t>
      </w:r>
      <w:r w:rsidRPr="004358A6">
        <w:rPr>
          <w:rFonts w:ascii="Times New Roman" w:eastAsia="Times New Roman" w:hAnsi="Times New Roman" w:cs="Times New Roman"/>
          <w:color w:val="000000"/>
          <w:kern w:val="0"/>
          <w:lang w:eastAsia="en-GB"/>
          <w14:ligatures w14:val="none"/>
        </w:rPr>
        <w:t>.</w:t>
      </w:r>
      <w:hyperlink r:id="rId20" w:history="1">
        <w:r w:rsidRPr="004358A6">
          <w:rPr>
            <w:rStyle w:val="Hyperlink"/>
            <w:rFonts w:ascii="Times New Roman" w:eastAsia="Times New Roman" w:hAnsi="Times New Roman" w:cs="Times New Roman"/>
            <w:kern w:val="0"/>
            <w:lang w:eastAsia="en-GB"/>
            <w14:ligatures w14:val="none"/>
          </w:rPr>
          <w:t>https://www.bmj.com/content/387/bmj.q2139</w:t>
        </w:r>
      </w:hyperlink>
      <w:r w:rsidRPr="004358A6">
        <w:rPr>
          <w:rFonts w:ascii="Times New Roman" w:eastAsia="Times New Roman" w:hAnsi="Times New Roman" w:cs="Times New Roman"/>
          <w:color w:val="000000"/>
          <w:kern w:val="0"/>
          <w:lang w:eastAsia="en-GB"/>
          <w14:ligatures w14:val="none"/>
        </w:rPr>
        <w:t>[Accessed 16 March 2026]</w:t>
      </w:r>
    </w:p>
    <w:p w14:paraId="0B8ECE92" w14:textId="77777777" w:rsidR="004358A6" w:rsidRPr="004358A6" w:rsidRDefault="004358A6" w:rsidP="00CD190A">
      <w:pPr>
        <w:spacing w:after="120"/>
        <w:rPr>
          <w:rFonts w:ascii="Times New Roman" w:eastAsia="Times New Roman" w:hAnsi="Times New Roman" w:cs="Times New Roman"/>
          <w:color w:val="000000"/>
          <w:kern w:val="0"/>
          <w:lang w:eastAsia="en-GB"/>
          <w14:ligatures w14:val="none"/>
        </w:rPr>
      </w:pPr>
      <w:r w:rsidRPr="004358A6">
        <w:rPr>
          <w:rFonts w:ascii="Times New Roman" w:eastAsia="Times New Roman" w:hAnsi="Times New Roman" w:cs="Times New Roman"/>
          <w:color w:val="000000"/>
          <w:kern w:val="0"/>
          <w:lang w:eastAsia="en-GB"/>
          <w14:ligatures w14:val="none"/>
        </w:rPr>
        <w:lastRenderedPageBreak/>
        <w:t> Nazroo, J., Bhui, K. and Rhodes, J. (2020) ‘Where is the racism in the health inequalities agenda?’, Social Psychiatry and Psychiatric Epidemiology, 55, pp. 1107–1109. </w:t>
      </w:r>
    </w:p>
    <w:p w14:paraId="0097717D" w14:textId="77777777" w:rsidR="004358A6" w:rsidRPr="004358A6" w:rsidRDefault="004358A6" w:rsidP="00CD190A">
      <w:pPr>
        <w:spacing w:after="120"/>
        <w:rPr>
          <w:rFonts w:ascii="Times New Roman" w:eastAsia="Times New Roman" w:hAnsi="Times New Roman" w:cs="Times New Roman"/>
          <w:color w:val="000000"/>
          <w:kern w:val="0"/>
          <w:lang w:eastAsia="en-GB"/>
          <w14:ligatures w14:val="none"/>
        </w:rPr>
      </w:pPr>
      <w:r w:rsidRPr="004358A6">
        <w:rPr>
          <w:rFonts w:ascii="Times New Roman" w:hAnsi="Times New Roman" w:cs="Times New Roman"/>
          <w:color w:val="000000"/>
        </w:rPr>
        <w:t>NHS England (2023).</w:t>
      </w:r>
      <w:r w:rsidRPr="004358A6">
        <w:rPr>
          <w:rStyle w:val="apple-converted-space"/>
          <w:rFonts w:ascii="Times New Roman" w:hAnsi="Times New Roman" w:cs="Times New Roman"/>
          <w:color w:val="000000"/>
        </w:rPr>
        <w:t> </w:t>
      </w:r>
      <w:r w:rsidRPr="004358A6">
        <w:rPr>
          <w:rFonts w:ascii="Times New Roman" w:hAnsi="Times New Roman" w:cs="Times New Roman"/>
          <w:color w:val="000000"/>
        </w:rPr>
        <w:t xml:space="preserve">NHS equality, diversity, and Inclusion Improvement Plan. [online] NHS England. Available at: </w:t>
      </w:r>
      <w:hyperlink r:id="rId21" w:history="1">
        <w:r w:rsidRPr="004358A6">
          <w:rPr>
            <w:rStyle w:val="Hyperlink"/>
            <w:rFonts w:ascii="Times New Roman" w:hAnsi="Times New Roman" w:cs="Times New Roman"/>
          </w:rPr>
          <w:t>https://www.england.nhs.uk/long-read/nhs-equality-diversity-and-inclusion-improvement-plan/</w:t>
        </w:r>
        <w:r w:rsidRPr="004358A6">
          <w:rPr>
            <w:rStyle w:val="Hyperlink"/>
            <w:rFonts w:ascii="Times New Roman" w:hAnsi="Times New Roman" w:cs="Times New Roman"/>
          </w:rPr>
          <w:t>[Accessed</w:t>
        </w:r>
      </w:hyperlink>
      <w:r w:rsidRPr="004358A6">
        <w:rPr>
          <w:rFonts w:ascii="Times New Roman" w:hAnsi="Times New Roman" w:cs="Times New Roman"/>
          <w:color w:val="000000"/>
        </w:rPr>
        <w:t xml:space="preserve"> 17 March 2026]</w:t>
      </w:r>
    </w:p>
    <w:p w14:paraId="4CE97B19" w14:textId="77777777" w:rsidR="004358A6" w:rsidRPr="004358A6" w:rsidRDefault="004358A6" w:rsidP="00FB1469">
      <w:pPr>
        <w:pStyle w:val="NormalWeb"/>
        <w:spacing w:before="0" w:beforeAutospacing="0" w:after="240" w:afterAutospacing="0" w:line="360" w:lineRule="atLeast"/>
        <w:rPr>
          <w:color w:val="000000"/>
        </w:rPr>
      </w:pPr>
      <w:r w:rsidRPr="004358A6">
        <w:rPr>
          <w:color w:val="000000"/>
        </w:rPr>
        <w:t>Office for National Statistics (2023).</w:t>
      </w:r>
      <w:r w:rsidRPr="004358A6">
        <w:rPr>
          <w:rStyle w:val="apple-converted-space"/>
          <w:color w:val="000000"/>
        </w:rPr>
        <w:t> </w:t>
      </w:r>
      <w:r w:rsidRPr="004358A6">
        <w:rPr>
          <w:color w:val="000000"/>
        </w:rPr>
        <w:t xml:space="preserve">Ethnic group differences in health, employment, education and housing shown in England and Wales’ Census 2021 - Office for National Statistics. [online] www.ons.gov.uk. Available at: </w:t>
      </w:r>
      <w:hyperlink r:id="rId22" w:history="1">
        <w:r w:rsidRPr="004358A6">
          <w:rPr>
            <w:rStyle w:val="Hyperlink"/>
          </w:rPr>
          <w:t>https://www.ons.gov.uk/peoplepopulationandcommunity/culturalidentity/ethnicity/articles/ethnicgroupdifferencesinhealthemploymenteducationandhousingshowninenglandandwalescensus2021/2023-03-15</w:t>
        </w:r>
      </w:hyperlink>
      <w:r w:rsidRPr="004358A6">
        <w:rPr>
          <w:color w:val="000000"/>
        </w:rPr>
        <w:t xml:space="preserve"> [Accessed 17 March 2026].</w:t>
      </w:r>
    </w:p>
    <w:p w14:paraId="3424567F" w14:textId="77777777" w:rsidR="004358A6" w:rsidRPr="004358A6" w:rsidRDefault="004358A6" w:rsidP="00127961">
      <w:pPr>
        <w:pStyle w:val="NormalWeb"/>
        <w:spacing w:before="0" w:beforeAutospacing="0" w:after="240" w:afterAutospacing="0" w:line="360" w:lineRule="atLeast"/>
        <w:rPr>
          <w:color w:val="000000"/>
        </w:rPr>
      </w:pPr>
      <w:r w:rsidRPr="004358A6">
        <w:rPr>
          <w:color w:val="000000"/>
        </w:rPr>
        <w:t>Public Health England (2021) Disparities in the risk and outcomes of COVID-19.</w:t>
      </w:r>
      <w:r w:rsidRPr="004358A6">
        <w:rPr>
          <w:rStyle w:val="apple-converted-space"/>
          <w:color w:val="000000"/>
        </w:rPr>
        <w:t> </w:t>
      </w:r>
      <w:hyperlink r:id="rId23" w:history="1">
        <w:r w:rsidRPr="004358A6">
          <w:rPr>
            <w:rStyle w:val="Hyperlink"/>
          </w:rPr>
          <w:t>https://www.gov.uk/government/publications/covid-19-review-of-disparities-in-risks-and-outcomes</w:t>
        </w:r>
      </w:hyperlink>
      <w:r w:rsidRPr="004358A6">
        <w:t>[Accessed 18 March 2026].</w:t>
      </w:r>
    </w:p>
    <w:p w14:paraId="71171CC0" w14:textId="77777777" w:rsidR="004358A6" w:rsidRPr="004358A6" w:rsidRDefault="004358A6" w:rsidP="00720BF5">
      <w:pPr>
        <w:pStyle w:val="NormalWeb"/>
        <w:spacing w:before="0" w:beforeAutospacing="0" w:after="240" w:afterAutospacing="0" w:line="360" w:lineRule="atLeast"/>
        <w:rPr>
          <w:color w:val="000000"/>
        </w:rPr>
      </w:pPr>
      <w:r w:rsidRPr="004358A6">
        <w:rPr>
          <w:color w:val="000000"/>
        </w:rPr>
        <w:t>Salway, S., Mir, G., Turner, D. and Ellison, G. (2020) ‘Obstacles to race equality in the English National Health Service’, British Medical Bulletin, 133(1), pp. 13–25</w:t>
      </w:r>
      <w:r w:rsidRPr="004358A6">
        <w:rPr>
          <w:color w:val="000000"/>
        </w:rPr>
        <w:t>.</w:t>
      </w:r>
    </w:p>
    <w:p w14:paraId="1EB6F10E" w14:textId="77777777" w:rsidR="004358A6" w:rsidRPr="004358A6" w:rsidRDefault="004358A6" w:rsidP="00127961">
      <w:pPr>
        <w:pStyle w:val="NormalWeb"/>
        <w:spacing w:before="0" w:beforeAutospacing="0" w:after="240" w:afterAutospacing="0" w:line="360" w:lineRule="atLeast"/>
        <w:rPr>
          <w:color w:val="000000"/>
        </w:rPr>
      </w:pPr>
      <w:r w:rsidRPr="004358A6">
        <w:rPr>
          <w:color w:val="000000"/>
        </w:rPr>
        <w:t>Salway, S., Mir, G., Turner, D., Ellison, G.T.H., Carter, L. and Gerrish, K. (2016). Obstacles to ‘race Equality’ in the English National Health Service: Insights from the Healthcare Commissioning Arena.</w:t>
      </w:r>
      <w:r w:rsidRPr="004358A6">
        <w:rPr>
          <w:rStyle w:val="apple-converted-space"/>
          <w:color w:val="000000"/>
        </w:rPr>
        <w:t> </w:t>
      </w:r>
      <w:r w:rsidRPr="004358A6">
        <w:rPr>
          <w:color w:val="000000"/>
        </w:rPr>
        <w:t>Social Science &amp; Medicine, [online] 152(152), pp.102–110. doi:https://doi.org/10.1016/j.socscimed.2016.01.031.</w:t>
      </w:r>
    </w:p>
    <w:p w14:paraId="6B4A70F0" w14:textId="77777777" w:rsidR="004358A6" w:rsidRPr="004358A6" w:rsidRDefault="004358A6" w:rsidP="008C3C92">
      <w:pPr>
        <w:rPr>
          <w:rFonts w:ascii="Times New Roman" w:eastAsia="Times New Roman" w:hAnsi="Times New Roman" w:cs="Times New Roman"/>
          <w:color w:val="000000"/>
          <w:kern w:val="0"/>
          <w:lang w:eastAsia="en-GB"/>
          <w14:ligatures w14:val="none"/>
        </w:rPr>
      </w:pPr>
      <w:r w:rsidRPr="004358A6">
        <w:rPr>
          <w:rFonts w:ascii="Times New Roman" w:hAnsi="Times New Roman" w:cs="Times New Roman"/>
          <w:color w:val="000000"/>
        </w:rPr>
        <w:t>The King’s Fund (2021).</w:t>
      </w:r>
      <w:r w:rsidRPr="004358A6">
        <w:rPr>
          <w:rStyle w:val="apple-converted-space"/>
          <w:rFonts w:ascii="Times New Roman" w:hAnsi="Times New Roman" w:cs="Times New Roman"/>
          <w:color w:val="000000"/>
        </w:rPr>
        <w:t> </w:t>
      </w:r>
      <w:r w:rsidRPr="004358A6">
        <w:rPr>
          <w:rFonts w:ascii="Times New Roman" w:hAnsi="Times New Roman" w:cs="Times New Roman"/>
          <w:color w:val="000000"/>
        </w:rPr>
        <w:t xml:space="preserve">Health Inequalities in a Nutshell. [online] The King’s Fund. Available at: </w:t>
      </w:r>
      <w:r w:rsidRPr="004358A6">
        <w:rPr>
          <w:rFonts w:ascii="Times New Roman" w:eastAsia="Times New Roman" w:hAnsi="Times New Roman" w:cs="Times New Roman"/>
          <w:color w:val="000000"/>
          <w:kern w:val="0"/>
          <w:lang w:eastAsia="en-GB"/>
          <w14:ligatures w14:val="none"/>
        </w:rPr>
        <w:t>NHS</w:t>
      </w:r>
      <w:r w:rsidRPr="004358A6">
        <w:rPr>
          <w:rFonts w:ascii="Times New Roman" w:eastAsia="Times New Roman" w:hAnsi="Times New Roman" w:cs="Times New Roman"/>
          <w:color w:val="000000"/>
          <w:kern w:val="0"/>
          <w:lang w:eastAsia="en-GB"/>
          <w14:ligatures w14:val="none"/>
        </w:rPr>
        <w:t>.</w:t>
      </w:r>
      <w:hyperlink r:id="rId24" w:history="1">
        <w:r w:rsidRPr="004358A6">
          <w:rPr>
            <w:rStyle w:val="Hyperlink"/>
            <w:rFonts w:ascii="Times New Roman" w:eastAsia="Times New Roman" w:hAnsi="Times New Roman" w:cs="Times New Roman"/>
            <w:kern w:val="0"/>
            <w:lang w:eastAsia="en-GB"/>
            <w14:ligatures w14:val="none"/>
          </w:rPr>
          <w:t>https://www.kingsfund.org</w:t>
        </w:r>
        <w:r w:rsidRPr="004358A6">
          <w:rPr>
            <w:rStyle w:val="Hyperlink"/>
            <w:rFonts w:ascii="Times New Roman" w:eastAsia="Times New Roman" w:hAnsi="Times New Roman" w:cs="Times New Roman"/>
            <w:kern w:val="0"/>
            <w:lang w:eastAsia="en-GB"/>
            <w14:ligatures w14:val="none"/>
          </w:rPr>
          <w:t>.</w:t>
        </w:r>
        <w:r w:rsidRPr="004358A6">
          <w:rPr>
            <w:rStyle w:val="Hyperlink"/>
            <w:rFonts w:ascii="Times New Roman" w:eastAsia="Times New Roman" w:hAnsi="Times New Roman" w:cs="Times New Roman"/>
            <w:kern w:val="0"/>
            <w:lang w:eastAsia="en-GB"/>
            <w14:ligatures w14:val="none"/>
          </w:rPr>
          <w:t>uk/projects/nhs-in-a-nutshell/health-inequalities</w:t>
        </w:r>
      </w:hyperlink>
      <w:r w:rsidRPr="004358A6">
        <w:rPr>
          <w:rFonts w:ascii="Times New Roman" w:eastAsia="Times New Roman" w:hAnsi="Times New Roman" w:cs="Times New Roman"/>
          <w:color w:val="000000"/>
          <w:kern w:val="0"/>
          <w:lang w:eastAsia="en-GB"/>
          <w14:ligatures w14:val="none"/>
        </w:rPr>
        <w:t xml:space="preserve"> [Accessed 18 March 2023].</w:t>
      </w:r>
    </w:p>
    <w:p w14:paraId="21DB92A3" w14:textId="77777777" w:rsidR="004358A6" w:rsidRPr="004358A6" w:rsidRDefault="004358A6" w:rsidP="00AF3D42">
      <w:pPr>
        <w:pStyle w:val="NormalWeb"/>
        <w:spacing w:before="0" w:beforeAutospacing="0" w:after="240" w:afterAutospacing="0" w:line="360" w:lineRule="atLeast"/>
        <w:rPr>
          <w:color w:val="000000"/>
        </w:rPr>
      </w:pPr>
      <w:r w:rsidRPr="004358A6">
        <w:rPr>
          <w:color w:val="000000"/>
        </w:rPr>
        <w:t>The King’s Fund (2021)</w:t>
      </w:r>
      <w:r w:rsidRPr="004358A6">
        <w:rPr>
          <w:color w:val="000000"/>
        </w:rPr>
        <w:t xml:space="preserve">Ethnic health inequalities and the NHS Driving progress in a changing system. (2021). Available at: </w:t>
      </w:r>
      <w:hyperlink r:id="rId25" w:history="1">
        <w:r w:rsidRPr="004358A6">
          <w:rPr>
            <w:rStyle w:val="Hyperlink"/>
          </w:rPr>
          <w:t>https://www.nhsrho.org/wp-content/uploads/2023/05/Ethnic-Health-Inequalities-Kings-Fund-Report.pdf</w:t>
        </w:r>
      </w:hyperlink>
      <w:r w:rsidRPr="004358A6">
        <w:rPr>
          <w:color w:val="000000"/>
        </w:rPr>
        <w:t xml:space="preserve"> </w:t>
      </w:r>
      <w:r w:rsidRPr="004358A6">
        <w:rPr>
          <w:color w:val="000000"/>
        </w:rPr>
        <w:t>[Accessed 17 Mar</w:t>
      </w:r>
      <w:r w:rsidRPr="004358A6">
        <w:rPr>
          <w:color w:val="000000"/>
        </w:rPr>
        <w:t xml:space="preserve">ch </w:t>
      </w:r>
      <w:r w:rsidRPr="004358A6">
        <w:rPr>
          <w:color w:val="000000"/>
        </w:rPr>
        <w:t>202</w:t>
      </w:r>
      <w:r w:rsidRPr="004358A6">
        <w:rPr>
          <w:color w:val="000000"/>
        </w:rPr>
        <w:t>6</w:t>
      </w:r>
      <w:r w:rsidRPr="004358A6">
        <w:rPr>
          <w:color w:val="000000"/>
        </w:rPr>
        <w:t>.</w:t>
      </w:r>
    </w:p>
    <w:p w14:paraId="7F953CD2" w14:textId="77777777" w:rsidR="004358A6" w:rsidRPr="004358A6" w:rsidRDefault="004358A6" w:rsidP="00AF3D42">
      <w:pPr>
        <w:pStyle w:val="NormalWeb"/>
        <w:spacing w:before="0" w:beforeAutospacing="0" w:after="240" w:afterAutospacing="0" w:line="360" w:lineRule="atLeast"/>
        <w:rPr>
          <w:color w:val="000000"/>
        </w:rPr>
      </w:pPr>
      <w:r w:rsidRPr="004358A6">
        <w:rPr>
          <w:color w:val="000000"/>
        </w:rPr>
        <w:t>United Nations (2015) Transforming our world: the 2030 Agenda for Sustainable Development.</w:t>
      </w:r>
      <w:r w:rsidRPr="004358A6">
        <w:rPr>
          <w:color w:val="000000"/>
        </w:rPr>
        <w:t xml:space="preserve"> </w:t>
      </w:r>
      <w:hyperlink r:id="rId26" w:history="1">
        <w:r w:rsidRPr="004358A6">
          <w:rPr>
            <w:rStyle w:val="Hyperlink"/>
          </w:rPr>
          <w:t>https://sdgs.un.org/2030agenda</w:t>
        </w:r>
      </w:hyperlink>
      <w:r w:rsidRPr="004358A6">
        <w:rPr>
          <w:color w:val="000000"/>
        </w:rPr>
        <w:t>[Accessed 19 Mar. 202</w:t>
      </w:r>
      <w:r w:rsidRPr="004358A6">
        <w:rPr>
          <w:color w:val="000000"/>
        </w:rPr>
        <w:t>6</w:t>
      </w:r>
      <w:r w:rsidRPr="004358A6">
        <w:rPr>
          <w:color w:val="000000"/>
        </w:rPr>
        <w:t>].</w:t>
      </w:r>
    </w:p>
    <w:p w14:paraId="1B4B3AAE" w14:textId="4F2A2617" w:rsidR="004358A6" w:rsidRPr="004358A6" w:rsidRDefault="004358A6" w:rsidP="005D5285">
      <w:pPr>
        <w:rPr>
          <w:rFonts w:ascii="Times New Roman" w:hAnsi="Times New Roman" w:cs="Times New Roman"/>
          <w:color w:val="000000"/>
        </w:rPr>
      </w:pPr>
      <w:r w:rsidRPr="004358A6">
        <w:rPr>
          <w:rFonts w:ascii="Times New Roman" w:hAnsi="Times New Roman" w:cs="Times New Roman"/>
          <w:color w:val="000000"/>
        </w:rPr>
        <w:t>World Health Organization (2025)</w:t>
      </w:r>
      <w:r w:rsidRPr="004358A6">
        <w:rPr>
          <w:rFonts w:ascii="Times New Roman" w:hAnsi="Times New Roman" w:cs="Times New Roman"/>
          <w:color w:val="000000"/>
        </w:rPr>
        <w:t xml:space="preserve"> World H</w:t>
      </w:r>
      <w:r w:rsidRPr="004358A6">
        <w:rPr>
          <w:rFonts w:ascii="Times New Roman" w:hAnsi="Times New Roman" w:cs="Times New Roman"/>
          <w:color w:val="000000"/>
        </w:rPr>
        <w:t xml:space="preserve">ealth </w:t>
      </w:r>
      <w:r w:rsidRPr="004358A6">
        <w:rPr>
          <w:rFonts w:ascii="Times New Roman" w:hAnsi="Times New Roman" w:cs="Times New Roman"/>
          <w:color w:val="000000"/>
        </w:rPr>
        <w:t>S</w:t>
      </w:r>
      <w:r w:rsidRPr="004358A6">
        <w:rPr>
          <w:rFonts w:ascii="Times New Roman" w:hAnsi="Times New Roman" w:cs="Times New Roman"/>
          <w:color w:val="000000"/>
        </w:rPr>
        <w:t>tatistics 2025: monitoring health for the SDGs, Sustainable Development Goals.</w:t>
      </w:r>
      <w:r w:rsidRPr="004358A6">
        <w:rPr>
          <w:rFonts w:ascii="Times New Roman" w:hAnsi="Times New Roman" w:cs="Times New Roman"/>
          <w:color w:val="000000"/>
        </w:rPr>
        <w:t xml:space="preserve"> </w:t>
      </w:r>
      <w:hyperlink r:id="rId27" w:history="1">
        <w:r w:rsidRPr="004358A6">
          <w:rPr>
            <w:rStyle w:val="Hyperlink"/>
            <w:rFonts w:ascii="Times New Roman" w:hAnsi="Times New Roman" w:cs="Times New Roman"/>
          </w:rPr>
          <w:t>https://www.who.int/public</w:t>
        </w:r>
        <w:r w:rsidRPr="004358A6">
          <w:rPr>
            <w:rStyle w:val="Hyperlink"/>
            <w:rFonts w:ascii="Times New Roman" w:hAnsi="Times New Roman" w:cs="Times New Roman"/>
          </w:rPr>
          <w:t>a</w:t>
        </w:r>
        <w:r w:rsidRPr="004358A6">
          <w:rPr>
            <w:rStyle w:val="Hyperlink"/>
            <w:rFonts w:ascii="Times New Roman" w:hAnsi="Times New Roman" w:cs="Times New Roman"/>
          </w:rPr>
          <w:t>tions/i/item/978</w:t>
        </w:r>
        <w:r w:rsidRPr="004358A6">
          <w:rPr>
            <w:rStyle w:val="Hyperlink"/>
            <w:rFonts w:ascii="Times New Roman" w:hAnsi="Times New Roman" w:cs="Times New Roman"/>
          </w:rPr>
          <w:t>9</w:t>
        </w:r>
        <w:r w:rsidRPr="004358A6">
          <w:rPr>
            <w:rStyle w:val="Hyperlink"/>
            <w:rFonts w:ascii="Times New Roman" w:hAnsi="Times New Roman" w:cs="Times New Roman"/>
          </w:rPr>
          <w:t>240110496</w:t>
        </w:r>
      </w:hyperlink>
      <w:r w:rsidRPr="004358A6">
        <w:rPr>
          <w:rFonts w:ascii="Times New Roman" w:hAnsi="Times New Roman" w:cs="Times New Roman"/>
          <w:color w:val="000000"/>
        </w:rPr>
        <w:t xml:space="preserve"> [Accessed 19 March 2026].</w:t>
      </w:r>
    </w:p>
    <w:p w14:paraId="3016D863" w14:textId="77777777" w:rsidR="004358A6" w:rsidRPr="004358A6" w:rsidRDefault="004358A6" w:rsidP="00127961">
      <w:pPr>
        <w:pStyle w:val="NormalWeb"/>
        <w:spacing w:before="0" w:beforeAutospacing="0" w:after="240" w:afterAutospacing="0" w:line="360" w:lineRule="atLeast"/>
        <w:rPr>
          <w:color w:val="000000"/>
        </w:rPr>
      </w:pPr>
      <w:r w:rsidRPr="004358A6">
        <w:rPr>
          <w:color w:val="000000"/>
        </w:rPr>
        <w:t>World Health Organization (2025).</w:t>
      </w:r>
      <w:r w:rsidRPr="004358A6">
        <w:rPr>
          <w:rStyle w:val="apple-converted-space"/>
          <w:color w:val="000000"/>
        </w:rPr>
        <w:t> </w:t>
      </w:r>
      <w:r w:rsidRPr="004358A6">
        <w:rPr>
          <w:color w:val="000000"/>
        </w:rPr>
        <w:t>World report on social determinants of health equity. [online]</w:t>
      </w:r>
      <w:r w:rsidRPr="004358A6">
        <w:rPr>
          <w:rStyle w:val="apple-converted-space"/>
          <w:color w:val="000000"/>
        </w:rPr>
        <w:t> </w:t>
      </w:r>
      <w:r w:rsidRPr="004358A6">
        <w:rPr>
          <w:color w:val="000000"/>
        </w:rPr>
        <w:t xml:space="preserve">Who.int. World Health Organization. Available at: </w:t>
      </w:r>
      <w:hyperlink r:id="rId28" w:history="1">
        <w:r w:rsidRPr="004358A6">
          <w:rPr>
            <w:rStyle w:val="Hyperlink"/>
          </w:rPr>
          <w:t>https://www.who.int/publications/i/item/9789240107588</w:t>
        </w:r>
      </w:hyperlink>
      <w:r w:rsidRPr="004358A6">
        <w:rPr>
          <w:color w:val="000000"/>
        </w:rPr>
        <w:t>[Accessed 19 March 2026].</w:t>
      </w:r>
    </w:p>
    <w:p w14:paraId="1BB84D0D" w14:textId="6707D1A0" w:rsidR="001C4DDD" w:rsidRPr="004358A6" w:rsidRDefault="004358A6" w:rsidP="001C4DDD">
      <w:pPr>
        <w:pStyle w:val="NormalWeb"/>
        <w:spacing w:before="0" w:beforeAutospacing="0" w:after="240" w:afterAutospacing="0" w:line="360" w:lineRule="atLeast"/>
        <w:rPr>
          <w:color w:val="000000"/>
        </w:rPr>
      </w:pPr>
      <w:r w:rsidRPr="004358A6">
        <w:rPr>
          <w:color w:val="000000"/>
        </w:rPr>
        <w:lastRenderedPageBreak/>
        <w:t>World Health Organization (2025b).</w:t>
      </w:r>
      <w:r w:rsidRPr="004358A6">
        <w:rPr>
          <w:rStyle w:val="apple-converted-space"/>
          <w:color w:val="000000"/>
        </w:rPr>
        <w:t> </w:t>
      </w:r>
      <w:r w:rsidRPr="004358A6">
        <w:rPr>
          <w:color w:val="000000"/>
        </w:rPr>
        <w:t>World report on social determinants of health equity. [online]</w:t>
      </w:r>
      <w:r w:rsidRPr="004358A6">
        <w:rPr>
          <w:rStyle w:val="apple-converted-space"/>
          <w:color w:val="000000"/>
        </w:rPr>
        <w:t> </w:t>
      </w:r>
      <w:r w:rsidRPr="004358A6">
        <w:rPr>
          <w:color w:val="000000"/>
        </w:rPr>
        <w:t xml:space="preserve">Who.int. World Health Organization. Available at: </w:t>
      </w:r>
      <w:hyperlink r:id="rId29" w:history="1">
        <w:r w:rsidRPr="004358A6">
          <w:rPr>
            <w:rStyle w:val="Hyperlink"/>
          </w:rPr>
          <w:t>https://www.who.int/publ</w:t>
        </w:r>
        <w:r w:rsidRPr="004358A6">
          <w:rPr>
            <w:rStyle w:val="Hyperlink"/>
          </w:rPr>
          <w:t>i</w:t>
        </w:r>
        <w:r w:rsidRPr="004358A6">
          <w:rPr>
            <w:rStyle w:val="Hyperlink"/>
          </w:rPr>
          <w:t>cations/i/item/978924010</w:t>
        </w:r>
        <w:r w:rsidRPr="004358A6">
          <w:rPr>
            <w:rStyle w:val="Hyperlink"/>
          </w:rPr>
          <w:t>7</w:t>
        </w:r>
        <w:r w:rsidRPr="004358A6">
          <w:rPr>
            <w:rStyle w:val="Hyperlink"/>
          </w:rPr>
          <w:t>588.</w:t>
        </w:r>
        <w:r w:rsidRPr="004358A6">
          <w:rPr>
            <w:rStyle w:val="Hyperlink"/>
          </w:rPr>
          <w:t>[Accessed</w:t>
        </w:r>
      </w:hyperlink>
      <w:r w:rsidRPr="004358A6">
        <w:rPr>
          <w:color w:val="000000"/>
        </w:rPr>
        <w:t xml:space="preserve"> 19 M</w:t>
      </w:r>
      <w:r w:rsidR="001C4DDD" w:rsidRPr="001C4DDD">
        <w:rPr>
          <w:color w:val="000000"/>
        </w:rPr>
        <w:t xml:space="preserve"> </w:t>
      </w:r>
      <w:r w:rsidR="001C4DDD" w:rsidRPr="004358A6">
        <w:rPr>
          <w:color w:val="000000"/>
        </w:rPr>
        <w:t>arch 2026].</w:t>
      </w:r>
    </w:p>
    <w:p w14:paraId="1798946B" w14:textId="0870B621" w:rsidR="001C4DDD" w:rsidRDefault="001C4DDD" w:rsidP="005D5285">
      <w:pPr>
        <w:pStyle w:val="NormalWeb"/>
        <w:spacing w:before="0" w:beforeAutospacing="0" w:after="240" w:afterAutospacing="0" w:line="360" w:lineRule="atLeast"/>
        <w:rPr>
          <w:color w:val="000000"/>
        </w:rPr>
      </w:pPr>
    </w:p>
    <w:p w14:paraId="35179A3E" w14:textId="77777777" w:rsidR="0035543C" w:rsidRDefault="001C4DDD" w:rsidP="00050C06">
      <w:pPr>
        <w:rPr>
          <w:color w:val="000000"/>
        </w:rPr>
      </w:pPr>
      <w:r>
        <w:rPr>
          <w:color w:val="000000"/>
        </w:rPr>
        <w:br w:type="page"/>
      </w:r>
    </w:p>
    <w:p w14:paraId="701E99E0" w14:textId="1F5F33FF" w:rsidR="0035543C" w:rsidRDefault="0035543C">
      <w:pPr>
        <w:rPr>
          <w:color w:val="000000"/>
        </w:rPr>
      </w:pPr>
      <w:r>
        <w:rPr>
          <w:noProof/>
          <w:color w:val="000000"/>
        </w:rPr>
        <w:lastRenderedPageBreak/>
        <w:drawing>
          <wp:inline distT="0" distB="0" distL="0" distR="0" wp14:anchorId="225A7A2E" wp14:editId="4022B5F1">
            <wp:extent cx="5731510" cy="2639060"/>
            <wp:effectExtent l="0" t="0" r="0" b="2540"/>
            <wp:docPr id="158236425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64255" name="Picture 158236425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p>
    <w:p w14:paraId="2D91AE1B" w14:textId="0F6F76C5" w:rsidR="0035543C" w:rsidRDefault="0035543C">
      <w:pPr>
        <w:rPr>
          <w:color w:val="000000"/>
        </w:rPr>
      </w:pPr>
      <w:r>
        <w:rPr>
          <w:noProof/>
          <w:color w:val="000000"/>
        </w:rPr>
        <w:drawing>
          <wp:inline distT="0" distB="0" distL="0" distR="0" wp14:anchorId="422C237B" wp14:editId="26024520">
            <wp:extent cx="5731510" cy="2386965"/>
            <wp:effectExtent l="0" t="0" r="0" b="635"/>
            <wp:docPr id="211638348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83481" name="Picture 211638348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86965"/>
                    </a:xfrm>
                    <a:prstGeom prst="rect">
                      <a:avLst/>
                    </a:prstGeom>
                  </pic:spPr>
                </pic:pic>
              </a:graphicData>
            </a:graphic>
          </wp:inline>
        </w:drawing>
      </w:r>
      <w:r>
        <w:rPr>
          <w:noProof/>
          <w:color w:val="000000"/>
        </w:rPr>
        <w:drawing>
          <wp:inline distT="0" distB="0" distL="0" distR="0" wp14:anchorId="65269F01" wp14:editId="535CB115">
            <wp:extent cx="5731510" cy="2312035"/>
            <wp:effectExtent l="0" t="0" r="0" b="0"/>
            <wp:docPr id="111654054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40543" name="Picture 111654054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312035"/>
                    </a:xfrm>
                    <a:prstGeom prst="rect">
                      <a:avLst/>
                    </a:prstGeom>
                  </pic:spPr>
                </pic:pic>
              </a:graphicData>
            </a:graphic>
          </wp:inline>
        </w:drawing>
      </w:r>
    </w:p>
    <w:p w14:paraId="190D41C1" w14:textId="77777777" w:rsidR="0035543C" w:rsidRDefault="0035543C">
      <w:pPr>
        <w:rPr>
          <w:color w:val="000000"/>
        </w:rPr>
      </w:pPr>
      <w:r>
        <w:rPr>
          <w:color w:val="000000"/>
        </w:rPr>
        <w:br w:type="page"/>
      </w:r>
    </w:p>
    <w:p w14:paraId="4DD8CF73" w14:textId="63468CC8" w:rsidR="0035543C" w:rsidRDefault="0035543C">
      <w:pPr>
        <w:rPr>
          <w:color w:val="000000"/>
        </w:rPr>
      </w:pPr>
      <w:r>
        <w:rPr>
          <w:noProof/>
          <w:color w:val="000000"/>
        </w:rPr>
        <w:lastRenderedPageBreak/>
        <w:drawing>
          <wp:inline distT="0" distB="0" distL="0" distR="0" wp14:anchorId="2493BF6E" wp14:editId="1B84DE9B">
            <wp:extent cx="5731510" cy="2401570"/>
            <wp:effectExtent l="0" t="0" r="0" b="0"/>
            <wp:docPr id="8403794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379429" name="Picture 84037942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401570"/>
                    </a:xfrm>
                    <a:prstGeom prst="rect">
                      <a:avLst/>
                    </a:prstGeom>
                  </pic:spPr>
                </pic:pic>
              </a:graphicData>
            </a:graphic>
          </wp:inline>
        </w:drawing>
      </w:r>
      <w:r>
        <w:rPr>
          <w:noProof/>
          <w:color w:val="000000"/>
        </w:rPr>
        <w:drawing>
          <wp:inline distT="0" distB="0" distL="0" distR="0" wp14:anchorId="3A07020C" wp14:editId="25467861">
            <wp:extent cx="5731510" cy="2809875"/>
            <wp:effectExtent l="0" t="0" r="0" b="0"/>
            <wp:docPr id="139243535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35353" name="Picture 139243535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14:paraId="1014E65B" w14:textId="77777777" w:rsidR="0035543C" w:rsidRDefault="0035543C">
      <w:pPr>
        <w:rPr>
          <w:color w:val="000000"/>
        </w:rPr>
      </w:pPr>
      <w:r>
        <w:rPr>
          <w:color w:val="000000"/>
        </w:rPr>
        <w:br w:type="page"/>
      </w:r>
    </w:p>
    <w:p w14:paraId="7C732961" w14:textId="119B5B94" w:rsidR="0035543C" w:rsidRDefault="0035543C">
      <w:pPr>
        <w:rPr>
          <w:color w:val="000000"/>
        </w:rPr>
      </w:pPr>
      <w:r>
        <w:rPr>
          <w:noProof/>
          <w:color w:val="000000"/>
        </w:rPr>
        <w:lastRenderedPageBreak/>
        <w:drawing>
          <wp:inline distT="0" distB="0" distL="0" distR="0" wp14:anchorId="27B4DEEF" wp14:editId="62E5CF16">
            <wp:extent cx="5731510" cy="3376930"/>
            <wp:effectExtent l="0" t="0" r="0" b="1270"/>
            <wp:docPr id="19071225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22528" name="Picture 190712252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76930"/>
                    </a:xfrm>
                    <a:prstGeom prst="rect">
                      <a:avLst/>
                    </a:prstGeom>
                  </pic:spPr>
                </pic:pic>
              </a:graphicData>
            </a:graphic>
          </wp:inline>
        </w:drawing>
      </w:r>
    </w:p>
    <w:p w14:paraId="5A75B5A1" w14:textId="71D2D56F" w:rsidR="0035543C" w:rsidRDefault="0035543C">
      <w:pPr>
        <w:rPr>
          <w:color w:val="000000"/>
        </w:rPr>
      </w:pPr>
      <w:r>
        <w:rPr>
          <w:color w:val="000000"/>
        </w:rPr>
        <w:br w:type="page"/>
      </w:r>
      <w:r>
        <w:rPr>
          <w:noProof/>
          <w:color w:val="000000"/>
        </w:rPr>
        <w:lastRenderedPageBreak/>
        <w:drawing>
          <wp:inline distT="0" distB="0" distL="0" distR="0" wp14:anchorId="4052E58E" wp14:editId="548DE70D">
            <wp:extent cx="5731510" cy="3023235"/>
            <wp:effectExtent l="0" t="0" r="0" b="0"/>
            <wp:docPr id="181515517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155176" name="Picture 181515517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p>
    <w:p w14:paraId="3CE5E8E6" w14:textId="707ECB58" w:rsidR="0035543C" w:rsidRDefault="0035543C">
      <w:pPr>
        <w:rPr>
          <w:color w:val="000000"/>
        </w:rPr>
      </w:pPr>
      <w:r>
        <w:rPr>
          <w:noProof/>
          <w:color w:val="000000"/>
        </w:rPr>
        <w:drawing>
          <wp:inline distT="0" distB="0" distL="0" distR="0" wp14:anchorId="4B4BDED6" wp14:editId="29AC5D8E">
            <wp:extent cx="5731510" cy="3098165"/>
            <wp:effectExtent l="0" t="0" r="0" b="635"/>
            <wp:docPr id="6224147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14790" name="Picture 62241479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r>
        <w:rPr>
          <w:noProof/>
          <w:color w:val="000000"/>
        </w:rPr>
        <w:drawing>
          <wp:inline distT="0" distB="0" distL="0" distR="0" wp14:anchorId="5C3D91AF" wp14:editId="16B144E2">
            <wp:extent cx="5731510" cy="2693035"/>
            <wp:effectExtent l="0" t="0" r="0" b="0"/>
            <wp:docPr id="59851803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18030" name="Picture 59851803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693035"/>
                    </a:xfrm>
                    <a:prstGeom prst="rect">
                      <a:avLst/>
                    </a:prstGeom>
                  </pic:spPr>
                </pic:pic>
              </a:graphicData>
            </a:graphic>
          </wp:inline>
        </w:drawing>
      </w:r>
      <w:r>
        <w:rPr>
          <w:color w:val="000000"/>
        </w:rPr>
        <w:br w:type="page"/>
      </w:r>
    </w:p>
    <w:p w14:paraId="7BF4EDA8" w14:textId="6DA7CAF2" w:rsidR="0035543C" w:rsidRDefault="0035543C" w:rsidP="00050C06">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lastRenderedPageBreak/>
        <w:drawing>
          <wp:inline distT="0" distB="0" distL="0" distR="0" wp14:anchorId="592196FB" wp14:editId="03D4D30D">
            <wp:extent cx="5731510" cy="2197735"/>
            <wp:effectExtent l="0" t="0" r="0" b="0"/>
            <wp:docPr id="59917495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74953" name="Picture 59917495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197735"/>
                    </a:xfrm>
                    <a:prstGeom prst="rect">
                      <a:avLst/>
                    </a:prstGeom>
                  </pic:spPr>
                </pic:pic>
              </a:graphicData>
            </a:graphic>
          </wp:inline>
        </w:drawing>
      </w:r>
    </w:p>
    <w:p w14:paraId="18B8E246" w14:textId="77777777" w:rsidR="0035543C" w:rsidRDefault="0035543C">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br w:type="page"/>
      </w:r>
    </w:p>
    <w:p w14:paraId="77782A20" w14:textId="0AD2272E" w:rsidR="004358A6" w:rsidRPr="00050C06" w:rsidRDefault="000A5909" w:rsidP="00050C06">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lastRenderedPageBreak/>
        <w:drawing>
          <wp:inline distT="0" distB="0" distL="0" distR="0" wp14:anchorId="3B35CC67" wp14:editId="4D3B0DEF">
            <wp:extent cx="5731510" cy="2737485"/>
            <wp:effectExtent l="0" t="0" r="0" b="5715"/>
            <wp:docPr id="165211473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14736" name="Picture 165211473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r w:rsidR="0035543C">
        <w:rPr>
          <w:rFonts w:ascii="Times New Roman" w:eastAsia="Times New Roman" w:hAnsi="Times New Roman" w:cs="Times New Roman"/>
          <w:noProof/>
          <w:color w:val="000000"/>
          <w:kern w:val="0"/>
          <w:lang w:eastAsia="en-GB"/>
        </w:rPr>
        <w:drawing>
          <wp:inline distT="0" distB="0" distL="0" distR="0" wp14:anchorId="53ECAF64" wp14:editId="59C55EDB">
            <wp:extent cx="5731510" cy="2197735"/>
            <wp:effectExtent l="0" t="0" r="0" b="0"/>
            <wp:docPr id="214042624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26249" name="Picture 214042624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197735"/>
                    </a:xfrm>
                    <a:prstGeom prst="rect">
                      <a:avLst/>
                    </a:prstGeom>
                  </pic:spPr>
                </pic:pic>
              </a:graphicData>
            </a:graphic>
          </wp:inline>
        </w:drawing>
      </w:r>
    </w:p>
    <w:sectPr w:rsidR="004358A6" w:rsidRPr="00050C06" w:rsidSect="000D1723">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D1DE1" w14:textId="77777777" w:rsidR="00945CEB" w:rsidRDefault="00945CEB" w:rsidP="00E01699">
      <w:r>
        <w:separator/>
      </w:r>
    </w:p>
  </w:endnote>
  <w:endnote w:type="continuationSeparator" w:id="0">
    <w:p w14:paraId="1158C690" w14:textId="77777777" w:rsidR="00945CEB" w:rsidRDefault="00945CEB" w:rsidP="00E01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1480604"/>
      <w:docPartObj>
        <w:docPartGallery w:val="Page Numbers (Bottom of Page)"/>
        <w:docPartUnique/>
      </w:docPartObj>
    </w:sdtPr>
    <w:sdtContent>
      <w:p w14:paraId="419E88ED" w14:textId="2F914F75" w:rsidR="00E01699" w:rsidRDefault="00E01699" w:rsidP="00754A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A67F7E9" w14:textId="77777777" w:rsidR="00E01699" w:rsidRDefault="00E01699" w:rsidP="00E016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7445152"/>
      <w:docPartObj>
        <w:docPartGallery w:val="Page Numbers (Bottom of Page)"/>
        <w:docPartUnique/>
      </w:docPartObj>
    </w:sdtPr>
    <w:sdtContent>
      <w:p w14:paraId="379FDA42" w14:textId="5E6F16E6" w:rsidR="00E01699" w:rsidRDefault="00E01699" w:rsidP="00754A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D11F04" w14:textId="77777777" w:rsidR="00E01699" w:rsidRDefault="00E01699" w:rsidP="00E016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A28F4" w14:textId="77777777" w:rsidR="00945CEB" w:rsidRDefault="00945CEB" w:rsidP="00E01699">
      <w:r>
        <w:separator/>
      </w:r>
    </w:p>
  </w:footnote>
  <w:footnote w:type="continuationSeparator" w:id="0">
    <w:p w14:paraId="5E830E7A" w14:textId="77777777" w:rsidR="00945CEB" w:rsidRDefault="00945CEB" w:rsidP="00E016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E5326D"/>
    <w:multiLevelType w:val="hybridMultilevel"/>
    <w:tmpl w:val="38D49F16"/>
    <w:lvl w:ilvl="0" w:tplc="08090001">
      <w:start w:val="1"/>
      <w:numFmt w:val="bullet"/>
      <w:lvlText w:val=""/>
      <w:lvlJc w:val="left"/>
      <w:pPr>
        <w:ind w:left="1108" w:hanging="360"/>
      </w:pPr>
      <w:rPr>
        <w:rFonts w:ascii="Symbol" w:hAnsi="Symbol" w:hint="default"/>
      </w:rPr>
    </w:lvl>
    <w:lvl w:ilvl="1" w:tplc="08090003" w:tentative="1">
      <w:start w:val="1"/>
      <w:numFmt w:val="bullet"/>
      <w:lvlText w:val="o"/>
      <w:lvlJc w:val="left"/>
      <w:pPr>
        <w:ind w:left="1828" w:hanging="360"/>
      </w:pPr>
      <w:rPr>
        <w:rFonts w:ascii="Courier New" w:hAnsi="Courier New" w:cs="Courier New" w:hint="default"/>
      </w:rPr>
    </w:lvl>
    <w:lvl w:ilvl="2" w:tplc="08090005" w:tentative="1">
      <w:start w:val="1"/>
      <w:numFmt w:val="bullet"/>
      <w:lvlText w:val=""/>
      <w:lvlJc w:val="left"/>
      <w:pPr>
        <w:ind w:left="2548" w:hanging="360"/>
      </w:pPr>
      <w:rPr>
        <w:rFonts w:ascii="Wingdings" w:hAnsi="Wingdings" w:hint="default"/>
      </w:rPr>
    </w:lvl>
    <w:lvl w:ilvl="3" w:tplc="08090001" w:tentative="1">
      <w:start w:val="1"/>
      <w:numFmt w:val="bullet"/>
      <w:lvlText w:val=""/>
      <w:lvlJc w:val="left"/>
      <w:pPr>
        <w:ind w:left="3268" w:hanging="360"/>
      </w:pPr>
      <w:rPr>
        <w:rFonts w:ascii="Symbol" w:hAnsi="Symbol" w:hint="default"/>
      </w:rPr>
    </w:lvl>
    <w:lvl w:ilvl="4" w:tplc="08090003" w:tentative="1">
      <w:start w:val="1"/>
      <w:numFmt w:val="bullet"/>
      <w:lvlText w:val="o"/>
      <w:lvlJc w:val="left"/>
      <w:pPr>
        <w:ind w:left="3988" w:hanging="360"/>
      </w:pPr>
      <w:rPr>
        <w:rFonts w:ascii="Courier New" w:hAnsi="Courier New" w:cs="Courier New" w:hint="default"/>
      </w:rPr>
    </w:lvl>
    <w:lvl w:ilvl="5" w:tplc="08090005" w:tentative="1">
      <w:start w:val="1"/>
      <w:numFmt w:val="bullet"/>
      <w:lvlText w:val=""/>
      <w:lvlJc w:val="left"/>
      <w:pPr>
        <w:ind w:left="4708" w:hanging="360"/>
      </w:pPr>
      <w:rPr>
        <w:rFonts w:ascii="Wingdings" w:hAnsi="Wingdings" w:hint="default"/>
      </w:rPr>
    </w:lvl>
    <w:lvl w:ilvl="6" w:tplc="08090001" w:tentative="1">
      <w:start w:val="1"/>
      <w:numFmt w:val="bullet"/>
      <w:lvlText w:val=""/>
      <w:lvlJc w:val="left"/>
      <w:pPr>
        <w:ind w:left="5428" w:hanging="360"/>
      </w:pPr>
      <w:rPr>
        <w:rFonts w:ascii="Symbol" w:hAnsi="Symbol" w:hint="default"/>
      </w:rPr>
    </w:lvl>
    <w:lvl w:ilvl="7" w:tplc="08090003" w:tentative="1">
      <w:start w:val="1"/>
      <w:numFmt w:val="bullet"/>
      <w:lvlText w:val="o"/>
      <w:lvlJc w:val="left"/>
      <w:pPr>
        <w:ind w:left="6148" w:hanging="360"/>
      </w:pPr>
      <w:rPr>
        <w:rFonts w:ascii="Courier New" w:hAnsi="Courier New" w:cs="Courier New" w:hint="default"/>
      </w:rPr>
    </w:lvl>
    <w:lvl w:ilvl="8" w:tplc="08090005" w:tentative="1">
      <w:start w:val="1"/>
      <w:numFmt w:val="bullet"/>
      <w:lvlText w:val=""/>
      <w:lvlJc w:val="left"/>
      <w:pPr>
        <w:ind w:left="6868" w:hanging="360"/>
      </w:pPr>
      <w:rPr>
        <w:rFonts w:ascii="Wingdings" w:hAnsi="Wingdings" w:hint="default"/>
      </w:rPr>
    </w:lvl>
  </w:abstractNum>
  <w:num w:numId="1" w16cid:durableId="146628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EA0"/>
    <w:rsid w:val="00050C06"/>
    <w:rsid w:val="000A5909"/>
    <w:rsid w:val="000A5F28"/>
    <w:rsid w:val="000D1723"/>
    <w:rsid w:val="000D7890"/>
    <w:rsid w:val="00127961"/>
    <w:rsid w:val="001A12B7"/>
    <w:rsid w:val="001C1224"/>
    <w:rsid w:val="001C4DDD"/>
    <w:rsid w:val="001C67D0"/>
    <w:rsid w:val="001F7E88"/>
    <w:rsid w:val="00204A1C"/>
    <w:rsid w:val="00271075"/>
    <w:rsid w:val="002A0003"/>
    <w:rsid w:val="00343C33"/>
    <w:rsid w:val="0035543C"/>
    <w:rsid w:val="00386009"/>
    <w:rsid w:val="003864AA"/>
    <w:rsid w:val="003950CE"/>
    <w:rsid w:val="003C7B30"/>
    <w:rsid w:val="0041193A"/>
    <w:rsid w:val="004358A6"/>
    <w:rsid w:val="004457CC"/>
    <w:rsid w:val="00454A69"/>
    <w:rsid w:val="0050352B"/>
    <w:rsid w:val="0051413A"/>
    <w:rsid w:val="00516D29"/>
    <w:rsid w:val="005361DE"/>
    <w:rsid w:val="00545A6F"/>
    <w:rsid w:val="005D5285"/>
    <w:rsid w:val="005F3F36"/>
    <w:rsid w:val="006744A3"/>
    <w:rsid w:val="006B52A9"/>
    <w:rsid w:val="006C08FD"/>
    <w:rsid w:val="006E3F2F"/>
    <w:rsid w:val="006F4C48"/>
    <w:rsid w:val="00720BF5"/>
    <w:rsid w:val="007414A5"/>
    <w:rsid w:val="00744C42"/>
    <w:rsid w:val="007B209F"/>
    <w:rsid w:val="008277F1"/>
    <w:rsid w:val="00836F5E"/>
    <w:rsid w:val="00840BCA"/>
    <w:rsid w:val="00863879"/>
    <w:rsid w:val="008901FA"/>
    <w:rsid w:val="008B0206"/>
    <w:rsid w:val="008C3C92"/>
    <w:rsid w:val="009157D9"/>
    <w:rsid w:val="00934158"/>
    <w:rsid w:val="00945CEB"/>
    <w:rsid w:val="009503B1"/>
    <w:rsid w:val="0095325B"/>
    <w:rsid w:val="0095337C"/>
    <w:rsid w:val="0096439A"/>
    <w:rsid w:val="009B6C78"/>
    <w:rsid w:val="009D7E64"/>
    <w:rsid w:val="009F7908"/>
    <w:rsid w:val="00AB496E"/>
    <w:rsid w:val="00AC50EE"/>
    <w:rsid w:val="00AD5E50"/>
    <w:rsid w:val="00AD7377"/>
    <w:rsid w:val="00AF2888"/>
    <w:rsid w:val="00AF3D42"/>
    <w:rsid w:val="00B0081E"/>
    <w:rsid w:val="00B0243E"/>
    <w:rsid w:val="00B10AB1"/>
    <w:rsid w:val="00B23C75"/>
    <w:rsid w:val="00B26363"/>
    <w:rsid w:val="00B6068B"/>
    <w:rsid w:val="00BE68D1"/>
    <w:rsid w:val="00C211DD"/>
    <w:rsid w:val="00C83463"/>
    <w:rsid w:val="00CB2417"/>
    <w:rsid w:val="00CD190A"/>
    <w:rsid w:val="00CD7FA2"/>
    <w:rsid w:val="00D1210B"/>
    <w:rsid w:val="00D75A67"/>
    <w:rsid w:val="00D9719A"/>
    <w:rsid w:val="00E009F8"/>
    <w:rsid w:val="00E01699"/>
    <w:rsid w:val="00E034EB"/>
    <w:rsid w:val="00E11EA0"/>
    <w:rsid w:val="00E24828"/>
    <w:rsid w:val="00E95F65"/>
    <w:rsid w:val="00E96A1B"/>
    <w:rsid w:val="00EB4FDE"/>
    <w:rsid w:val="00EF76A9"/>
    <w:rsid w:val="00F05C3C"/>
    <w:rsid w:val="00F147E6"/>
    <w:rsid w:val="00F416B6"/>
    <w:rsid w:val="00FB1469"/>
    <w:rsid w:val="00FB2497"/>
    <w:rsid w:val="00FD1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4D8B4"/>
  <w15:chartTrackingRefBased/>
  <w15:docId w15:val="{8390FF85-910C-EB43-9022-CE05BA29D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1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1E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E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E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E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E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E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E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E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1E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E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E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E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EA0"/>
    <w:rPr>
      <w:rFonts w:eastAsiaTheme="majorEastAsia" w:cstheme="majorBidi"/>
      <w:color w:val="272727" w:themeColor="text1" w:themeTint="D8"/>
    </w:rPr>
  </w:style>
  <w:style w:type="paragraph" w:styleId="Title">
    <w:name w:val="Title"/>
    <w:basedOn w:val="Normal"/>
    <w:next w:val="Normal"/>
    <w:link w:val="TitleChar"/>
    <w:uiPriority w:val="10"/>
    <w:qFormat/>
    <w:rsid w:val="00E11E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E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E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1EA0"/>
    <w:rPr>
      <w:i/>
      <w:iCs/>
      <w:color w:val="404040" w:themeColor="text1" w:themeTint="BF"/>
    </w:rPr>
  </w:style>
  <w:style w:type="paragraph" w:styleId="ListParagraph">
    <w:name w:val="List Paragraph"/>
    <w:basedOn w:val="Normal"/>
    <w:uiPriority w:val="34"/>
    <w:qFormat/>
    <w:rsid w:val="00E11EA0"/>
    <w:pPr>
      <w:ind w:left="720"/>
      <w:contextualSpacing/>
    </w:pPr>
  </w:style>
  <w:style w:type="character" w:styleId="IntenseEmphasis">
    <w:name w:val="Intense Emphasis"/>
    <w:basedOn w:val="DefaultParagraphFont"/>
    <w:uiPriority w:val="21"/>
    <w:qFormat/>
    <w:rsid w:val="00E11EA0"/>
    <w:rPr>
      <w:i/>
      <w:iCs/>
      <w:color w:val="0F4761" w:themeColor="accent1" w:themeShade="BF"/>
    </w:rPr>
  </w:style>
  <w:style w:type="paragraph" w:styleId="IntenseQuote">
    <w:name w:val="Intense Quote"/>
    <w:basedOn w:val="Normal"/>
    <w:next w:val="Normal"/>
    <w:link w:val="IntenseQuoteChar"/>
    <w:uiPriority w:val="30"/>
    <w:qFormat/>
    <w:rsid w:val="00E11E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EA0"/>
    <w:rPr>
      <w:i/>
      <w:iCs/>
      <w:color w:val="0F4761" w:themeColor="accent1" w:themeShade="BF"/>
    </w:rPr>
  </w:style>
  <w:style w:type="character" w:styleId="IntenseReference">
    <w:name w:val="Intense Reference"/>
    <w:basedOn w:val="DefaultParagraphFont"/>
    <w:uiPriority w:val="32"/>
    <w:qFormat/>
    <w:rsid w:val="00E11EA0"/>
    <w:rPr>
      <w:b/>
      <w:bCs/>
      <w:smallCaps/>
      <w:color w:val="0F4761" w:themeColor="accent1" w:themeShade="BF"/>
      <w:spacing w:val="5"/>
    </w:rPr>
  </w:style>
  <w:style w:type="paragraph" w:styleId="NoSpacing">
    <w:name w:val="No Spacing"/>
    <w:link w:val="NoSpacingChar"/>
    <w:uiPriority w:val="1"/>
    <w:qFormat/>
    <w:rsid w:val="00B6068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068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E01699"/>
    <w:pPr>
      <w:tabs>
        <w:tab w:val="center" w:pos="4513"/>
        <w:tab w:val="right" w:pos="9026"/>
      </w:tabs>
    </w:pPr>
  </w:style>
  <w:style w:type="character" w:customStyle="1" w:styleId="FooterChar">
    <w:name w:val="Footer Char"/>
    <w:basedOn w:val="DefaultParagraphFont"/>
    <w:link w:val="Footer"/>
    <w:uiPriority w:val="99"/>
    <w:rsid w:val="00E01699"/>
  </w:style>
  <w:style w:type="character" w:styleId="PageNumber">
    <w:name w:val="page number"/>
    <w:basedOn w:val="DefaultParagraphFont"/>
    <w:uiPriority w:val="99"/>
    <w:semiHidden/>
    <w:unhideWhenUsed/>
    <w:rsid w:val="00E01699"/>
  </w:style>
  <w:style w:type="paragraph" w:styleId="TOCHeading">
    <w:name w:val="TOC Heading"/>
    <w:basedOn w:val="Heading1"/>
    <w:next w:val="Normal"/>
    <w:uiPriority w:val="39"/>
    <w:unhideWhenUsed/>
    <w:qFormat/>
    <w:rsid w:val="00E0169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E01699"/>
    <w:pPr>
      <w:spacing w:before="360" w:after="360"/>
    </w:pPr>
    <w:rPr>
      <w:b/>
      <w:bCs/>
      <w:caps/>
      <w:sz w:val="22"/>
      <w:szCs w:val="22"/>
      <w:u w:val="single"/>
    </w:rPr>
  </w:style>
  <w:style w:type="paragraph" w:styleId="TOC2">
    <w:name w:val="toc 2"/>
    <w:basedOn w:val="Normal"/>
    <w:next w:val="Normal"/>
    <w:autoRedefine/>
    <w:uiPriority w:val="39"/>
    <w:semiHidden/>
    <w:unhideWhenUsed/>
    <w:rsid w:val="00E01699"/>
    <w:rPr>
      <w:b/>
      <w:bCs/>
      <w:smallCaps/>
      <w:sz w:val="22"/>
      <w:szCs w:val="22"/>
    </w:rPr>
  </w:style>
  <w:style w:type="paragraph" w:styleId="TOC3">
    <w:name w:val="toc 3"/>
    <w:basedOn w:val="Normal"/>
    <w:next w:val="Normal"/>
    <w:autoRedefine/>
    <w:uiPriority w:val="39"/>
    <w:semiHidden/>
    <w:unhideWhenUsed/>
    <w:rsid w:val="00E01699"/>
    <w:rPr>
      <w:smallCaps/>
      <w:sz w:val="22"/>
      <w:szCs w:val="22"/>
    </w:rPr>
  </w:style>
  <w:style w:type="paragraph" w:styleId="TOC4">
    <w:name w:val="toc 4"/>
    <w:basedOn w:val="Normal"/>
    <w:next w:val="Normal"/>
    <w:autoRedefine/>
    <w:uiPriority w:val="39"/>
    <w:semiHidden/>
    <w:unhideWhenUsed/>
    <w:rsid w:val="00E01699"/>
    <w:rPr>
      <w:sz w:val="22"/>
      <w:szCs w:val="22"/>
    </w:rPr>
  </w:style>
  <w:style w:type="paragraph" w:styleId="TOC5">
    <w:name w:val="toc 5"/>
    <w:basedOn w:val="Normal"/>
    <w:next w:val="Normal"/>
    <w:autoRedefine/>
    <w:uiPriority w:val="39"/>
    <w:semiHidden/>
    <w:unhideWhenUsed/>
    <w:rsid w:val="00E01699"/>
    <w:rPr>
      <w:sz w:val="22"/>
      <w:szCs w:val="22"/>
    </w:rPr>
  </w:style>
  <w:style w:type="paragraph" w:styleId="TOC6">
    <w:name w:val="toc 6"/>
    <w:basedOn w:val="Normal"/>
    <w:next w:val="Normal"/>
    <w:autoRedefine/>
    <w:uiPriority w:val="39"/>
    <w:semiHidden/>
    <w:unhideWhenUsed/>
    <w:rsid w:val="00E01699"/>
    <w:rPr>
      <w:sz w:val="22"/>
      <w:szCs w:val="22"/>
    </w:rPr>
  </w:style>
  <w:style w:type="paragraph" w:styleId="TOC7">
    <w:name w:val="toc 7"/>
    <w:basedOn w:val="Normal"/>
    <w:next w:val="Normal"/>
    <w:autoRedefine/>
    <w:uiPriority w:val="39"/>
    <w:semiHidden/>
    <w:unhideWhenUsed/>
    <w:rsid w:val="00E01699"/>
    <w:rPr>
      <w:sz w:val="22"/>
      <w:szCs w:val="22"/>
    </w:rPr>
  </w:style>
  <w:style w:type="paragraph" w:styleId="TOC8">
    <w:name w:val="toc 8"/>
    <w:basedOn w:val="Normal"/>
    <w:next w:val="Normal"/>
    <w:autoRedefine/>
    <w:uiPriority w:val="39"/>
    <w:semiHidden/>
    <w:unhideWhenUsed/>
    <w:rsid w:val="00E01699"/>
    <w:rPr>
      <w:sz w:val="22"/>
      <w:szCs w:val="22"/>
    </w:rPr>
  </w:style>
  <w:style w:type="paragraph" w:styleId="TOC9">
    <w:name w:val="toc 9"/>
    <w:basedOn w:val="Normal"/>
    <w:next w:val="Normal"/>
    <w:autoRedefine/>
    <w:uiPriority w:val="39"/>
    <w:semiHidden/>
    <w:unhideWhenUsed/>
    <w:rsid w:val="00E01699"/>
    <w:rPr>
      <w:sz w:val="22"/>
      <w:szCs w:val="22"/>
    </w:rPr>
  </w:style>
  <w:style w:type="paragraph" w:styleId="NormalWeb">
    <w:name w:val="Normal (Web)"/>
    <w:basedOn w:val="Normal"/>
    <w:uiPriority w:val="99"/>
    <w:unhideWhenUsed/>
    <w:rsid w:val="00EB4FD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B4FDE"/>
  </w:style>
  <w:style w:type="character" w:styleId="Hyperlink">
    <w:name w:val="Hyperlink"/>
    <w:basedOn w:val="DefaultParagraphFont"/>
    <w:uiPriority w:val="99"/>
    <w:unhideWhenUsed/>
    <w:rsid w:val="006C08FD"/>
    <w:rPr>
      <w:color w:val="467886" w:themeColor="hyperlink"/>
      <w:u w:val="single"/>
    </w:rPr>
  </w:style>
  <w:style w:type="character" w:styleId="UnresolvedMention">
    <w:name w:val="Unresolved Mention"/>
    <w:basedOn w:val="DefaultParagraphFont"/>
    <w:uiPriority w:val="99"/>
    <w:semiHidden/>
    <w:unhideWhenUsed/>
    <w:rsid w:val="006C08FD"/>
    <w:rPr>
      <w:color w:val="605E5C"/>
      <w:shd w:val="clear" w:color="auto" w:fill="E1DFDD"/>
    </w:rPr>
  </w:style>
  <w:style w:type="character" w:styleId="FollowedHyperlink">
    <w:name w:val="FollowedHyperlink"/>
    <w:basedOn w:val="DefaultParagraphFont"/>
    <w:uiPriority w:val="99"/>
    <w:semiHidden/>
    <w:unhideWhenUsed/>
    <w:rsid w:val="005D52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ech.bmj.com/content/74/11/964" TargetMode="External"/><Relationship Id="rId18" Type="http://schemas.openxmlformats.org/officeDocument/2006/relationships/hyperlink" Target="https://www.npeu.ox.ac.uk/assets/downloads/mbrrace-uk/reports/maternal-report-2023/MBRRACE-UK_Maternal_Compiled_Report_2023.pdf" TargetMode="External"/><Relationship Id="rId26" Type="http://schemas.openxmlformats.org/officeDocument/2006/relationships/hyperlink" Target="https://sdgs.un.org/2030agenda" TargetMode="External"/><Relationship Id="rId39" Type="http://schemas.openxmlformats.org/officeDocument/2006/relationships/image" Target="media/image14.jpeg"/><Relationship Id="rId21" Type="http://schemas.openxmlformats.org/officeDocument/2006/relationships/hyperlink" Target="https://www.england.nhs.uk/long-read/nhs-equality-diversity-and-inclusion-improvement-plan/%5bAccessed" TargetMode="External"/><Relationship Id="rId34" Type="http://schemas.openxmlformats.org/officeDocument/2006/relationships/image" Target="media/image9.jpeg"/><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nhsrho.org/wp-content/uploads/2023/05/RHO-Rapid-Review-Final-Report_.pdf.%5bAccessed" TargetMode="External"/><Relationship Id="rId20" Type="http://schemas.openxmlformats.org/officeDocument/2006/relationships/hyperlink" Target="https://www.bmj.com/content/387/bmj.q2139" TargetMode="External"/><Relationship Id="rId29" Type="http://schemas.openxmlformats.org/officeDocument/2006/relationships/hyperlink" Target="https://www.who.int/publications/i/item/9789240107588.%5bAccessed"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kingsfund.org.uk/projects/nhs-in-a-nutshell/health-inequalities" TargetMode="External"/><Relationship Id="rId32" Type="http://schemas.openxmlformats.org/officeDocument/2006/relationships/image" Target="media/image7.jpeg"/><Relationship Id="rId37" Type="http://schemas.openxmlformats.org/officeDocument/2006/relationships/image" Target="media/image12.jpeg"/><Relationship Id="rId40" Type="http://schemas.openxmlformats.org/officeDocument/2006/relationships/image" Target="media/image15.jpeg"/><Relationship Id="rId5" Type="http://schemas.openxmlformats.org/officeDocument/2006/relationships/settings" Target="settings.xml"/><Relationship Id="rId15" Type="http://schemas.openxmlformats.org/officeDocument/2006/relationships/hyperlink" Target="http://ibrary.wiley.com/doi/10.1111/1467-9566.13410" TargetMode="External"/><Relationship Id="rId23" Type="http://schemas.openxmlformats.org/officeDocument/2006/relationships/hyperlink" Target="https://www.gov.uk/government/publications/covid-19-review-of-disparities-in-risks-and-outcomes" TargetMode="External"/><Relationship Id="rId28" Type="http://schemas.openxmlformats.org/officeDocument/2006/relationships/hyperlink" Target="https://www.who.int/publications/i/item/9789240107588" TargetMode="External"/><Relationship Id="rId36" Type="http://schemas.openxmlformats.org/officeDocument/2006/relationships/image" Target="media/image11.jpeg"/><Relationship Id="rId10" Type="http://schemas.openxmlformats.org/officeDocument/2006/relationships/image" Target="media/image2.png"/><Relationship Id="rId19" Type="http://schemas.openxmlformats.org/officeDocument/2006/relationships/hyperlink" Target="https://www.health.org.uk/publications/reports/the-marmot-review-10-years-on%5bAssessed" TargetMode="External"/><Relationship Id="rId31" Type="http://schemas.openxmlformats.org/officeDocument/2006/relationships/image" Target="media/image6.jpe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nlinel" TargetMode="External"/><Relationship Id="rId22" Type="http://schemas.openxmlformats.org/officeDocument/2006/relationships/hyperlink" Target="https://www.ons.gov.uk/peoplepopulationandcommunity/culturalidentity/ethnicity/articles/ethnicgroupdifferencesinhealthemploymenteducationandhousingshowninenglandandwalescensus2021/2023-03-15" TargetMode="External"/><Relationship Id="rId27" Type="http://schemas.openxmlformats.org/officeDocument/2006/relationships/hyperlink" Target="https://www.who.int/publications/i/item/9789240110496" TargetMode="External"/><Relationship Id="rId30" Type="http://schemas.openxmlformats.org/officeDocument/2006/relationships/image" Target="media/image5.jpeg"/><Relationship Id="rId35" Type="http://schemas.openxmlformats.org/officeDocument/2006/relationships/image" Target="media/image10.jpe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link.springer.com/article/10.1186/s12939-025-02644-7%5bAccessed" TargetMode="External"/><Relationship Id="rId25" Type="http://schemas.openxmlformats.org/officeDocument/2006/relationships/hyperlink" Target="https://www.nhsrho.org/wp-content/uploads/2023/05/Ethnic-Health-Inequalities-Kings-Fund-Report.pdf" TargetMode="External"/><Relationship Id="rId33" Type="http://schemas.openxmlformats.org/officeDocument/2006/relationships/image" Target="media/image8.jpeg"/><Relationship Id="rId38"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1904923 OLABISI OBADARE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C2D259-09C2-8447-8582-585B5821C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2965</Words>
  <Characters>16902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BMHP4018</vt:lpstr>
    </vt:vector>
  </TitlesOfParts>
  <Company>1904923</Company>
  <LinksUpToDate>false</LinksUpToDate>
  <CharactersWithSpaces>19828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BMHP4018</dc:title>
  <dc:subject>Contemporary Challenges: Making a Difference</dc:subject>
  <dc:creator>Olabisi Obadare</dc:creator>
  <cp:keywords/>
  <dc:description/>
  <cp:lastModifiedBy>Daniel Obadare</cp:lastModifiedBy>
  <cp:revision>2</cp:revision>
  <dcterms:created xsi:type="dcterms:W3CDTF">2026-03-20T19:41:00Z</dcterms:created>
  <dcterms:modified xsi:type="dcterms:W3CDTF">2026-03-20T19:41:00Z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5A7086A2-E0CA-4245-A83B-668B17F35A31</vt:lpwstr>
  </property>
</Properties>
</file>