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40984" w:rsidRDefault="00F40984" w:rsidP="00F40984">
      <w:pPr>
        <w:jc w:val="right"/>
        <w:rPr>
          <w:lang w:val="en-US"/>
        </w:rPr>
      </w:pPr>
      <w:bookmarkStart w:id="0" w:name="_Toc109603415"/>
      <w:r w:rsidRPr="00CA7A1D">
        <w:rPr>
          <w:noProof/>
          <w:lang w:val="en-US"/>
        </w:rPr>
        <w:drawing>
          <wp:inline distT="0" distB="0" distL="0" distR="0">
            <wp:extent cx="4026220" cy="1514902"/>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F40984" w:rsidRDefault="00F40984" w:rsidP="00F40984">
      <w:pPr>
        <w:rPr>
          <w:lang w:val="en-US"/>
        </w:rPr>
      </w:pPr>
    </w:p>
    <w:p w:rsidR="00F40984" w:rsidRDefault="00F40984" w:rsidP="00F40984">
      <w:pPr>
        <w:rPr>
          <w:lang w:val="en-US"/>
        </w:rPr>
      </w:pPr>
    </w:p>
    <w:p w:rsidR="00F40984" w:rsidRDefault="00F40984" w:rsidP="00F40984">
      <w:pPr>
        <w:rPr>
          <w:lang w:val="en-US"/>
        </w:rPr>
      </w:pPr>
    </w:p>
    <w:p w:rsidR="00F40984" w:rsidRDefault="00F40984" w:rsidP="00F40984">
      <w:pPr>
        <w:rPr>
          <w:lang w:val="en-US"/>
        </w:rPr>
      </w:pPr>
    </w:p>
    <w:p w:rsidR="00F40984" w:rsidRPr="00CA7A1D" w:rsidRDefault="00F40984" w:rsidP="00F40984">
      <w:pPr>
        <w:spacing w:after="240"/>
        <w:jc w:val="both"/>
        <w:rPr>
          <w:sz w:val="24"/>
          <w:szCs w:val="24"/>
          <w:lang w:val="en-US"/>
        </w:rPr>
      </w:pPr>
    </w:p>
    <w:p w:rsidR="00F40984" w:rsidRPr="00F40984" w:rsidRDefault="00F40984" w:rsidP="00F40984">
      <w:pPr>
        <w:spacing w:after="240"/>
        <w:rPr>
          <w:sz w:val="28"/>
          <w:szCs w:val="28"/>
        </w:rPr>
      </w:pPr>
      <w:r w:rsidRPr="00F40984">
        <w:rPr>
          <w:sz w:val="28"/>
          <w:szCs w:val="28"/>
        </w:rPr>
        <w:t>BA BUSINESS MANAGEMENT</w:t>
      </w:r>
    </w:p>
    <w:p w:rsidR="00F40984" w:rsidRPr="00F40984" w:rsidRDefault="00F40984" w:rsidP="00F40984">
      <w:pPr>
        <w:spacing w:after="240"/>
        <w:rPr>
          <w:sz w:val="28"/>
          <w:szCs w:val="28"/>
        </w:rPr>
      </w:pPr>
      <w:r w:rsidRPr="00F40984">
        <w:rPr>
          <w:sz w:val="28"/>
          <w:szCs w:val="28"/>
        </w:rPr>
        <w:t>MANAGEMENT ECONOMICS (LCBB5003)</w:t>
      </w:r>
    </w:p>
    <w:p w:rsidR="00F40984" w:rsidRPr="00F40984" w:rsidRDefault="00F40984" w:rsidP="00F40984">
      <w:pPr>
        <w:spacing w:after="240"/>
        <w:rPr>
          <w:sz w:val="28"/>
          <w:szCs w:val="28"/>
        </w:rPr>
      </w:pPr>
      <w:r w:rsidRPr="00F40984">
        <w:rPr>
          <w:sz w:val="28"/>
          <w:szCs w:val="28"/>
        </w:rPr>
        <w:t>ASSESSMENT 1</w:t>
      </w:r>
    </w:p>
    <w:p w:rsidR="00F40984" w:rsidRDefault="00F40984" w:rsidP="00F40984">
      <w:pPr>
        <w:spacing w:after="240"/>
        <w:jc w:val="both"/>
        <w:rPr>
          <w:sz w:val="24"/>
          <w:szCs w:val="24"/>
        </w:rPr>
      </w:pPr>
    </w:p>
    <w:p w:rsidR="00F40984" w:rsidRDefault="00F40984" w:rsidP="00F40984">
      <w:pPr>
        <w:spacing w:after="240"/>
        <w:jc w:val="both"/>
        <w:rPr>
          <w:sz w:val="24"/>
          <w:szCs w:val="24"/>
        </w:rPr>
      </w:pPr>
    </w:p>
    <w:p w:rsidR="00F40984" w:rsidRDefault="00F40984" w:rsidP="00F40984">
      <w:pPr>
        <w:spacing w:after="240"/>
        <w:jc w:val="both"/>
        <w:rPr>
          <w:sz w:val="24"/>
          <w:szCs w:val="24"/>
        </w:rPr>
      </w:pPr>
    </w:p>
    <w:p w:rsidR="00F40984" w:rsidRPr="00CA7A1D" w:rsidRDefault="00F40984" w:rsidP="00F40984">
      <w:pPr>
        <w:spacing w:after="240"/>
        <w:jc w:val="both"/>
        <w:rPr>
          <w:sz w:val="24"/>
          <w:szCs w:val="24"/>
        </w:rPr>
      </w:pPr>
      <w:r w:rsidRPr="00CA7A1D">
        <w:rPr>
          <w:sz w:val="24"/>
          <w:szCs w:val="24"/>
        </w:rPr>
        <w:t xml:space="preserve">NAME OF LECTURER: </w:t>
      </w:r>
      <w:proofErr w:type="spellStart"/>
      <w:r w:rsidR="00554890">
        <w:rPr>
          <w:sz w:val="24"/>
          <w:szCs w:val="24"/>
        </w:rPr>
        <w:t>D</w:t>
      </w:r>
      <w:r w:rsidR="00714F32">
        <w:rPr>
          <w:sz w:val="24"/>
          <w:szCs w:val="24"/>
        </w:rPr>
        <w:t>r.</w:t>
      </w:r>
      <w:proofErr w:type="spellEnd"/>
      <w:r w:rsidR="00714F32">
        <w:rPr>
          <w:sz w:val="24"/>
          <w:szCs w:val="24"/>
        </w:rPr>
        <w:t xml:space="preserve"> </w:t>
      </w:r>
      <w:r>
        <w:rPr>
          <w:sz w:val="24"/>
          <w:szCs w:val="24"/>
        </w:rPr>
        <w:t xml:space="preserve">JUAN </w:t>
      </w:r>
      <w:r w:rsidR="00A41CB4">
        <w:rPr>
          <w:sz w:val="24"/>
          <w:szCs w:val="24"/>
        </w:rPr>
        <w:t>BRASCHI RANGEL</w:t>
      </w:r>
      <w:r w:rsidR="004466F9">
        <w:rPr>
          <w:sz w:val="24"/>
          <w:szCs w:val="24"/>
        </w:rPr>
        <w:t xml:space="preserve"> </w:t>
      </w:r>
      <w:r>
        <w:rPr>
          <w:sz w:val="24"/>
          <w:szCs w:val="24"/>
        </w:rPr>
        <w:t xml:space="preserve">CARLOS </w:t>
      </w:r>
    </w:p>
    <w:p w:rsidR="00F40984" w:rsidRPr="00CA7A1D" w:rsidRDefault="00F40984" w:rsidP="00F40984">
      <w:pPr>
        <w:spacing w:after="240"/>
        <w:jc w:val="both"/>
        <w:rPr>
          <w:sz w:val="24"/>
          <w:szCs w:val="24"/>
        </w:rPr>
      </w:pPr>
      <w:r w:rsidRPr="00CA7A1D">
        <w:rPr>
          <w:sz w:val="24"/>
          <w:szCs w:val="24"/>
        </w:rPr>
        <w:t>STUDENT NAME</w:t>
      </w:r>
      <w:r>
        <w:rPr>
          <w:sz w:val="24"/>
          <w:szCs w:val="24"/>
        </w:rPr>
        <w:t xml:space="preserve"> AND NUMBER</w:t>
      </w:r>
      <w:r w:rsidRPr="00CA7A1D">
        <w:rPr>
          <w:sz w:val="24"/>
          <w:szCs w:val="24"/>
        </w:rPr>
        <w:t xml:space="preserve">: </w:t>
      </w:r>
      <w:r w:rsidR="00E56F41">
        <w:rPr>
          <w:sz w:val="24"/>
          <w:szCs w:val="24"/>
        </w:rPr>
        <w:t xml:space="preserve">Valentina Georgieva </w:t>
      </w:r>
      <w:proofErr w:type="spellStart"/>
      <w:r w:rsidR="00E56F41">
        <w:rPr>
          <w:sz w:val="24"/>
          <w:szCs w:val="24"/>
        </w:rPr>
        <w:t>Pencheva</w:t>
      </w:r>
      <w:proofErr w:type="spellEnd"/>
      <w:r w:rsidR="00E56F41">
        <w:rPr>
          <w:sz w:val="24"/>
          <w:szCs w:val="24"/>
        </w:rPr>
        <w:t xml:space="preserve"> - 2023164</w:t>
      </w:r>
    </w:p>
    <w:p w:rsidR="00F40984" w:rsidRDefault="00F40984" w:rsidP="00F40984">
      <w:pPr>
        <w:spacing w:after="240"/>
        <w:jc w:val="both"/>
        <w:rPr>
          <w:sz w:val="24"/>
          <w:szCs w:val="24"/>
        </w:rPr>
      </w:pPr>
    </w:p>
    <w:p w:rsidR="00F40984" w:rsidRPr="00CA7A1D" w:rsidRDefault="00F40984" w:rsidP="00F40984">
      <w:pPr>
        <w:spacing w:after="240"/>
        <w:jc w:val="both"/>
        <w:rPr>
          <w:sz w:val="24"/>
          <w:szCs w:val="24"/>
        </w:rPr>
      </w:pPr>
    </w:p>
    <w:p w:rsidR="00F40984" w:rsidRPr="00CA7A1D" w:rsidRDefault="00F40984" w:rsidP="00F40984">
      <w:pPr>
        <w:spacing w:after="240"/>
        <w:jc w:val="both"/>
        <w:rPr>
          <w:sz w:val="24"/>
          <w:szCs w:val="24"/>
        </w:rPr>
      </w:pPr>
      <w:r w:rsidRPr="00CA7A1D">
        <w:rPr>
          <w:sz w:val="24"/>
          <w:szCs w:val="24"/>
        </w:rPr>
        <w:t>WORD COUNT: 2,</w:t>
      </w:r>
      <w:r>
        <w:rPr>
          <w:sz w:val="24"/>
          <w:szCs w:val="24"/>
        </w:rPr>
        <w:t>618</w:t>
      </w:r>
    </w:p>
    <w:p w:rsidR="00F40984" w:rsidRPr="00CA7A1D" w:rsidRDefault="00F40984" w:rsidP="00F40984">
      <w:pPr>
        <w:spacing w:after="240"/>
        <w:jc w:val="both"/>
        <w:rPr>
          <w:sz w:val="24"/>
          <w:szCs w:val="24"/>
        </w:rPr>
      </w:pPr>
      <w:r w:rsidRPr="00CA7A1D">
        <w:rPr>
          <w:sz w:val="24"/>
          <w:szCs w:val="24"/>
        </w:rPr>
        <w:t xml:space="preserve">SUBMISSION DATE: </w:t>
      </w:r>
      <w:r>
        <w:rPr>
          <w:sz w:val="24"/>
          <w:szCs w:val="24"/>
        </w:rPr>
        <w:t>0</w:t>
      </w:r>
      <w:r w:rsidR="0057742C">
        <w:rPr>
          <w:sz w:val="24"/>
          <w:szCs w:val="24"/>
        </w:rPr>
        <w:t>5</w:t>
      </w:r>
      <w:r>
        <w:rPr>
          <w:sz w:val="24"/>
          <w:szCs w:val="24"/>
        </w:rPr>
        <w:t>.08.2022</w:t>
      </w:r>
    </w:p>
    <w:p w:rsidR="004F3195" w:rsidRDefault="004F3195" w:rsidP="004F3195">
      <w:pPr>
        <w:rPr>
          <w:lang w:val="en-US"/>
        </w:rPr>
      </w:pPr>
    </w:p>
    <w:sdt>
      <w:sdtPr>
        <w:rPr>
          <w:rFonts w:asciiTheme="minorHAnsi" w:eastAsiaTheme="minorHAnsi" w:hAnsiTheme="minorHAnsi" w:cstheme="minorBidi"/>
          <w:b w:val="0"/>
          <w:bCs w:val="0"/>
          <w:color w:val="auto"/>
          <w:sz w:val="22"/>
          <w:szCs w:val="22"/>
          <w:lang w:val="en-GB"/>
        </w:rPr>
        <w:id w:val="515979219"/>
        <w:docPartObj>
          <w:docPartGallery w:val="Table of Contents"/>
          <w:docPartUnique/>
        </w:docPartObj>
      </w:sdtPr>
      <w:sdtEndPr/>
      <w:sdtContent>
        <w:p w:rsidR="004F3195" w:rsidRPr="004F3195" w:rsidRDefault="004F3195" w:rsidP="004F3195">
          <w:pPr>
            <w:pStyle w:val="a7"/>
            <w:spacing w:after="240" w:line="480" w:lineRule="auto"/>
            <w:jc w:val="both"/>
            <w:rPr>
              <w:rFonts w:ascii="Times New Roman" w:hAnsi="Times New Roman" w:cs="Times New Roman"/>
              <w:sz w:val="24"/>
              <w:szCs w:val="24"/>
            </w:rPr>
          </w:pPr>
          <w:r w:rsidRPr="004F3195">
            <w:rPr>
              <w:rFonts w:ascii="Times New Roman" w:hAnsi="Times New Roman" w:cs="Times New Roman"/>
            </w:rPr>
            <w:t>Table of Contents</w:t>
          </w:r>
        </w:p>
        <w:p w:rsidR="004F3195" w:rsidRPr="004F3195" w:rsidRDefault="005222E2" w:rsidP="004F3195">
          <w:pPr>
            <w:pStyle w:val="11"/>
            <w:tabs>
              <w:tab w:val="right" w:leader="dot" w:pos="9408"/>
            </w:tabs>
            <w:spacing w:after="240" w:line="480" w:lineRule="auto"/>
            <w:jc w:val="both"/>
            <w:rPr>
              <w:rFonts w:ascii="Times New Roman" w:hAnsi="Times New Roman" w:cs="Times New Roman"/>
              <w:noProof/>
              <w:sz w:val="24"/>
              <w:szCs w:val="24"/>
            </w:rPr>
          </w:pPr>
          <w:r w:rsidRPr="004F3195">
            <w:rPr>
              <w:rFonts w:ascii="Times New Roman" w:hAnsi="Times New Roman" w:cs="Times New Roman"/>
              <w:sz w:val="24"/>
              <w:szCs w:val="24"/>
            </w:rPr>
            <w:fldChar w:fldCharType="begin"/>
          </w:r>
          <w:r w:rsidR="004F3195" w:rsidRPr="004F3195">
            <w:rPr>
              <w:rFonts w:ascii="Times New Roman" w:hAnsi="Times New Roman" w:cs="Times New Roman"/>
              <w:sz w:val="24"/>
              <w:szCs w:val="24"/>
            </w:rPr>
            <w:instrText xml:space="preserve"> TOC \o "1-3" \h \z \u </w:instrText>
          </w:r>
          <w:r w:rsidRPr="004F3195">
            <w:rPr>
              <w:rFonts w:ascii="Times New Roman" w:hAnsi="Times New Roman" w:cs="Times New Roman"/>
              <w:sz w:val="24"/>
              <w:szCs w:val="24"/>
            </w:rPr>
            <w:fldChar w:fldCharType="separate"/>
          </w:r>
          <w:hyperlink w:anchor="_Toc110346120" w:history="1">
            <w:r w:rsidR="004F3195" w:rsidRPr="004F3195">
              <w:rPr>
                <w:rStyle w:val="ae"/>
                <w:rFonts w:ascii="Times New Roman" w:hAnsi="Times New Roman" w:cs="Times New Roman"/>
                <w:noProof/>
                <w:sz w:val="24"/>
                <w:szCs w:val="24"/>
              </w:rPr>
              <w:t>Task 1 – Description of the business</w:t>
            </w:r>
            <w:r w:rsidR="004F3195" w:rsidRPr="004F3195">
              <w:rPr>
                <w:rFonts w:ascii="Times New Roman" w:hAnsi="Times New Roman" w:cs="Times New Roman"/>
                <w:noProof/>
                <w:webHidden/>
                <w:sz w:val="24"/>
                <w:szCs w:val="24"/>
              </w:rPr>
              <w:tab/>
            </w:r>
            <w:r w:rsidRPr="004F3195">
              <w:rPr>
                <w:rFonts w:ascii="Times New Roman" w:hAnsi="Times New Roman" w:cs="Times New Roman"/>
                <w:noProof/>
                <w:webHidden/>
                <w:sz w:val="24"/>
                <w:szCs w:val="24"/>
              </w:rPr>
              <w:fldChar w:fldCharType="begin"/>
            </w:r>
            <w:r w:rsidR="004F3195" w:rsidRPr="004F3195">
              <w:rPr>
                <w:rFonts w:ascii="Times New Roman" w:hAnsi="Times New Roman" w:cs="Times New Roman"/>
                <w:noProof/>
                <w:webHidden/>
                <w:sz w:val="24"/>
                <w:szCs w:val="24"/>
              </w:rPr>
              <w:instrText xml:space="preserve"> PAGEREF _Toc110346120 \h </w:instrText>
            </w:r>
            <w:r w:rsidRPr="004F3195">
              <w:rPr>
                <w:rFonts w:ascii="Times New Roman" w:hAnsi="Times New Roman" w:cs="Times New Roman"/>
                <w:noProof/>
                <w:webHidden/>
                <w:sz w:val="24"/>
                <w:szCs w:val="24"/>
              </w:rPr>
            </w:r>
            <w:r w:rsidRPr="004F3195">
              <w:rPr>
                <w:rFonts w:ascii="Times New Roman" w:hAnsi="Times New Roman" w:cs="Times New Roman"/>
                <w:noProof/>
                <w:webHidden/>
                <w:sz w:val="24"/>
                <w:szCs w:val="24"/>
              </w:rPr>
              <w:fldChar w:fldCharType="separate"/>
            </w:r>
            <w:r w:rsidR="00F40984">
              <w:rPr>
                <w:rFonts w:ascii="Times New Roman" w:hAnsi="Times New Roman" w:cs="Times New Roman"/>
                <w:noProof/>
                <w:webHidden/>
                <w:sz w:val="24"/>
                <w:szCs w:val="24"/>
              </w:rPr>
              <w:t>3</w:t>
            </w:r>
            <w:r w:rsidRPr="004F3195">
              <w:rPr>
                <w:rFonts w:ascii="Times New Roman" w:hAnsi="Times New Roman" w:cs="Times New Roman"/>
                <w:noProof/>
                <w:webHidden/>
                <w:sz w:val="24"/>
                <w:szCs w:val="24"/>
              </w:rPr>
              <w:fldChar w:fldCharType="end"/>
            </w:r>
          </w:hyperlink>
        </w:p>
        <w:p w:rsidR="004F3195" w:rsidRPr="004F3195" w:rsidRDefault="00D82AD2" w:rsidP="004F3195">
          <w:pPr>
            <w:pStyle w:val="11"/>
            <w:tabs>
              <w:tab w:val="right" w:leader="dot" w:pos="9408"/>
            </w:tabs>
            <w:spacing w:after="240" w:line="480" w:lineRule="auto"/>
            <w:jc w:val="both"/>
            <w:rPr>
              <w:rFonts w:ascii="Times New Roman" w:hAnsi="Times New Roman" w:cs="Times New Roman"/>
              <w:noProof/>
              <w:sz w:val="24"/>
              <w:szCs w:val="24"/>
            </w:rPr>
          </w:pPr>
          <w:hyperlink w:anchor="_Toc110346121" w:history="1">
            <w:r w:rsidR="004F3195" w:rsidRPr="004F3195">
              <w:rPr>
                <w:rStyle w:val="ae"/>
                <w:rFonts w:ascii="Times New Roman" w:hAnsi="Times New Roman" w:cs="Times New Roman"/>
                <w:noProof/>
                <w:sz w:val="24"/>
                <w:szCs w:val="24"/>
              </w:rPr>
              <w:t>Task 2 – Demand determinants</w:t>
            </w:r>
            <w:r w:rsidR="004F3195" w:rsidRPr="004F3195">
              <w:rPr>
                <w:rFonts w:ascii="Times New Roman" w:hAnsi="Times New Roman" w:cs="Times New Roman"/>
                <w:noProof/>
                <w:webHidden/>
                <w:sz w:val="24"/>
                <w:szCs w:val="24"/>
              </w:rPr>
              <w:tab/>
            </w:r>
            <w:r w:rsidR="005222E2" w:rsidRPr="004F3195">
              <w:rPr>
                <w:rFonts w:ascii="Times New Roman" w:hAnsi="Times New Roman" w:cs="Times New Roman"/>
                <w:noProof/>
                <w:webHidden/>
                <w:sz w:val="24"/>
                <w:szCs w:val="24"/>
              </w:rPr>
              <w:fldChar w:fldCharType="begin"/>
            </w:r>
            <w:r w:rsidR="004F3195" w:rsidRPr="004F3195">
              <w:rPr>
                <w:rFonts w:ascii="Times New Roman" w:hAnsi="Times New Roman" w:cs="Times New Roman"/>
                <w:noProof/>
                <w:webHidden/>
                <w:sz w:val="24"/>
                <w:szCs w:val="24"/>
              </w:rPr>
              <w:instrText xml:space="preserve"> PAGEREF _Toc110346121 \h </w:instrText>
            </w:r>
            <w:r w:rsidR="005222E2" w:rsidRPr="004F3195">
              <w:rPr>
                <w:rFonts w:ascii="Times New Roman" w:hAnsi="Times New Roman" w:cs="Times New Roman"/>
                <w:noProof/>
                <w:webHidden/>
                <w:sz w:val="24"/>
                <w:szCs w:val="24"/>
              </w:rPr>
            </w:r>
            <w:r w:rsidR="005222E2" w:rsidRPr="004F3195">
              <w:rPr>
                <w:rFonts w:ascii="Times New Roman" w:hAnsi="Times New Roman" w:cs="Times New Roman"/>
                <w:noProof/>
                <w:webHidden/>
                <w:sz w:val="24"/>
                <w:szCs w:val="24"/>
              </w:rPr>
              <w:fldChar w:fldCharType="separate"/>
            </w:r>
            <w:r w:rsidR="00F40984">
              <w:rPr>
                <w:rFonts w:ascii="Times New Roman" w:hAnsi="Times New Roman" w:cs="Times New Roman"/>
                <w:noProof/>
                <w:webHidden/>
                <w:sz w:val="24"/>
                <w:szCs w:val="24"/>
              </w:rPr>
              <w:t>4</w:t>
            </w:r>
            <w:r w:rsidR="005222E2" w:rsidRPr="004F3195">
              <w:rPr>
                <w:rFonts w:ascii="Times New Roman" w:hAnsi="Times New Roman" w:cs="Times New Roman"/>
                <w:noProof/>
                <w:webHidden/>
                <w:sz w:val="24"/>
                <w:szCs w:val="24"/>
              </w:rPr>
              <w:fldChar w:fldCharType="end"/>
            </w:r>
          </w:hyperlink>
        </w:p>
        <w:p w:rsidR="004F3195" w:rsidRPr="004F3195" w:rsidRDefault="00D82AD2" w:rsidP="004F3195">
          <w:pPr>
            <w:pStyle w:val="11"/>
            <w:tabs>
              <w:tab w:val="right" w:leader="dot" w:pos="9408"/>
            </w:tabs>
            <w:spacing w:after="240" w:line="480" w:lineRule="auto"/>
            <w:jc w:val="both"/>
            <w:rPr>
              <w:rFonts w:ascii="Times New Roman" w:hAnsi="Times New Roman" w:cs="Times New Roman"/>
              <w:noProof/>
              <w:sz w:val="24"/>
              <w:szCs w:val="24"/>
            </w:rPr>
          </w:pPr>
          <w:hyperlink w:anchor="_Toc110346122" w:history="1">
            <w:r w:rsidR="004F3195" w:rsidRPr="004F3195">
              <w:rPr>
                <w:rStyle w:val="ae"/>
                <w:rFonts w:ascii="Times New Roman" w:hAnsi="Times New Roman" w:cs="Times New Roman"/>
                <w:noProof/>
                <w:sz w:val="24"/>
                <w:szCs w:val="24"/>
              </w:rPr>
              <w:t xml:space="preserve">Task 3 – </w:t>
            </w:r>
            <w:r w:rsidR="004F3195" w:rsidRPr="004F3195">
              <w:rPr>
                <w:rStyle w:val="ae"/>
                <w:rFonts w:ascii="Times New Roman" w:hAnsi="Times New Roman" w:cs="Times New Roman"/>
                <w:noProof/>
                <w:sz w:val="24"/>
                <w:szCs w:val="24"/>
                <w:lang w:val="en-US"/>
              </w:rPr>
              <w:t>Demand elasticity</w:t>
            </w:r>
            <w:r w:rsidR="004F3195" w:rsidRPr="004F3195">
              <w:rPr>
                <w:rFonts w:ascii="Times New Roman" w:hAnsi="Times New Roman" w:cs="Times New Roman"/>
                <w:noProof/>
                <w:webHidden/>
                <w:sz w:val="24"/>
                <w:szCs w:val="24"/>
              </w:rPr>
              <w:tab/>
            </w:r>
            <w:r w:rsidR="005222E2" w:rsidRPr="004F3195">
              <w:rPr>
                <w:rFonts w:ascii="Times New Roman" w:hAnsi="Times New Roman" w:cs="Times New Roman"/>
                <w:noProof/>
                <w:webHidden/>
                <w:sz w:val="24"/>
                <w:szCs w:val="24"/>
              </w:rPr>
              <w:fldChar w:fldCharType="begin"/>
            </w:r>
            <w:r w:rsidR="004F3195" w:rsidRPr="004F3195">
              <w:rPr>
                <w:rFonts w:ascii="Times New Roman" w:hAnsi="Times New Roman" w:cs="Times New Roman"/>
                <w:noProof/>
                <w:webHidden/>
                <w:sz w:val="24"/>
                <w:szCs w:val="24"/>
              </w:rPr>
              <w:instrText xml:space="preserve"> PAGEREF _Toc110346122 \h </w:instrText>
            </w:r>
            <w:r w:rsidR="005222E2" w:rsidRPr="004F3195">
              <w:rPr>
                <w:rFonts w:ascii="Times New Roman" w:hAnsi="Times New Roman" w:cs="Times New Roman"/>
                <w:noProof/>
                <w:webHidden/>
                <w:sz w:val="24"/>
                <w:szCs w:val="24"/>
              </w:rPr>
            </w:r>
            <w:r w:rsidR="005222E2" w:rsidRPr="004F3195">
              <w:rPr>
                <w:rFonts w:ascii="Times New Roman" w:hAnsi="Times New Roman" w:cs="Times New Roman"/>
                <w:noProof/>
                <w:webHidden/>
                <w:sz w:val="24"/>
                <w:szCs w:val="24"/>
              </w:rPr>
              <w:fldChar w:fldCharType="separate"/>
            </w:r>
            <w:r w:rsidR="00F40984">
              <w:rPr>
                <w:rFonts w:ascii="Times New Roman" w:hAnsi="Times New Roman" w:cs="Times New Roman"/>
                <w:noProof/>
                <w:webHidden/>
                <w:sz w:val="24"/>
                <w:szCs w:val="24"/>
              </w:rPr>
              <w:t>9</w:t>
            </w:r>
            <w:r w:rsidR="005222E2" w:rsidRPr="004F3195">
              <w:rPr>
                <w:rFonts w:ascii="Times New Roman" w:hAnsi="Times New Roman" w:cs="Times New Roman"/>
                <w:noProof/>
                <w:webHidden/>
                <w:sz w:val="24"/>
                <w:szCs w:val="24"/>
              </w:rPr>
              <w:fldChar w:fldCharType="end"/>
            </w:r>
          </w:hyperlink>
        </w:p>
        <w:p w:rsidR="004F3195" w:rsidRPr="004F3195" w:rsidRDefault="00D82AD2" w:rsidP="004F3195">
          <w:pPr>
            <w:pStyle w:val="11"/>
            <w:tabs>
              <w:tab w:val="right" w:leader="dot" w:pos="9408"/>
            </w:tabs>
            <w:spacing w:after="240" w:line="480" w:lineRule="auto"/>
            <w:jc w:val="both"/>
            <w:rPr>
              <w:rFonts w:ascii="Times New Roman" w:hAnsi="Times New Roman" w:cs="Times New Roman"/>
              <w:noProof/>
              <w:sz w:val="24"/>
              <w:szCs w:val="24"/>
            </w:rPr>
          </w:pPr>
          <w:hyperlink w:anchor="_Toc110346123" w:history="1">
            <w:r w:rsidR="004F3195" w:rsidRPr="004F3195">
              <w:rPr>
                <w:rStyle w:val="ae"/>
                <w:rFonts w:ascii="Times New Roman" w:hAnsi="Times New Roman" w:cs="Times New Roman"/>
                <w:noProof/>
                <w:sz w:val="24"/>
                <w:szCs w:val="24"/>
              </w:rPr>
              <w:t>References</w:t>
            </w:r>
            <w:r w:rsidR="004F3195" w:rsidRPr="004F3195">
              <w:rPr>
                <w:rFonts w:ascii="Times New Roman" w:hAnsi="Times New Roman" w:cs="Times New Roman"/>
                <w:noProof/>
                <w:webHidden/>
                <w:sz w:val="24"/>
                <w:szCs w:val="24"/>
              </w:rPr>
              <w:tab/>
            </w:r>
            <w:r w:rsidR="005222E2" w:rsidRPr="004F3195">
              <w:rPr>
                <w:rFonts w:ascii="Times New Roman" w:hAnsi="Times New Roman" w:cs="Times New Roman"/>
                <w:noProof/>
                <w:webHidden/>
                <w:sz w:val="24"/>
                <w:szCs w:val="24"/>
              </w:rPr>
              <w:fldChar w:fldCharType="begin"/>
            </w:r>
            <w:r w:rsidR="004F3195" w:rsidRPr="004F3195">
              <w:rPr>
                <w:rFonts w:ascii="Times New Roman" w:hAnsi="Times New Roman" w:cs="Times New Roman"/>
                <w:noProof/>
                <w:webHidden/>
                <w:sz w:val="24"/>
                <w:szCs w:val="24"/>
              </w:rPr>
              <w:instrText xml:space="preserve"> PAGEREF _Toc110346123 \h </w:instrText>
            </w:r>
            <w:r w:rsidR="005222E2" w:rsidRPr="004F3195">
              <w:rPr>
                <w:rFonts w:ascii="Times New Roman" w:hAnsi="Times New Roman" w:cs="Times New Roman"/>
                <w:noProof/>
                <w:webHidden/>
                <w:sz w:val="24"/>
                <w:szCs w:val="24"/>
              </w:rPr>
            </w:r>
            <w:r w:rsidR="005222E2" w:rsidRPr="004F3195">
              <w:rPr>
                <w:rFonts w:ascii="Times New Roman" w:hAnsi="Times New Roman" w:cs="Times New Roman"/>
                <w:noProof/>
                <w:webHidden/>
                <w:sz w:val="24"/>
                <w:szCs w:val="24"/>
              </w:rPr>
              <w:fldChar w:fldCharType="separate"/>
            </w:r>
            <w:r w:rsidR="00F40984">
              <w:rPr>
                <w:rFonts w:ascii="Times New Roman" w:hAnsi="Times New Roman" w:cs="Times New Roman"/>
                <w:noProof/>
                <w:webHidden/>
                <w:sz w:val="24"/>
                <w:szCs w:val="24"/>
              </w:rPr>
              <w:t>14</w:t>
            </w:r>
            <w:r w:rsidR="005222E2" w:rsidRPr="004F3195">
              <w:rPr>
                <w:rFonts w:ascii="Times New Roman" w:hAnsi="Times New Roman" w:cs="Times New Roman"/>
                <w:noProof/>
                <w:webHidden/>
                <w:sz w:val="24"/>
                <w:szCs w:val="24"/>
              </w:rPr>
              <w:fldChar w:fldCharType="end"/>
            </w:r>
          </w:hyperlink>
        </w:p>
        <w:p w:rsidR="004F3195" w:rsidRDefault="005222E2" w:rsidP="004F3195">
          <w:pPr>
            <w:spacing w:after="240" w:line="480" w:lineRule="auto"/>
            <w:jc w:val="both"/>
          </w:pPr>
          <w:r w:rsidRPr="004F3195">
            <w:rPr>
              <w:rFonts w:ascii="Times New Roman" w:hAnsi="Times New Roman" w:cs="Times New Roman"/>
              <w:sz w:val="24"/>
              <w:szCs w:val="24"/>
            </w:rPr>
            <w:fldChar w:fldCharType="end"/>
          </w:r>
        </w:p>
      </w:sdtContent>
    </w:sdt>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4F3195" w:rsidRDefault="004F3195" w:rsidP="004F3195">
      <w:pPr>
        <w:rPr>
          <w:lang w:val="en-US"/>
        </w:rPr>
      </w:pPr>
    </w:p>
    <w:p w:rsidR="00E11F20" w:rsidRPr="004F3195" w:rsidRDefault="00E11F20" w:rsidP="00E11F20">
      <w:pPr>
        <w:pStyle w:val="1"/>
        <w:spacing w:before="0" w:after="240"/>
        <w:rPr>
          <w:color w:val="000000" w:themeColor="text1"/>
        </w:rPr>
      </w:pPr>
      <w:bookmarkStart w:id="1" w:name="_Toc110346120"/>
      <w:r w:rsidRPr="004F3195">
        <w:rPr>
          <w:color w:val="000000" w:themeColor="text1"/>
        </w:rPr>
        <w:t>Task 1 – Description of the business</w:t>
      </w:r>
      <w:bookmarkEnd w:id="0"/>
      <w:bookmarkEnd w:id="1"/>
    </w:p>
    <w:p w:rsidR="007A69A5" w:rsidRPr="004F3195" w:rsidRDefault="007A69A5" w:rsidP="007A69A5">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The report in the field of management economics discusses the case of AstraZeneca (AZ). Established in 1992, AZ has succeeded to extend its commercial activity over the world; consequently, it </w:t>
      </w:r>
      <w:r w:rsidR="00484C3E" w:rsidRPr="004F3195">
        <w:rPr>
          <w:rFonts w:ascii="Times New Roman" w:hAnsi="Times New Roman" w:cs="Times New Roman"/>
          <w:color w:val="000000" w:themeColor="text1"/>
          <w:sz w:val="24"/>
          <w:szCs w:val="24"/>
          <w:lang w:val="en-US"/>
        </w:rPr>
        <w:t xml:space="preserve">already belongs to the group of the 15 largest global companies in the pharmaceutical industry (Mikulic, 2022). </w:t>
      </w:r>
      <w:r w:rsidRPr="004F3195">
        <w:rPr>
          <w:rFonts w:ascii="Times New Roman" w:hAnsi="Times New Roman" w:cs="Times New Roman"/>
          <w:color w:val="000000" w:themeColor="text1"/>
          <w:sz w:val="24"/>
          <w:szCs w:val="24"/>
          <w:lang w:val="en-US"/>
        </w:rPr>
        <w:t>The pharmaceutical giant is headquartered in Cambridge, UK and listed on the FTSE 100 stock exchange (CNN Business, 2022). Moreover, the success of AZ can also be recognised through the amount of its market capitalisation - $202 billion, as of July 2022 (CNN Business, 2022). </w:t>
      </w:r>
      <w:r w:rsidR="00484C3E" w:rsidRPr="004F3195">
        <w:rPr>
          <w:rFonts w:ascii="Times New Roman" w:hAnsi="Times New Roman" w:cs="Times New Roman"/>
          <w:color w:val="000000" w:themeColor="text1"/>
          <w:sz w:val="24"/>
          <w:szCs w:val="24"/>
          <w:lang w:val="en-US"/>
        </w:rPr>
        <w:t xml:space="preserve">In addition, AZ has annual revenue and gross profit of $37.4 billion and $27.9 billion, respectively – key signs of commercial success (Reuters, 2022). </w:t>
      </w:r>
    </w:p>
    <w:p w:rsidR="00E11F20" w:rsidRPr="004F3195" w:rsidRDefault="007A69A5"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AZ has specialised in many critical and fast developing categories of the global pharmaceutical industry - oncological, respiratory, metabolic and cardiovascular (CNN Business, 2022).   The company is</w:t>
      </w:r>
      <w:r w:rsidR="00484C3E" w:rsidRPr="004F3195">
        <w:rPr>
          <w:rFonts w:ascii="Times New Roman" w:hAnsi="Times New Roman" w:cs="Times New Roman"/>
          <w:color w:val="000000" w:themeColor="text1"/>
          <w:sz w:val="24"/>
          <w:szCs w:val="24"/>
          <w:lang w:val="en-US"/>
        </w:rPr>
        <w:t xml:space="preserve"> innovative and spent $9.7 billion</w:t>
      </w:r>
      <w:r w:rsidRPr="004F3195">
        <w:rPr>
          <w:rFonts w:ascii="Times New Roman" w:hAnsi="Times New Roman" w:cs="Times New Roman"/>
          <w:color w:val="000000" w:themeColor="text1"/>
          <w:sz w:val="24"/>
          <w:szCs w:val="24"/>
          <w:lang w:val="en-US"/>
        </w:rPr>
        <w:t xml:space="preserve"> for research and development activities over the course </w:t>
      </w:r>
      <w:r w:rsidR="00484C3E" w:rsidRPr="004F3195">
        <w:rPr>
          <w:rFonts w:ascii="Times New Roman" w:hAnsi="Times New Roman" w:cs="Times New Roman"/>
          <w:color w:val="000000" w:themeColor="text1"/>
          <w:sz w:val="24"/>
          <w:szCs w:val="24"/>
          <w:lang w:val="en-US"/>
        </w:rPr>
        <w:t>of year 2021 (Mikulic, 2022</w:t>
      </w:r>
      <w:r w:rsidRPr="004F3195">
        <w:rPr>
          <w:rFonts w:ascii="Times New Roman" w:hAnsi="Times New Roman" w:cs="Times New Roman"/>
          <w:color w:val="000000" w:themeColor="text1"/>
          <w:sz w:val="24"/>
          <w:szCs w:val="24"/>
          <w:lang w:val="en-US"/>
        </w:rPr>
        <w:t>). Thus, constant improvement and delivery of new medicines have been in the core of the commercial success of AZ. </w:t>
      </w:r>
    </w:p>
    <w:p w:rsidR="00484C3E" w:rsidRPr="004F3195" w:rsidRDefault="00695192"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The research attention is placed on FARXIGA – a prescription drug used in controlling blood sugar levels (Farxiga, 2022). FARXIGA can be used along with diet and exercise as a way of coping with type 2 diabetes. The medicine is found to reduce the risk of hospitalisation and cardiovascular disease among patients with type 2 diabetes and metabolic syndrome (Farxiga, 2022).. The revenues from FARXIGA already exceeded $3 billion in 2021; thereby, being the second most profitable product from the portfolio of AZ (AstraZeneca, 2022). This constitutes 67% growth in revenue in comparison to the previous year which is a considerable achievement demonstrating the market success of FARXIGA (Liu, 2022). In some geographic markets, FARXIGA has already achieved a dominant position due to its effectiveness by capturing a market share between 50% and 70% (Liu, 2022). Given the fact that AZ has been additionally competitive in the niche areas of oncology, FARXIGA should be considered as a breakthrough achievement in the fast-growing segments of metabolic and heart disease treatment (Liu, 2022). </w:t>
      </w:r>
    </w:p>
    <w:p w:rsidR="00E11F20" w:rsidRPr="004F3195" w:rsidRDefault="00C341C0"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The success of FARXIGA and its status as the second most sold product of AZ motivate the research of the drug. Microeconomic conditions are analysed to assess the performance potential of FARXIGA.</w:t>
      </w:r>
    </w:p>
    <w:p w:rsidR="00E11F20" w:rsidRPr="004F3195" w:rsidRDefault="00E11F20" w:rsidP="00397E1D">
      <w:pPr>
        <w:pStyle w:val="1"/>
        <w:spacing w:before="0" w:after="240"/>
        <w:rPr>
          <w:color w:val="000000" w:themeColor="text1"/>
        </w:rPr>
      </w:pPr>
      <w:bookmarkStart w:id="2" w:name="_Toc109603416"/>
      <w:bookmarkStart w:id="3" w:name="_Toc110346121"/>
      <w:r w:rsidRPr="004F3195">
        <w:rPr>
          <w:color w:val="000000" w:themeColor="text1"/>
        </w:rPr>
        <w:t>Task 2 – Demand determinants</w:t>
      </w:r>
      <w:bookmarkEnd w:id="2"/>
      <w:bookmarkEnd w:id="3"/>
      <w:r w:rsidRPr="004F3195">
        <w:rPr>
          <w:color w:val="000000" w:themeColor="text1"/>
        </w:rPr>
        <w:t xml:space="preserve">  </w:t>
      </w:r>
    </w:p>
    <w:p w:rsidR="004D601A" w:rsidRPr="004F3195" w:rsidRDefault="000A6F7C"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By definition, demand expresses the desired quantity from a product or service at a given price (Sloman et al., 2013). The demand curve expresses all combinations of quantities and prices by capturing the demand of all economic agents (Sloman et al., 2013). Thus, the demand curve has a downward slope because higher prices are associated with lower demanded quantity and the vice versa (Sloman and Jones, 2011). The movements along the demand curve also reflect this relationship. Demand expansion takes place when moving in the downward direction – price dec</w:t>
      </w:r>
      <w:r w:rsidR="00F7555D" w:rsidRPr="004F3195">
        <w:rPr>
          <w:rFonts w:ascii="Times New Roman" w:hAnsi="Times New Roman" w:cs="Times New Roman"/>
          <w:color w:val="000000" w:themeColor="text1"/>
          <w:sz w:val="24"/>
          <w:szCs w:val="24"/>
          <w:lang w:val="en-US"/>
        </w:rPr>
        <w:t>line and quantity increases (Toppr, 2022</w:t>
      </w:r>
      <w:r w:rsidRPr="004F3195">
        <w:rPr>
          <w:rFonts w:ascii="Times New Roman" w:hAnsi="Times New Roman" w:cs="Times New Roman"/>
          <w:color w:val="000000" w:themeColor="text1"/>
          <w:sz w:val="24"/>
          <w:szCs w:val="24"/>
          <w:lang w:val="en-US"/>
        </w:rPr>
        <w:t>). Respectively, moving in the upward direction leads to low</w:t>
      </w:r>
      <w:r w:rsidR="00F7555D" w:rsidRPr="004F3195">
        <w:rPr>
          <w:rFonts w:ascii="Times New Roman" w:hAnsi="Times New Roman" w:cs="Times New Roman"/>
          <w:color w:val="000000" w:themeColor="text1"/>
          <w:sz w:val="24"/>
          <w:szCs w:val="24"/>
          <w:lang w:val="en-US"/>
        </w:rPr>
        <w:t>er demand and higher prices (Toppr, 2022</w:t>
      </w:r>
      <w:r w:rsidRPr="004F3195">
        <w:rPr>
          <w:rFonts w:ascii="Times New Roman" w:hAnsi="Times New Roman" w:cs="Times New Roman"/>
          <w:color w:val="000000" w:themeColor="text1"/>
          <w:sz w:val="24"/>
          <w:szCs w:val="24"/>
          <w:lang w:val="en-US"/>
        </w:rPr>
        <w:t xml:space="preserve">). </w:t>
      </w:r>
    </w:p>
    <w:p w:rsidR="00E11F20" w:rsidRPr="004F3195" w:rsidRDefault="00E11F20" w:rsidP="00E11F20">
      <w:pPr>
        <w:jc w:val="both"/>
        <w:rPr>
          <w:rFonts w:ascii="Times New Roman" w:hAnsi="Times New Roman" w:cs="Times New Roman"/>
          <w:b/>
          <w:color w:val="000000" w:themeColor="text1"/>
          <w:sz w:val="24"/>
          <w:szCs w:val="24"/>
          <w:lang w:val="en-US"/>
        </w:rPr>
      </w:pPr>
      <w:r w:rsidRPr="004F3195">
        <w:rPr>
          <w:rFonts w:ascii="Times New Roman" w:hAnsi="Times New Roman" w:cs="Times New Roman"/>
          <w:b/>
          <w:color w:val="000000" w:themeColor="text1"/>
          <w:sz w:val="24"/>
          <w:szCs w:val="24"/>
          <w:lang w:val="en-US"/>
        </w:rPr>
        <w:t xml:space="preserve">Figure </w:t>
      </w:r>
      <w:r w:rsidRPr="004F3195">
        <w:rPr>
          <w:rFonts w:ascii="Times New Roman" w:hAnsi="Times New Roman" w:cs="Times New Roman"/>
          <w:b/>
          <w:color w:val="000000" w:themeColor="text1"/>
          <w:sz w:val="24"/>
          <w:szCs w:val="24"/>
          <w:lang w:val="bg-BG"/>
        </w:rPr>
        <w:t>1</w:t>
      </w:r>
      <w:r w:rsidRPr="004F3195">
        <w:rPr>
          <w:rFonts w:ascii="Times New Roman" w:hAnsi="Times New Roman" w:cs="Times New Roman"/>
          <w:b/>
          <w:color w:val="000000" w:themeColor="text1"/>
          <w:sz w:val="24"/>
          <w:szCs w:val="24"/>
          <w:lang w:val="en-US"/>
        </w:rPr>
        <w:t xml:space="preserve"> – Movement along the demand curve</w:t>
      </w:r>
    </w:p>
    <w:p w:rsidR="00E11F20" w:rsidRPr="004F3195" w:rsidRDefault="00842DDC" w:rsidP="00E11F20">
      <w:pPr>
        <w:jc w:val="both"/>
        <w:rPr>
          <w:rFonts w:ascii="Times New Roman" w:hAnsi="Times New Roman" w:cs="Times New Roman"/>
          <w:b/>
          <w:color w:val="000000" w:themeColor="text1"/>
          <w:sz w:val="24"/>
          <w:szCs w:val="24"/>
          <w:lang w:val="en-US"/>
        </w:rPr>
      </w:pPr>
      <w:r w:rsidRPr="004F3195">
        <w:rPr>
          <w:rFonts w:ascii="Times New Roman" w:hAnsi="Times New Roman" w:cs="Times New Roman"/>
          <w:b/>
          <w:noProof/>
          <w:color w:val="000000" w:themeColor="text1"/>
          <w:sz w:val="24"/>
          <w:szCs w:val="24"/>
          <w:lang w:val="en-US"/>
        </w:rPr>
        <w:drawing>
          <wp:inline distT="0" distB="0" distL="0" distR="0">
            <wp:extent cx="4985952" cy="3729789"/>
            <wp:effectExtent l="19050" t="0" r="5148" b="0"/>
            <wp:docPr id="10" name="Picture 1" descr="https://d1whtlypfis84e.cloudfront.net/guides/wp-content/uploads/2019/04/17154114/extension-and-contraction-300x2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1whtlypfis84e.cloudfront.net/guides/wp-content/uploads/2019/04/17154114/extension-and-contraction-300x224.jpg"/>
                    <pic:cNvPicPr>
                      <a:picLocks noChangeAspect="1" noChangeArrowheads="1"/>
                    </pic:cNvPicPr>
                  </pic:nvPicPr>
                  <pic:blipFill>
                    <a:blip r:embed="rId9" cstate="print"/>
                    <a:srcRect/>
                    <a:stretch>
                      <a:fillRect/>
                    </a:stretch>
                  </pic:blipFill>
                  <pic:spPr bwMode="auto">
                    <a:xfrm>
                      <a:off x="0" y="0"/>
                      <a:ext cx="4985952" cy="3729789"/>
                    </a:xfrm>
                    <a:prstGeom prst="rect">
                      <a:avLst/>
                    </a:prstGeom>
                    <a:noFill/>
                    <a:ln w="9525">
                      <a:noFill/>
                      <a:miter lim="800000"/>
                      <a:headEnd/>
                      <a:tailEnd/>
                    </a:ln>
                  </pic:spPr>
                </pic:pic>
              </a:graphicData>
            </a:graphic>
          </wp:inline>
        </w:drawing>
      </w:r>
    </w:p>
    <w:p w:rsidR="00E11F20" w:rsidRPr="004F3195" w:rsidRDefault="00E11F20" w:rsidP="00E11F20">
      <w:pPr>
        <w:spacing w:after="240"/>
        <w:jc w:val="both"/>
        <w:rPr>
          <w:rFonts w:ascii="Times New Roman" w:hAnsi="Times New Roman" w:cs="Times New Roman"/>
          <w:i/>
          <w:color w:val="000000" w:themeColor="text1"/>
          <w:sz w:val="24"/>
          <w:szCs w:val="24"/>
          <w:lang w:val="en-US"/>
        </w:rPr>
      </w:pPr>
      <w:r w:rsidRPr="004F3195">
        <w:rPr>
          <w:rFonts w:ascii="Times New Roman" w:hAnsi="Times New Roman" w:cs="Times New Roman"/>
          <w:i/>
          <w:color w:val="000000" w:themeColor="text1"/>
          <w:sz w:val="24"/>
          <w:szCs w:val="24"/>
          <w:lang w:val="en-US"/>
        </w:rPr>
        <w:t xml:space="preserve">Source: </w:t>
      </w:r>
      <w:r w:rsidR="00842DDC" w:rsidRPr="004F3195">
        <w:rPr>
          <w:rFonts w:ascii="Times New Roman" w:hAnsi="Times New Roman" w:cs="Times New Roman"/>
          <w:i/>
          <w:color w:val="000000" w:themeColor="text1"/>
          <w:sz w:val="24"/>
          <w:szCs w:val="24"/>
          <w:lang w:val="en-US"/>
        </w:rPr>
        <w:t>Toppr (2022)</w:t>
      </w:r>
    </w:p>
    <w:p w:rsidR="000A6F7C" w:rsidRPr="004F3195" w:rsidRDefault="00EA42C9"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The market forces of supply and demand determine the equilibrium point (Sloman and Jones, 2011). It is a specific place where the market is balanced and the surplus for consumers and producers is maximised without instances of product surpluses and deficits in the marketplace (Sloman and Jones, 2011). Changes in demand may also affect the equilibrium point, if supply remains fixed. In the general case, increase in demand shifts the curve to the right, whereas declining demand shifts the curve to the left (Sloman and Jones, 2011). As a result, demand increase leads to higher quantities and prices and the vice versa (Sloman et al., 2013). </w:t>
      </w:r>
    </w:p>
    <w:p w:rsidR="00E11F20" w:rsidRPr="004F3195" w:rsidRDefault="00E11F20" w:rsidP="00842DDC">
      <w:pPr>
        <w:spacing w:after="240"/>
        <w:jc w:val="both"/>
        <w:rPr>
          <w:rFonts w:ascii="Times New Roman" w:hAnsi="Times New Roman" w:cs="Times New Roman"/>
          <w:b/>
          <w:color w:val="000000" w:themeColor="text1"/>
          <w:sz w:val="24"/>
          <w:szCs w:val="24"/>
          <w:lang w:val="en-US"/>
        </w:rPr>
      </w:pPr>
      <w:r w:rsidRPr="004F3195">
        <w:rPr>
          <w:rFonts w:ascii="Times New Roman" w:hAnsi="Times New Roman" w:cs="Times New Roman"/>
          <w:b/>
          <w:color w:val="000000" w:themeColor="text1"/>
          <w:sz w:val="24"/>
          <w:szCs w:val="24"/>
          <w:lang w:val="en-US"/>
        </w:rPr>
        <w:t xml:space="preserve">Figure 2 – </w:t>
      </w:r>
      <w:r w:rsidR="00EA42C9" w:rsidRPr="004F3195">
        <w:rPr>
          <w:rFonts w:ascii="Times New Roman" w:hAnsi="Times New Roman" w:cs="Times New Roman"/>
          <w:b/>
          <w:color w:val="000000" w:themeColor="text1"/>
          <w:sz w:val="24"/>
          <w:szCs w:val="24"/>
          <w:lang w:val="en-US"/>
        </w:rPr>
        <w:t>Changes in demand and market equilibrium point</w:t>
      </w:r>
      <w:r w:rsidR="00833605" w:rsidRPr="004F3195">
        <w:rPr>
          <w:rFonts w:ascii="Times New Roman" w:hAnsi="Times New Roman" w:cs="Times New Roman"/>
          <w:b/>
          <w:color w:val="000000" w:themeColor="text1"/>
          <w:sz w:val="24"/>
          <w:szCs w:val="24"/>
          <w:lang w:val="en-US"/>
        </w:rPr>
        <w:t xml:space="preserve"> (demand increase – left; demand decrease – right)</w:t>
      </w:r>
    </w:p>
    <w:p w:rsidR="00E11F20" w:rsidRPr="004F3195" w:rsidRDefault="00842DDC" w:rsidP="00842DDC">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noProof/>
          <w:color w:val="000000" w:themeColor="text1"/>
          <w:sz w:val="24"/>
          <w:szCs w:val="24"/>
          <w:lang w:val="en-US"/>
        </w:rPr>
        <w:drawing>
          <wp:inline distT="0" distB="0" distL="0" distR="0">
            <wp:extent cx="5896040" cy="3031958"/>
            <wp:effectExtent l="19050" t="0" r="946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896040" cy="3031958"/>
                    </a:xfrm>
                    <a:prstGeom prst="rect">
                      <a:avLst/>
                    </a:prstGeom>
                    <a:noFill/>
                    <a:ln w="9525">
                      <a:noFill/>
                      <a:miter lim="800000"/>
                      <a:headEnd/>
                      <a:tailEnd/>
                    </a:ln>
                  </pic:spPr>
                </pic:pic>
              </a:graphicData>
            </a:graphic>
          </wp:inline>
        </w:drawing>
      </w:r>
    </w:p>
    <w:p w:rsidR="00EA42C9" w:rsidRPr="004F3195" w:rsidRDefault="00E11F20" w:rsidP="00E11F20">
      <w:pPr>
        <w:spacing w:after="240"/>
        <w:jc w:val="both"/>
        <w:rPr>
          <w:rFonts w:ascii="Times New Roman" w:hAnsi="Times New Roman" w:cs="Times New Roman"/>
          <w:i/>
          <w:color w:val="000000" w:themeColor="text1"/>
          <w:sz w:val="24"/>
          <w:szCs w:val="24"/>
          <w:lang w:val="en-US"/>
        </w:rPr>
      </w:pPr>
      <w:r w:rsidRPr="004F3195">
        <w:rPr>
          <w:rFonts w:ascii="Times New Roman" w:hAnsi="Times New Roman" w:cs="Times New Roman"/>
          <w:i/>
          <w:color w:val="000000" w:themeColor="text1"/>
          <w:sz w:val="24"/>
          <w:szCs w:val="24"/>
          <w:lang w:val="en-US"/>
        </w:rPr>
        <w:t xml:space="preserve">Source: </w:t>
      </w:r>
      <w:r w:rsidR="00842DDC" w:rsidRPr="004F3195">
        <w:rPr>
          <w:rFonts w:ascii="Times New Roman" w:hAnsi="Times New Roman" w:cs="Times New Roman"/>
          <w:i/>
          <w:color w:val="000000" w:themeColor="text1"/>
          <w:sz w:val="24"/>
          <w:szCs w:val="24"/>
          <w:lang w:val="en-US"/>
        </w:rPr>
        <w:t>Econ Port (2006)</w:t>
      </w:r>
    </w:p>
    <w:p w:rsidR="00EA42C9" w:rsidRPr="004F3195" w:rsidRDefault="00EA42C9"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Given the key role of demand, it is important to analyse the influential factors and the specifics implications in the case </w:t>
      </w:r>
      <w:r w:rsidR="00977799" w:rsidRPr="004F3195">
        <w:rPr>
          <w:rFonts w:ascii="Times New Roman" w:hAnsi="Times New Roman" w:cs="Times New Roman"/>
          <w:color w:val="000000" w:themeColor="text1"/>
          <w:sz w:val="24"/>
          <w:szCs w:val="24"/>
          <w:lang w:val="en-US"/>
        </w:rPr>
        <w:t>FARXIGA</w:t>
      </w:r>
      <w:r w:rsidRPr="004F3195">
        <w:rPr>
          <w:rFonts w:ascii="Times New Roman" w:hAnsi="Times New Roman" w:cs="Times New Roman"/>
          <w:color w:val="000000" w:themeColor="text1"/>
          <w:sz w:val="24"/>
          <w:szCs w:val="24"/>
          <w:lang w:val="en-US"/>
        </w:rPr>
        <w:t xml:space="preserve">. </w:t>
      </w:r>
    </w:p>
    <w:p w:rsidR="00EA42C9" w:rsidRPr="004F3195" w:rsidRDefault="00EA42C9"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The starting point is to understand the role of substitutes and complimentary products. This is important, as </w:t>
      </w:r>
      <w:r w:rsidR="00977799" w:rsidRPr="004F3195">
        <w:rPr>
          <w:rFonts w:ascii="Times New Roman" w:hAnsi="Times New Roman" w:cs="Times New Roman"/>
          <w:color w:val="000000" w:themeColor="text1"/>
          <w:sz w:val="24"/>
          <w:szCs w:val="24"/>
          <w:lang w:val="en-US"/>
        </w:rPr>
        <w:t>FARXIGA</w:t>
      </w:r>
      <w:r w:rsidRPr="004F3195">
        <w:rPr>
          <w:rFonts w:ascii="Times New Roman" w:hAnsi="Times New Roman" w:cs="Times New Roman"/>
          <w:color w:val="000000" w:themeColor="text1"/>
          <w:sz w:val="24"/>
          <w:szCs w:val="24"/>
          <w:lang w:val="en-US"/>
        </w:rPr>
        <w:t xml:space="preserve"> does not exist in isolation from the other products (Sloman et al., 2013). Substitutes are alternative products available in the marketplace; hence, an increase in their price leads to a higher demand for </w:t>
      </w:r>
      <w:r w:rsidR="00977799" w:rsidRPr="004F3195">
        <w:rPr>
          <w:rFonts w:ascii="Times New Roman" w:hAnsi="Times New Roman" w:cs="Times New Roman"/>
          <w:color w:val="000000" w:themeColor="text1"/>
          <w:sz w:val="24"/>
          <w:szCs w:val="24"/>
          <w:lang w:val="en-US"/>
        </w:rPr>
        <w:t>FARXIGA</w:t>
      </w:r>
      <w:r w:rsidRPr="004F3195">
        <w:rPr>
          <w:rFonts w:ascii="Times New Roman" w:hAnsi="Times New Roman" w:cs="Times New Roman"/>
          <w:color w:val="000000" w:themeColor="text1"/>
          <w:sz w:val="24"/>
          <w:szCs w:val="24"/>
          <w:lang w:val="en-US"/>
        </w:rPr>
        <w:t xml:space="preserve"> and the vice versa (Sloman et al., 2013). In contrast, complimentary products are simultaneously used together with </w:t>
      </w:r>
      <w:r w:rsidR="00977799" w:rsidRPr="004F3195">
        <w:rPr>
          <w:rFonts w:ascii="Times New Roman" w:hAnsi="Times New Roman" w:cs="Times New Roman"/>
          <w:color w:val="000000" w:themeColor="text1"/>
          <w:sz w:val="24"/>
          <w:szCs w:val="24"/>
          <w:lang w:val="en-US"/>
        </w:rPr>
        <w:t>FARXIGA</w:t>
      </w:r>
      <w:r w:rsidRPr="004F3195">
        <w:rPr>
          <w:rFonts w:ascii="Times New Roman" w:hAnsi="Times New Roman" w:cs="Times New Roman"/>
          <w:color w:val="000000" w:themeColor="text1"/>
          <w:sz w:val="24"/>
          <w:szCs w:val="24"/>
          <w:lang w:val="en-US"/>
        </w:rPr>
        <w:t xml:space="preserve"> (Sloman et al., 2013). In this light, the increase in the price of complimentary products could make the consumption of </w:t>
      </w:r>
      <w:r w:rsidR="00977799" w:rsidRPr="004F3195">
        <w:rPr>
          <w:rFonts w:ascii="Times New Roman" w:hAnsi="Times New Roman" w:cs="Times New Roman"/>
          <w:color w:val="000000" w:themeColor="text1"/>
          <w:sz w:val="24"/>
          <w:szCs w:val="24"/>
          <w:lang w:val="en-US"/>
        </w:rPr>
        <w:t>FARXIGA</w:t>
      </w:r>
      <w:r w:rsidRPr="004F3195">
        <w:rPr>
          <w:rFonts w:ascii="Times New Roman" w:hAnsi="Times New Roman" w:cs="Times New Roman"/>
          <w:color w:val="000000" w:themeColor="text1"/>
          <w:sz w:val="24"/>
          <w:szCs w:val="24"/>
          <w:lang w:val="en-US"/>
        </w:rPr>
        <w:t xml:space="preserve"> more expensive; thereby, having a negative impact on demand (Sloman et al., 2013).</w:t>
      </w:r>
      <w:r w:rsidR="00877EC8" w:rsidRPr="004F3195">
        <w:rPr>
          <w:rFonts w:ascii="Times New Roman" w:hAnsi="Times New Roman" w:cs="Times New Roman"/>
          <w:color w:val="000000" w:themeColor="text1"/>
          <w:sz w:val="24"/>
          <w:szCs w:val="24"/>
          <w:lang w:val="en-US"/>
        </w:rPr>
        <w:t xml:space="preserve"> The case of FARXIGA suggests the lack of supplementary products, as pills can be taken independently of other medicines. In terms of substitute products, there are popular alternatives in the marketplace, such as </w:t>
      </w:r>
      <w:r w:rsidR="00877EC8" w:rsidRPr="004F3195">
        <w:rPr>
          <w:rFonts w:ascii="Times New Roman" w:hAnsi="Times New Roman" w:cs="Times New Roman"/>
          <w:color w:val="000000" w:themeColor="text1"/>
          <w:sz w:val="24"/>
          <w:szCs w:val="24"/>
        </w:rPr>
        <w:t xml:space="preserve">Jardiance, Glipizide, Metformin, Januvia, and Rybelsus (Shaffer, 2022). Respectively, the demand for </w:t>
      </w:r>
      <w:r w:rsidR="00877EC8" w:rsidRPr="004F3195">
        <w:rPr>
          <w:rFonts w:ascii="Times New Roman" w:hAnsi="Times New Roman" w:cs="Times New Roman"/>
          <w:color w:val="000000" w:themeColor="text1"/>
          <w:sz w:val="24"/>
          <w:szCs w:val="24"/>
          <w:lang w:val="en-US"/>
        </w:rPr>
        <w:t xml:space="preserve">FARXIGA may decrease, if comparable alternatives’ become </w:t>
      </w:r>
      <w:r w:rsidR="00E231ED" w:rsidRPr="004F3195">
        <w:rPr>
          <w:rFonts w:ascii="Times New Roman" w:hAnsi="Times New Roman" w:cs="Times New Roman"/>
          <w:color w:val="000000" w:themeColor="text1"/>
          <w:sz w:val="24"/>
          <w:szCs w:val="24"/>
          <w:lang w:val="en-US"/>
        </w:rPr>
        <w:t xml:space="preserve">cheaper </w:t>
      </w:r>
      <w:r w:rsidR="00877EC8" w:rsidRPr="004F3195">
        <w:rPr>
          <w:rFonts w:ascii="Times New Roman" w:hAnsi="Times New Roman" w:cs="Times New Roman"/>
          <w:color w:val="000000" w:themeColor="text1"/>
          <w:sz w:val="24"/>
          <w:szCs w:val="24"/>
          <w:lang w:val="en-US"/>
        </w:rPr>
        <w:t xml:space="preserve">and the vice versa. </w:t>
      </w:r>
      <w:r w:rsidR="00E231ED" w:rsidRPr="004F3195">
        <w:rPr>
          <w:rFonts w:ascii="Times New Roman" w:hAnsi="Times New Roman" w:cs="Times New Roman"/>
          <w:color w:val="000000" w:themeColor="text1"/>
          <w:sz w:val="24"/>
          <w:szCs w:val="24"/>
          <w:lang w:val="en-US"/>
        </w:rPr>
        <w:t xml:space="preserve">AZ should monitor the prices of competitors’ products in order to devise strategies for profit maximisation in the case of FARXIGA. </w:t>
      </w:r>
    </w:p>
    <w:p w:rsidR="00AF1219" w:rsidRPr="004F3195" w:rsidRDefault="00AF1219"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The next key determinant refers to income level. There are several key scenarios related to income change. In the majority of cases, where normal products are considered, higher income leads to an increase in consumers’ purchasing power and increased demand, respectively (Sloman et al., 2013). In the case of luxury goods, initial increase in income may not affect demand. The latter starts increasing only when income level grows above a certain level (Sloman et al., 2013). Other products and services experience a seasonal demand. For instance, seaside visits are dependent on weather conditions and appear to have a demand peak in the summer season. Moreover, there is a group of inferior goods, as well. They are known as Giffen goods and the demand for them is </w:t>
      </w:r>
      <w:r w:rsidR="00DC0A68" w:rsidRPr="004F3195">
        <w:rPr>
          <w:rFonts w:ascii="Times New Roman" w:hAnsi="Times New Roman" w:cs="Times New Roman"/>
          <w:color w:val="000000" w:themeColor="text1"/>
          <w:sz w:val="24"/>
          <w:szCs w:val="24"/>
          <w:lang w:val="en-US"/>
        </w:rPr>
        <w:t xml:space="preserve">negatively correlated to income (Sloman et al., 2013). For example, income increase may lead to a lower demand for sausages (Giffen good) and shifts to beef steaks and other high-quality alternatives. </w:t>
      </w:r>
      <w:r w:rsidR="00E231ED" w:rsidRPr="004F3195">
        <w:rPr>
          <w:rFonts w:ascii="Times New Roman" w:hAnsi="Times New Roman" w:cs="Times New Roman"/>
          <w:color w:val="000000" w:themeColor="text1"/>
          <w:sz w:val="24"/>
          <w:szCs w:val="24"/>
          <w:lang w:val="en-US"/>
        </w:rPr>
        <w:t xml:space="preserve">In this report, FARXIGA is assumed to be a normal product. The long-term income trends, as shown below, suggest that the UK is a high-income country with an income level of £33,500 per capita (Smith, 2022). The pandemic caused a recession and declining income in 2020; however, the economic recovery is expected to reach the pre-pandemic income peak in year 2022 (Clark, 2022). Thus, the increasing income is also a main factor for a higher demand for FARXIGA. </w:t>
      </w:r>
    </w:p>
    <w:p w:rsidR="00E231ED" w:rsidRPr="004F3195" w:rsidRDefault="00E231ED" w:rsidP="00E11F20">
      <w:pPr>
        <w:spacing w:after="240"/>
        <w:jc w:val="both"/>
        <w:rPr>
          <w:rFonts w:ascii="Times New Roman" w:hAnsi="Times New Roman" w:cs="Times New Roman"/>
          <w:color w:val="000000" w:themeColor="text1"/>
          <w:sz w:val="24"/>
          <w:szCs w:val="24"/>
          <w:lang w:val="en-US"/>
        </w:rPr>
      </w:pPr>
    </w:p>
    <w:p w:rsidR="00E231ED" w:rsidRPr="004F3195" w:rsidRDefault="00E231ED" w:rsidP="00E11F20">
      <w:pPr>
        <w:spacing w:after="240"/>
        <w:jc w:val="both"/>
        <w:rPr>
          <w:rFonts w:ascii="Times New Roman" w:hAnsi="Times New Roman" w:cs="Times New Roman"/>
          <w:color w:val="000000" w:themeColor="text1"/>
          <w:sz w:val="24"/>
          <w:szCs w:val="24"/>
          <w:lang w:val="en-US"/>
        </w:rPr>
      </w:pPr>
    </w:p>
    <w:p w:rsidR="00E231ED" w:rsidRPr="004F3195" w:rsidRDefault="00E231ED" w:rsidP="00E11F20">
      <w:pPr>
        <w:spacing w:after="240"/>
        <w:jc w:val="both"/>
        <w:rPr>
          <w:rFonts w:ascii="Times New Roman" w:hAnsi="Times New Roman" w:cs="Times New Roman"/>
          <w:color w:val="000000" w:themeColor="text1"/>
          <w:sz w:val="24"/>
          <w:szCs w:val="24"/>
          <w:lang w:val="en-US"/>
        </w:rPr>
      </w:pPr>
    </w:p>
    <w:p w:rsidR="00E231ED" w:rsidRPr="004F3195" w:rsidRDefault="00E231ED" w:rsidP="00E11F20">
      <w:pPr>
        <w:spacing w:after="240"/>
        <w:jc w:val="both"/>
        <w:rPr>
          <w:rFonts w:ascii="Times New Roman" w:hAnsi="Times New Roman" w:cs="Times New Roman"/>
          <w:color w:val="000000" w:themeColor="text1"/>
          <w:sz w:val="24"/>
          <w:szCs w:val="24"/>
          <w:lang w:val="en-US"/>
        </w:rPr>
      </w:pPr>
    </w:p>
    <w:p w:rsidR="00877EC8" w:rsidRPr="004F3195" w:rsidRDefault="00E231ED" w:rsidP="00E11F20">
      <w:pPr>
        <w:spacing w:after="240"/>
        <w:jc w:val="both"/>
        <w:rPr>
          <w:rFonts w:ascii="Times New Roman" w:hAnsi="Times New Roman" w:cs="Times New Roman"/>
          <w:b/>
          <w:color w:val="000000" w:themeColor="text1"/>
          <w:sz w:val="24"/>
          <w:szCs w:val="24"/>
          <w:lang w:val="en-US"/>
        </w:rPr>
      </w:pPr>
      <w:r w:rsidRPr="004F3195">
        <w:rPr>
          <w:rFonts w:ascii="Times New Roman" w:hAnsi="Times New Roman" w:cs="Times New Roman"/>
          <w:b/>
          <w:color w:val="000000" w:themeColor="text1"/>
          <w:sz w:val="24"/>
          <w:szCs w:val="24"/>
          <w:lang w:val="en-US"/>
        </w:rPr>
        <w:t>Figure 3 – Income levels per capita in UK (1955-2021)</w:t>
      </w:r>
    </w:p>
    <w:p w:rsidR="00877EC8" w:rsidRPr="004F3195" w:rsidRDefault="00877EC8"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noProof/>
          <w:color w:val="000000" w:themeColor="text1"/>
          <w:sz w:val="24"/>
          <w:szCs w:val="24"/>
          <w:lang w:val="en-US"/>
        </w:rPr>
        <w:drawing>
          <wp:inline distT="0" distB="0" distL="0" distR="0">
            <wp:extent cx="5980430" cy="3424523"/>
            <wp:effectExtent l="19050" t="0" r="127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5980430" cy="3424523"/>
                    </a:xfrm>
                    <a:prstGeom prst="rect">
                      <a:avLst/>
                    </a:prstGeom>
                    <a:noFill/>
                    <a:ln w="9525">
                      <a:noFill/>
                      <a:miter lim="800000"/>
                      <a:headEnd/>
                      <a:tailEnd/>
                    </a:ln>
                  </pic:spPr>
                </pic:pic>
              </a:graphicData>
            </a:graphic>
          </wp:inline>
        </w:drawing>
      </w:r>
    </w:p>
    <w:p w:rsidR="00877EC8" w:rsidRPr="004F3195" w:rsidRDefault="00877EC8" w:rsidP="00E11F20">
      <w:pPr>
        <w:spacing w:after="240"/>
        <w:jc w:val="both"/>
        <w:rPr>
          <w:rFonts w:ascii="Times New Roman" w:hAnsi="Times New Roman" w:cs="Times New Roman"/>
          <w:i/>
          <w:color w:val="000000" w:themeColor="text1"/>
          <w:sz w:val="24"/>
          <w:szCs w:val="24"/>
          <w:lang w:val="en-US"/>
        </w:rPr>
      </w:pPr>
      <w:r w:rsidRPr="004F3195">
        <w:rPr>
          <w:rFonts w:ascii="Times New Roman" w:hAnsi="Times New Roman" w:cs="Times New Roman"/>
          <w:i/>
          <w:color w:val="000000" w:themeColor="text1"/>
          <w:sz w:val="24"/>
          <w:szCs w:val="24"/>
          <w:lang w:val="en-US"/>
        </w:rPr>
        <w:t xml:space="preserve">Source: </w:t>
      </w:r>
      <w:r w:rsidR="009E2811" w:rsidRPr="004F3195">
        <w:rPr>
          <w:rFonts w:ascii="Times New Roman" w:hAnsi="Times New Roman" w:cs="Times New Roman"/>
          <w:i/>
          <w:color w:val="000000" w:themeColor="text1"/>
          <w:sz w:val="24"/>
          <w:szCs w:val="24"/>
          <w:lang w:val="en-US"/>
        </w:rPr>
        <w:t xml:space="preserve">Clark (2022) </w:t>
      </w:r>
    </w:p>
    <w:p w:rsidR="00DC0A68" w:rsidRPr="004F3195" w:rsidRDefault="00DC0A68"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Demand patterns are also affected by the prevailing tastes and preferences of consumers (Sloman et al., 2013). Some sectors of the economy, such as fashion, car sales, entertainment and others, appear to be more prone to changes in consumers’ tastes and preferences than others. </w:t>
      </w:r>
      <w:r w:rsidR="00E231ED" w:rsidRPr="004F3195">
        <w:rPr>
          <w:rFonts w:ascii="Times New Roman" w:hAnsi="Times New Roman" w:cs="Times New Roman"/>
          <w:color w:val="000000" w:themeColor="text1"/>
          <w:sz w:val="24"/>
          <w:szCs w:val="24"/>
          <w:lang w:val="en-US"/>
        </w:rPr>
        <w:t xml:space="preserve">In the case of FARXIGA, it is important to note that the drug has several superior properties which differentiate it against competitors. In addition to better controlling blood sugar level, FARXIGA also delivers enhanced risk management against specific conditions common among patients with type 2 diabetes – renal and cardiovascular failure (AstraZeneca, 2020). The effective performance of the drug thus stimulates consumers, as the latter demonstrate increased preferences for FARXIGA vis-à-vis the other alternatives in the marketplace. This is also supported by the high revenue growth from FARXIGA (67% on annual basis) which exceeds the growth in the sector (Liu, 2022).  </w:t>
      </w:r>
    </w:p>
    <w:p w:rsidR="00DC0A68" w:rsidRPr="004F3195" w:rsidRDefault="00DC0A68"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Since consumers are human beings, they are also affected by certain expectations regarding the future (Sloman et al., 2013). Consumer behaviour thus takes into consideration the expectations for future price changes. As a result, expectations for higher prices or product shortages in the future may fuel the demand and the vice versa – consumers abstain from purchasing when expecting lower prices in the future (Sloman et al., 2013).</w:t>
      </w:r>
      <w:r w:rsidR="000310D7" w:rsidRPr="004F3195">
        <w:rPr>
          <w:rFonts w:ascii="Times New Roman" w:hAnsi="Times New Roman" w:cs="Times New Roman"/>
          <w:color w:val="000000" w:themeColor="text1"/>
          <w:sz w:val="24"/>
          <w:szCs w:val="24"/>
          <w:lang w:val="en-US"/>
        </w:rPr>
        <w:t xml:space="preserve"> In the case of FARXIGA, expectations play no role. This is a medicine, which is taken on the basis of a medical necessity and consumed immediately; hence, consumers cannot delay purchases or accumulate extra inventory from the drug depending on the expected price change expectations. </w:t>
      </w:r>
    </w:p>
    <w:p w:rsidR="00EC5456" w:rsidRPr="004F3195" w:rsidRDefault="00EC5456"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Demographic trends are also accountable for demand changes over time. Population size and structure explain consumer demand size and patterns of consumption (Sloman et al., 2013). In most cases, demographic trends are slow; however, an influx of migrants and refugees can deliver fast changes affecting demand. </w:t>
      </w:r>
      <w:r w:rsidR="00A17595" w:rsidRPr="004F3195">
        <w:rPr>
          <w:rFonts w:ascii="Times New Roman" w:hAnsi="Times New Roman" w:cs="Times New Roman"/>
          <w:color w:val="000000" w:themeColor="text1"/>
          <w:sz w:val="24"/>
          <w:szCs w:val="24"/>
          <w:lang w:val="en-US"/>
        </w:rPr>
        <w:t xml:space="preserve">The population of the UK reached 67 million in 2021 (ONS, 2021). This is a historic peak and a sign of a large market. The population growth has been recently around 400,000 people per annum; however, the pandemic led to a slower growth in 2020 (ONS, 2021). If the demographic trends remain sustainable, the increase in population size could be considered as a sign for higher demand for </w:t>
      </w:r>
      <w:r w:rsidR="000310D7" w:rsidRPr="004F3195">
        <w:rPr>
          <w:rFonts w:ascii="Times New Roman" w:hAnsi="Times New Roman" w:cs="Times New Roman"/>
          <w:color w:val="000000" w:themeColor="text1"/>
          <w:sz w:val="24"/>
          <w:szCs w:val="24"/>
          <w:lang w:val="en-US"/>
        </w:rPr>
        <w:t>FARXIGA</w:t>
      </w:r>
      <w:r w:rsidR="00A17595" w:rsidRPr="004F3195">
        <w:rPr>
          <w:rFonts w:ascii="Times New Roman" w:hAnsi="Times New Roman" w:cs="Times New Roman"/>
          <w:color w:val="000000" w:themeColor="text1"/>
          <w:sz w:val="24"/>
          <w:szCs w:val="24"/>
          <w:lang w:val="en-US"/>
        </w:rPr>
        <w:t xml:space="preserve">. </w:t>
      </w:r>
      <w:r w:rsidR="009F0458" w:rsidRPr="004F3195">
        <w:rPr>
          <w:rFonts w:ascii="Times New Roman" w:hAnsi="Times New Roman" w:cs="Times New Roman"/>
          <w:color w:val="000000" w:themeColor="text1"/>
          <w:sz w:val="24"/>
          <w:szCs w:val="24"/>
          <w:lang w:val="en-US"/>
        </w:rPr>
        <w:t xml:space="preserve">The obesity epidemic and population ageing are other demographic variables supporting the demand for the dug. </w:t>
      </w:r>
    </w:p>
    <w:p w:rsidR="009E2811" w:rsidRPr="004F3195" w:rsidRDefault="009E2811" w:rsidP="00E11F20">
      <w:pPr>
        <w:spacing w:after="240"/>
        <w:jc w:val="both"/>
        <w:rPr>
          <w:rFonts w:ascii="Times New Roman" w:hAnsi="Times New Roman" w:cs="Times New Roman"/>
          <w:b/>
          <w:color w:val="000000" w:themeColor="text1"/>
          <w:sz w:val="24"/>
          <w:szCs w:val="24"/>
          <w:lang w:val="en-US"/>
        </w:rPr>
      </w:pPr>
      <w:r w:rsidRPr="004F3195">
        <w:rPr>
          <w:rFonts w:ascii="Times New Roman" w:hAnsi="Times New Roman" w:cs="Times New Roman"/>
          <w:b/>
          <w:color w:val="000000" w:themeColor="text1"/>
          <w:sz w:val="24"/>
          <w:szCs w:val="24"/>
          <w:lang w:val="en-US"/>
        </w:rPr>
        <w:t xml:space="preserve">Figure </w:t>
      </w:r>
      <w:r w:rsidR="000310D7" w:rsidRPr="004F3195">
        <w:rPr>
          <w:rFonts w:ascii="Times New Roman" w:hAnsi="Times New Roman" w:cs="Times New Roman"/>
          <w:b/>
          <w:color w:val="000000" w:themeColor="text1"/>
          <w:sz w:val="24"/>
          <w:szCs w:val="24"/>
          <w:lang w:val="en-US"/>
        </w:rPr>
        <w:t>4</w:t>
      </w:r>
      <w:r w:rsidRPr="004F3195">
        <w:rPr>
          <w:rFonts w:ascii="Times New Roman" w:hAnsi="Times New Roman" w:cs="Times New Roman"/>
          <w:b/>
          <w:color w:val="000000" w:themeColor="text1"/>
          <w:sz w:val="24"/>
          <w:szCs w:val="24"/>
          <w:lang w:val="en-US"/>
        </w:rPr>
        <w:t xml:space="preserve"> – Population size change in UK</w:t>
      </w:r>
    </w:p>
    <w:p w:rsidR="009E2811" w:rsidRPr="004F3195" w:rsidRDefault="009E2811"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noProof/>
          <w:color w:val="000000" w:themeColor="text1"/>
          <w:sz w:val="24"/>
          <w:szCs w:val="24"/>
          <w:lang w:val="en-US"/>
        </w:rPr>
        <w:drawing>
          <wp:inline distT="0" distB="0" distL="0" distR="0">
            <wp:extent cx="5972676" cy="2863516"/>
            <wp:effectExtent l="19050" t="0" r="9024"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srcRect/>
                    <a:stretch>
                      <a:fillRect/>
                    </a:stretch>
                  </pic:blipFill>
                  <pic:spPr bwMode="auto">
                    <a:xfrm>
                      <a:off x="0" y="0"/>
                      <a:ext cx="5980430" cy="2867234"/>
                    </a:xfrm>
                    <a:prstGeom prst="rect">
                      <a:avLst/>
                    </a:prstGeom>
                    <a:noFill/>
                    <a:ln w="9525">
                      <a:noFill/>
                      <a:miter lim="800000"/>
                      <a:headEnd/>
                      <a:tailEnd/>
                    </a:ln>
                  </pic:spPr>
                </pic:pic>
              </a:graphicData>
            </a:graphic>
          </wp:inline>
        </w:drawing>
      </w:r>
    </w:p>
    <w:p w:rsidR="009E2811" w:rsidRPr="004F3195" w:rsidRDefault="009E2811" w:rsidP="00E11F20">
      <w:pPr>
        <w:spacing w:after="240"/>
        <w:jc w:val="both"/>
        <w:rPr>
          <w:rFonts w:ascii="Times New Roman" w:hAnsi="Times New Roman" w:cs="Times New Roman"/>
          <w:i/>
          <w:color w:val="000000" w:themeColor="text1"/>
          <w:sz w:val="24"/>
          <w:szCs w:val="24"/>
          <w:lang w:val="en-US"/>
        </w:rPr>
      </w:pPr>
      <w:r w:rsidRPr="004F3195">
        <w:rPr>
          <w:rFonts w:ascii="Times New Roman" w:hAnsi="Times New Roman" w:cs="Times New Roman"/>
          <w:i/>
          <w:color w:val="000000" w:themeColor="text1"/>
          <w:sz w:val="24"/>
          <w:szCs w:val="24"/>
          <w:lang w:val="en-US"/>
        </w:rPr>
        <w:t>Source: ONS (2021)</w:t>
      </w:r>
    </w:p>
    <w:p w:rsidR="00DC0A68" w:rsidRPr="004F3195" w:rsidRDefault="00B23F6A"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 xml:space="preserve">To conclude, the demand analysis of FARXIGA confirms the existence of several key factors supporting the demand for the drug. The lack of complimentary products, as well as population growth, favourable consumers’ tastes and preferences and income growth should be considered as key drivers for growth. While consumer expectations play a marginal role in demand determination, AZ should continue upgrading its drug and prices in order to respond to market-related changes. </w:t>
      </w:r>
    </w:p>
    <w:p w:rsidR="00E11F20" w:rsidRPr="004F3195" w:rsidRDefault="00E11F20" w:rsidP="00E11F20">
      <w:pPr>
        <w:pStyle w:val="1"/>
        <w:spacing w:before="0" w:after="240"/>
        <w:rPr>
          <w:color w:val="000000" w:themeColor="text1"/>
        </w:rPr>
      </w:pPr>
      <w:bookmarkStart w:id="4" w:name="_Toc109603417"/>
      <w:bookmarkStart w:id="5" w:name="_Toc110346122"/>
      <w:r w:rsidRPr="004F3195">
        <w:rPr>
          <w:color w:val="000000" w:themeColor="text1"/>
        </w:rPr>
        <w:t xml:space="preserve">Task 3 – </w:t>
      </w:r>
      <w:bookmarkEnd w:id="4"/>
      <w:r w:rsidR="00B83374" w:rsidRPr="004F3195">
        <w:rPr>
          <w:color w:val="000000" w:themeColor="text1"/>
          <w:lang w:val="en-US"/>
        </w:rPr>
        <w:t>Demand elasticity</w:t>
      </w:r>
      <w:bookmarkEnd w:id="5"/>
      <w:r w:rsidRPr="004F3195">
        <w:rPr>
          <w:color w:val="000000" w:themeColor="text1"/>
        </w:rPr>
        <w:t xml:space="preserve"> </w:t>
      </w:r>
    </w:p>
    <w:p w:rsidR="007D220E" w:rsidRPr="004F3195" w:rsidRDefault="007D220E" w:rsidP="00E11F20">
      <w:pPr>
        <w:spacing w:after="240"/>
        <w:jc w:val="both"/>
        <w:rPr>
          <w:color w:val="000000" w:themeColor="text1"/>
          <w:sz w:val="24"/>
          <w:szCs w:val="24"/>
          <w:lang w:val="en-US"/>
        </w:rPr>
      </w:pPr>
      <w:r w:rsidRPr="004F3195">
        <w:rPr>
          <w:color w:val="000000" w:themeColor="text1"/>
          <w:sz w:val="24"/>
          <w:szCs w:val="24"/>
          <w:lang w:val="en-US"/>
        </w:rPr>
        <w:t>The analysis also explores the role of demand elasticity</w:t>
      </w:r>
      <w:r w:rsidR="00B23F6A" w:rsidRPr="004F3195">
        <w:rPr>
          <w:color w:val="000000" w:themeColor="text1"/>
          <w:sz w:val="24"/>
          <w:szCs w:val="24"/>
          <w:lang w:val="en-US"/>
        </w:rPr>
        <w:t>, as it may also influence the sales of FARXIGA. Demand elasticity</w:t>
      </w:r>
      <w:r w:rsidRPr="004F3195">
        <w:rPr>
          <w:color w:val="000000" w:themeColor="text1"/>
          <w:sz w:val="24"/>
          <w:szCs w:val="24"/>
          <w:lang w:val="en-US"/>
        </w:rPr>
        <w:t xml:space="preserve"> is a concept which explores the changes in demanded quantity produced as a re</w:t>
      </w:r>
      <w:r w:rsidR="00CB77B1" w:rsidRPr="004F3195">
        <w:rPr>
          <w:color w:val="000000" w:themeColor="text1"/>
          <w:sz w:val="24"/>
          <w:szCs w:val="24"/>
          <w:lang w:val="en-US"/>
        </w:rPr>
        <w:t>sult in the change of price (Samuelson and Marks, 2010</w:t>
      </w:r>
      <w:r w:rsidRPr="004F3195">
        <w:rPr>
          <w:color w:val="000000" w:themeColor="text1"/>
          <w:sz w:val="24"/>
          <w:szCs w:val="24"/>
          <w:lang w:val="en-US"/>
        </w:rPr>
        <w:t xml:space="preserve">). Elasticity of 1 is reflected by a demand curve with a 45-degree slope. Under this scenario, a percentage point increase in price leads to a proportional percentage point decrease in demanded </w:t>
      </w:r>
      <w:r w:rsidR="00FE499A" w:rsidRPr="004F3195">
        <w:rPr>
          <w:color w:val="000000" w:themeColor="text1"/>
          <w:sz w:val="24"/>
          <w:szCs w:val="24"/>
          <w:lang w:val="en-US"/>
        </w:rPr>
        <w:t>quantity and the vice versa (WIX, 2016</w:t>
      </w:r>
      <w:r w:rsidRPr="004F3195">
        <w:rPr>
          <w:color w:val="000000" w:themeColor="text1"/>
          <w:sz w:val="24"/>
          <w:szCs w:val="24"/>
          <w:lang w:val="en-US"/>
        </w:rPr>
        <w:t>). Inelastic demand occurs when price increases trigger a disproportionally low re</w:t>
      </w:r>
      <w:r w:rsidR="00CB77B1" w:rsidRPr="004F3195">
        <w:rPr>
          <w:color w:val="000000" w:themeColor="text1"/>
          <w:sz w:val="24"/>
          <w:szCs w:val="24"/>
          <w:lang w:val="en-US"/>
        </w:rPr>
        <w:t>sponse in demanded quantity (Samuelson and Marks, 2010</w:t>
      </w:r>
      <w:r w:rsidRPr="004F3195">
        <w:rPr>
          <w:color w:val="000000" w:themeColor="text1"/>
          <w:sz w:val="24"/>
          <w:szCs w:val="24"/>
          <w:lang w:val="en-US"/>
        </w:rPr>
        <w:t>). Thus, consumers are unwilling or unable to easily decrease the demand which typically occurs with basic types of products. In contrast, elastic demand means a disproportionally large decline in the quantity demanded as a</w:t>
      </w:r>
      <w:r w:rsidR="00FE499A" w:rsidRPr="004F3195">
        <w:rPr>
          <w:color w:val="000000" w:themeColor="text1"/>
          <w:sz w:val="24"/>
          <w:szCs w:val="24"/>
          <w:lang w:val="en-US"/>
        </w:rPr>
        <w:t xml:space="preserve"> result of a price increase (WIX, 2016</w:t>
      </w:r>
      <w:r w:rsidRPr="004F3195">
        <w:rPr>
          <w:color w:val="000000" w:themeColor="text1"/>
          <w:sz w:val="24"/>
          <w:szCs w:val="24"/>
          <w:lang w:val="en-US"/>
        </w:rPr>
        <w:t xml:space="preserve">). Elastic demand means that even small price increases could produce significant declines in demand </w:t>
      </w:r>
      <w:r w:rsidR="00EA6641" w:rsidRPr="004F3195">
        <w:rPr>
          <w:color w:val="000000" w:themeColor="text1"/>
          <w:sz w:val="24"/>
          <w:szCs w:val="24"/>
          <w:lang w:val="en-US"/>
        </w:rPr>
        <w:t>– a situation usually occurring with non-essential or easy-to-replace types of products</w:t>
      </w:r>
      <w:r w:rsidR="003B5B32" w:rsidRPr="004F3195">
        <w:rPr>
          <w:color w:val="000000" w:themeColor="text1"/>
          <w:sz w:val="24"/>
          <w:szCs w:val="24"/>
          <w:lang w:val="en-US"/>
        </w:rPr>
        <w:t xml:space="preserve"> (Sloman et al., 2013)</w:t>
      </w:r>
      <w:r w:rsidR="00EA6641" w:rsidRPr="004F3195">
        <w:rPr>
          <w:color w:val="000000" w:themeColor="text1"/>
          <w:sz w:val="24"/>
          <w:szCs w:val="24"/>
          <w:lang w:val="en-US"/>
        </w:rPr>
        <w:t xml:space="preserve">. The different types of demand elasticity are shown below where the changes in price and corresponding quantity alternations are expressed. </w:t>
      </w:r>
    </w:p>
    <w:p w:rsidR="00B23F6A" w:rsidRPr="004F3195" w:rsidRDefault="00B23F6A" w:rsidP="00E11F20">
      <w:pPr>
        <w:spacing w:after="240"/>
        <w:jc w:val="both"/>
        <w:rPr>
          <w:color w:val="000000" w:themeColor="text1"/>
          <w:sz w:val="24"/>
          <w:szCs w:val="24"/>
          <w:lang w:val="en-US"/>
        </w:rPr>
      </w:pPr>
    </w:p>
    <w:p w:rsidR="00B23F6A" w:rsidRPr="004F3195" w:rsidRDefault="00B23F6A" w:rsidP="00E11F20">
      <w:pPr>
        <w:spacing w:after="240"/>
        <w:jc w:val="both"/>
        <w:rPr>
          <w:color w:val="000000" w:themeColor="text1"/>
          <w:sz w:val="24"/>
          <w:szCs w:val="24"/>
          <w:lang w:val="en-US"/>
        </w:rPr>
      </w:pPr>
    </w:p>
    <w:p w:rsidR="00B23F6A" w:rsidRPr="004F3195" w:rsidRDefault="00B23F6A" w:rsidP="00E11F20">
      <w:pPr>
        <w:spacing w:after="240"/>
        <w:jc w:val="both"/>
        <w:rPr>
          <w:color w:val="000000" w:themeColor="text1"/>
          <w:sz w:val="24"/>
          <w:szCs w:val="24"/>
          <w:lang w:val="en-US"/>
        </w:rPr>
      </w:pPr>
    </w:p>
    <w:p w:rsidR="00B23F6A" w:rsidRPr="004F3195" w:rsidRDefault="00B23F6A" w:rsidP="00E11F20">
      <w:pPr>
        <w:spacing w:after="240"/>
        <w:jc w:val="both"/>
        <w:rPr>
          <w:color w:val="000000" w:themeColor="text1"/>
          <w:sz w:val="24"/>
          <w:szCs w:val="24"/>
          <w:lang w:val="en-US"/>
        </w:rPr>
      </w:pPr>
    </w:p>
    <w:p w:rsidR="00B23F6A" w:rsidRPr="004F3195" w:rsidRDefault="00B23F6A" w:rsidP="00E11F20">
      <w:pPr>
        <w:spacing w:after="240"/>
        <w:jc w:val="both"/>
        <w:rPr>
          <w:color w:val="000000" w:themeColor="text1"/>
          <w:sz w:val="24"/>
          <w:szCs w:val="24"/>
          <w:lang w:val="en-US"/>
        </w:rPr>
      </w:pPr>
    </w:p>
    <w:p w:rsidR="00E11F20" w:rsidRPr="004F3195" w:rsidRDefault="009E2811" w:rsidP="00E11F20">
      <w:pPr>
        <w:spacing w:after="240"/>
        <w:jc w:val="both"/>
        <w:rPr>
          <w:b/>
          <w:color w:val="000000" w:themeColor="text1"/>
          <w:sz w:val="24"/>
          <w:szCs w:val="24"/>
          <w:lang w:val="en-US"/>
        </w:rPr>
      </w:pPr>
      <w:r w:rsidRPr="004F3195">
        <w:rPr>
          <w:b/>
          <w:color w:val="000000" w:themeColor="text1"/>
          <w:sz w:val="24"/>
          <w:szCs w:val="24"/>
          <w:lang w:val="en-US"/>
        </w:rPr>
        <w:t xml:space="preserve">Figure </w:t>
      </w:r>
      <w:r w:rsidR="00FE499A" w:rsidRPr="004F3195">
        <w:rPr>
          <w:b/>
          <w:color w:val="000000" w:themeColor="text1"/>
          <w:sz w:val="24"/>
          <w:szCs w:val="24"/>
          <w:lang w:val="en-US"/>
        </w:rPr>
        <w:t>5</w:t>
      </w:r>
      <w:r w:rsidR="00B83374" w:rsidRPr="004F3195">
        <w:rPr>
          <w:b/>
          <w:color w:val="000000" w:themeColor="text1"/>
          <w:sz w:val="24"/>
          <w:szCs w:val="24"/>
          <w:lang w:val="en-US"/>
        </w:rPr>
        <w:t xml:space="preserve"> – </w:t>
      </w:r>
      <w:r w:rsidR="00FE499A" w:rsidRPr="004F3195">
        <w:rPr>
          <w:b/>
          <w:color w:val="000000" w:themeColor="text1"/>
          <w:sz w:val="24"/>
          <w:szCs w:val="24"/>
          <w:lang w:val="en-US"/>
        </w:rPr>
        <w:t xml:space="preserve">Overview of different demand elasticity scenarios </w:t>
      </w:r>
      <w:r w:rsidR="00B83374" w:rsidRPr="004F3195">
        <w:rPr>
          <w:b/>
          <w:color w:val="000000" w:themeColor="text1"/>
          <w:sz w:val="24"/>
          <w:szCs w:val="24"/>
          <w:lang w:val="en-US"/>
        </w:rPr>
        <w:t xml:space="preserve"> </w:t>
      </w:r>
    </w:p>
    <w:p w:rsidR="00E11F20" w:rsidRPr="004F3195" w:rsidRDefault="00FE499A" w:rsidP="00E11F20">
      <w:pPr>
        <w:spacing w:after="240"/>
        <w:jc w:val="both"/>
        <w:rPr>
          <w:color w:val="000000" w:themeColor="text1"/>
          <w:sz w:val="24"/>
          <w:szCs w:val="24"/>
          <w:lang w:val="en-US"/>
        </w:rPr>
      </w:pPr>
      <w:r w:rsidRPr="004F3195">
        <w:rPr>
          <w:noProof/>
          <w:color w:val="000000" w:themeColor="text1"/>
          <w:sz w:val="24"/>
          <w:szCs w:val="24"/>
          <w:lang w:val="en-US"/>
        </w:rPr>
        <w:drawing>
          <wp:inline distT="0" distB="0" distL="0" distR="0">
            <wp:extent cx="5976077" cy="3826042"/>
            <wp:effectExtent l="19050" t="0" r="5623" b="0"/>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srcRect/>
                    <a:stretch>
                      <a:fillRect/>
                    </a:stretch>
                  </pic:blipFill>
                  <pic:spPr bwMode="auto">
                    <a:xfrm>
                      <a:off x="0" y="0"/>
                      <a:ext cx="5989437" cy="3834595"/>
                    </a:xfrm>
                    <a:prstGeom prst="rect">
                      <a:avLst/>
                    </a:prstGeom>
                    <a:noFill/>
                    <a:ln w="9525">
                      <a:noFill/>
                      <a:miter lim="800000"/>
                      <a:headEnd/>
                      <a:tailEnd/>
                    </a:ln>
                  </pic:spPr>
                </pic:pic>
              </a:graphicData>
            </a:graphic>
          </wp:inline>
        </w:drawing>
      </w:r>
    </w:p>
    <w:p w:rsidR="00E11F20" w:rsidRPr="004F3195" w:rsidRDefault="00E11F20" w:rsidP="00E11F20">
      <w:pPr>
        <w:spacing w:after="240"/>
        <w:jc w:val="both"/>
        <w:rPr>
          <w:i/>
          <w:color w:val="000000" w:themeColor="text1"/>
          <w:sz w:val="24"/>
          <w:szCs w:val="24"/>
          <w:lang w:val="en-US"/>
        </w:rPr>
      </w:pPr>
      <w:r w:rsidRPr="004F3195">
        <w:rPr>
          <w:i/>
          <w:color w:val="000000" w:themeColor="text1"/>
          <w:sz w:val="24"/>
          <w:szCs w:val="24"/>
          <w:lang w:val="en-US"/>
        </w:rPr>
        <w:t xml:space="preserve">Source: </w:t>
      </w:r>
      <w:r w:rsidR="00FE499A" w:rsidRPr="004F3195">
        <w:rPr>
          <w:i/>
          <w:color w:val="000000" w:themeColor="text1"/>
          <w:sz w:val="24"/>
          <w:szCs w:val="24"/>
          <w:lang w:val="en-US"/>
        </w:rPr>
        <w:t xml:space="preserve">WIX (2016) </w:t>
      </w:r>
    </w:p>
    <w:p w:rsidR="007D220E" w:rsidRPr="004F3195" w:rsidRDefault="00AD3655" w:rsidP="00E11F20">
      <w:pPr>
        <w:spacing w:after="240"/>
        <w:jc w:val="both"/>
        <w:rPr>
          <w:color w:val="000000" w:themeColor="text1"/>
          <w:sz w:val="24"/>
          <w:szCs w:val="24"/>
          <w:lang w:val="en-US"/>
        </w:rPr>
      </w:pPr>
      <w:r w:rsidRPr="004F3195">
        <w:rPr>
          <w:color w:val="000000" w:themeColor="text1"/>
          <w:sz w:val="24"/>
          <w:szCs w:val="24"/>
          <w:lang w:val="en-US"/>
        </w:rPr>
        <w:t xml:space="preserve">Elasticity may depend on different factors. The substitution effect is analysed as a potential determinant of elasticity. Numerous empirical studies have analysed the demand elasticity of medications. Based on the research findings by CCC and BBB, it can be argued that 1% price increase produces an inelastic response, as quantities sold decline between 0.03% and 0.6%, depending on the type of medication. The work by Gatwood et al.. (2014) is also quite indicative in understanding the demand elasticity for medications. As shown below, demand elasticity remains inelastic regardless of the fluctuations across categories (Gatwood et al., 2014). In general, opioids cannot be easily replaced with alternatives; thereby, experiencing the most inelastic demand. In contrast, smoking cessation products occupy the opposite place in the spectrum but also experience a generally inelastic demand (Gatwood et al., 2014). </w:t>
      </w:r>
    </w:p>
    <w:p w:rsidR="00E41CED" w:rsidRPr="004F3195" w:rsidRDefault="00E41CED" w:rsidP="00E11F20">
      <w:pPr>
        <w:spacing w:after="240"/>
        <w:jc w:val="both"/>
        <w:rPr>
          <w:color w:val="000000" w:themeColor="text1"/>
          <w:sz w:val="24"/>
          <w:szCs w:val="24"/>
          <w:lang w:val="en-US"/>
        </w:rPr>
      </w:pPr>
    </w:p>
    <w:p w:rsidR="00AD3655" w:rsidRPr="004F3195" w:rsidRDefault="00AD3655" w:rsidP="00E11F20">
      <w:pPr>
        <w:spacing w:after="240"/>
        <w:jc w:val="both"/>
        <w:rPr>
          <w:b/>
          <w:color w:val="000000" w:themeColor="text1"/>
          <w:sz w:val="24"/>
          <w:szCs w:val="24"/>
          <w:lang w:val="en-US"/>
        </w:rPr>
      </w:pPr>
      <w:r w:rsidRPr="004F3195">
        <w:rPr>
          <w:b/>
          <w:color w:val="000000" w:themeColor="text1"/>
          <w:sz w:val="24"/>
          <w:szCs w:val="24"/>
          <w:lang w:val="en-US"/>
        </w:rPr>
        <w:t>Figure 6 – Demand elasticity of various groups of medications: decline in quantities sold as a result of 1% price increase</w:t>
      </w:r>
    </w:p>
    <w:p w:rsidR="00EA6641" w:rsidRPr="004F3195" w:rsidRDefault="00AD3655" w:rsidP="00E11F20">
      <w:pPr>
        <w:spacing w:after="240"/>
        <w:jc w:val="both"/>
        <w:rPr>
          <w:color w:val="000000" w:themeColor="text1"/>
        </w:rPr>
      </w:pPr>
      <w:r w:rsidRPr="004F3195">
        <w:rPr>
          <w:noProof/>
          <w:color w:val="000000" w:themeColor="text1"/>
          <w:lang w:val="en-US"/>
        </w:rPr>
        <w:drawing>
          <wp:inline distT="0" distB="0" distL="0" distR="0">
            <wp:extent cx="5835485" cy="331376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srcRect/>
                    <a:stretch>
                      <a:fillRect/>
                    </a:stretch>
                  </pic:blipFill>
                  <pic:spPr bwMode="auto">
                    <a:xfrm>
                      <a:off x="0" y="0"/>
                      <a:ext cx="5835079" cy="3313529"/>
                    </a:xfrm>
                    <a:prstGeom prst="rect">
                      <a:avLst/>
                    </a:prstGeom>
                    <a:noFill/>
                    <a:ln w="9525">
                      <a:noFill/>
                      <a:miter lim="800000"/>
                      <a:headEnd/>
                      <a:tailEnd/>
                    </a:ln>
                  </pic:spPr>
                </pic:pic>
              </a:graphicData>
            </a:graphic>
          </wp:inline>
        </w:drawing>
      </w:r>
    </w:p>
    <w:p w:rsidR="00AD3655" w:rsidRPr="004F3195" w:rsidRDefault="00AD3655" w:rsidP="00E11F20">
      <w:pPr>
        <w:spacing w:after="240"/>
        <w:jc w:val="both"/>
        <w:rPr>
          <w:rFonts w:ascii="Times New Roman" w:hAnsi="Times New Roman" w:cs="Times New Roman"/>
          <w:i/>
          <w:color w:val="000000" w:themeColor="text1"/>
          <w:sz w:val="24"/>
          <w:szCs w:val="24"/>
        </w:rPr>
      </w:pPr>
      <w:r w:rsidRPr="004F3195">
        <w:rPr>
          <w:rFonts w:ascii="Times New Roman" w:hAnsi="Times New Roman" w:cs="Times New Roman"/>
          <w:i/>
          <w:color w:val="000000" w:themeColor="text1"/>
          <w:sz w:val="24"/>
          <w:szCs w:val="24"/>
        </w:rPr>
        <w:t>Source: Gatwood et al. (2014)</w:t>
      </w:r>
    </w:p>
    <w:p w:rsidR="00AD3655" w:rsidRPr="004F3195" w:rsidRDefault="00E41CED" w:rsidP="00E11F20">
      <w:pPr>
        <w:spacing w:after="240"/>
        <w:jc w:val="both"/>
        <w:rPr>
          <w:rFonts w:ascii="Times New Roman" w:hAnsi="Times New Roman" w:cs="Times New Roman"/>
          <w:color w:val="000000" w:themeColor="text1"/>
          <w:sz w:val="24"/>
          <w:szCs w:val="24"/>
        </w:rPr>
      </w:pPr>
      <w:r w:rsidRPr="004F3195">
        <w:rPr>
          <w:rFonts w:ascii="Times New Roman" w:hAnsi="Times New Roman" w:cs="Times New Roman"/>
          <w:color w:val="000000" w:themeColor="text1"/>
          <w:sz w:val="24"/>
          <w:szCs w:val="24"/>
        </w:rPr>
        <w:t xml:space="preserve">Specific information regarding the demand elasticity of </w:t>
      </w:r>
      <w:r w:rsidRPr="004F3195">
        <w:rPr>
          <w:color w:val="000000" w:themeColor="text1"/>
          <w:sz w:val="24"/>
          <w:szCs w:val="24"/>
          <w:lang w:val="en-US"/>
        </w:rPr>
        <w:t xml:space="preserve">FARXIGA is not available. Assuming that the product aligns with the general trends, as discussed above, it should be seen as having inelastic demand. The favourable consumers’ preferences for the product, as well as the inferior alternative additionally support the inelastic nature of demand. This product is seen as a basic necessity to treat a health condition which cannot be delayed in time. In this light, FARXIGA addresses a basic human need for health and safety. Potential product shortages may jeopardise the health of many patients with severe type 2 diabetes. Therefore, FARXIGA has an inelastic demand curve due to the lack of substitutes with the same properties and the </w:t>
      </w:r>
      <w:r w:rsidR="005C52E0" w:rsidRPr="004F3195">
        <w:rPr>
          <w:color w:val="000000" w:themeColor="text1"/>
          <w:sz w:val="24"/>
          <w:szCs w:val="24"/>
          <w:lang w:val="en-US"/>
        </w:rPr>
        <w:t xml:space="preserve">status of the product as being a basic necessity to maintain one’s health. </w:t>
      </w:r>
      <w:r w:rsidRPr="004F3195">
        <w:rPr>
          <w:color w:val="000000" w:themeColor="text1"/>
          <w:sz w:val="24"/>
          <w:szCs w:val="24"/>
          <w:lang w:val="en-US"/>
        </w:rPr>
        <w:t xml:space="preserve"> </w:t>
      </w:r>
    </w:p>
    <w:p w:rsidR="00E07567" w:rsidRPr="004F3195" w:rsidRDefault="0017542E" w:rsidP="00E11F20">
      <w:pPr>
        <w:spacing w:after="240"/>
        <w:jc w:val="both"/>
        <w:rPr>
          <w:rFonts w:ascii="Times New Roman" w:hAnsi="Times New Roman" w:cs="Times New Roman"/>
          <w:color w:val="000000" w:themeColor="text1"/>
          <w:sz w:val="24"/>
          <w:szCs w:val="24"/>
          <w:lang w:val="en-US"/>
        </w:rPr>
      </w:pPr>
      <w:r w:rsidRPr="004F3195">
        <w:rPr>
          <w:rFonts w:ascii="Times New Roman" w:hAnsi="Times New Roman" w:cs="Times New Roman"/>
          <w:color w:val="000000" w:themeColor="text1"/>
          <w:sz w:val="24"/>
          <w:szCs w:val="24"/>
          <w:lang w:val="en-US"/>
        </w:rPr>
        <w:t>In regards to the income effect, few important pieces of information should be analysed. The aggregate healthcare expenditure in the UK, as of year 2020, accounts for £257.6 billion</w:t>
      </w:r>
      <w:r w:rsidR="00E07567" w:rsidRPr="004F3195">
        <w:rPr>
          <w:rFonts w:ascii="Times New Roman" w:hAnsi="Times New Roman" w:cs="Times New Roman"/>
          <w:color w:val="000000" w:themeColor="text1"/>
          <w:sz w:val="24"/>
          <w:szCs w:val="24"/>
          <w:lang w:val="en-US"/>
        </w:rPr>
        <w:t xml:space="preserve"> (ONS, 2022). This amount is equal to £3,840 per person or the equivalent of 12% of national GDP (ONS, 2022). The numbers are inflated because of the pandemic outburst in 2020 and the unexpected healthcare expenditures. This is evidenced by the fact that healthcare costs were just 9.9% of national GDP in the pre-pandemic 2019 (ONS, 2022). It is also important to mention that approximately 83% of all healthcare costs in the UK or the equivalent of </w:t>
      </w:r>
      <w:r w:rsidR="00E07567" w:rsidRPr="004F3195">
        <w:rPr>
          <w:rFonts w:ascii="Times New Roman" w:hAnsi="Times New Roman" w:cs="Times New Roman"/>
          <w:color w:val="000000" w:themeColor="text1"/>
          <w:sz w:val="24"/>
          <w:szCs w:val="24"/>
        </w:rPr>
        <w:t xml:space="preserve">£3,181 per person </w:t>
      </w:r>
      <w:r w:rsidR="00E07567" w:rsidRPr="004F3195">
        <w:rPr>
          <w:rFonts w:ascii="Times New Roman" w:hAnsi="Times New Roman" w:cs="Times New Roman"/>
          <w:color w:val="000000" w:themeColor="text1"/>
          <w:sz w:val="24"/>
          <w:szCs w:val="24"/>
          <w:lang w:val="en-US"/>
        </w:rPr>
        <w:t xml:space="preserve">are covered by the public budget; hence, private spending per year is just £659 per annum (ONS, 2022). Taking into account all calculations, private healthcare spending, which is directly paid by households from their private budgets, reaches a share of just 2% of national income or GDP. </w:t>
      </w:r>
    </w:p>
    <w:p w:rsidR="00BF1273" w:rsidRPr="004F3195" w:rsidRDefault="00E07567" w:rsidP="00E11F20">
      <w:pPr>
        <w:spacing w:after="240"/>
        <w:jc w:val="both"/>
        <w:rPr>
          <w:color w:val="000000" w:themeColor="text1"/>
          <w:sz w:val="24"/>
          <w:szCs w:val="24"/>
          <w:lang w:val="en-US"/>
        </w:rPr>
      </w:pPr>
      <w:r w:rsidRPr="004F3195">
        <w:rPr>
          <w:rFonts w:ascii="Times New Roman" w:hAnsi="Times New Roman" w:cs="Times New Roman"/>
          <w:color w:val="000000" w:themeColor="text1"/>
          <w:sz w:val="24"/>
          <w:szCs w:val="24"/>
          <w:lang w:val="en-US"/>
        </w:rPr>
        <w:t xml:space="preserve">By any standards, the direct private healthcare costs remain manageable, as they have a quite limited share of the costs structure of households. The number remains quite low even when considering the extra expenses </w:t>
      </w:r>
      <w:r w:rsidR="00BF1273" w:rsidRPr="004F3195">
        <w:rPr>
          <w:rFonts w:ascii="Times New Roman" w:hAnsi="Times New Roman" w:cs="Times New Roman"/>
          <w:color w:val="000000" w:themeColor="text1"/>
          <w:sz w:val="24"/>
          <w:szCs w:val="24"/>
          <w:lang w:val="en-US"/>
        </w:rPr>
        <w:t>due to</w:t>
      </w:r>
      <w:r w:rsidRPr="004F3195">
        <w:rPr>
          <w:rFonts w:ascii="Times New Roman" w:hAnsi="Times New Roman" w:cs="Times New Roman"/>
          <w:color w:val="000000" w:themeColor="text1"/>
          <w:sz w:val="24"/>
          <w:szCs w:val="24"/>
          <w:lang w:val="en-US"/>
        </w:rPr>
        <w:t xml:space="preserve"> the pandemic in 2020. </w:t>
      </w:r>
      <w:r w:rsidR="00BF1273" w:rsidRPr="004F3195">
        <w:rPr>
          <w:rFonts w:ascii="Times New Roman" w:hAnsi="Times New Roman" w:cs="Times New Roman"/>
          <w:color w:val="000000" w:themeColor="text1"/>
          <w:sz w:val="24"/>
          <w:szCs w:val="24"/>
          <w:lang w:val="en-US"/>
        </w:rPr>
        <w:t xml:space="preserve">This number also means that households have remaining 98% of their income spent for other products. This is a significant buffer and individuals can easily relocate additional funds to purchasing </w:t>
      </w:r>
      <w:r w:rsidR="00BF1273" w:rsidRPr="004F3195">
        <w:rPr>
          <w:color w:val="000000" w:themeColor="text1"/>
          <w:sz w:val="24"/>
          <w:szCs w:val="24"/>
          <w:lang w:val="en-US"/>
        </w:rPr>
        <w:t xml:space="preserve">FARXIGA, if necessary. As already discussed, the medicine is an essential product which is a necessity to those suffering from type 2 diabetes and its complications. These product features predispose for an inelastic demand curve, as price increases could be easily addressed by consumers due to the essential nature of the product and the relatively low share of direct (paid by households) healthcare expenses. </w:t>
      </w:r>
    </w:p>
    <w:p w:rsidR="00592CF3" w:rsidRDefault="00BF1273" w:rsidP="00E11F20">
      <w:pPr>
        <w:spacing w:after="240"/>
        <w:jc w:val="both"/>
        <w:rPr>
          <w:rFonts w:ascii="Times New Roman" w:hAnsi="Times New Roman" w:cs="Times New Roman"/>
          <w:color w:val="000000" w:themeColor="text1"/>
          <w:sz w:val="24"/>
          <w:szCs w:val="24"/>
          <w:lang w:val="en-US"/>
        </w:rPr>
      </w:pPr>
      <w:r w:rsidRPr="004F3195">
        <w:rPr>
          <w:color w:val="000000" w:themeColor="text1"/>
          <w:sz w:val="24"/>
          <w:szCs w:val="24"/>
          <w:lang w:val="en-US"/>
        </w:rPr>
        <w:t xml:space="preserve">The current price of FARXIGA, which is also known as FORXIGA in the UK, is </w:t>
      </w:r>
      <w:r w:rsidRPr="004F3195">
        <w:rPr>
          <w:rFonts w:cstheme="minorHAnsi"/>
          <w:color w:val="000000" w:themeColor="text1"/>
          <w:sz w:val="24"/>
          <w:szCs w:val="24"/>
          <w:lang w:val="en-US"/>
        </w:rPr>
        <w:t>£</w:t>
      </w:r>
      <w:r w:rsidRPr="004F3195">
        <w:rPr>
          <w:color w:val="000000" w:themeColor="text1"/>
          <w:sz w:val="24"/>
          <w:szCs w:val="24"/>
          <w:lang w:val="en-US"/>
        </w:rPr>
        <w:t xml:space="preserve">48.99 (UK Meds, 2022). AZ is not a monopoly firm due to the existence of alternative substitutes, such as </w:t>
      </w:r>
      <w:r w:rsidRPr="004F3195">
        <w:rPr>
          <w:rFonts w:ascii="Times New Roman" w:hAnsi="Times New Roman" w:cs="Times New Roman"/>
          <w:color w:val="000000" w:themeColor="text1"/>
          <w:sz w:val="24"/>
          <w:szCs w:val="24"/>
        </w:rPr>
        <w:t xml:space="preserve">Jardiance, Glipizide, Metformin, Januvia, and Rybelsus (Shaffer, 2022). Nevertheless, there is a high level of market concentration, as products are quite differentiated and produced by just several companies. The combination of oligopoly market structure, essential nature of products and income effects explains the existence of high profit margins. Therefore, the price of </w:t>
      </w:r>
      <w:r w:rsidRPr="004F3195">
        <w:rPr>
          <w:rFonts w:cstheme="minorHAnsi"/>
          <w:color w:val="000000" w:themeColor="text1"/>
          <w:sz w:val="24"/>
          <w:szCs w:val="24"/>
          <w:lang w:val="en-US"/>
        </w:rPr>
        <w:t>£</w:t>
      </w:r>
      <w:r w:rsidRPr="004F3195">
        <w:rPr>
          <w:color w:val="000000" w:themeColor="text1"/>
          <w:sz w:val="24"/>
          <w:szCs w:val="24"/>
          <w:lang w:val="en-US"/>
        </w:rPr>
        <w:t xml:space="preserve">48.99 appears to be justified by the above-mentioned factors. AZ may even consider higher prices in the future due to the inelastic demand curve; however, the success of such a price strategy would also depend on competitors’ actions, as well as the actual characteristics of </w:t>
      </w:r>
      <w:r w:rsidR="004F3195" w:rsidRPr="004F3195">
        <w:rPr>
          <w:color w:val="000000" w:themeColor="text1"/>
          <w:sz w:val="24"/>
          <w:szCs w:val="24"/>
          <w:lang w:val="en-US"/>
        </w:rPr>
        <w:t xml:space="preserve">FARXIGA. If eventually consider FARXIGA as the best alternative in the marketplace, the demand curve for it would be even more inelastic; thereby, reflecting the high consumer demand and lack of relevant alternatives. The optimal pricing in such concentrated market is thus a complex process with numerous interfering factors; however, the rapid increase in the revenue from FARXIGA, which is already the second best selling product for AZ, should be seen as evidence for effective pricing maximising market share and profit margins (AstraZeneca, 2022; Liu, 2022). </w:t>
      </w:r>
    </w:p>
    <w:p w:rsidR="0037790D" w:rsidRDefault="004F3195" w:rsidP="004F3195">
      <w:pPr>
        <w:spacing w:after="240"/>
        <w:jc w:val="both"/>
      </w:pPr>
      <w:r w:rsidRPr="004F3195">
        <w:rPr>
          <w:rFonts w:ascii="Times New Roman" w:hAnsi="Times New Roman" w:cs="Times New Roman"/>
          <w:sz w:val="24"/>
          <w:szCs w:val="24"/>
          <w:lang w:val="en-US"/>
        </w:rPr>
        <w:t>In conclusion, according to the findings of the substitution and income elasticity, consumer demand for medicines </w:t>
      </w:r>
      <w:r>
        <w:rPr>
          <w:rFonts w:ascii="Times New Roman" w:hAnsi="Times New Roman" w:cs="Times New Roman"/>
          <w:sz w:val="24"/>
          <w:szCs w:val="24"/>
          <w:lang w:val="en-US"/>
        </w:rPr>
        <w:t>remains</w:t>
      </w:r>
      <w:r w:rsidRPr="004F3195">
        <w:rPr>
          <w:rFonts w:ascii="Times New Roman" w:hAnsi="Times New Roman" w:cs="Times New Roman"/>
          <w:sz w:val="24"/>
          <w:szCs w:val="24"/>
          <w:lang w:val="en-US"/>
        </w:rPr>
        <w:t xml:space="preserve"> quite inelastic. If the elasticity of demand is the main factor that should be taken into consideration, then the price of </w:t>
      </w:r>
      <w:r w:rsidRPr="004F3195">
        <w:rPr>
          <w:color w:val="000000" w:themeColor="text1"/>
          <w:sz w:val="24"/>
          <w:szCs w:val="24"/>
          <w:lang w:val="en-US"/>
        </w:rPr>
        <w:t>FARXIGA</w:t>
      </w:r>
      <w:r w:rsidRPr="004F3195">
        <w:rPr>
          <w:rFonts w:ascii="Times New Roman" w:hAnsi="Times New Roman" w:cs="Times New Roman"/>
          <w:sz w:val="24"/>
          <w:szCs w:val="24"/>
          <w:lang w:val="en-US"/>
        </w:rPr>
        <w:t xml:space="preserve"> should be rather high due to the fact that its demand is relatively inelastic and consumers cannot easily replace the product with plausible alternatives. </w:t>
      </w:r>
    </w:p>
    <w:p w:rsidR="00484C3E" w:rsidRDefault="00484C3E"/>
    <w:p w:rsidR="00B23F6A" w:rsidRDefault="00B23F6A"/>
    <w:p w:rsidR="00B23F6A" w:rsidRDefault="00B23F6A"/>
    <w:p w:rsidR="00B23F6A" w:rsidRDefault="00B23F6A"/>
    <w:p w:rsidR="00B23F6A" w:rsidRDefault="00B23F6A"/>
    <w:p w:rsidR="00B23F6A" w:rsidRDefault="00B23F6A"/>
    <w:p w:rsidR="00B23F6A" w:rsidRDefault="00B23F6A"/>
    <w:p w:rsidR="00B23F6A" w:rsidRDefault="00B23F6A"/>
    <w:p w:rsidR="00B23F6A" w:rsidRDefault="00B23F6A"/>
    <w:p w:rsidR="00B23F6A" w:rsidRDefault="00B23F6A"/>
    <w:p w:rsidR="00B23F6A" w:rsidRDefault="00B23F6A"/>
    <w:p w:rsidR="00B23F6A" w:rsidRDefault="00B23F6A"/>
    <w:p w:rsidR="00484C3E" w:rsidRDefault="00484C3E"/>
    <w:p w:rsidR="00484C3E" w:rsidRDefault="00484C3E"/>
    <w:p w:rsidR="00484C3E" w:rsidRDefault="00484C3E"/>
    <w:p w:rsidR="004F3195" w:rsidRDefault="004F3195"/>
    <w:p w:rsidR="004F3195" w:rsidRDefault="004F3195"/>
    <w:p w:rsidR="00484C3E" w:rsidRDefault="00484C3E"/>
    <w:p w:rsidR="00484C3E" w:rsidRDefault="00484C3E"/>
    <w:p w:rsidR="004F3195" w:rsidRDefault="004F3195"/>
    <w:p w:rsidR="004F3195" w:rsidRDefault="004F3195"/>
    <w:p w:rsidR="00484C3E" w:rsidRDefault="00484C3E" w:rsidP="00B23F6A">
      <w:pPr>
        <w:spacing w:after="240"/>
        <w:jc w:val="both"/>
      </w:pPr>
    </w:p>
    <w:p w:rsidR="00B23F6A" w:rsidRDefault="00B23F6A" w:rsidP="00B23F6A">
      <w:pPr>
        <w:pStyle w:val="1"/>
        <w:spacing w:before="0" w:after="240"/>
      </w:pPr>
      <w:bookmarkStart w:id="6" w:name="_Toc110346123"/>
      <w:r>
        <w:t>References</w:t>
      </w:r>
      <w:bookmarkEnd w:id="6"/>
      <w:r>
        <w:t xml:space="preserve"> </w:t>
      </w:r>
    </w:p>
    <w:p w:rsidR="00AF2A94" w:rsidRPr="004F3195" w:rsidRDefault="00AF2A94" w:rsidP="00002D99">
      <w:pPr>
        <w:spacing w:after="240"/>
        <w:rPr>
          <w:sz w:val="24"/>
          <w:szCs w:val="24"/>
        </w:rPr>
      </w:pPr>
      <w:r w:rsidRPr="004F3195">
        <w:rPr>
          <w:sz w:val="24"/>
          <w:szCs w:val="24"/>
          <w:lang w:val="en-US"/>
        </w:rPr>
        <w:t xml:space="preserve">AstraZeneca (2020) </w:t>
      </w:r>
      <w:r w:rsidRPr="004F3195">
        <w:rPr>
          <w:i/>
          <w:sz w:val="24"/>
          <w:szCs w:val="24"/>
        </w:rPr>
        <w:t>Farxiga showed cardiovascular and renal benefit in patients with chronic kidney disease irrespective of cardiovascular disease status</w:t>
      </w:r>
      <w:r w:rsidRPr="004F3195">
        <w:rPr>
          <w:sz w:val="24"/>
          <w:szCs w:val="24"/>
        </w:rPr>
        <w:t xml:space="preserve">, [online] Available: </w:t>
      </w:r>
      <w:hyperlink r:id="rId15" w:anchor=":~:text=New%20subgroup%20analysis%20data%20from,and%20without%20type%2D2%20diabetes%20" w:history="1">
        <w:r w:rsidRPr="004F3195">
          <w:rPr>
            <w:rStyle w:val="ae"/>
            <w:sz w:val="24"/>
            <w:szCs w:val="24"/>
          </w:rPr>
          <w:t>https://www.astrazeneca.com/media-centre/medical-releases/farxiga-showed-cardiovascular-and-renal-benefit-in-patients-with-chronic-kidney-disease-irrespective-of-cardiovascular-disease-status.html#:~:text=New%20subgroup%20analysis%20data%20from,and%20without%20type%2D2%20diabetes%20</w:t>
        </w:r>
      </w:hyperlink>
      <w:r w:rsidRPr="004F3195">
        <w:rPr>
          <w:sz w:val="24"/>
          <w:szCs w:val="24"/>
        </w:rPr>
        <w:t>( [Accessed: 27 July 2022]</w:t>
      </w:r>
    </w:p>
    <w:p w:rsidR="00AF2A94" w:rsidRPr="004F3195" w:rsidRDefault="00AF2A94" w:rsidP="00002D99">
      <w:pPr>
        <w:spacing w:after="240"/>
        <w:rPr>
          <w:rFonts w:ascii="Times New Roman" w:hAnsi="Times New Roman" w:cs="Times New Roman"/>
          <w:sz w:val="24"/>
          <w:szCs w:val="24"/>
        </w:rPr>
      </w:pPr>
      <w:r w:rsidRPr="004F3195">
        <w:rPr>
          <w:rFonts w:ascii="Times New Roman" w:hAnsi="Times New Roman" w:cs="Times New Roman"/>
          <w:sz w:val="24"/>
          <w:szCs w:val="24"/>
        </w:rPr>
        <w:t xml:space="preserve">AstraZeneca (2022) </w:t>
      </w:r>
      <w:r w:rsidRPr="004F3195">
        <w:rPr>
          <w:rFonts w:ascii="Times New Roman" w:hAnsi="Times New Roman" w:cs="Times New Roman"/>
          <w:i/>
          <w:sz w:val="24"/>
          <w:szCs w:val="24"/>
        </w:rPr>
        <w:t>Full year and Q4 2021 results</w:t>
      </w:r>
      <w:r w:rsidRPr="004F3195">
        <w:rPr>
          <w:rFonts w:ascii="Times New Roman" w:hAnsi="Times New Roman" w:cs="Times New Roman"/>
          <w:sz w:val="24"/>
          <w:szCs w:val="24"/>
        </w:rPr>
        <w:t xml:space="preserve">, [online] Available: </w:t>
      </w:r>
      <w:hyperlink r:id="rId16" w:history="1">
        <w:r w:rsidRPr="004F3195">
          <w:rPr>
            <w:rStyle w:val="ae"/>
            <w:rFonts w:ascii="Times New Roman" w:hAnsi="Times New Roman" w:cs="Times New Roman"/>
            <w:sz w:val="24"/>
            <w:szCs w:val="24"/>
          </w:rPr>
          <w:t>https://www.astrazeneca.com/content/dam/az/PDF/2021/full-year/Full-year-2021-results-announcement.pdf</w:t>
        </w:r>
      </w:hyperlink>
      <w:r w:rsidRPr="004F3195">
        <w:rPr>
          <w:rFonts w:ascii="Times New Roman" w:hAnsi="Times New Roman" w:cs="Times New Roman"/>
          <w:sz w:val="24"/>
          <w:szCs w:val="24"/>
        </w:rPr>
        <w:t xml:space="preserve"> [Accessed: 25 July 2022]</w:t>
      </w:r>
    </w:p>
    <w:p w:rsidR="00AF2A94" w:rsidRPr="004F3195" w:rsidRDefault="00AF2A94" w:rsidP="00002D99">
      <w:pPr>
        <w:spacing w:after="240"/>
        <w:rPr>
          <w:bCs/>
          <w:sz w:val="24"/>
          <w:szCs w:val="24"/>
          <w:lang w:val="en-US"/>
        </w:rPr>
      </w:pPr>
      <w:r w:rsidRPr="004F3195">
        <w:rPr>
          <w:bCs/>
          <w:sz w:val="24"/>
          <w:szCs w:val="24"/>
          <w:lang w:val="en-US"/>
        </w:rPr>
        <w:t xml:space="preserve">Clark, D. (2022) </w:t>
      </w:r>
      <w:r w:rsidRPr="004F3195">
        <w:rPr>
          <w:bCs/>
          <w:i/>
          <w:sz w:val="24"/>
          <w:szCs w:val="24"/>
          <w:lang w:val="en-US"/>
        </w:rPr>
        <w:t>GDP per capita in the UK 1955-2021</w:t>
      </w:r>
      <w:r w:rsidRPr="004F3195">
        <w:rPr>
          <w:bCs/>
          <w:sz w:val="24"/>
          <w:szCs w:val="24"/>
          <w:lang w:val="en-US"/>
        </w:rPr>
        <w:t xml:space="preserve">, [online] Available: </w:t>
      </w:r>
      <w:hyperlink r:id="rId17" w:history="1">
        <w:r w:rsidRPr="004F3195">
          <w:rPr>
            <w:rStyle w:val="ae"/>
            <w:bCs/>
            <w:sz w:val="24"/>
            <w:szCs w:val="24"/>
            <w:lang w:val="en-US"/>
          </w:rPr>
          <w:t>https://www.statista.com/statistics/970672/gdp-per-capita-in-the-uk/</w:t>
        </w:r>
      </w:hyperlink>
      <w:r w:rsidRPr="004F3195">
        <w:rPr>
          <w:bCs/>
          <w:sz w:val="24"/>
          <w:szCs w:val="24"/>
          <w:lang w:val="en-US"/>
        </w:rPr>
        <w:t xml:space="preserve"> [Accessed: 26 July 2022]</w:t>
      </w:r>
    </w:p>
    <w:p w:rsidR="00AF2A94" w:rsidRPr="004F3195" w:rsidRDefault="00AF2A94" w:rsidP="00002D99">
      <w:pPr>
        <w:spacing w:after="240"/>
        <w:rPr>
          <w:rFonts w:ascii="Times New Roman" w:hAnsi="Times New Roman" w:cs="Times New Roman"/>
          <w:sz w:val="24"/>
          <w:szCs w:val="24"/>
        </w:rPr>
      </w:pPr>
      <w:r w:rsidRPr="004F3195">
        <w:rPr>
          <w:rFonts w:ascii="Times New Roman" w:hAnsi="Times New Roman" w:cs="Times New Roman"/>
          <w:bCs/>
          <w:sz w:val="24"/>
          <w:szCs w:val="24"/>
          <w:lang w:val="en-US"/>
        </w:rPr>
        <w:t xml:space="preserve">CNN Business (2022) </w:t>
      </w:r>
      <w:r w:rsidRPr="004F3195">
        <w:rPr>
          <w:rFonts w:ascii="Times New Roman" w:hAnsi="Times New Roman" w:cs="Times New Roman"/>
          <w:bCs/>
          <w:i/>
          <w:sz w:val="24"/>
          <w:szCs w:val="24"/>
          <w:lang w:val="en-US"/>
        </w:rPr>
        <w:t>AstraZeneca PLC</w:t>
      </w:r>
      <w:r w:rsidRPr="004F3195">
        <w:rPr>
          <w:rFonts w:ascii="Times New Roman" w:hAnsi="Times New Roman" w:cs="Times New Roman"/>
          <w:bCs/>
          <w:sz w:val="24"/>
          <w:szCs w:val="24"/>
          <w:lang w:val="en-US"/>
        </w:rPr>
        <w:t xml:space="preserve">, [online] </w:t>
      </w:r>
      <w:hyperlink r:id="rId18" w:anchor=":~:text=AstraZeneca%20Plc%20is%20a%20holding,renal%2C%20metabolism%2C%20and%20respiratory" w:history="1">
        <w:r w:rsidRPr="004F3195">
          <w:rPr>
            <w:rStyle w:val="ae"/>
            <w:rFonts w:ascii="Times New Roman" w:hAnsi="Times New Roman" w:cs="Times New Roman"/>
            <w:bCs/>
            <w:sz w:val="24"/>
            <w:szCs w:val="24"/>
            <w:lang w:val="en-US"/>
          </w:rPr>
          <w:t>https://money.cnn.com/quote/profile/profile.html?symb=AZN#:~:text=AstraZeneca%20Plc%20is%20a%20holding,renal%2C%20metabolism%2C%20and%20respiratory</w:t>
        </w:r>
      </w:hyperlink>
      <w:r w:rsidRPr="004F3195">
        <w:rPr>
          <w:rFonts w:ascii="Times New Roman" w:hAnsi="Times New Roman" w:cs="Times New Roman"/>
          <w:bCs/>
          <w:sz w:val="24"/>
          <w:szCs w:val="24"/>
          <w:lang w:val="en-US"/>
        </w:rPr>
        <w:t xml:space="preserve"> </w:t>
      </w:r>
      <w:r w:rsidRPr="004F3195">
        <w:rPr>
          <w:rFonts w:ascii="Times New Roman" w:hAnsi="Times New Roman" w:cs="Times New Roman"/>
          <w:sz w:val="24"/>
          <w:szCs w:val="24"/>
        </w:rPr>
        <w:t xml:space="preserve">[Accessed: 25 July 2022] </w:t>
      </w:r>
    </w:p>
    <w:p w:rsidR="00AF2A94" w:rsidRPr="004F3195" w:rsidRDefault="00AF2A94" w:rsidP="00002D99">
      <w:pPr>
        <w:spacing w:after="240"/>
        <w:rPr>
          <w:bCs/>
          <w:sz w:val="24"/>
          <w:szCs w:val="24"/>
          <w:lang w:val="en-US"/>
        </w:rPr>
      </w:pPr>
      <w:r w:rsidRPr="004F3195">
        <w:rPr>
          <w:bCs/>
          <w:sz w:val="24"/>
          <w:szCs w:val="24"/>
          <w:lang w:val="en-US"/>
        </w:rPr>
        <w:t xml:space="preserve">Econ Port (2006) </w:t>
      </w:r>
      <w:r w:rsidRPr="004F3195">
        <w:rPr>
          <w:bCs/>
          <w:i/>
          <w:sz w:val="24"/>
          <w:szCs w:val="24"/>
          <w:lang w:val="en-US"/>
        </w:rPr>
        <w:t>Shifts Shown Graphically</w:t>
      </w:r>
      <w:r w:rsidRPr="004F3195">
        <w:rPr>
          <w:bCs/>
          <w:sz w:val="24"/>
          <w:szCs w:val="24"/>
          <w:lang w:val="en-US"/>
        </w:rPr>
        <w:t xml:space="preserve">, [online] Available: </w:t>
      </w:r>
      <w:hyperlink r:id="rId19" w:history="1">
        <w:r w:rsidRPr="004F3195">
          <w:rPr>
            <w:rStyle w:val="ae"/>
            <w:bCs/>
            <w:sz w:val="24"/>
            <w:szCs w:val="24"/>
            <w:lang w:val="en-US"/>
          </w:rPr>
          <w:t>https://www.econport.org/content/handbook/Equilibrium/shifts-graph.html</w:t>
        </w:r>
      </w:hyperlink>
      <w:r w:rsidRPr="004F3195">
        <w:rPr>
          <w:bCs/>
          <w:sz w:val="24"/>
          <w:szCs w:val="24"/>
          <w:lang w:val="en-US"/>
        </w:rPr>
        <w:t xml:space="preserve"> [Accessed: 26 July 2022]</w:t>
      </w:r>
    </w:p>
    <w:p w:rsidR="00AF2A94" w:rsidRPr="004F3195" w:rsidRDefault="00AF2A94" w:rsidP="00002D99">
      <w:pPr>
        <w:spacing w:after="240"/>
        <w:rPr>
          <w:rFonts w:ascii="Times New Roman" w:hAnsi="Times New Roman" w:cs="Times New Roman"/>
          <w:sz w:val="24"/>
          <w:szCs w:val="24"/>
        </w:rPr>
      </w:pPr>
      <w:r w:rsidRPr="004F3195">
        <w:rPr>
          <w:rFonts w:ascii="Times New Roman" w:hAnsi="Times New Roman" w:cs="Times New Roman"/>
          <w:sz w:val="24"/>
          <w:szCs w:val="24"/>
        </w:rPr>
        <w:t xml:space="preserve">Farxiga (2022) </w:t>
      </w:r>
      <w:r w:rsidRPr="004F3195">
        <w:rPr>
          <w:rFonts w:ascii="Times New Roman" w:hAnsi="Times New Roman" w:cs="Times New Roman"/>
          <w:i/>
          <w:sz w:val="24"/>
          <w:szCs w:val="24"/>
        </w:rPr>
        <w:t>Medication for Adults</w:t>
      </w:r>
      <w:r w:rsidRPr="004F3195">
        <w:rPr>
          <w:rFonts w:ascii="Times New Roman" w:hAnsi="Times New Roman" w:cs="Times New Roman"/>
          <w:sz w:val="24"/>
          <w:szCs w:val="24"/>
        </w:rPr>
        <w:t xml:space="preserve">, [online] Available: </w:t>
      </w:r>
      <w:hyperlink r:id="rId20" w:anchor=":~:text=FARXIGA%20is%20a%20prescription%20medicine,or%20multiple%20cardiovascular%20risk%20factors" w:history="1">
        <w:r w:rsidRPr="004F3195">
          <w:rPr>
            <w:rStyle w:val="ae"/>
            <w:rFonts w:ascii="Times New Roman" w:hAnsi="Times New Roman" w:cs="Times New Roman"/>
            <w:sz w:val="24"/>
            <w:szCs w:val="24"/>
          </w:rPr>
          <w:t>https://www.farxiga.com/#:~:text=FARXIGA%20is%20a%20prescription%20medicine,or%20multiple%20cardiovascular%20risk%20factors</w:t>
        </w:r>
      </w:hyperlink>
      <w:r w:rsidRPr="004F3195">
        <w:rPr>
          <w:rFonts w:ascii="Times New Roman" w:hAnsi="Times New Roman" w:cs="Times New Roman"/>
          <w:sz w:val="24"/>
          <w:szCs w:val="24"/>
        </w:rPr>
        <w:t xml:space="preserve"> [Accessed: 25 July 2022]</w:t>
      </w:r>
    </w:p>
    <w:p w:rsidR="00AF2A94" w:rsidRPr="004F3195" w:rsidRDefault="00AF2A94" w:rsidP="00002D99">
      <w:pPr>
        <w:spacing w:after="240"/>
        <w:rPr>
          <w:rFonts w:ascii="Times New Roman" w:hAnsi="Times New Roman" w:cs="Times New Roman"/>
          <w:sz w:val="24"/>
          <w:szCs w:val="24"/>
          <w:lang w:val="en-US"/>
        </w:rPr>
      </w:pPr>
      <w:r w:rsidRPr="004F3195">
        <w:rPr>
          <w:rFonts w:ascii="Times New Roman" w:hAnsi="Times New Roman" w:cs="Times New Roman"/>
          <w:sz w:val="24"/>
          <w:szCs w:val="24"/>
          <w:lang w:val="en-US"/>
        </w:rPr>
        <w:t xml:space="preserve">Gatwood, J., Gibson, T., Chernew, M., Farr, A., Vogtmann, E. and Fendrick, M. (2014) </w:t>
      </w:r>
      <w:r w:rsidRPr="004F3195">
        <w:rPr>
          <w:rFonts w:ascii="Times New Roman" w:hAnsi="Times New Roman" w:cs="Times New Roman"/>
          <w:sz w:val="24"/>
          <w:szCs w:val="24"/>
        </w:rPr>
        <w:t xml:space="preserve">Price Elasticity and Medication Use: Cost Sharing Across Multiple Clinical Conditions, </w:t>
      </w:r>
      <w:r w:rsidRPr="004F3195">
        <w:rPr>
          <w:rFonts w:ascii="Times New Roman" w:hAnsi="Times New Roman" w:cs="Times New Roman"/>
          <w:i/>
          <w:sz w:val="24"/>
          <w:szCs w:val="24"/>
        </w:rPr>
        <w:t>Journal of Managed Care &amp; Specialty Pharmacy</w:t>
      </w:r>
      <w:r w:rsidRPr="004F3195">
        <w:rPr>
          <w:rFonts w:ascii="Times New Roman" w:hAnsi="Times New Roman" w:cs="Times New Roman"/>
          <w:sz w:val="24"/>
          <w:szCs w:val="24"/>
        </w:rPr>
        <w:t xml:space="preserve">, Vol. 20(11), pp. 1102-1107. </w:t>
      </w:r>
    </w:p>
    <w:p w:rsidR="00AF2A94" w:rsidRPr="004F3195" w:rsidRDefault="00AF2A94" w:rsidP="00002D99">
      <w:pPr>
        <w:spacing w:after="240"/>
        <w:rPr>
          <w:rFonts w:ascii="Times New Roman" w:hAnsi="Times New Roman" w:cs="Times New Roman"/>
          <w:sz w:val="24"/>
          <w:szCs w:val="24"/>
        </w:rPr>
      </w:pPr>
      <w:r w:rsidRPr="004F3195">
        <w:rPr>
          <w:rFonts w:ascii="Times New Roman" w:hAnsi="Times New Roman" w:cs="Times New Roman"/>
          <w:sz w:val="24"/>
          <w:szCs w:val="24"/>
        </w:rPr>
        <w:t xml:space="preserve">Gibson, T., McLaughlin, C. and Smith, D. (2005) A copayment increase for prescription drugs: the long-term and short-term effects on use and expenditures, </w:t>
      </w:r>
      <w:r w:rsidRPr="004F3195">
        <w:rPr>
          <w:rFonts w:ascii="Times New Roman" w:hAnsi="Times New Roman" w:cs="Times New Roman"/>
          <w:i/>
          <w:sz w:val="24"/>
          <w:szCs w:val="24"/>
        </w:rPr>
        <w:t>Inquiry</w:t>
      </w:r>
      <w:r w:rsidRPr="004F3195">
        <w:rPr>
          <w:rFonts w:ascii="Times New Roman" w:hAnsi="Times New Roman" w:cs="Times New Roman"/>
          <w:sz w:val="24"/>
          <w:szCs w:val="24"/>
        </w:rPr>
        <w:t xml:space="preserve">, Vol. 42(3), pp. 293-310. </w:t>
      </w:r>
    </w:p>
    <w:p w:rsidR="00AF2A94" w:rsidRPr="004F3195" w:rsidRDefault="00AF2A94" w:rsidP="00002D99">
      <w:pPr>
        <w:spacing w:after="240"/>
        <w:rPr>
          <w:rFonts w:ascii="Times New Roman" w:hAnsi="Times New Roman" w:cs="Times New Roman"/>
          <w:sz w:val="24"/>
          <w:szCs w:val="24"/>
          <w:lang w:val="en-US"/>
        </w:rPr>
      </w:pPr>
      <w:r w:rsidRPr="004F3195">
        <w:rPr>
          <w:rFonts w:ascii="Times New Roman" w:hAnsi="Times New Roman" w:cs="Times New Roman"/>
          <w:sz w:val="24"/>
          <w:szCs w:val="24"/>
        </w:rPr>
        <w:t xml:space="preserve">Landsman, P. Yu, W., Liu, X., Teutsch, S. and Berger, M. (2005) Impact of 3-tier pharmacy benefit design and increased consumer cost-sharing on drug utilization, </w:t>
      </w:r>
      <w:r w:rsidRPr="004F3195">
        <w:rPr>
          <w:rFonts w:ascii="Times New Roman" w:hAnsi="Times New Roman" w:cs="Times New Roman"/>
          <w:i/>
          <w:sz w:val="24"/>
          <w:szCs w:val="24"/>
        </w:rPr>
        <w:t>American Journal of Managed Care</w:t>
      </w:r>
      <w:r w:rsidRPr="004F3195">
        <w:rPr>
          <w:rFonts w:ascii="Times New Roman" w:hAnsi="Times New Roman" w:cs="Times New Roman"/>
          <w:sz w:val="24"/>
          <w:szCs w:val="24"/>
        </w:rPr>
        <w:t>, Vol. 11(10), pp. 621-628.</w:t>
      </w:r>
    </w:p>
    <w:p w:rsidR="00AF2A94" w:rsidRPr="004F3195" w:rsidRDefault="00AF2A94" w:rsidP="00002D99">
      <w:pPr>
        <w:spacing w:after="240"/>
        <w:rPr>
          <w:rFonts w:ascii="Times New Roman" w:hAnsi="Times New Roman" w:cs="Times New Roman"/>
          <w:sz w:val="24"/>
          <w:szCs w:val="24"/>
        </w:rPr>
      </w:pPr>
      <w:r w:rsidRPr="004F3195">
        <w:rPr>
          <w:rFonts w:ascii="Times New Roman" w:hAnsi="Times New Roman" w:cs="Times New Roman"/>
          <w:sz w:val="24"/>
          <w:szCs w:val="24"/>
        </w:rPr>
        <w:t xml:space="preserve">Liu, A. (2022) AstraZeneca’s Farxiga hits $1B quarterly mark, but flagship oncology and China units lag, [online] Available: </w:t>
      </w:r>
      <w:hyperlink r:id="rId21" w:history="1">
        <w:r w:rsidRPr="004F3195">
          <w:rPr>
            <w:rStyle w:val="ae"/>
            <w:rFonts w:ascii="Times New Roman" w:hAnsi="Times New Roman" w:cs="Times New Roman"/>
            <w:sz w:val="24"/>
            <w:szCs w:val="24"/>
          </w:rPr>
          <w:t>https://www.fiercepharma.com/pharma/astrazenecas-farxiga-hits-1b-quarterly-mark-flagship-oncology-china-businesses-pull-back</w:t>
        </w:r>
      </w:hyperlink>
      <w:r w:rsidRPr="004F3195">
        <w:rPr>
          <w:rFonts w:ascii="Times New Roman" w:hAnsi="Times New Roman" w:cs="Times New Roman"/>
          <w:sz w:val="24"/>
          <w:szCs w:val="24"/>
        </w:rPr>
        <w:t xml:space="preserve"> [Accessed: 25 July 2022]</w:t>
      </w:r>
    </w:p>
    <w:p w:rsidR="00AF2A94" w:rsidRPr="004F3195" w:rsidRDefault="00AF2A94" w:rsidP="00002D99">
      <w:pPr>
        <w:spacing w:after="240"/>
        <w:rPr>
          <w:bCs/>
          <w:sz w:val="24"/>
          <w:szCs w:val="24"/>
          <w:lang w:val="en-US"/>
        </w:rPr>
      </w:pPr>
      <w:r w:rsidRPr="004F3195">
        <w:rPr>
          <w:sz w:val="24"/>
          <w:szCs w:val="24"/>
        </w:rPr>
        <w:t xml:space="preserve">Mikulic, M. (2022) </w:t>
      </w:r>
      <w:r w:rsidRPr="004F3195">
        <w:rPr>
          <w:bCs/>
          <w:i/>
          <w:sz w:val="24"/>
          <w:szCs w:val="24"/>
          <w:lang w:val="en-US"/>
        </w:rPr>
        <w:t>AstraZeneca's expenditure on research and development 2006-2021</w:t>
      </w:r>
      <w:r w:rsidRPr="004F3195">
        <w:rPr>
          <w:bCs/>
          <w:sz w:val="24"/>
          <w:szCs w:val="24"/>
          <w:lang w:val="en-US"/>
        </w:rPr>
        <w:t xml:space="preserve">, [online] Available: </w:t>
      </w:r>
      <w:hyperlink r:id="rId22" w:anchor=":~:text=In%202021%2C%20AstraZeneca%20spent%20some,based%20on%20Rx%20drug%20revenue" w:history="1">
        <w:r w:rsidRPr="004F3195">
          <w:rPr>
            <w:rStyle w:val="ae"/>
            <w:bCs/>
            <w:sz w:val="24"/>
            <w:szCs w:val="24"/>
            <w:lang w:val="en-US"/>
          </w:rPr>
          <w:t>https://www.statista.com/statistics/266556/expenditure-on-research-and-development-of-astrazeneca-since-2006/#:~:text=In%202021%2C%20AstraZeneca%20spent%20some,based%20on%20Rx%20drug%20revenue</w:t>
        </w:r>
      </w:hyperlink>
      <w:r w:rsidRPr="004F3195">
        <w:rPr>
          <w:bCs/>
          <w:sz w:val="24"/>
          <w:szCs w:val="24"/>
          <w:lang w:val="en-US"/>
        </w:rPr>
        <w:t>) [Accessed: 25 July 2022]</w:t>
      </w:r>
    </w:p>
    <w:p w:rsidR="00AF2A94" w:rsidRPr="004F3195" w:rsidRDefault="00AF2A94" w:rsidP="00002D99">
      <w:pPr>
        <w:spacing w:after="240"/>
        <w:rPr>
          <w:sz w:val="24"/>
          <w:szCs w:val="24"/>
          <w:lang w:val="en-US"/>
        </w:rPr>
      </w:pPr>
      <w:r w:rsidRPr="004F3195">
        <w:rPr>
          <w:bCs/>
          <w:sz w:val="24"/>
          <w:szCs w:val="24"/>
          <w:lang w:val="en-US"/>
        </w:rPr>
        <w:t xml:space="preserve">Office for National Statistics (ONS) (2021) </w:t>
      </w:r>
      <w:r w:rsidRPr="004F3195">
        <w:rPr>
          <w:i/>
          <w:sz w:val="24"/>
          <w:szCs w:val="24"/>
          <w:lang w:val="en-US"/>
        </w:rPr>
        <w:t>United Kingdom population mid-year estimate</w:t>
      </w:r>
      <w:r w:rsidRPr="004F3195">
        <w:rPr>
          <w:sz w:val="24"/>
          <w:szCs w:val="24"/>
          <w:lang w:val="en-US"/>
        </w:rPr>
        <w:t xml:space="preserve">, [online] Available: </w:t>
      </w:r>
      <w:hyperlink r:id="rId23" w:history="1">
        <w:r w:rsidRPr="004F3195">
          <w:rPr>
            <w:rStyle w:val="ae"/>
            <w:sz w:val="24"/>
            <w:szCs w:val="24"/>
            <w:lang w:val="en-US"/>
          </w:rPr>
          <w:t>https://www.ons.gov.uk/peoplepopulationandcommunity/populationandmigration/populationestimates/timeseries/ukpop/pop</w:t>
        </w:r>
      </w:hyperlink>
      <w:r w:rsidRPr="004F3195">
        <w:rPr>
          <w:sz w:val="24"/>
          <w:szCs w:val="24"/>
          <w:lang w:val="en-US"/>
        </w:rPr>
        <w:t xml:space="preserve"> [Accessed: 27 July 2022]</w:t>
      </w:r>
    </w:p>
    <w:p w:rsidR="00AF2A94" w:rsidRPr="004F3195" w:rsidRDefault="00AF2A94" w:rsidP="0079318A">
      <w:pPr>
        <w:spacing w:after="240"/>
        <w:rPr>
          <w:bCs/>
          <w:sz w:val="24"/>
          <w:szCs w:val="24"/>
          <w:lang w:val="en-US"/>
        </w:rPr>
      </w:pPr>
      <w:r w:rsidRPr="004F3195">
        <w:rPr>
          <w:sz w:val="24"/>
          <w:szCs w:val="24"/>
          <w:lang w:val="en-US"/>
        </w:rPr>
        <w:t xml:space="preserve">Office for National Statistics </w:t>
      </w:r>
      <w:r>
        <w:rPr>
          <w:sz w:val="24"/>
          <w:szCs w:val="24"/>
          <w:lang w:val="en-US"/>
        </w:rPr>
        <w:t xml:space="preserve">(ONS) </w:t>
      </w:r>
      <w:r w:rsidRPr="004F3195">
        <w:rPr>
          <w:sz w:val="24"/>
          <w:szCs w:val="24"/>
          <w:lang w:val="en-US"/>
        </w:rPr>
        <w:t xml:space="preserve">(2022) </w:t>
      </w:r>
      <w:r w:rsidRPr="004F3195">
        <w:rPr>
          <w:bCs/>
          <w:i/>
          <w:sz w:val="24"/>
          <w:szCs w:val="24"/>
          <w:lang w:val="en-US"/>
        </w:rPr>
        <w:t>Healthcare expenditure, UK Health Accounts: 2020</w:t>
      </w:r>
      <w:r w:rsidRPr="004F3195">
        <w:rPr>
          <w:bCs/>
          <w:sz w:val="24"/>
          <w:szCs w:val="24"/>
          <w:lang w:val="en-US"/>
        </w:rPr>
        <w:t xml:space="preserve">, [online] Available: </w:t>
      </w:r>
      <w:hyperlink r:id="rId24" w:anchor=":~:text=1.-,Main%20points,compared%20with%209.9%25%20in%202019" w:history="1">
        <w:r w:rsidRPr="004F3195">
          <w:rPr>
            <w:rStyle w:val="ae"/>
            <w:bCs/>
            <w:sz w:val="24"/>
            <w:szCs w:val="24"/>
            <w:lang w:val="en-US"/>
          </w:rPr>
          <w:t>https://www.ons.gov.uk/peoplepopulationandcommunity/healthandsocialcare/healthcaresystem/bulletins/ukhealthaccounts/2020#:~:text=1.-,Main%20points,compared%20with%209.9%25%20in%202019</w:t>
        </w:r>
      </w:hyperlink>
      <w:r w:rsidRPr="004F3195">
        <w:rPr>
          <w:bCs/>
          <w:sz w:val="24"/>
          <w:szCs w:val="24"/>
          <w:lang w:val="en-US"/>
        </w:rPr>
        <w:t xml:space="preserve"> [Accessed: 31 July 2022]</w:t>
      </w:r>
    </w:p>
    <w:p w:rsidR="00AF2A94" w:rsidRPr="004F3195" w:rsidRDefault="00AF2A94" w:rsidP="00002D99">
      <w:pPr>
        <w:spacing w:after="240"/>
        <w:rPr>
          <w:bCs/>
          <w:sz w:val="24"/>
          <w:szCs w:val="24"/>
          <w:lang w:val="en-US"/>
        </w:rPr>
      </w:pPr>
      <w:r w:rsidRPr="004F3195">
        <w:rPr>
          <w:bCs/>
          <w:sz w:val="24"/>
          <w:szCs w:val="24"/>
          <w:lang w:val="en-US"/>
        </w:rPr>
        <w:t xml:space="preserve">Reuters (2022) </w:t>
      </w:r>
      <w:r w:rsidRPr="004F3195">
        <w:rPr>
          <w:bCs/>
          <w:i/>
          <w:sz w:val="24"/>
          <w:szCs w:val="24"/>
          <w:lang w:val="en-US"/>
        </w:rPr>
        <w:t>AstraZeneca PLC</w:t>
      </w:r>
      <w:r w:rsidRPr="004F3195">
        <w:rPr>
          <w:bCs/>
          <w:sz w:val="24"/>
          <w:szCs w:val="24"/>
          <w:lang w:val="en-US"/>
        </w:rPr>
        <w:t xml:space="preserve">, [online] Available: </w:t>
      </w:r>
      <w:hyperlink r:id="rId25" w:history="1">
        <w:r w:rsidRPr="004F3195">
          <w:rPr>
            <w:rStyle w:val="ae"/>
            <w:bCs/>
            <w:sz w:val="24"/>
            <w:szCs w:val="24"/>
            <w:lang w:val="en-US"/>
          </w:rPr>
          <w:t>https://www.reuters.com/markets/companies/AZN.L/</w:t>
        </w:r>
      </w:hyperlink>
      <w:r w:rsidRPr="004F3195">
        <w:rPr>
          <w:bCs/>
          <w:sz w:val="24"/>
          <w:szCs w:val="24"/>
          <w:lang w:val="en-US"/>
        </w:rPr>
        <w:t xml:space="preserve"> [Accessed: 25 July 2022]</w:t>
      </w:r>
    </w:p>
    <w:p w:rsidR="00AF2A94" w:rsidRPr="004F3195" w:rsidRDefault="00AF2A94" w:rsidP="00002D99">
      <w:pPr>
        <w:spacing w:after="240"/>
        <w:rPr>
          <w:rFonts w:ascii="Times New Roman" w:hAnsi="Times New Roman" w:cs="Times New Roman"/>
          <w:bCs/>
          <w:sz w:val="24"/>
          <w:szCs w:val="24"/>
        </w:rPr>
      </w:pPr>
      <w:r w:rsidRPr="004F3195">
        <w:rPr>
          <w:rFonts w:ascii="Times New Roman" w:hAnsi="Times New Roman" w:cs="Times New Roman"/>
          <w:bCs/>
          <w:sz w:val="24"/>
          <w:szCs w:val="24"/>
        </w:rPr>
        <w:t xml:space="preserve">Samuelson, W. and Marks, S. (2010) </w:t>
      </w:r>
      <w:r w:rsidRPr="004F3195">
        <w:rPr>
          <w:rFonts w:ascii="Times New Roman" w:hAnsi="Times New Roman" w:cs="Times New Roman"/>
          <w:bCs/>
          <w:i/>
          <w:sz w:val="24"/>
          <w:szCs w:val="24"/>
        </w:rPr>
        <w:t>Managerial Economics, Study Guide</w:t>
      </w:r>
      <w:r w:rsidRPr="004F3195">
        <w:rPr>
          <w:rFonts w:ascii="Times New Roman" w:hAnsi="Times New Roman" w:cs="Times New Roman"/>
          <w:bCs/>
          <w:sz w:val="24"/>
          <w:szCs w:val="24"/>
        </w:rPr>
        <w:t>. London: John Wiley &amp; Sons</w:t>
      </w:r>
    </w:p>
    <w:p w:rsidR="00AF2A94" w:rsidRPr="004F3195" w:rsidRDefault="00AF2A94" w:rsidP="00002D99">
      <w:pPr>
        <w:spacing w:after="240"/>
        <w:rPr>
          <w:bCs/>
          <w:sz w:val="24"/>
          <w:szCs w:val="24"/>
          <w:lang w:val="en-US"/>
        </w:rPr>
      </w:pPr>
      <w:r w:rsidRPr="004F3195">
        <w:rPr>
          <w:bCs/>
          <w:sz w:val="24"/>
          <w:szCs w:val="24"/>
          <w:lang w:val="en-US"/>
        </w:rPr>
        <w:t xml:space="preserve">Shaffer, C. (2022) </w:t>
      </w:r>
      <w:r w:rsidRPr="004F3195">
        <w:rPr>
          <w:bCs/>
          <w:i/>
          <w:sz w:val="24"/>
          <w:szCs w:val="24"/>
          <w:lang w:val="en-US"/>
        </w:rPr>
        <w:t>Farxiga alternatives: What can I take instead of Farxiga?</w:t>
      </w:r>
      <w:r w:rsidRPr="004F3195">
        <w:rPr>
          <w:bCs/>
          <w:sz w:val="24"/>
          <w:szCs w:val="24"/>
          <w:lang w:val="en-US"/>
        </w:rPr>
        <w:t xml:space="preserve"> [online] Available: </w:t>
      </w:r>
      <w:hyperlink r:id="rId26" w:anchor=":~:text=Alternatives%20to%20Farxiga%20include%20Jardiance,list%20of%20Farxiga%20alternatives%20here.&amp;text=Farxiga%20is%20the%20brand%2Dname,It's%20manufactured%20by%20AstraZeneca" w:history="1">
        <w:r w:rsidRPr="004F3195">
          <w:rPr>
            <w:rStyle w:val="ae"/>
            <w:bCs/>
            <w:sz w:val="24"/>
            <w:szCs w:val="24"/>
            <w:lang w:val="en-US"/>
          </w:rPr>
          <w:t>https://www.singlecare.com/blog/farxiga-alternatives/#:~:text=Alternatives%20to%20Farxiga%20include%20Jardiance,list%20of%20Farxiga%20alternatives%20here.&amp;text=Farxiga%20is%20the%20brand%2Dname,It's%20manufactured%20by%20AstraZeneca</w:t>
        </w:r>
      </w:hyperlink>
      <w:r w:rsidRPr="004F3195">
        <w:rPr>
          <w:bCs/>
          <w:sz w:val="24"/>
          <w:szCs w:val="24"/>
          <w:lang w:val="en-US"/>
        </w:rPr>
        <w:t xml:space="preserve"> [Accessed: 26 July 2022]</w:t>
      </w:r>
    </w:p>
    <w:p w:rsidR="00AF2A94" w:rsidRPr="004F3195" w:rsidRDefault="00AF2A94" w:rsidP="00002D99">
      <w:pPr>
        <w:spacing w:after="240"/>
        <w:rPr>
          <w:rFonts w:ascii="Times New Roman" w:hAnsi="Times New Roman" w:cs="Times New Roman"/>
          <w:bCs/>
          <w:sz w:val="24"/>
          <w:szCs w:val="24"/>
        </w:rPr>
      </w:pPr>
      <w:r w:rsidRPr="004F3195">
        <w:rPr>
          <w:rFonts w:ascii="Times New Roman" w:hAnsi="Times New Roman" w:cs="Times New Roman"/>
          <w:bCs/>
          <w:sz w:val="24"/>
          <w:szCs w:val="24"/>
        </w:rPr>
        <w:t xml:space="preserve">Sloman, J. and Jones, E. (2011) </w:t>
      </w:r>
      <w:r w:rsidRPr="004F3195">
        <w:rPr>
          <w:rFonts w:ascii="Times New Roman" w:hAnsi="Times New Roman" w:cs="Times New Roman"/>
          <w:bCs/>
          <w:i/>
          <w:sz w:val="24"/>
          <w:szCs w:val="24"/>
        </w:rPr>
        <w:t>Economics and the Business Environment</w:t>
      </w:r>
      <w:r w:rsidRPr="004F3195">
        <w:rPr>
          <w:rFonts w:ascii="Times New Roman" w:hAnsi="Times New Roman" w:cs="Times New Roman"/>
          <w:bCs/>
          <w:sz w:val="24"/>
          <w:szCs w:val="24"/>
        </w:rPr>
        <w:t>. Edinburgh, Prentice Hall</w:t>
      </w:r>
    </w:p>
    <w:p w:rsidR="00AF2A94" w:rsidRPr="004F3195" w:rsidRDefault="00AF2A94" w:rsidP="00002D99">
      <w:pPr>
        <w:spacing w:after="240"/>
        <w:rPr>
          <w:rFonts w:ascii="Times New Roman" w:hAnsi="Times New Roman" w:cs="Times New Roman"/>
          <w:bCs/>
          <w:sz w:val="24"/>
          <w:szCs w:val="24"/>
          <w:lang w:val="en-US"/>
        </w:rPr>
      </w:pPr>
      <w:r w:rsidRPr="004F3195">
        <w:rPr>
          <w:rFonts w:ascii="Times New Roman" w:hAnsi="Times New Roman" w:cs="Times New Roman"/>
          <w:bCs/>
          <w:sz w:val="24"/>
          <w:szCs w:val="24"/>
        </w:rPr>
        <w:t xml:space="preserve">Sloman, J., Hinde, K. and Garrat, D. (2013) </w:t>
      </w:r>
      <w:r w:rsidRPr="004F3195">
        <w:rPr>
          <w:rFonts w:ascii="Times New Roman" w:hAnsi="Times New Roman" w:cs="Times New Roman"/>
          <w:bCs/>
          <w:i/>
          <w:sz w:val="24"/>
          <w:szCs w:val="24"/>
        </w:rPr>
        <w:t>Economics for Business</w:t>
      </w:r>
      <w:r w:rsidRPr="004F3195">
        <w:rPr>
          <w:rFonts w:ascii="Times New Roman" w:hAnsi="Times New Roman" w:cs="Times New Roman"/>
          <w:bCs/>
          <w:sz w:val="24"/>
          <w:szCs w:val="24"/>
        </w:rPr>
        <w:t>. Harlow: Pearson</w:t>
      </w:r>
    </w:p>
    <w:p w:rsidR="00AF2A94" w:rsidRPr="004F3195" w:rsidRDefault="00AF2A94" w:rsidP="00002D99">
      <w:pPr>
        <w:spacing w:after="240"/>
        <w:rPr>
          <w:bCs/>
          <w:sz w:val="24"/>
          <w:szCs w:val="24"/>
          <w:lang w:val="en-US"/>
        </w:rPr>
      </w:pPr>
      <w:r w:rsidRPr="004F3195">
        <w:rPr>
          <w:sz w:val="24"/>
          <w:szCs w:val="24"/>
        </w:rPr>
        <w:t xml:space="preserve">Toppr (2022) </w:t>
      </w:r>
      <w:r w:rsidRPr="004F3195">
        <w:rPr>
          <w:bCs/>
          <w:i/>
          <w:sz w:val="24"/>
          <w:szCs w:val="24"/>
          <w:lang w:val="en-US"/>
        </w:rPr>
        <w:t>Change in Equilibrium Price due to Shift in Demand</w:t>
      </w:r>
      <w:r w:rsidRPr="004F3195">
        <w:rPr>
          <w:bCs/>
          <w:sz w:val="24"/>
          <w:szCs w:val="24"/>
          <w:lang w:val="en-US"/>
        </w:rPr>
        <w:t xml:space="preserve">, [online] Available: </w:t>
      </w:r>
      <w:hyperlink r:id="rId27" w:history="1">
        <w:r w:rsidRPr="004F3195">
          <w:rPr>
            <w:rStyle w:val="ae"/>
            <w:bCs/>
            <w:sz w:val="24"/>
            <w:szCs w:val="24"/>
            <w:lang w:val="en-US"/>
          </w:rPr>
          <w:t>https://www.toppr.com/guides/fundamentals-of-economics-and-management/equilibrium/change-in-equilibrium-price-due-to-shift-in-demand/</w:t>
        </w:r>
      </w:hyperlink>
      <w:r w:rsidRPr="004F3195">
        <w:rPr>
          <w:bCs/>
          <w:sz w:val="24"/>
          <w:szCs w:val="24"/>
          <w:lang w:val="en-US"/>
        </w:rPr>
        <w:t xml:space="preserve"> [Accessed: 25 July 2022]</w:t>
      </w:r>
    </w:p>
    <w:p w:rsidR="00AF2A94" w:rsidRPr="004F3195" w:rsidRDefault="00AF2A94" w:rsidP="00002D99">
      <w:pPr>
        <w:spacing w:after="240"/>
        <w:rPr>
          <w:sz w:val="24"/>
          <w:szCs w:val="24"/>
          <w:lang w:val="en-US"/>
        </w:rPr>
      </w:pPr>
      <w:r w:rsidRPr="004F3195">
        <w:rPr>
          <w:sz w:val="24"/>
          <w:szCs w:val="24"/>
          <w:lang w:val="en-US"/>
        </w:rPr>
        <w:t xml:space="preserve">UK Meds (2022) </w:t>
      </w:r>
      <w:r w:rsidRPr="004F3195">
        <w:rPr>
          <w:i/>
          <w:sz w:val="24"/>
          <w:szCs w:val="24"/>
          <w:lang w:val="en-US"/>
        </w:rPr>
        <w:t>Forxiga</w:t>
      </w:r>
      <w:r w:rsidRPr="004F3195">
        <w:rPr>
          <w:sz w:val="24"/>
          <w:szCs w:val="24"/>
          <w:lang w:val="en-US"/>
        </w:rPr>
        <w:t xml:space="preserve">, [online] Available: </w:t>
      </w:r>
      <w:hyperlink r:id="rId28" w:history="1">
        <w:r w:rsidRPr="004F3195">
          <w:rPr>
            <w:rStyle w:val="ae"/>
            <w:sz w:val="24"/>
            <w:szCs w:val="24"/>
            <w:lang w:val="en-US"/>
          </w:rPr>
          <w:t>https://www.ukmeds.co.uk/forxiga</w:t>
        </w:r>
      </w:hyperlink>
      <w:r w:rsidRPr="004F3195">
        <w:rPr>
          <w:sz w:val="24"/>
          <w:szCs w:val="24"/>
          <w:lang w:val="en-US"/>
        </w:rPr>
        <w:t xml:space="preserve"> [Accessed: 31 July 2022]</w:t>
      </w:r>
    </w:p>
    <w:p w:rsidR="00AF2A94" w:rsidRPr="004F3195" w:rsidRDefault="00AF2A94" w:rsidP="00002D99">
      <w:pPr>
        <w:spacing w:after="240"/>
        <w:rPr>
          <w:sz w:val="24"/>
          <w:szCs w:val="24"/>
          <w:lang w:val="en-US"/>
        </w:rPr>
      </w:pPr>
      <w:r w:rsidRPr="004F3195">
        <w:rPr>
          <w:sz w:val="24"/>
          <w:szCs w:val="24"/>
          <w:lang w:val="en-US"/>
        </w:rPr>
        <w:t xml:space="preserve">WIX (2016) </w:t>
      </w:r>
      <w:r w:rsidRPr="004F3195">
        <w:rPr>
          <w:i/>
          <w:sz w:val="24"/>
          <w:szCs w:val="24"/>
          <w:lang w:val="en-US"/>
        </w:rPr>
        <w:t>Price Elasticity of Demand</w:t>
      </w:r>
      <w:r w:rsidRPr="004F3195">
        <w:rPr>
          <w:sz w:val="24"/>
          <w:szCs w:val="24"/>
          <w:lang w:val="en-US"/>
        </w:rPr>
        <w:t xml:space="preserve">, [online] Available: </w:t>
      </w:r>
      <w:hyperlink r:id="rId29" w:history="1">
        <w:r w:rsidRPr="004F3195">
          <w:rPr>
            <w:rStyle w:val="ae"/>
            <w:sz w:val="24"/>
            <w:szCs w:val="24"/>
            <w:lang w:val="en-US"/>
          </w:rPr>
          <w:t>https://thinktivity.wixsite.com/thinktivity/single-post/2016-1-20-price-elasticity-of-demand</w:t>
        </w:r>
      </w:hyperlink>
      <w:r w:rsidRPr="004F3195">
        <w:rPr>
          <w:sz w:val="24"/>
          <w:szCs w:val="24"/>
          <w:lang w:val="en-US"/>
        </w:rPr>
        <w:t xml:space="preserve"> [Accessed: 27 July 2022]</w:t>
      </w:r>
    </w:p>
    <w:p w:rsidR="0079318A" w:rsidRPr="0079318A" w:rsidRDefault="0079318A" w:rsidP="0079318A">
      <w:pPr>
        <w:spacing w:after="240"/>
        <w:rPr>
          <w:b/>
          <w:bCs/>
          <w:sz w:val="24"/>
          <w:szCs w:val="24"/>
          <w:lang w:val="en-US"/>
        </w:rPr>
      </w:pPr>
    </w:p>
    <w:p w:rsidR="0079318A" w:rsidRDefault="0079318A" w:rsidP="00002D99">
      <w:pPr>
        <w:spacing w:after="240"/>
        <w:rPr>
          <w:sz w:val="24"/>
          <w:szCs w:val="24"/>
          <w:lang w:val="en-US"/>
        </w:rPr>
      </w:pPr>
    </w:p>
    <w:p w:rsidR="0079318A" w:rsidRPr="00002D99" w:rsidRDefault="0079318A" w:rsidP="00002D99">
      <w:pPr>
        <w:spacing w:after="240"/>
        <w:rPr>
          <w:sz w:val="24"/>
          <w:szCs w:val="24"/>
          <w:lang w:val="en-US"/>
        </w:rPr>
      </w:pPr>
    </w:p>
    <w:sectPr w:rsidR="0079318A" w:rsidRPr="00002D99" w:rsidSect="001472F4">
      <w:footerReference w:type="default" r:id="rId30"/>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5829" w:rsidRDefault="00435829" w:rsidP="00E11F20">
      <w:pPr>
        <w:spacing w:line="240" w:lineRule="auto"/>
      </w:pPr>
      <w:r>
        <w:separator/>
      </w:r>
    </w:p>
  </w:endnote>
  <w:endnote w:type="continuationSeparator" w:id="0">
    <w:p w:rsidR="00435829" w:rsidRDefault="00435829" w:rsidP="00E11F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Lohit Devanagari">
    <w:altName w:val="Cambria"/>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Liberation Sans">
    <w:altName w:val="Arial"/>
    <w:charset w:val="01"/>
    <w:family w:val="roman"/>
    <w:pitch w:val="variable"/>
  </w:font>
  <w:font w:name="Noto Sans CJK SC">
    <w:panose1 w:val="020B0500000000000000"/>
    <w:charset w:val="80"/>
    <w:family w:val="swiss"/>
    <w:pitch w:val="variable"/>
    <w:sig w:usb0="30000083" w:usb1="2BDF3C10" w:usb2="00000016" w:usb3="00000000" w:csb0="002E01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824501"/>
      <w:docPartObj>
        <w:docPartGallery w:val="Page Numbers (Bottom of Page)"/>
        <w:docPartUnique/>
      </w:docPartObj>
    </w:sdtPr>
    <w:sdtEndPr/>
    <w:sdtContent>
      <w:p w:rsidR="00BF1273" w:rsidRDefault="00D82AD2">
        <w:pPr>
          <w:pStyle w:val="ac"/>
          <w:jc w:val="right"/>
        </w:pPr>
        <w:r>
          <w:fldChar w:fldCharType="begin"/>
        </w:r>
        <w:r>
          <w:instrText xml:space="preserve"> PAGE   \* MERGEFORMAT </w:instrText>
        </w:r>
        <w:r>
          <w:fldChar w:fldCharType="separate"/>
        </w:r>
        <w:r w:rsidR="00D55353">
          <w:rPr>
            <w:noProof/>
          </w:rPr>
          <w:t>1</w:t>
        </w:r>
        <w:r>
          <w:rPr>
            <w:noProof/>
          </w:rPr>
          <w:fldChar w:fldCharType="end"/>
        </w:r>
      </w:p>
    </w:sdtContent>
  </w:sdt>
  <w:p w:rsidR="00BF1273" w:rsidRDefault="00BF1273">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5829" w:rsidRDefault="00435829" w:rsidP="00E11F20">
      <w:pPr>
        <w:spacing w:line="240" w:lineRule="auto"/>
      </w:pPr>
      <w:r>
        <w:separator/>
      </w:r>
    </w:p>
  </w:footnote>
  <w:footnote w:type="continuationSeparator" w:id="0">
    <w:p w:rsidR="00435829" w:rsidRDefault="00435829" w:rsidP="00E11F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E062E"/>
    <w:multiLevelType w:val="multilevel"/>
    <w:tmpl w:val="8E327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D7199"/>
    <w:multiLevelType w:val="hybridMultilevel"/>
    <w:tmpl w:val="86640B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1297603">
    <w:abstractNumId w:val="1"/>
  </w:num>
  <w:num w:numId="2" w16cid:durableId="1896696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03F"/>
    <w:rsid w:val="00002D99"/>
    <w:rsid w:val="000310D7"/>
    <w:rsid w:val="000A6F7C"/>
    <w:rsid w:val="000D0023"/>
    <w:rsid w:val="001472F4"/>
    <w:rsid w:val="0015043E"/>
    <w:rsid w:val="0017542E"/>
    <w:rsid w:val="001B2F1E"/>
    <w:rsid w:val="00207C23"/>
    <w:rsid w:val="0025630F"/>
    <w:rsid w:val="002C4F74"/>
    <w:rsid w:val="0037790D"/>
    <w:rsid w:val="00397E1D"/>
    <w:rsid w:val="003B5B32"/>
    <w:rsid w:val="00426023"/>
    <w:rsid w:val="00435829"/>
    <w:rsid w:val="004466F9"/>
    <w:rsid w:val="00484C3E"/>
    <w:rsid w:val="004A5687"/>
    <w:rsid w:val="004D601A"/>
    <w:rsid w:val="004F3195"/>
    <w:rsid w:val="0051623B"/>
    <w:rsid w:val="005222E2"/>
    <w:rsid w:val="00554890"/>
    <w:rsid w:val="0057742C"/>
    <w:rsid w:val="00592CF3"/>
    <w:rsid w:val="005C52E0"/>
    <w:rsid w:val="00666229"/>
    <w:rsid w:val="00695192"/>
    <w:rsid w:val="00714F32"/>
    <w:rsid w:val="007607EB"/>
    <w:rsid w:val="00772370"/>
    <w:rsid w:val="00776253"/>
    <w:rsid w:val="0079318A"/>
    <w:rsid w:val="007A69A5"/>
    <w:rsid w:val="007D220E"/>
    <w:rsid w:val="007F17A8"/>
    <w:rsid w:val="00833605"/>
    <w:rsid w:val="00842DDC"/>
    <w:rsid w:val="00877EC8"/>
    <w:rsid w:val="0089695E"/>
    <w:rsid w:val="008C3EE1"/>
    <w:rsid w:val="00977799"/>
    <w:rsid w:val="009C0014"/>
    <w:rsid w:val="009E19B5"/>
    <w:rsid w:val="009E2811"/>
    <w:rsid w:val="009F0458"/>
    <w:rsid w:val="00A17595"/>
    <w:rsid w:val="00A41CB4"/>
    <w:rsid w:val="00AD3655"/>
    <w:rsid w:val="00AF1219"/>
    <w:rsid w:val="00AF2A94"/>
    <w:rsid w:val="00B23F6A"/>
    <w:rsid w:val="00B72D10"/>
    <w:rsid w:val="00B83374"/>
    <w:rsid w:val="00BA5C66"/>
    <w:rsid w:val="00BF1273"/>
    <w:rsid w:val="00C341C0"/>
    <w:rsid w:val="00CB2F22"/>
    <w:rsid w:val="00CB77B1"/>
    <w:rsid w:val="00D55353"/>
    <w:rsid w:val="00D82AD2"/>
    <w:rsid w:val="00DC0A68"/>
    <w:rsid w:val="00DC20DD"/>
    <w:rsid w:val="00DD465F"/>
    <w:rsid w:val="00E07567"/>
    <w:rsid w:val="00E11F20"/>
    <w:rsid w:val="00E231ED"/>
    <w:rsid w:val="00E24D99"/>
    <w:rsid w:val="00E41CED"/>
    <w:rsid w:val="00E56F41"/>
    <w:rsid w:val="00E8703F"/>
    <w:rsid w:val="00EA0AAC"/>
    <w:rsid w:val="00EA1EE7"/>
    <w:rsid w:val="00EA42C9"/>
    <w:rsid w:val="00EA6641"/>
    <w:rsid w:val="00EA6801"/>
    <w:rsid w:val="00EC5456"/>
    <w:rsid w:val="00EE3424"/>
    <w:rsid w:val="00F16224"/>
    <w:rsid w:val="00F366C6"/>
    <w:rsid w:val="00F40984"/>
    <w:rsid w:val="00F7555D"/>
    <w:rsid w:val="00FE4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3684FA-0A51-AE4F-AC40-6CEF1931D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11F20"/>
    <w:pPr>
      <w:spacing w:line="360" w:lineRule="auto"/>
    </w:pPr>
    <w:rPr>
      <w:lang w:val="en-GB"/>
    </w:rPr>
  </w:style>
  <w:style w:type="paragraph" w:styleId="1">
    <w:name w:val="heading 1"/>
    <w:basedOn w:val="a"/>
    <w:next w:val="a"/>
    <w:link w:val="10"/>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2">
    <w:name w:val="heading 2"/>
    <w:basedOn w:val="a"/>
    <w:next w:val="a"/>
    <w:link w:val="20"/>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qFormat/>
    <w:rsid w:val="008C3EE1"/>
    <w:rPr>
      <w:rFonts w:ascii="Times New Roman" w:eastAsiaTheme="majorEastAsia" w:hAnsi="Times New Roman" w:cstheme="majorBidi"/>
      <w:b/>
      <w:bCs/>
      <w:sz w:val="28"/>
      <w:szCs w:val="28"/>
      <w:lang w:val="bg-BG"/>
    </w:rPr>
  </w:style>
  <w:style w:type="character" w:customStyle="1" w:styleId="20">
    <w:name w:val="Заглавие 2 Знак"/>
    <w:basedOn w:val="a0"/>
    <w:link w:val="2"/>
    <w:uiPriority w:val="9"/>
    <w:qFormat/>
    <w:rsid w:val="008C3EE1"/>
    <w:rPr>
      <w:rFonts w:ascii="Times New Roman" w:eastAsiaTheme="majorEastAsia" w:hAnsi="Times New Roman" w:cstheme="majorBidi"/>
      <w:b/>
      <w:bCs/>
      <w:color w:val="000000" w:themeColor="text1"/>
      <w:sz w:val="24"/>
      <w:szCs w:val="26"/>
      <w:lang w:val="bg-BG"/>
    </w:rPr>
  </w:style>
  <w:style w:type="paragraph" w:styleId="a3">
    <w:name w:val="caption"/>
    <w:basedOn w:val="a"/>
    <w:qFormat/>
    <w:rsid w:val="008C3EE1"/>
    <w:pPr>
      <w:suppressLineNumbers/>
      <w:spacing w:before="120" w:after="120"/>
    </w:pPr>
    <w:rPr>
      <w:rFonts w:cs="Lohit Devanagari"/>
      <w:i/>
      <w:iCs/>
      <w:sz w:val="24"/>
      <w:szCs w:val="24"/>
    </w:rPr>
  </w:style>
  <w:style w:type="paragraph" w:styleId="a4">
    <w:name w:val="Balloon Text"/>
    <w:basedOn w:val="a"/>
    <w:link w:val="a5"/>
    <w:uiPriority w:val="99"/>
    <w:semiHidden/>
    <w:unhideWhenUsed/>
    <w:qFormat/>
    <w:rsid w:val="008C3EE1"/>
    <w:pPr>
      <w:spacing w:line="240" w:lineRule="auto"/>
    </w:pPr>
    <w:rPr>
      <w:rFonts w:ascii="Tahoma" w:hAnsi="Tahoma" w:cs="Tahoma"/>
      <w:sz w:val="16"/>
      <w:szCs w:val="16"/>
    </w:rPr>
  </w:style>
  <w:style w:type="character" w:customStyle="1" w:styleId="a5">
    <w:name w:val="Изнесен текст Знак"/>
    <w:basedOn w:val="a0"/>
    <w:link w:val="a4"/>
    <w:uiPriority w:val="99"/>
    <w:semiHidden/>
    <w:qFormat/>
    <w:rsid w:val="008C3EE1"/>
    <w:rPr>
      <w:rFonts w:ascii="Tahoma" w:hAnsi="Tahoma" w:cs="Tahoma"/>
      <w:sz w:val="16"/>
      <w:szCs w:val="16"/>
      <w:lang w:val="en-GB"/>
    </w:rPr>
  </w:style>
  <w:style w:type="paragraph" w:styleId="a6">
    <w:name w:val="List Paragraph"/>
    <w:basedOn w:val="a"/>
    <w:uiPriority w:val="34"/>
    <w:qFormat/>
    <w:rsid w:val="008C3EE1"/>
    <w:pPr>
      <w:spacing w:after="160" w:line="259" w:lineRule="auto"/>
      <w:ind w:left="720"/>
      <w:contextualSpacing/>
    </w:pPr>
  </w:style>
  <w:style w:type="paragraph" w:styleId="a7">
    <w:name w:val="TOC Heading"/>
    <w:basedOn w:val="1"/>
    <w:next w:val="a"/>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a"/>
    <w:next w:val="a8"/>
    <w:qFormat/>
    <w:rsid w:val="008C3EE1"/>
    <w:pPr>
      <w:keepNext/>
      <w:spacing w:before="240" w:after="120"/>
    </w:pPr>
    <w:rPr>
      <w:rFonts w:ascii="Liberation Sans" w:eastAsia="Noto Sans CJK SC" w:hAnsi="Liberation Sans" w:cs="Lohit Devanagari"/>
      <w:sz w:val="28"/>
      <w:szCs w:val="28"/>
    </w:rPr>
  </w:style>
  <w:style w:type="paragraph" w:styleId="a8">
    <w:name w:val="Body Text"/>
    <w:basedOn w:val="a"/>
    <w:link w:val="a9"/>
    <w:uiPriority w:val="99"/>
    <w:semiHidden/>
    <w:unhideWhenUsed/>
    <w:rsid w:val="008C3EE1"/>
    <w:pPr>
      <w:spacing w:after="120"/>
    </w:pPr>
  </w:style>
  <w:style w:type="character" w:customStyle="1" w:styleId="a9">
    <w:name w:val="Основен текст Знак"/>
    <w:basedOn w:val="a0"/>
    <w:link w:val="a8"/>
    <w:uiPriority w:val="99"/>
    <w:semiHidden/>
    <w:rsid w:val="008C3EE1"/>
    <w:rPr>
      <w:lang w:val="en-GB"/>
    </w:rPr>
  </w:style>
  <w:style w:type="paragraph" w:customStyle="1" w:styleId="Index">
    <w:name w:val="Index"/>
    <w:basedOn w:val="a"/>
    <w:qFormat/>
    <w:rsid w:val="008C3EE1"/>
    <w:pPr>
      <w:suppressLineNumbers/>
    </w:pPr>
    <w:rPr>
      <w:rFonts w:cs="Lohit Devanagari"/>
    </w:rPr>
  </w:style>
  <w:style w:type="paragraph" w:styleId="aa">
    <w:name w:val="header"/>
    <w:basedOn w:val="a"/>
    <w:link w:val="ab"/>
    <w:uiPriority w:val="99"/>
    <w:semiHidden/>
    <w:unhideWhenUsed/>
    <w:rsid w:val="00E11F20"/>
    <w:pPr>
      <w:tabs>
        <w:tab w:val="center" w:pos="4703"/>
        <w:tab w:val="right" w:pos="9406"/>
      </w:tabs>
      <w:spacing w:line="240" w:lineRule="auto"/>
    </w:pPr>
  </w:style>
  <w:style w:type="character" w:customStyle="1" w:styleId="ab">
    <w:name w:val="Горен колонтитул Знак"/>
    <w:basedOn w:val="a0"/>
    <w:link w:val="aa"/>
    <w:uiPriority w:val="99"/>
    <w:semiHidden/>
    <w:rsid w:val="00E11F20"/>
    <w:rPr>
      <w:lang w:val="en-GB"/>
    </w:rPr>
  </w:style>
  <w:style w:type="paragraph" w:styleId="ac">
    <w:name w:val="footer"/>
    <w:basedOn w:val="a"/>
    <w:link w:val="ad"/>
    <w:uiPriority w:val="99"/>
    <w:unhideWhenUsed/>
    <w:rsid w:val="00E11F20"/>
    <w:pPr>
      <w:tabs>
        <w:tab w:val="center" w:pos="4703"/>
        <w:tab w:val="right" w:pos="9406"/>
      </w:tabs>
      <w:spacing w:line="240" w:lineRule="auto"/>
    </w:pPr>
  </w:style>
  <w:style w:type="character" w:customStyle="1" w:styleId="ad">
    <w:name w:val="Долен колонтитул Знак"/>
    <w:basedOn w:val="a0"/>
    <w:link w:val="ac"/>
    <w:uiPriority w:val="99"/>
    <w:rsid w:val="00E11F20"/>
    <w:rPr>
      <w:lang w:val="en-GB"/>
    </w:rPr>
  </w:style>
  <w:style w:type="character" w:styleId="ae">
    <w:name w:val="Hyperlink"/>
    <w:basedOn w:val="a0"/>
    <w:uiPriority w:val="99"/>
    <w:unhideWhenUsed/>
    <w:rsid w:val="00484C3E"/>
    <w:rPr>
      <w:color w:val="0000FF" w:themeColor="hyperlink"/>
      <w:u w:val="single"/>
    </w:rPr>
  </w:style>
  <w:style w:type="paragraph" w:styleId="11">
    <w:name w:val="toc 1"/>
    <w:basedOn w:val="a"/>
    <w:next w:val="a"/>
    <w:autoRedefine/>
    <w:uiPriority w:val="39"/>
    <w:unhideWhenUsed/>
    <w:rsid w:val="004F31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22859">
      <w:bodyDiv w:val="1"/>
      <w:marLeft w:val="0"/>
      <w:marRight w:val="0"/>
      <w:marTop w:val="0"/>
      <w:marBottom w:val="0"/>
      <w:divBdr>
        <w:top w:val="none" w:sz="0" w:space="0" w:color="auto"/>
        <w:left w:val="none" w:sz="0" w:space="0" w:color="auto"/>
        <w:bottom w:val="none" w:sz="0" w:space="0" w:color="auto"/>
        <w:right w:val="none" w:sz="0" w:space="0" w:color="auto"/>
      </w:divBdr>
    </w:div>
    <w:div w:id="530267078">
      <w:bodyDiv w:val="1"/>
      <w:marLeft w:val="0"/>
      <w:marRight w:val="0"/>
      <w:marTop w:val="0"/>
      <w:marBottom w:val="0"/>
      <w:divBdr>
        <w:top w:val="none" w:sz="0" w:space="0" w:color="auto"/>
        <w:left w:val="none" w:sz="0" w:space="0" w:color="auto"/>
        <w:bottom w:val="none" w:sz="0" w:space="0" w:color="auto"/>
        <w:right w:val="none" w:sz="0" w:space="0" w:color="auto"/>
      </w:divBdr>
    </w:div>
    <w:div w:id="1115370085">
      <w:bodyDiv w:val="1"/>
      <w:marLeft w:val="0"/>
      <w:marRight w:val="0"/>
      <w:marTop w:val="0"/>
      <w:marBottom w:val="0"/>
      <w:divBdr>
        <w:top w:val="none" w:sz="0" w:space="0" w:color="auto"/>
        <w:left w:val="none" w:sz="0" w:space="0" w:color="auto"/>
        <w:bottom w:val="none" w:sz="0" w:space="0" w:color="auto"/>
        <w:right w:val="none" w:sz="0" w:space="0" w:color="auto"/>
      </w:divBdr>
    </w:div>
    <w:div w:id="1150051577">
      <w:bodyDiv w:val="1"/>
      <w:marLeft w:val="0"/>
      <w:marRight w:val="0"/>
      <w:marTop w:val="0"/>
      <w:marBottom w:val="0"/>
      <w:divBdr>
        <w:top w:val="none" w:sz="0" w:space="0" w:color="auto"/>
        <w:left w:val="none" w:sz="0" w:space="0" w:color="auto"/>
        <w:bottom w:val="none" w:sz="0" w:space="0" w:color="auto"/>
        <w:right w:val="none" w:sz="0" w:space="0" w:color="auto"/>
      </w:divBdr>
    </w:div>
    <w:div w:id="1186208027">
      <w:bodyDiv w:val="1"/>
      <w:marLeft w:val="0"/>
      <w:marRight w:val="0"/>
      <w:marTop w:val="0"/>
      <w:marBottom w:val="0"/>
      <w:divBdr>
        <w:top w:val="none" w:sz="0" w:space="0" w:color="auto"/>
        <w:left w:val="none" w:sz="0" w:space="0" w:color="auto"/>
        <w:bottom w:val="none" w:sz="0" w:space="0" w:color="auto"/>
        <w:right w:val="none" w:sz="0" w:space="0" w:color="auto"/>
      </w:divBdr>
    </w:div>
    <w:div w:id="1578518852">
      <w:bodyDiv w:val="1"/>
      <w:marLeft w:val="0"/>
      <w:marRight w:val="0"/>
      <w:marTop w:val="0"/>
      <w:marBottom w:val="0"/>
      <w:divBdr>
        <w:top w:val="none" w:sz="0" w:space="0" w:color="auto"/>
        <w:left w:val="none" w:sz="0" w:space="0" w:color="auto"/>
        <w:bottom w:val="none" w:sz="0" w:space="0" w:color="auto"/>
        <w:right w:val="none" w:sz="0" w:space="0" w:color="auto"/>
      </w:divBdr>
    </w:div>
    <w:div w:id="1591354913">
      <w:bodyDiv w:val="1"/>
      <w:marLeft w:val="0"/>
      <w:marRight w:val="0"/>
      <w:marTop w:val="0"/>
      <w:marBottom w:val="0"/>
      <w:divBdr>
        <w:top w:val="none" w:sz="0" w:space="0" w:color="auto"/>
        <w:left w:val="none" w:sz="0" w:space="0" w:color="auto"/>
        <w:bottom w:val="none" w:sz="0" w:space="0" w:color="auto"/>
        <w:right w:val="none" w:sz="0" w:space="0" w:color="auto"/>
      </w:divBdr>
    </w:div>
    <w:div w:id="1599025962">
      <w:bodyDiv w:val="1"/>
      <w:marLeft w:val="0"/>
      <w:marRight w:val="0"/>
      <w:marTop w:val="0"/>
      <w:marBottom w:val="0"/>
      <w:divBdr>
        <w:top w:val="none" w:sz="0" w:space="0" w:color="auto"/>
        <w:left w:val="none" w:sz="0" w:space="0" w:color="auto"/>
        <w:bottom w:val="none" w:sz="0" w:space="0" w:color="auto"/>
        <w:right w:val="none" w:sz="0" w:space="0" w:color="auto"/>
      </w:divBdr>
    </w:div>
    <w:div w:id="1673993226">
      <w:bodyDiv w:val="1"/>
      <w:marLeft w:val="0"/>
      <w:marRight w:val="0"/>
      <w:marTop w:val="0"/>
      <w:marBottom w:val="0"/>
      <w:divBdr>
        <w:top w:val="none" w:sz="0" w:space="0" w:color="auto"/>
        <w:left w:val="none" w:sz="0" w:space="0" w:color="auto"/>
        <w:bottom w:val="none" w:sz="0" w:space="0" w:color="auto"/>
        <w:right w:val="none" w:sz="0" w:space="0" w:color="auto"/>
      </w:divBdr>
    </w:div>
    <w:div w:id="1934196115">
      <w:bodyDiv w:val="1"/>
      <w:marLeft w:val="0"/>
      <w:marRight w:val="0"/>
      <w:marTop w:val="0"/>
      <w:marBottom w:val="0"/>
      <w:divBdr>
        <w:top w:val="none" w:sz="0" w:space="0" w:color="auto"/>
        <w:left w:val="none" w:sz="0" w:space="0" w:color="auto"/>
        <w:bottom w:val="none" w:sz="0" w:space="0" w:color="auto"/>
        <w:right w:val="none" w:sz="0" w:space="0" w:color="auto"/>
      </w:divBdr>
    </w:div>
    <w:div w:id="1939363858">
      <w:bodyDiv w:val="1"/>
      <w:marLeft w:val="0"/>
      <w:marRight w:val="0"/>
      <w:marTop w:val="0"/>
      <w:marBottom w:val="0"/>
      <w:divBdr>
        <w:top w:val="none" w:sz="0" w:space="0" w:color="auto"/>
        <w:left w:val="none" w:sz="0" w:space="0" w:color="auto"/>
        <w:bottom w:val="none" w:sz="0" w:space="0" w:color="auto"/>
        <w:right w:val="none" w:sz="0" w:space="0" w:color="auto"/>
      </w:divBdr>
    </w:div>
    <w:div w:id="200076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money.cnn.com/quote/profile/profile.html?symb=AZN" TargetMode="External" /><Relationship Id="rId26" Type="http://schemas.openxmlformats.org/officeDocument/2006/relationships/hyperlink" Target="https://www.singlecare.com/blog/farxiga-alternatives/" TargetMode="External" /><Relationship Id="rId3" Type="http://schemas.openxmlformats.org/officeDocument/2006/relationships/styles" Target="styles.xml" /><Relationship Id="rId21" Type="http://schemas.openxmlformats.org/officeDocument/2006/relationships/hyperlink" Target="https://www.fiercepharma.com/pharma/astrazenecas-farxiga-hits-1b-quarterly-mark-flagship-oncology-china-businesses-pull-back"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statista.com/statistics/970672/gdp-per-capita-in-the-uk/" TargetMode="External" /><Relationship Id="rId25" Type="http://schemas.openxmlformats.org/officeDocument/2006/relationships/hyperlink" Target="https://www.reuters.com/markets/companies/AZN.L/" TargetMode="External" /><Relationship Id="rId2" Type="http://schemas.openxmlformats.org/officeDocument/2006/relationships/numbering" Target="numbering.xml" /><Relationship Id="rId16" Type="http://schemas.openxmlformats.org/officeDocument/2006/relationships/hyperlink" Target="https://www.astrazeneca.com/content/dam/az/PDF/2021/full-year/Full-year-2021-results-announcement.pdf" TargetMode="External" /><Relationship Id="rId20" Type="http://schemas.openxmlformats.org/officeDocument/2006/relationships/hyperlink" Target="https://www.farxiga.com/" TargetMode="External" /><Relationship Id="rId29" Type="http://schemas.openxmlformats.org/officeDocument/2006/relationships/hyperlink" Target="https://thinktivity.wixsite.com/thinktivity/single-post/2016-1-20-price-elasticity-of-demand"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ons.gov.uk/peoplepopulationandcommunity/healthandsocialcare/healthcaresystem/bulletins/ukhealthaccounts/2020"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astrazeneca.com/media-centre/medical-releases/farxiga-showed-cardiovascular-and-renal-benefit-in-patients-with-chronic-kidney-disease-irrespective-of-cardiovascular-disease-status.html" TargetMode="External" /><Relationship Id="rId23" Type="http://schemas.openxmlformats.org/officeDocument/2006/relationships/hyperlink" Target="https://www.ons.gov.uk/peoplepopulationandcommunity/populationandmigration/populationestimates/timeseries/ukpop/pop" TargetMode="External" /><Relationship Id="rId28" Type="http://schemas.openxmlformats.org/officeDocument/2006/relationships/hyperlink" Target="https://www.ukmeds.co.uk/forxiga" TargetMode="External" /><Relationship Id="rId10" Type="http://schemas.openxmlformats.org/officeDocument/2006/relationships/image" Target="media/image3.png" /><Relationship Id="rId19" Type="http://schemas.openxmlformats.org/officeDocument/2006/relationships/hyperlink" Target="https://www.econport.org/content/handbook/Equilibrium/shifts-graph.html"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hyperlink" Target="https://www.statista.com/statistics/266556/expenditure-on-research-and-development-of-astrazeneca-since-2006/" TargetMode="External" /><Relationship Id="rId27" Type="http://schemas.openxmlformats.org/officeDocument/2006/relationships/hyperlink" Target="https://www.toppr.com/guides/fundamentals-of-economics-and-management/equilibrium/change-in-equilibrium-price-due-to-shift-in-demand/"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D620A06-777C-456D-9BF3-CD5E5A573D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cp:lastModifiedBy>
  <cp:revision>2</cp:revision>
  <dcterms:created xsi:type="dcterms:W3CDTF">2022-09-02T15:35:00Z</dcterms:created>
  <dcterms:modified xsi:type="dcterms:W3CDTF">2022-09-02T15:35:00Z</dcterms:modified>
</cp:coreProperties>
</file>