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wdp" ContentType="image/vnd.ms-photo"/>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2.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13.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14.xml" ContentType="application/vnd.openxmlformats-officedocument.themeOverrid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15.xml" ContentType="application/vnd.openxmlformats-officedocument.themeOverrid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16.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1571EE" w14:textId="77777777" w:rsidR="002D5B3F" w:rsidRDefault="009F5CB2"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394B8EB9" wp14:editId="22AF2527">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0854E18" w14:textId="77777777"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14:paraId="6511A9FC" w14:textId="77777777"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4730BBD" wp14:editId="7C9635D6">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94B8EB9"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10854E18" w14:textId="77777777"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14:paraId="6511A9FC" w14:textId="77777777"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4730BBD" wp14:editId="7C9635D6">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rPr>
        <w:drawing>
          <wp:inline distT="0" distB="0" distL="0" distR="0" wp14:anchorId="343109C2" wp14:editId="585020FB">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9C0A59A"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140F4D7" w14:textId="77777777" w:rsidTr="00A55876">
        <w:tc>
          <w:tcPr>
            <w:tcW w:w="10670" w:type="dxa"/>
            <w:shd w:val="clear" w:color="auto" w:fill="C0C0C0"/>
          </w:tcPr>
          <w:p w14:paraId="1E9E05C0" w14:textId="77777777" w:rsidR="00BA6B2C" w:rsidRPr="00BA6B2C" w:rsidRDefault="0088296F"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14:paraId="2F4F5371" w14:textId="77777777" w:rsidR="00681FA9" w:rsidRPr="009F5CB2" w:rsidRDefault="00681FA9" w:rsidP="00681FA9">
            <w:pPr>
              <w:jc w:val="center"/>
              <w:rPr>
                <w:rFonts w:ascii="Arial" w:hAnsi="Arial" w:cs="Arial"/>
              </w:rPr>
            </w:pPr>
            <w:r w:rsidRPr="009F5CB2">
              <w:rPr>
                <w:rFonts w:ascii="Arial" w:hAnsi="Arial" w:cs="Arial"/>
                <w:b/>
                <w:noProof/>
                <w:sz w:val="24"/>
                <w:szCs w:val="24"/>
              </w:rPr>
              <w:t>S</w:t>
            </w:r>
            <w:r w:rsidR="00BA6B2C">
              <w:rPr>
                <w:rFonts w:ascii="Arial" w:hAnsi="Arial" w:cs="Arial"/>
                <w:b/>
                <w:noProof/>
                <w:sz w:val="24"/>
                <w:szCs w:val="24"/>
              </w:rPr>
              <w:t>OUTH WEST WALES CENTRE FOR TEACHER EDUCATION</w:t>
            </w:r>
          </w:p>
        </w:tc>
      </w:tr>
    </w:tbl>
    <w:p w14:paraId="03FD86F8" w14:textId="77777777" w:rsidR="003A3CE5" w:rsidRPr="00BA6B2C" w:rsidRDefault="00BA6B2C" w:rsidP="002D5B3F">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14:paraId="2AE13FB5" w14:textId="77777777" w:rsidTr="001A24F3">
        <w:tc>
          <w:tcPr>
            <w:tcW w:w="2093" w:type="dxa"/>
            <w:shd w:val="pct15" w:color="auto" w:fill="auto"/>
          </w:tcPr>
          <w:p w14:paraId="302F87AD"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2A74B870" w14:textId="60D6719A" w:rsidR="003B3F9D" w:rsidRPr="00C1361B" w:rsidRDefault="0017512A"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r w:rsidR="002E0F5E">
              <w:rPr>
                <w:rFonts w:ascii="Calibri" w:hAnsi="Calibri" w:cs="Arial"/>
                <w:b/>
                <w:sz w:val="22"/>
                <w:szCs w:val="22"/>
              </w:rPr>
              <w:t xml:space="preserve">Luke </w:t>
            </w:r>
            <w:proofErr w:type="spellStart"/>
            <w:r w:rsidR="002E0F5E">
              <w:rPr>
                <w:rFonts w:ascii="Calibri" w:hAnsi="Calibri" w:cs="Arial"/>
                <w:b/>
                <w:sz w:val="22"/>
                <w:szCs w:val="22"/>
              </w:rPr>
              <w:t>Kingdon</w:t>
            </w:r>
            <w:proofErr w:type="spellEnd"/>
          </w:p>
        </w:tc>
        <w:tc>
          <w:tcPr>
            <w:tcW w:w="2613" w:type="dxa"/>
            <w:shd w:val="clear" w:color="auto" w:fill="D9D9D9"/>
          </w:tcPr>
          <w:p w14:paraId="5AD46A31"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1FABAE9" w14:textId="3D87330D" w:rsidR="003B3F9D" w:rsidRPr="00C1361B" w:rsidRDefault="002E0F5E" w:rsidP="001E57C1">
            <w:pPr>
              <w:spacing w:before="120" w:after="120"/>
              <w:jc w:val="both"/>
              <w:rPr>
                <w:rFonts w:ascii="Calibri" w:hAnsi="Calibri" w:cs="Arial"/>
                <w:b/>
                <w:sz w:val="22"/>
                <w:szCs w:val="22"/>
              </w:rPr>
            </w:pPr>
            <w:r>
              <w:rPr>
                <w:rFonts w:ascii="Calibri" w:hAnsi="Calibri" w:cs="Arial"/>
                <w:b/>
                <w:sz w:val="22"/>
                <w:szCs w:val="22"/>
              </w:rPr>
              <w:t>1705382</w:t>
            </w:r>
          </w:p>
        </w:tc>
      </w:tr>
      <w:tr w:rsidR="00DB116D" w:rsidRPr="00C1361B" w14:paraId="65B98E61" w14:textId="77777777" w:rsidTr="001A24F3">
        <w:tc>
          <w:tcPr>
            <w:tcW w:w="2093" w:type="dxa"/>
            <w:shd w:val="pct15" w:color="auto" w:fill="auto"/>
          </w:tcPr>
          <w:p w14:paraId="1E55CC0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14:paraId="5C814178" w14:textId="6C12B008" w:rsidR="00DB116D" w:rsidRPr="008566E5" w:rsidRDefault="007423C5" w:rsidP="00B53B62">
            <w:pPr>
              <w:spacing w:before="120" w:after="120"/>
              <w:jc w:val="both"/>
              <w:rPr>
                <w:rFonts w:ascii="Calibri" w:hAnsi="Calibri" w:cs="Arial"/>
                <w:b/>
                <w:sz w:val="22"/>
                <w:szCs w:val="22"/>
              </w:rPr>
            </w:pPr>
            <w:r>
              <w:rPr>
                <w:rFonts w:ascii="Calibri" w:hAnsi="Calibri" w:cs="Arial"/>
                <w:b/>
                <w:sz w:val="22"/>
                <w:szCs w:val="22"/>
              </w:rPr>
              <w:t xml:space="preserve">Secondary </w:t>
            </w:r>
            <w:r w:rsidR="00B53B62">
              <w:rPr>
                <w:rFonts w:ascii="Calibri" w:hAnsi="Calibri" w:cs="Arial"/>
                <w:b/>
                <w:sz w:val="22"/>
                <w:szCs w:val="22"/>
              </w:rPr>
              <w:t>Post</w:t>
            </w:r>
            <w:r>
              <w:rPr>
                <w:rFonts w:ascii="Calibri" w:hAnsi="Calibri" w:cs="Arial"/>
                <w:b/>
                <w:sz w:val="22"/>
                <w:szCs w:val="22"/>
              </w:rPr>
              <w:t xml:space="preserve"> Graduate Certificate in Education</w:t>
            </w:r>
          </w:p>
        </w:tc>
      </w:tr>
      <w:tr w:rsidR="00FB5CF8" w:rsidRPr="00C1361B" w14:paraId="2D85E5DF" w14:textId="77777777" w:rsidTr="001A24F3">
        <w:tc>
          <w:tcPr>
            <w:tcW w:w="2093" w:type="dxa"/>
            <w:shd w:val="pct15" w:color="auto" w:fill="auto"/>
          </w:tcPr>
          <w:p w14:paraId="1A980DC3"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14:paraId="5654A23E" w14:textId="157ED01D" w:rsidR="00FB5CF8" w:rsidRPr="00C1361B" w:rsidRDefault="007866E5" w:rsidP="00EA6801">
            <w:pPr>
              <w:spacing w:before="120" w:after="120"/>
              <w:rPr>
                <w:rFonts w:ascii="Calibri" w:hAnsi="Calibri" w:cs="Arial"/>
                <w:b/>
                <w:sz w:val="22"/>
                <w:szCs w:val="22"/>
              </w:rPr>
            </w:pPr>
            <w:r>
              <w:rPr>
                <w:rFonts w:ascii="Arial" w:hAnsi="Arial" w:cs="Arial"/>
                <w:b/>
                <w:szCs w:val="32"/>
              </w:rPr>
              <w:t>Curriculum Development and Enhancement</w:t>
            </w:r>
          </w:p>
        </w:tc>
        <w:tc>
          <w:tcPr>
            <w:tcW w:w="2613" w:type="dxa"/>
            <w:shd w:val="clear" w:color="auto" w:fill="D9D9D9"/>
          </w:tcPr>
          <w:p w14:paraId="07E10B67" w14:textId="77777777" w:rsidR="00FB5CF8"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Level (</w:t>
            </w:r>
            <w:r w:rsidR="00FB5CF8" w:rsidRPr="00C1361B">
              <w:rPr>
                <w:rFonts w:ascii="Calibri" w:hAnsi="Calibri" w:cs="Arial"/>
                <w:b/>
                <w:sz w:val="22"/>
                <w:szCs w:val="22"/>
              </w:rPr>
              <w:t>6</w:t>
            </w:r>
            <w:r>
              <w:rPr>
                <w:rFonts w:ascii="Calibri" w:hAnsi="Calibri" w:cs="Arial"/>
                <w:b/>
                <w:sz w:val="22"/>
                <w:szCs w:val="22"/>
              </w:rPr>
              <w:t xml:space="preserve"> or 7</w:t>
            </w:r>
            <w:r w:rsidR="00FB5CF8" w:rsidRPr="00C1361B">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14:paraId="5F7F30F4" w14:textId="01FA5467" w:rsidR="00FB5CF8" w:rsidRPr="00C1361B" w:rsidRDefault="007423C5" w:rsidP="007866E5">
            <w:pPr>
              <w:spacing w:before="120" w:after="120"/>
              <w:jc w:val="both"/>
              <w:rPr>
                <w:rFonts w:ascii="Calibri" w:hAnsi="Calibri" w:cs="Arial"/>
                <w:b/>
                <w:sz w:val="22"/>
                <w:szCs w:val="22"/>
              </w:rPr>
            </w:pPr>
            <w:r>
              <w:rPr>
                <w:rFonts w:ascii="Calibri" w:hAnsi="Calibri" w:cs="Arial"/>
                <w:b/>
                <w:sz w:val="22"/>
                <w:szCs w:val="22"/>
              </w:rPr>
              <w:t xml:space="preserve">Level </w:t>
            </w:r>
            <w:r w:rsidR="00B53B62">
              <w:rPr>
                <w:rFonts w:ascii="Calibri" w:hAnsi="Calibri" w:cs="Arial"/>
                <w:b/>
                <w:sz w:val="22"/>
                <w:szCs w:val="22"/>
              </w:rPr>
              <w:t>7</w:t>
            </w:r>
          </w:p>
        </w:tc>
      </w:tr>
      <w:tr w:rsidR="00B84B5B" w:rsidRPr="00C1361B" w14:paraId="79A265BB" w14:textId="77777777" w:rsidTr="001A24F3">
        <w:tc>
          <w:tcPr>
            <w:tcW w:w="2093" w:type="dxa"/>
            <w:shd w:val="pct15" w:color="auto" w:fill="auto"/>
          </w:tcPr>
          <w:p w14:paraId="04D05EB4"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14:paraId="48CDC5D4" w14:textId="7F227972" w:rsidR="00B84B5B" w:rsidRPr="00C1361B" w:rsidRDefault="00E3293C" w:rsidP="00152E9D">
            <w:pPr>
              <w:spacing w:before="120" w:after="120"/>
              <w:jc w:val="both"/>
              <w:rPr>
                <w:rFonts w:ascii="Calibri" w:hAnsi="Calibri" w:cs="Arial"/>
                <w:b/>
                <w:sz w:val="22"/>
                <w:szCs w:val="22"/>
              </w:rPr>
            </w:pPr>
            <w:r w:rsidRPr="00E3293C">
              <w:rPr>
                <w:rFonts w:ascii="Calibri" w:hAnsi="Calibri" w:cs="Arial"/>
                <w:b/>
                <w:sz w:val="22"/>
                <w:szCs w:val="22"/>
              </w:rPr>
              <w:t>ECSP7002</w:t>
            </w:r>
          </w:p>
        </w:tc>
        <w:tc>
          <w:tcPr>
            <w:tcW w:w="2613" w:type="dxa"/>
            <w:shd w:val="clear" w:color="auto" w:fill="D9D9D9"/>
          </w:tcPr>
          <w:p w14:paraId="192B36D3"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29E30A34"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111" w:type="dxa"/>
          </w:tcPr>
          <w:p w14:paraId="060B46A9" w14:textId="29A14BCA" w:rsidR="00B84B5B" w:rsidRPr="00C1361B" w:rsidRDefault="007423C5" w:rsidP="00E51AAC">
            <w:pPr>
              <w:spacing w:before="120" w:after="120"/>
              <w:jc w:val="both"/>
              <w:rPr>
                <w:rFonts w:ascii="Calibri" w:hAnsi="Calibri" w:cs="Arial"/>
                <w:b/>
                <w:sz w:val="22"/>
                <w:szCs w:val="22"/>
              </w:rPr>
            </w:pPr>
            <w:r>
              <w:rPr>
                <w:rFonts w:ascii="Calibri" w:hAnsi="Calibri" w:cs="Arial"/>
                <w:b/>
                <w:sz w:val="22"/>
                <w:szCs w:val="22"/>
              </w:rPr>
              <w:t>100</w:t>
            </w:r>
          </w:p>
        </w:tc>
      </w:tr>
      <w:tr w:rsidR="00BA6B2C" w:rsidRPr="00C1361B" w14:paraId="4F3D72FF" w14:textId="77777777" w:rsidTr="00BA6B2C">
        <w:tc>
          <w:tcPr>
            <w:tcW w:w="2093" w:type="dxa"/>
            <w:shd w:val="pct15" w:color="auto" w:fill="auto"/>
          </w:tcPr>
          <w:p w14:paraId="6625BACE" w14:textId="77777777"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507C650D" w14:textId="510BBF2B" w:rsidR="00BA6B2C" w:rsidRPr="00C1361B" w:rsidRDefault="00E3293C" w:rsidP="00E51AAC">
            <w:pPr>
              <w:spacing w:before="120" w:after="120"/>
              <w:jc w:val="both"/>
              <w:rPr>
                <w:rFonts w:ascii="Calibri" w:hAnsi="Calibri" w:cs="Arial"/>
                <w:b/>
                <w:sz w:val="22"/>
                <w:szCs w:val="22"/>
              </w:rPr>
            </w:pPr>
            <w:r>
              <w:rPr>
                <w:rFonts w:ascii="Calibri" w:hAnsi="Calibri" w:cs="Arial"/>
                <w:b/>
                <w:sz w:val="22"/>
                <w:szCs w:val="22"/>
              </w:rPr>
              <w:t>Jan Barnes</w:t>
            </w:r>
          </w:p>
        </w:tc>
      </w:tr>
      <w:tr w:rsidR="00DB116D" w:rsidRPr="00C1361B" w14:paraId="690C1982" w14:textId="77777777" w:rsidTr="001A24F3">
        <w:tc>
          <w:tcPr>
            <w:tcW w:w="2093" w:type="dxa"/>
            <w:shd w:val="pct15" w:color="auto" w:fill="auto"/>
          </w:tcPr>
          <w:p w14:paraId="0371813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3781" w:type="dxa"/>
          </w:tcPr>
          <w:p w14:paraId="3477205B" w14:textId="4EE1ABF9" w:rsidR="00DB116D" w:rsidRPr="00F67644" w:rsidRDefault="00BC0EEA" w:rsidP="00BC0EEA">
            <w:pPr>
              <w:spacing w:before="120" w:after="120"/>
              <w:rPr>
                <w:rFonts w:ascii="Calibri" w:hAnsi="Calibri" w:cs="Arial"/>
                <w:b/>
                <w:sz w:val="22"/>
                <w:szCs w:val="22"/>
              </w:rPr>
            </w:pPr>
            <w:r>
              <w:rPr>
                <w:rFonts w:ascii="Arial" w:hAnsi="Arial" w:cs="Arial"/>
                <w:b/>
                <w:szCs w:val="32"/>
              </w:rPr>
              <w:t>Reflections on Teaching and Learning</w:t>
            </w:r>
          </w:p>
        </w:tc>
        <w:tc>
          <w:tcPr>
            <w:tcW w:w="2613" w:type="dxa"/>
            <w:shd w:val="pct15" w:color="auto" w:fill="auto"/>
          </w:tcPr>
          <w:p w14:paraId="592102D2"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14:paraId="6276223B" w14:textId="0BA4BD3F" w:rsidR="00DB116D" w:rsidRPr="00C1361B" w:rsidRDefault="007423C5" w:rsidP="00E51AAC">
            <w:pPr>
              <w:spacing w:before="120" w:after="120"/>
              <w:jc w:val="both"/>
              <w:rPr>
                <w:rFonts w:ascii="Calibri" w:hAnsi="Calibri" w:cs="Arial"/>
                <w:b/>
                <w:sz w:val="22"/>
                <w:szCs w:val="22"/>
              </w:rPr>
            </w:pPr>
            <w:r>
              <w:rPr>
                <w:rFonts w:ascii="Calibri" w:hAnsi="Calibri" w:cs="Arial"/>
                <w:b/>
                <w:sz w:val="22"/>
                <w:szCs w:val="22"/>
              </w:rPr>
              <w:t>1</w:t>
            </w:r>
          </w:p>
        </w:tc>
      </w:tr>
      <w:tr w:rsidR="00B84B5B" w:rsidRPr="00C1361B" w14:paraId="21437509" w14:textId="77777777" w:rsidTr="001A24F3">
        <w:tc>
          <w:tcPr>
            <w:tcW w:w="2093" w:type="dxa"/>
            <w:shd w:val="pct15" w:color="auto" w:fill="auto"/>
          </w:tcPr>
          <w:p w14:paraId="103B7588" w14:textId="77777777"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5418AC0F" w14:textId="77777777" w:rsidR="00B84B5B" w:rsidRPr="00C1361B" w:rsidRDefault="00B84B5B" w:rsidP="005F0579">
            <w:pPr>
              <w:spacing w:before="120" w:after="120"/>
              <w:jc w:val="both"/>
              <w:rPr>
                <w:rFonts w:ascii="Calibri" w:hAnsi="Calibri" w:cs="Arial"/>
                <w:b/>
                <w:sz w:val="22"/>
                <w:szCs w:val="22"/>
              </w:rPr>
            </w:pPr>
          </w:p>
        </w:tc>
        <w:tc>
          <w:tcPr>
            <w:tcW w:w="2613" w:type="dxa"/>
            <w:shd w:val="pct15" w:color="auto" w:fill="auto"/>
          </w:tcPr>
          <w:p w14:paraId="518DAA7E"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r w:rsidR="00BA6B2C">
              <w:rPr>
                <w:rFonts w:ascii="Calibri" w:hAnsi="Calibri" w:cs="Arial"/>
                <w:b/>
                <w:sz w:val="22"/>
                <w:szCs w:val="22"/>
              </w:rPr>
              <w:t>*</w:t>
            </w:r>
          </w:p>
        </w:tc>
        <w:tc>
          <w:tcPr>
            <w:tcW w:w="2111" w:type="dxa"/>
          </w:tcPr>
          <w:p w14:paraId="42D284F5" w14:textId="04BBE341" w:rsidR="00B84B5B" w:rsidRPr="00C1361B" w:rsidRDefault="00BC0EEA" w:rsidP="005F0579">
            <w:pPr>
              <w:spacing w:before="120" w:after="120"/>
              <w:jc w:val="both"/>
              <w:rPr>
                <w:rFonts w:ascii="Calibri" w:hAnsi="Calibri" w:cs="Arial"/>
                <w:b/>
                <w:sz w:val="22"/>
                <w:szCs w:val="22"/>
              </w:rPr>
            </w:pPr>
            <w:r>
              <w:rPr>
                <w:rFonts w:ascii="Calibri" w:hAnsi="Calibri" w:cs="Arial"/>
                <w:b/>
                <w:sz w:val="22"/>
                <w:szCs w:val="22"/>
              </w:rPr>
              <w:t>1</w:t>
            </w:r>
            <w:r w:rsidR="00E3293C">
              <w:rPr>
                <w:rFonts w:ascii="Calibri" w:hAnsi="Calibri" w:cs="Arial"/>
                <w:b/>
                <w:sz w:val="22"/>
                <w:szCs w:val="22"/>
              </w:rPr>
              <w:t>4</w:t>
            </w:r>
            <w:r w:rsidRPr="007866E5">
              <w:rPr>
                <w:rFonts w:ascii="Calibri" w:hAnsi="Calibri" w:cs="Arial"/>
                <w:b/>
                <w:sz w:val="22"/>
                <w:szCs w:val="22"/>
                <w:vertAlign w:val="superscript"/>
              </w:rPr>
              <w:t>th</w:t>
            </w:r>
            <w:r w:rsidR="00E3293C">
              <w:rPr>
                <w:rFonts w:ascii="Calibri" w:hAnsi="Calibri" w:cs="Arial"/>
                <w:b/>
                <w:sz w:val="22"/>
                <w:szCs w:val="22"/>
              </w:rPr>
              <w:t xml:space="preserve"> May 2018</w:t>
            </w:r>
            <w:r>
              <w:rPr>
                <w:rFonts w:ascii="Calibri" w:hAnsi="Calibri" w:cs="Arial"/>
                <w:b/>
                <w:sz w:val="22"/>
                <w:szCs w:val="22"/>
              </w:rPr>
              <w:t xml:space="preserve"> –full submission</w:t>
            </w:r>
          </w:p>
        </w:tc>
      </w:tr>
      <w:tr w:rsidR="00152E9D" w:rsidRPr="00C1361B" w14:paraId="2269790A" w14:textId="77777777" w:rsidTr="00152E9D">
        <w:tc>
          <w:tcPr>
            <w:tcW w:w="2093" w:type="dxa"/>
            <w:shd w:val="pct15" w:color="auto" w:fill="auto"/>
          </w:tcPr>
          <w:p w14:paraId="33ED9F6E" w14:textId="58D4DABE"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8505" w:type="dxa"/>
            <w:gridSpan w:val="3"/>
            <w:shd w:val="clear" w:color="auto" w:fill="auto"/>
          </w:tcPr>
          <w:p w14:paraId="3E0A0B8A" w14:textId="77D589BB" w:rsidR="007866E5" w:rsidRPr="00C1361B" w:rsidRDefault="00BC0EEA" w:rsidP="005F0579">
            <w:pPr>
              <w:spacing w:before="120" w:after="120"/>
              <w:jc w:val="both"/>
              <w:rPr>
                <w:rFonts w:ascii="Calibri" w:hAnsi="Calibri" w:cs="Arial"/>
                <w:b/>
                <w:sz w:val="22"/>
                <w:szCs w:val="22"/>
              </w:rPr>
            </w:pPr>
            <w:r>
              <w:rPr>
                <w:rFonts w:ascii="Calibri" w:hAnsi="Calibri" w:cs="Arial"/>
                <w:b/>
                <w:sz w:val="22"/>
                <w:szCs w:val="22"/>
              </w:rPr>
              <w:t>1</w:t>
            </w:r>
            <w:r w:rsidR="00E3293C">
              <w:rPr>
                <w:rFonts w:ascii="Calibri" w:hAnsi="Calibri" w:cs="Arial"/>
                <w:b/>
                <w:sz w:val="22"/>
                <w:szCs w:val="22"/>
              </w:rPr>
              <w:t>1</w:t>
            </w:r>
            <w:r w:rsidRPr="00BC0EEA">
              <w:rPr>
                <w:rFonts w:ascii="Calibri" w:hAnsi="Calibri" w:cs="Arial"/>
                <w:b/>
                <w:sz w:val="22"/>
                <w:szCs w:val="22"/>
                <w:vertAlign w:val="superscript"/>
              </w:rPr>
              <w:t>th</w:t>
            </w:r>
            <w:r>
              <w:rPr>
                <w:rFonts w:ascii="Calibri" w:hAnsi="Calibri" w:cs="Arial"/>
                <w:b/>
                <w:sz w:val="22"/>
                <w:szCs w:val="22"/>
              </w:rPr>
              <w:t xml:space="preserve"> June 201</w:t>
            </w:r>
            <w:r w:rsidR="00E3293C">
              <w:rPr>
                <w:rFonts w:ascii="Calibri" w:hAnsi="Calibri" w:cs="Arial"/>
                <w:b/>
                <w:sz w:val="22"/>
                <w:szCs w:val="22"/>
              </w:rPr>
              <w:t>8</w:t>
            </w:r>
          </w:p>
        </w:tc>
      </w:tr>
    </w:tbl>
    <w:p w14:paraId="4355282F" w14:textId="694E0065"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108D345A" w14:textId="77777777">
        <w:trPr>
          <w:trHeight w:val="421"/>
        </w:trPr>
        <w:tc>
          <w:tcPr>
            <w:tcW w:w="1809" w:type="dxa"/>
            <w:tcBorders>
              <w:top w:val="single" w:sz="6" w:space="0" w:color="auto"/>
            </w:tcBorders>
            <w:shd w:val="clear" w:color="auto" w:fill="D9D9D9"/>
          </w:tcPr>
          <w:p w14:paraId="34F36BB7"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797820BF"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14:paraId="14FF598C" w14:textId="77777777" w:rsidTr="00BA1176">
        <w:trPr>
          <w:trHeight w:val="666"/>
        </w:trPr>
        <w:tc>
          <w:tcPr>
            <w:tcW w:w="1809" w:type="dxa"/>
            <w:tcBorders>
              <w:top w:val="single" w:sz="6" w:space="0" w:color="auto"/>
            </w:tcBorders>
            <w:shd w:val="clear" w:color="auto" w:fill="D9D9D9"/>
          </w:tcPr>
          <w:p w14:paraId="141E2901" w14:textId="77777777"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6417C9B4" w14:textId="77777777"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FA1DD06" w14:textId="77777777"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w:t>
            </w:r>
            <w:r w:rsidR="00BA6B2C">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sidR="00BA6B2C">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7FA918D3"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152A5B5A" w14:textId="77777777" w:rsidR="00FB5CF8" w:rsidRPr="00C1361B" w:rsidRDefault="00FB5CF8" w:rsidP="00FB5CF8">
            <w:pPr>
              <w:rPr>
                <w:rFonts w:ascii="Calibri" w:hAnsi="Calibri" w:cs="Arial"/>
                <w:b/>
              </w:rPr>
            </w:pPr>
          </w:p>
        </w:tc>
      </w:tr>
    </w:tbl>
    <w:p w14:paraId="231B1F23" w14:textId="77777777"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6891BFCE" w14:textId="77777777" w:rsidTr="00152E9D">
        <w:trPr>
          <w:trHeight w:val="386"/>
        </w:trPr>
        <w:tc>
          <w:tcPr>
            <w:tcW w:w="9464" w:type="dxa"/>
            <w:vMerge w:val="restart"/>
            <w:shd w:val="pct15" w:color="auto" w:fill="auto"/>
          </w:tcPr>
          <w:p w14:paraId="62863BEF" w14:textId="77777777" w:rsidR="00BA1176" w:rsidRPr="00BA1176" w:rsidRDefault="00BA6B2C" w:rsidP="0022746E">
            <w:pPr>
              <w:spacing w:before="120" w:after="120"/>
              <w:jc w:val="both"/>
              <w:rPr>
                <w:rFonts w:ascii="Calibri" w:hAnsi="Calibri" w:cs="Calibri"/>
                <w:b/>
                <w:sz w:val="18"/>
                <w:szCs w:val="18"/>
              </w:rPr>
            </w:pPr>
            <w:r>
              <w:rPr>
                <w:rFonts w:ascii="Calibri" w:hAnsi="Calibri" w:cs="Arial"/>
                <w:sz w:val="18"/>
                <w:szCs w:val="18"/>
              </w:rPr>
              <w:t>Module lead</w:t>
            </w:r>
            <w:r w:rsidR="00152E9D" w:rsidRPr="00BA1176">
              <w:rPr>
                <w:rFonts w:ascii="Calibri" w:hAnsi="Calibri" w:cs="Arial"/>
                <w:sz w:val="18"/>
                <w:szCs w:val="18"/>
              </w:rPr>
              <w:t xml:space="preserve"> to</w:t>
            </w:r>
            <w:r w:rsidR="003B6C95">
              <w:rPr>
                <w:rFonts w:ascii="Calibri" w:hAnsi="Calibri" w:cs="Arial"/>
                <w:sz w:val="18"/>
                <w:szCs w:val="18"/>
              </w:rPr>
              <w:t xml:space="preserve"> </w:t>
            </w:r>
            <w:r w:rsidR="00152E9D" w:rsidRPr="00BA1176">
              <w:rPr>
                <w:rFonts w:ascii="Calibri" w:hAnsi="Calibri" w:cs="Arial"/>
                <w:sz w:val="18"/>
                <w:szCs w:val="18"/>
              </w:rPr>
              <w:t>t</w:t>
            </w:r>
            <w:r w:rsidR="00152E9D">
              <w:rPr>
                <w:rFonts w:ascii="Calibri" w:hAnsi="Calibri" w:cs="Arial"/>
                <w:sz w:val="18"/>
                <w:szCs w:val="18"/>
              </w:rPr>
              <w:t>ick to indicate if a hard copy</w:t>
            </w:r>
            <w:r w:rsidR="00152E9D" w:rsidRPr="00BA1176">
              <w:rPr>
                <w:rFonts w:ascii="Calibri" w:hAnsi="Calibri" w:cs="Arial"/>
                <w:sz w:val="18"/>
                <w:szCs w:val="18"/>
              </w:rPr>
              <w:t xml:space="preserve"> version of the assignment must be</w:t>
            </w:r>
            <w:r w:rsidR="00152E9D">
              <w:rPr>
                <w:rFonts w:ascii="Calibri" w:hAnsi="Calibri" w:cs="Arial"/>
                <w:sz w:val="18"/>
                <w:szCs w:val="18"/>
              </w:rPr>
              <w:t xml:space="preserve"> submitted.</w:t>
            </w:r>
            <w:r>
              <w:rPr>
                <w:rFonts w:ascii="Calibri" w:hAnsi="Calibri" w:cs="Arial"/>
                <w:sz w:val="18"/>
                <w:szCs w:val="18"/>
              </w:rPr>
              <w:t>*</w:t>
            </w:r>
          </w:p>
        </w:tc>
        <w:tc>
          <w:tcPr>
            <w:tcW w:w="567" w:type="dxa"/>
            <w:shd w:val="pct15" w:color="auto" w:fill="auto"/>
          </w:tcPr>
          <w:p w14:paraId="52B61ED5"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2FC9B782" w14:textId="77777777" w:rsidR="00BA1176" w:rsidRPr="00BF30FF" w:rsidRDefault="00BA1176" w:rsidP="00B81AD3">
            <w:pPr>
              <w:spacing w:before="120" w:after="120"/>
              <w:jc w:val="both"/>
              <w:rPr>
                <w:rFonts w:ascii="Calibri" w:hAnsi="Calibri" w:cs="Calibri"/>
                <w:b/>
              </w:rPr>
            </w:pPr>
          </w:p>
        </w:tc>
      </w:tr>
      <w:tr w:rsidR="00BA1176" w:rsidRPr="00BF30FF" w14:paraId="2E5F7482" w14:textId="77777777" w:rsidTr="00152E9D">
        <w:trPr>
          <w:trHeight w:val="408"/>
        </w:trPr>
        <w:tc>
          <w:tcPr>
            <w:tcW w:w="9464" w:type="dxa"/>
            <w:vMerge/>
            <w:shd w:val="pct15" w:color="auto" w:fill="auto"/>
          </w:tcPr>
          <w:p w14:paraId="3A7829E9"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2EECB4F3"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49E697EE" w14:textId="44D97981" w:rsidR="00BA1176" w:rsidRPr="00BF30FF" w:rsidRDefault="007423C5" w:rsidP="00B81AD3">
            <w:pPr>
              <w:spacing w:before="120" w:after="120"/>
              <w:jc w:val="both"/>
              <w:rPr>
                <w:rFonts w:ascii="Calibri" w:hAnsi="Calibri" w:cs="Calibri"/>
                <w:b/>
              </w:rPr>
            </w:pPr>
            <w:r>
              <w:rPr>
                <w:rFonts w:ascii="Calibri" w:hAnsi="Calibri" w:cs="Calibri"/>
                <w:b/>
              </w:rPr>
              <w:t>√</w:t>
            </w:r>
          </w:p>
        </w:tc>
      </w:tr>
    </w:tbl>
    <w:p w14:paraId="1F055A0C" w14:textId="77777777" w:rsidR="0028204E" w:rsidRDefault="0028204E" w:rsidP="00DB116D">
      <w:pPr>
        <w:rPr>
          <w:sz w:val="32"/>
        </w:rPr>
      </w:pPr>
    </w:p>
    <w:p w14:paraId="2B5C4864" w14:textId="77777777" w:rsidR="00152E9D" w:rsidRDefault="00152E9D" w:rsidP="00DB116D">
      <w:pPr>
        <w:rPr>
          <w:rFonts w:ascii="Calibri" w:hAnsi="Calibri" w:cs="Calibri"/>
          <w:b/>
        </w:rPr>
      </w:pPr>
    </w:p>
    <w:p w14:paraId="0E51E97E" w14:textId="30D665BE" w:rsidR="00BA6B2C" w:rsidRDefault="00BA6B2C" w:rsidP="00DB116D">
      <w:pPr>
        <w:rPr>
          <w:rFonts w:ascii="Calibri" w:hAnsi="Calibri" w:cs="Calibri"/>
          <w:b/>
        </w:rPr>
      </w:pPr>
    </w:p>
    <w:p w14:paraId="2C09EE49" w14:textId="14072C35" w:rsidR="002E0F5E" w:rsidRDefault="002E0F5E" w:rsidP="00DB116D">
      <w:pPr>
        <w:rPr>
          <w:rFonts w:ascii="Calibri" w:hAnsi="Calibri" w:cs="Calibri"/>
          <w:b/>
        </w:rPr>
      </w:pPr>
    </w:p>
    <w:p w14:paraId="72379DE1" w14:textId="5AB0BC85" w:rsidR="002E0F5E" w:rsidRDefault="002E0F5E" w:rsidP="00DB116D">
      <w:pPr>
        <w:rPr>
          <w:rFonts w:ascii="Calibri" w:hAnsi="Calibri" w:cs="Calibri"/>
          <w:b/>
        </w:rPr>
      </w:pPr>
    </w:p>
    <w:p w14:paraId="493D16DA" w14:textId="47A28F8C" w:rsidR="002E0F5E" w:rsidRDefault="002E0F5E" w:rsidP="00DB116D">
      <w:pPr>
        <w:rPr>
          <w:rFonts w:ascii="Calibri" w:hAnsi="Calibri" w:cs="Calibri"/>
          <w:b/>
        </w:rPr>
      </w:pPr>
    </w:p>
    <w:p w14:paraId="4269CC58" w14:textId="6FD127AE" w:rsidR="002E0F5E" w:rsidRDefault="002E0F5E" w:rsidP="00DB116D">
      <w:pPr>
        <w:rPr>
          <w:rFonts w:ascii="Calibri" w:hAnsi="Calibri" w:cs="Calibri"/>
          <w:b/>
        </w:rPr>
      </w:pPr>
    </w:p>
    <w:p w14:paraId="45EC24A3" w14:textId="0F4666BF" w:rsidR="002E0F5E" w:rsidRDefault="002E0F5E" w:rsidP="00DB116D">
      <w:pPr>
        <w:rPr>
          <w:rFonts w:ascii="Calibri" w:hAnsi="Calibri" w:cs="Calibri"/>
          <w:b/>
        </w:rPr>
      </w:pPr>
    </w:p>
    <w:p w14:paraId="1AE06596" w14:textId="2DA5E7D0" w:rsidR="002E0F5E" w:rsidRDefault="002E0F5E" w:rsidP="00DB116D">
      <w:pPr>
        <w:rPr>
          <w:rFonts w:ascii="Calibri" w:hAnsi="Calibri" w:cs="Calibri"/>
          <w:b/>
        </w:rPr>
      </w:pPr>
    </w:p>
    <w:p w14:paraId="50BAD281" w14:textId="2A2A84B1" w:rsidR="002E0F5E" w:rsidRDefault="002E0F5E" w:rsidP="00DB116D">
      <w:pPr>
        <w:rPr>
          <w:rFonts w:ascii="Calibri" w:hAnsi="Calibri" w:cs="Calibri"/>
          <w:b/>
        </w:rPr>
      </w:pPr>
    </w:p>
    <w:p w14:paraId="4A9864B5" w14:textId="77777777" w:rsidR="002E0F5E" w:rsidRPr="002E0F5E" w:rsidRDefault="002E0F5E" w:rsidP="002E0F5E">
      <w:pPr>
        <w:spacing w:after="160" w:line="259" w:lineRule="auto"/>
        <w:rPr>
          <w:rFonts w:ascii="Calibri" w:eastAsia="Calibri" w:hAnsi="Calibri" w:cs="Calibri"/>
          <w:b/>
          <w:sz w:val="22"/>
          <w:szCs w:val="22"/>
          <w:lang w:eastAsia="en-US"/>
        </w:rPr>
      </w:pPr>
    </w:p>
    <w:p w14:paraId="535C578F" w14:textId="77777777" w:rsidR="002E0F5E" w:rsidRPr="002E0F5E" w:rsidRDefault="002E0F5E" w:rsidP="002E0F5E">
      <w:pPr>
        <w:spacing w:after="160" w:line="480" w:lineRule="auto"/>
        <w:rPr>
          <w:rFonts w:eastAsia="Calibri"/>
          <w:b/>
          <w:sz w:val="24"/>
          <w:szCs w:val="24"/>
          <w:lang w:eastAsia="en-US"/>
        </w:rPr>
      </w:pPr>
      <w:r w:rsidRPr="002E0F5E">
        <w:rPr>
          <w:rFonts w:eastAsia="Calibri"/>
          <w:b/>
          <w:sz w:val="24"/>
          <w:szCs w:val="24"/>
          <w:lang w:eastAsia="en-US"/>
        </w:rPr>
        <w:t>Intro - 200</w:t>
      </w:r>
    </w:p>
    <w:p w14:paraId="1897E0B1"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This document aims to investigate the effect of acronyms, mnemonic devices and kinaesthetic actions on pupil’s recall of graph features in the science classroom.</w:t>
      </w:r>
    </w:p>
    <w:p w14:paraId="1593B4AE" w14:textId="77777777" w:rsidR="002E0F5E" w:rsidRPr="002E0F5E" w:rsidRDefault="002E0F5E" w:rsidP="002E0F5E">
      <w:pPr>
        <w:spacing w:after="160" w:line="480" w:lineRule="auto"/>
        <w:rPr>
          <w:rFonts w:eastAsia="Calibri"/>
          <w:sz w:val="24"/>
          <w:szCs w:val="24"/>
          <w:lang w:eastAsia="en-US"/>
        </w:rPr>
      </w:pPr>
    </w:p>
    <w:p w14:paraId="5E872A89"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School Y is an English medium school with a sixth form and has over one thousand two hundred pupils enrolled. 26.2% of pupils are eligible for free school meals (FSM), as of 2017 (</w:t>
      </w:r>
      <w:proofErr w:type="spellStart"/>
      <w:r w:rsidRPr="002E0F5E">
        <w:rPr>
          <w:rFonts w:eastAsia="Calibri"/>
          <w:sz w:val="24"/>
          <w:szCs w:val="24"/>
          <w:lang w:eastAsia="en-US"/>
        </w:rPr>
        <w:t>mylocalschool</w:t>
      </w:r>
      <w:proofErr w:type="spellEnd"/>
      <w:r w:rsidRPr="002E0F5E">
        <w:rPr>
          <w:rFonts w:eastAsia="Calibri"/>
          <w:sz w:val="24"/>
          <w:szCs w:val="24"/>
          <w:lang w:eastAsia="en-US"/>
        </w:rPr>
        <w:t>, 2017), higher than the national average of 17.5% for secondary schools in Wales (</w:t>
      </w:r>
      <w:proofErr w:type="spellStart"/>
      <w:r w:rsidRPr="002E0F5E">
        <w:rPr>
          <w:rFonts w:eastAsia="Calibri"/>
          <w:sz w:val="24"/>
          <w:szCs w:val="24"/>
          <w:lang w:eastAsia="en-US"/>
        </w:rPr>
        <w:t>Estyn</w:t>
      </w:r>
      <w:proofErr w:type="spellEnd"/>
      <w:r w:rsidRPr="002E0F5E">
        <w:rPr>
          <w:rFonts w:eastAsia="Calibri"/>
          <w:sz w:val="24"/>
          <w:szCs w:val="24"/>
          <w:lang w:eastAsia="en-US"/>
        </w:rPr>
        <w:t>, 2015).</w:t>
      </w:r>
    </w:p>
    <w:p w14:paraId="0277B3DF" w14:textId="77777777" w:rsidR="002E0F5E" w:rsidRPr="002E0F5E" w:rsidRDefault="002E0F5E" w:rsidP="002E0F5E">
      <w:pPr>
        <w:spacing w:after="160" w:line="480" w:lineRule="auto"/>
        <w:rPr>
          <w:rFonts w:eastAsia="Calibri"/>
          <w:sz w:val="24"/>
          <w:szCs w:val="24"/>
          <w:lang w:eastAsia="en-US"/>
        </w:rPr>
      </w:pPr>
    </w:p>
    <w:p w14:paraId="453C2D48"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Over a third of pupils are from the 20% most deprived areas in Wales. The school has a large number of English as an Additional Language (EAL) pupils, around 12%, with most pupils coming from a white British background, and around a quarter coming from other ethnic groups.</w:t>
      </w:r>
    </w:p>
    <w:p w14:paraId="30A1F0A3" w14:textId="77777777" w:rsidR="002E0F5E" w:rsidRPr="002E0F5E" w:rsidRDefault="002E0F5E" w:rsidP="002E0F5E">
      <w:pPr>
        <w:spacing w:after="160" w:line="480" w:lineRule="auto"/>
        <w:rPr>
          <w:rFonts w:eastAsia="Calibri"/>
          <w:sz w:val="24"/>
          <w:szCs w:val="24"/>
          <w:lang w:eastAsia="en-US"/>
        </w:rPr>
      </w:pPr>
    </w:p>
    <w:p w14:paraId="4F9960A6" w14:textId="77777777" w:rsidR="002E0F5E" w:rsidRPr="002E0F5E" w:rsidRDefault="002E0F5E" w:rsidP="002E0F5E">
      <w:pPr>
        <w:spacing w:after="160" w:line="480" w:lineRule="auto"/>
        <w:rPr>
          <w:rFonts w:eastAsia="Calibri"/>
          <w:sz w:val="24"/>
          <w:szCs w:val="24"/>
          <w:lang w:val="en-US" w:eastAsia="en-US"/>
        </w:rPr>
      </w:pPr>
      <w:r w:rsidRPr="002E0F5E">
        <w:rPr>
          <w:rFonts w:eastAsia="Calibri"/>
          <w:sz w:val="24"/>
          <w:szCs w:val="24"/>
          <w:lang w:val="en-US" w:eastAsia="en-US"/>
        </w:rPr>
        <w:t>Around 23% of pupils have a special educational need, including 4.2% with a statement of special educational needs from the local authority. This is higher than the national averages of 20.1% and 2.4% respectively. The school has a Specialist Teaching Facility (STF) for pupils with moderate learning difficulties funded by the local authority.</w:t>
      </w:r>
    </w:p>
    <w:p w14:paraId="4A1DAC6D" w14:textId="77777777" w:rsidR="002E0F5E" w:rsidRPr="002E0F5E" w:rsidRDefault="002E0F5E" w:rsidP="002E0F5E">
      <w:pPr>
        <w:spacing w:after="160" w:line="480" w:lineRule="auto"/>
        <w:rPr>
          <w:rFonts w:eastAsia="Calibri"/>
          <w:sz w:val="24"/>
          <w:szCs w:val="24"/>
          <w:lang w:val="en-US" w:eastAsia="en-US"/>
        </w:rPr>
      </w:pPr>
    </w:p>
    <w:p w14:paraId="6F6CAF8E" w14:textId="77777777" w:rsidR="002E0F5E" w:rsidRPr="002E0F5E" w:rsidRDefault="002E0F5E" w:rsidP="002E0F5E">
      <w:pPr>
        <w:spacing w:after="160" w:line="480" w:lineRule="auto"/>
        <w:rPr>
          <w:rFonts w:eastAsia="Calibri"/>
          <w:sz w:val="24"/>
          <w:szCs w:val="24"/>
          <w:lang w:val="en-US" w:eastAsia="en-US"/>
        </w:rPr>
      </w:pPr>
      <w:r w:rsidRPr="002E0F5E">
        <w:rPr>
          <w:rFonts w:eastAsia="Calibri"/>
          <w:sz w:val="24"/>
          <w:szCs w:val="24"/>
          <w:lang w:val="en-US" w:eastAsia="en-US"/>
        </w:rPr>
        <w:t>I chose to explore this research question as pupils often struggle to recall key things required for a graph. I wanted to find a way to embed requirements in pupils’ long-term memory. Much of my own schooling relied on memory techniques such as acronyms and mnemonics and I wanted to test their effectiveness in this field.</w:t>
      </w:r>
    </w:p>
    <w:p w14:paraId="3797D23F" w14:textId="77777777" w:rsidR="002E0F5E" w:rsidRPr="002E0F5E" w:rsidRDefault="002E0F5E" w:rsidP="002E0F5E">
      <w:pPr>
        <w:spacing w:after="160" w:line="480" w:lineRule="auto"/>
        <w:rPr>
          <w:rFonts w:eastAsia="Calibri"/>
          <w:sz w:val="24"/>
          <w:szCs w:val="24"/>
          <w:lang w:val="en-US" w:eastAsia="en-US"/>
        </w:rPr>
      </w:pPr>
    </w:p>
    <w:p w14:paraId="566997DF" w14:textId="77777777" w:rsidR="002E0F5E" w:rsidRPr="002E0F5E" w:rsidRDefault="002E0F5E" w:rsidP="002E0F5E">
      <w:pPr>
        <w:spacing w:after="160" w:line="480" w:lineRule="auto"/>
        <w:rPr>
          <w:rFonts w:eastAsia="Calibri"/>
          <w:sz w:val="24"/>
          <w:szCs w:val="24"/>
          <w:lang w:val="en-US" w:eastAsia="en-US"/>
        </w:rPr>
      </w:pPr>
      <w:r w:rsidRPr="002E0F5E">
        <w:rPr>
          <w:rFonts w:eastAsia="Calibri"/>
          <w:sz w:val="24"/>
          <w:szCs w:val="24"/>
          <w:lang w:val="en-US" w:eastAsia="en-US"/>
        </w:rPr>
        <w:t>Graphs play a large role in my specialist subject and in numeracy school-wide. Graph construction questions occur in science exams frequently and can be worth enough marks to raise a pupil by a grade boundary. It would greatly improve pupils’ attainment if a successful method could be found to teach this skill in a way that allowed pupils to easily retain, recall, and apply the information in examination scenarios.</w:t>
      </w:r>
    </w:p>
    <w:p w14:paraId="2BF42FD0" w14:textId="77777777" w:rsidR="002E0F5E" w:rsidRPr="002E0F5E" w:rsidRDefault="002E0F5E" w:rsidP="002E0F5E">
      <w:pPr>
        <w:spacing w:after="160" w:line="480" w:lineRule="auto"/>
        <w:rPr>
          <w:rFonts w:eastAsia="Calibri"/>
          <w:b/>
          <w:sz w:val="24"/>
          <w:szCs w:val="24"/>
          <w:lang w:eastAsia="en-US"/>
        </w:rPr>
      </w:pPr>
      <w:r w:rsidRPr="002E0F5E">
        <w:rPr>
          <w:rFonts w:eastAsia="Calibri"/>
          <w:b/>
          <w:sz w:val="24"/>
          <w:szCs w:val="24"/>
          <w:lang w:eastAsia="en-US"/>
        </w:rPr>
        <w:t>Lit review - 2500</w:t>
      </w:r>
    </w:p>
    <w:p w14:paraId="51DB0452"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Both reading and creating graphs are recognised in the Welsh Government’s Literacy and Numeracy Framework (LNF), which guides teachers in their teaching of numeracy and literacy (Welsh Government, 2014). This shows the importance of graph work in the eyes of the government. The LNF’s expected outcomes are designed to ‘raise the bar’ for pupils’ attainment (National Assembly for Wales, 2013) after their underperformance in PISA testing. The government have also specified the importance of graphs in the national curriculum (Welsh Government, 2013).</w:t>
      </w:r>
    </w:p>
    <w:p w14:paraId="5A419BBF"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The importance of constructing a graph in GCSE examinations cannot be understated. The marks available for graph work in an examination can be enough to boost a pupil by one grade boundary. Inability to construct a graph is a perennial problem in the science classroom that lacks a good solution. Many styles of teaching have been tried (Roth and </w:t>
      </w:r>
      <w:proofErr w:type="spellStart"/>
      <w:r w:rsidRPr="002E0F5E">
        <w:rPr>
          <w:rFonts w:eastAsia="Calibri"/>
          <w:sz w:val="24"/>
          <w:szCs w:val="24"/>
          <w:lang w:eastAsia="en-US"/>
        </w:rPr>
        <w:t>McGinn</w:t>
      </w:r>
      <w:proofErr w:type="spellEnd"/>
      <w:r w:rsidRPr="002E0F5E">
        <w:rPr>
          <w:rFonts w:eastAsia="Calibri"/>
          <w:sz w:val="24"/>
          <w:szCs w:val="24"/>
          <w:lang w:eastAsia="en-US"/>
        </w:rPr>
        <w:t>, 1997). Mathematics departments do not seem to have the same problems so I believe we should look to them for guidance on how the construction of graphs should be taught.</w:t>
      </w:r>
    </w:p>
    <w:p w14:paraId="2200E60D"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Studies show that working memory on the whole has a fixed capacity (</w:t>
      </w:r>
      <w:proofErr w:type="spellStart"/>
      <w:r w:rsidRPr="002E0F5E">
        <w:rPr>
          <w:rFonts w:eastAsia="Calibri"/>
          <w:sz w:val="24"/>
          <w:szCs w:val="24"/>
          <w:lang w:eastAsia="en-US"/>
        </w:rPr>
        <w:t>Rouder</w:t>
      </w:r>
      <w:proofErr w:type="spellEnd"/>
      <w:r w:rsidRPr="002E0F5E">
        <w:rPr>
          <w:rFonts w:eastAsia="Calibri"/>
          <w:sz w:val="24"/>
          <w:szCs w:val="24"/>
          <w:lang w:eastAsia="en-US"/>
        </w:rPr>
        <w:t>, 2008) with recall for numbers of objects decreasing as the number of objects increase. The study does note some irregularities, assumed to be due to intimidation from large arrays to memorise or people working harder on the larger arrays, explaining the outliers. Based on this evidence, I believe it is important for recall of lists of many things for them to be embedded in pupils’ long-term memory through mnemonic devices or other memory techniques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and </w:t>
      </w:r>
      <w:proofErr w:type="spellStart"/>
      <w:r w:rsidRPr="002E0F5E">
        <w:rPr>
          <w:rFonts w:eastAsia="Calibri"/>
          <w:sz w:val="24"/>
          <w:szCs w:val="24"/>
          <w:lang w:eastAsia="en-US"/>
        </w:rPr>
        <w:t>Struggs</w:t>
      </w:r>
      <w:proofErr w:type="spellEnd"/>
      <w:r w:rsidRPr="002E0F5E">
        <w:rPr>
          <w:rFonts w:eastAsia="Calibri"/>
          <w:sz w:val="24"/>
          <w:szCs w:val="24"/>
          <w:lang w:eastAsia="en-US"/>
        </w:rPr>
        <w:t>, 1998). Pupils often struggle to recall the terms and techniques essential to succeeding in science examinations (</w:t>
      </w:r>
      <w:proofErr w:type="spellStart"/>
      <w:r w:rsidRPr="002E0F5E">
        <w:rPr>
          <w:rFonts w:eastAsia="Calibri"/>
          <w:sz w:val="24"/>
          <w:szCs w:val="24"/>
          <w:lang w:eastAsia="en-US"/>
        </w:rPr>
        <w:t>Dunlosky</w:t>
      </w:r>
      <w:proofErr w:type="spellEnd"/>
      <w:r w:rsidRPr="002E0F5E">
        <w:rPr>
          <w:rFonts w:eastAsia="Calibri"/>
          <w:sz w:val="24"/>
          <w:szCs w:val="24"/>
          <w:lang w:eastAsia="en-US"/>
        </w:rPr>
        <w:t>, 2013).</w:t>
      </w:r>
    </w:p>
    <w:p w14:paraId="17863746" w14:textId="77777777" w:rsidR="002E0F5E" w:rsidRPr="002E0F5E" w:rsidRDefault="002E0F5E" w:rsidP="002E0F5E">
      <w:pPr>
        <w:spacing w:after="160" w:line="480" w:lineRule="auto"/>
        <w:rPr>
          <w:rFonts w:eastAsia="Calibri"/>
          <w:sz w:val="24"/>
          <w:szCs w:val="24"/>
          <w:lang w:eastAsia="en-US"/>
        </w:rPr>
      </w:pPr>
    </w:p>
    <w:p w14:paraId="130334E6"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A mnemonic is a memory strategy that uses a system such as a pattern of letters, ideas, or associations to aid in the retention and retrieval of information in the human memory (Thorne, 2003). The word mnemonic is derived from the ancient Greek word for mindful (</w:t>
      </w:r>
      <w:proofErr w:type="spellStart"/>
      <w:r w:rsidRPr="002E0F5E">
        <w:rPr>
          <w:rFonts w:eastAsia="Calibri"/>
          <w:sz w:val="24"/>
          <w:szCs w:val="24"/>
          <w:lang w:eastAsia="en-US"/>
        </w:rPr>
        <w:t>Graybeal</w:t>
      </w:r>
      <w:proofErr w:type="spellEnd"/>
      <w:r w:rsidRPr="002E0F5E">
        <w:rPr>
          <w:rFonts w:eastAsia="Calibri"/>
          <w:sz w:val="24"/>
          <w:szCs w:val="24"/>
          <w:lang w:eastAsia="en-US"/>
        </w:rPr>
        <w:t xml:space="preserve"> and Strickland, 2018) and mnemonics were first utilised by the ancient Greeks (Yates, 1966).  Common examples in use in English today include Roy </w:t>
      </w:r>
      <w:proofErr w:type="gramStart"/>
      <w:r w:rsidRPr="002E0F5E">
        <w:rPr>
          <w:rFonts w:eastAsia="Calibri"/>
          <w:sz w:val="24"/>
          <w:szCs w:val="24"/>
          <w:lang w:eastAsia="en-US"/>
        </w:rPr>
        <w:t>Of</w:t>
      </w:r>
      <w:proofErr w:type="gramEnd"/>
      <w:r w:rsidRPr="002E0F5E">
        <w:rPr>
          <w:rFonts w:eastAsia="Calibri"/>
          <w:sz w:val="24"/>
          <w:szCs w:val="24"/>
          <w:lang w:eastAsia="en-US"/>
        </w:rPr>
        <w:t xml:space="preserve"> York Gave Battle In Vain, to remember the spectrum of visible light (red, orange, yellow, green, blue, indigo, violet) and “My Very Educated Mother Just Served Us Nachos”, to remember the order of planets In the solar system (Mercury, Venus, Earth, Mars, Jupiter, Saturn, Uranus, Neptune). Mnemonic devices are not limited to sentences however, key words can be memorised through images or vignettes, for example a commonly used mnemonic to remember the family of true frogs (</w:t>
      </w:r>
      <w:proofErr w:type="spellStart"/>
      <w:r w:rsidRPr="002E0F5E">
        <w:rPr>
          <w:rFonts w:eastAsia="Calibri"/>
          <w:sz w:val="24"/>
          <w:szCs w:val="24"/>
          <w:lang w:eastAsia="en-US"/>
        </w:rPr>
        <w:t>ranidae</w:t>
      </w:r>
      <w:proofErr w:type="spellEnd"/>
      <w:r w:rsidRPr="002E0F5E">
        <w:rPr>
          <w:rFonts w:eastAsia="Calibri"/>
          <w:sz w:val="24"/>
          <w:szCs w:val="24"/>
          <w:lang w:eastAsia="en-US"/>
        </w:rPr>
        <w:t xml:space="preserve">) is to picture frogs with rain dripping on their heads. It has been noted that students will sometimes give the key word instead of the correct answer, defining </w:t>
      </w:r>
      <w:proofErr w:type="spellStart"/>
      <w:r w:rsidRPr="002E0F5E">
        <w:rPr>
          <w:rFonts w:eastAsia="Calibri"/>
          <w:sz w:val="24"/>
          <w:szCs w:val="24"/>
          <w:lang w:eastAsia="en-US"/>
        </w:rPr>
        <w:t>ranidae</w:t>
      </w:r>
      <w:proofErr w:type="spellEnd"/>
      <w:r w:rsidRPr="002E0F5E">
        <w:rPr>
          <w:rFonts w:eastAsia="Calibri"/>
          <w:sz w:val="24"/>
          <w:szCs w:val="24"/>
          <w:lang w:eastAsia="en-US"/>
        </w:rPr>
        <w:t xml:space="preserve"> as rain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and </w:t>
      </w:r>
      <w:proofErr w:type="spellStart"/>
      <w:r w:rsidRPr="002E0F5E">
        <w:rPr>
          <w:rFonts w:eastAsia="Calibri"/>
          <w:sz w:val="24"/>
          <w:szCs w:val="24"/>
          <w:lang w:eastAsia="en-US"/>
        </w:rPr>
        <w:t>Struggs</w:t>
      </w:r>
      <w:proofErr w:type="spellEnd"/>
      <w:r w:rsidRPr="002E0F5E">
        <w:rPr>
          <w:rFonts w:eastAsia="Calibri"/>
          <w:sz w:val="24"/>
          <w:szCs w:val="24"/>
          <w:lang w:eastAsia="en-US"/>
        </w:rPr>
        <w:t>, 1998) but repetition and spacing should help with retention.</w:t>
      </w:r>
    </w:p>
    <w:p w14:paraId="7D11256E" w14:textId="77777777" w:rsidR="002E0F5E" w:rsidRPr="002E0F5E" w:rsidRDefault="002E0F5E" w:rsidP="002E0F5E">
      <w:pPr>
        <w:spacing w:after="160" w:line="480" w:lineRule="auto"/>
        <w:rPr>
          <w:rFonts w:eastAsia="Calibri"/>
          <w:sz w:val="24"/>
          <w:szCs w:val="24"/>
          <w:lang w:eastAsia="en-US"/>
        </w:rPr>
      </w:pPr>
    </w:p>
    <w:p w14:paraId="15D5F0EA"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Mnemonic devices have proven effective for all students, including those with learning disabilities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and </w:t>
      </w:r>
      <w:proofErr w:type="spellStart"/>
      <w:r w:rsidRPr="002E0F5E">
        <w:rPr>
          <w:rFonts w:eastAsia="Calibri"/>
          <w:sz w:val="24"/>
          <w:szCs w:val="24"/>
          <w:lang w:eastAsia="en-US"/>
        </w:rPr>
        <w:t>Struggs</w:t>
      </w:r>
      <w:proofErr w:type="spellEnd"/>
      <w:r w:rsidRPr="002E0F5E">
        <w:rPr>
          <w:rFonts w:eastAsia="Calibri"/>
          <w:sz w:val="24"/>
          <w:szCs w:val="24"/>
          <w:lang w:eastAsia="en-US"/>
        </w:rPr>
        <w:t xml:space="preserve">, 1998) and those with dyslexia in particular (Reid </w:t>
      </w:r>
      <w:proofErr w:type="gramStart"/>
      <w:r w:rsidRPr="002E0F5E">
        <w:rPr>
          <w:rFonts w:eastAsia="Calibri"/>
          <w:sz w:val="24"/>
          <w:szCs w:val="24"/>
          <w:lang w:eastAsia="en-US"/>
        </w:rPr>
        <w:t>and .</w:t>
      </w:r>
      <w:proofErr w:type="gramEnd"/>
      <w:r w:rsidRPr="002E0F5E">
        <w:rPr>
          <w:rFonts w:eastAsia="Calibri"/>
          <w:sz w:val="24"/>
          <w:szCs w:val="24"/>
          <w:lang w:eastAsia="en-US"/>
        </w:rPr>
        <w:t xml:space="preserve"> It is worth noting that mnemonic devices are only useful tools for recall. Students trained with mnemonic techniques do perform better in comprehension tasks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Scruggs, and </w:t>
      </w:r>
      <w:proofErr w:type="spellStart"/>
      <w:r w:rsidRPr="002E0F5E">
        <w:rPr>
          <w:rFonts w:eastAsia="Calibri"/>
          <w:sz w:val="24"/>
          <w:szCs w:val="24"/>
          <w:lang w:eastAsia="en-US"/>
        </w:rPr>
        <w:t>Fulk</w:t>
      </w:r>
      <w:proofErr w:type="spellEnd"/>
      <w:r w:rsidRPr="002E0F5E">
        <w:rPr>
          <w:rFonts w:eastAsia="Calibri"/>
          <w:sz w:val="24"/>
          <w:szCs w:val="24"/>
          <w:lang w:eastAsia="en-US"/>
        </w:rPr>
        <w:t xml:space="preserve">, 1990; Scruggs,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w:t>
      </w:r>
      <w:proofErr w:type="spellStart"/>
      <w:r w:rsidRPr="002E0F5E">
        <w:rPr>
          <w:rFonts w:eastAsia="Calibri"/>
          <w:sz w:val="24"/>
          <w:szCs w:val="24"/>
          <w:lang w:eastAsia="en-US"/>
        </w:rPr>
        <w:t>McLoone</w:t>
      </w:r>
      <w:proofErr w:type="spellEnd"/>
      <w:r w:rsidRPr="002E0F5E">
        <w:rPr>
          <w:rFonts w:eastAsia="Calibri"/>
          <w:sz w:val="24"/>
          <w:szCs w:val="24"/>
          <w:lang w:eastAsia="en-US"/>
        </w:rPr>
        <w:t>, Levin, and Morrison, 1987), but this appears to be due to an increased body of knowledge that can be applied to the scenario, rather than a deeper understanding of the topic. Contrary to the suggestions of some (Kilpatrick, 1985), mnemonic devices do not inhibit comprehension and are particularly useful in scenarios where pupils comprehend the work but do not recall the details, such as pupils being able to read and plot a graph, but unable to remember the key features required to construct the graph. Research has suggested that pupils who have been given the toolkit to devise their own mnemonic devices perform better than students who have not been taught how these skills, performing better than pupils who are allowed to revise in free-study conditions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and Scruggs, 1998). When pupils create their own mnemonics teaching proceeds at a slower pace than when teachers provide the devices, but provision of the mnemonics by teachers appears to reduce the effectiveness of the strategies (Scruggs and </w:t>
      </w:r>
      <w:proofErr w:type="spellStart"/>
      <w:r w:rsidRPr="002E0F5E">
        <w:rPr>
          <w:rFonts w:eastAsia="Calibri"/>
          <w:sz w:val="24"/>
          <w:szCs w:val="24"/>
          <w:lang w:eastAsia="en-US"/>
        </w:rPr>
        <w:t>Mastropieri</w:t>
      </w:r>
      <w:proofErr w:type="spellEnd"/>
      <w:r w:rsidRPr="002E0F5E">
        <w:rPr>
          <w:rFonts w:eastAsia="Calibri"/>
          <w:sz w:val="24"/>
          <w:szCs w:val="24"/>
          <w:lang w:eastAsia="en-US"/>
        </w:rPr>
        <w:t>, 1992). It is possibly due to this reduced speed of teaching, among other factors, that the use of mnemonics has decreased in classrooms (Putnam, 2015). With the introduction of the new curriculum (Donaldson, 2015) and its focus on skills, and cross-curricular learning, as well as the emphasis on numeracy and literacy the time may soon be ripe for the reintroduction of mnemonics and the teaching of tools pupils can use to construct their own memory devices. Putnam (2015) puts forward the theory that mnemonic training consists of two parts:</w:t>
      </w:r>
    </w:p>
    <w:p w14:paraId="4B87EF8A" w14:textId="77777777" w:rsidR="002E0F5E" w:rsidRPr="002E0F5E" w:rsidRDefault="002E0F5E" w:rsidP="002E0F5E">
      <w:pPr>
        <w:numPr>
          <w:ilvl w:val="0"/>
          <w:numId w:val="26"/>
        </w:numPr>
        <w:spacing w:after="160" w:line="480" w:lineRule="auto"/>
        <w:contextualSpacing/>
        <w:rPr>
          <w:rFonts w:eastAsia="Calibri"/>
          <w:sz w:val="24"/>
          <w:szCs w:val="24"/>
          <w:lang w:eastAsia="en-US"/>
        </w:rPr>
      </w:pPr>
      <w:r w:rsidRPr="002E0F5E">
        <w:rPr>
          <w:rFonts w:eastAsia="Calibri"/>
          <w:sz w:val="24"/>
          <w:szCs w:val="24"/>
          <w:lang w:eastAsia="en-US"/>
        </w:rPr>
        <w:t>Committing to memory the components required for the technique</w:t>
      </w:r>
    </w:p>
    <w:p w14:paraId="38FD5341" w14:textId="77777777" w:rsidR="002E0F5E" w:rsidRPr="002E0F5E" w:rsidRDefault="002E0F5E" w:rsidP="002E0F5E">
      <w:pPr>
        <w:numPr>
          <w:ilvl w:val="0"/>
          <w:numId w:val="26"/>
        </w:numPr>
        <w:spacing w:after="160" w:line="480" w:lineRule="auto"/>
        <w:contextualSpacing/>
        <w:rPr>
          <w:rFonts w:eastAsia="Calibri"/>
          <w:sz w:val="24"/>
          <w:szCs w:val="24"/>
          <w:lang w:eastAsia="en-US"/>
        </w:rPr>
      </w:pPr>
      <w:r w:rsidRPr="002E0F5E">
        <w:rPr>
          <w:rFonts w:eastAsia="Calibri"/>
          <w:sz w:val="24"/>
          <w:szCs w:val="24"/>
          <w:lang w:eastAsia="en-US"/>
        </w:rPr>
        <w:t>Practicing utilising the mnemonic until it can be used independently</w:t>
      </w:r>
    </w:p>
    <w:p w14:paraId="696FC172"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Research has suggested that pupils have been able to link mnemonics to previously taught and memorised information in their long term memories (Pillai, 2017), which suggests that the teaching of mnemonics should not adversely affect pupils who have already memorised the material. It is unclear whether mnemonics have a significant impact on examination scores. </w:t>
      </w:r>
      <w:proofErr w:type="spellStart"/>
      <w:r w:rsidRPr="002E0F5E">
        <w:rPr>
          <w:rFonts w:eastAsia="Calibri"/>
          <w:sz w:val="24"/>
          <w:szCs w:val="24"/>
          <w:lang w:eastAsia="en-US"/>
        </w:rPr>
        <w:t>Gruneberg</w:t>
      </w:r>
      <w:proofErr w:type="spellEnd"/>
      <w:r w:rsidRPr="002E0F5E">
        <w:rPr>
          <w:rFonts w:eastAsia="Calibri"/>
          <w:sz w:val="24"/>
          <w:szCs w:val="24"/>
          <w:lang w:eastAsia="en-US"/>
        </w:rPr>
        <w:t xml:space="preserve"> (1973) showed that the results of his psychology students exams were not affected by whether or not they used mnemonics. Opposed to this is the research of </w:t>
      </w:r>
      <w:proofErr w:type="spellStart"/>
      <w:r w:rsidRPr="002E0F5E">
        <w:rPr>
          <w:rFonts w:eastAsia="Calibri"/>
          <w:sz w:val="24"/>
          <w:szCs w:val="24"/>
          <w:lang w:eastAsia="en-US"/>
        </w:rPr>
        <w:t>Stalder</w:t>
      </w:r>
      <w:proofErr w:type="spellEnd"/>
      <w:r w:rsidRPr="002E0F5E">
        <w:rPr>
          <w:rFonts w:eastAsia="Calibri"/>
          <w:sz w:val="24"/>
          <w:szCs w:val="24"/>
          <w:lang w:eastAsia="en-US"/>
        </w:rPr>
        <w:t xml:space="preserve"> (2005) who provided acronyms to an introductory psychology class and showed that those students who used acronyms scored higher on questions related to the subjects of the acronyms. Acronyms also showed benefits outside of pure memory retention increase. </w:t>
      </w:r>
      <w:proofErr w:type="spellStart"/>
      <w:r w:rsidRPr="002E0F5E">
        <w:rPr>
          <w:rFonts w:eastAsia="Calibri"/>
          <w:sz w:val="24"/>
          <w:szCs w:val="24"/>
          <w:lang w:eastAsia="en-US"/>
        </w:rPr>
        <w:t>Stalders’s</w:t>
      </w:r>
      <w:proofErr w:type="spellEnd"/>
      <w:r w:rsidRPr="002E0F5E">
        <w:rPr>
          <w:rFonts w:eastAsia="Calibri"/>
          <w:sz w:val="24"/>
          <w:szCs w:val="24"/>
          <w:lang w:eastAsia="en-US"/>
        </w:rPr>
        <w:t xml:space="preserve"> study showed students reporting that having acronyms listed on a summary sheet aided memory of course content and encouraged earlier starts of revision. A later study by </w:t>
      </w:r>
      <w:proofErr w:type="spellStart"/>
      <w:r w:rsidRPr="002E0F5E">
        <w:rPr>
          <w:rFonts w:eastAsia="Calibri"/>
          <w:sz w:val="24"/>
          <w:szCs w:val="24"/>
          <w:lang w:eastAsia="en-US"/>
        </w:rPr>
        <w:t>Stalder</w:t>
      </w:r>
      <w:proofErr w:type="spellEnd"/>
      <w:r w:rsidRPr="002E0F5E">
        <w:rPr>
          <w:rFonts w:eastAsia="Calibri"/>
          <w:sz w:val="24"/>
          <w:szCs w:val="24"/>
          <w:lang w:eastAsia="en-US"/>
        </w:rPr>
        <w:t xml:space="preserve"> and Olson (2011) showed that mnemonics can reduce anxiety in pupils before an examination. Fritz </w:t>
      </w:r>
      <w:r w:rsidRPr="002E0F5E">
        <w:rPr>
          <w:rFonts w:eastAsia="Calibri"/>
          <w:i/>
          <w:sz w:val="24"/>
          <w:szCs w:val="24"/>
          <w:lang w:eastAsia="en-US"/>
        </w:rPr>
        <w:t>et al</w:t>
      </w:r>
      <w:r w:rsidRPr="002E0F5E">
        <w:rPr>
          <w:rFonts w:eastAsia="Calibri"/>
          <w:sz w:val="24"/>
          <w:szCs w:val="24"/>
          <w:lang w:eastAsia="en-US"/>
        </w:rPr>
        <w:t>. (2007) suggest that pupils consider mnemonic devices to be easier, faster, and more enjoyable methods of learning.</w:t>
      </w:r>
    </w:p>
    <w:p w14:paraId="7F5D34A3"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Acronyms are memory techniques that take the first letters from a series of words and form a pronounceable word that is more memorable than the list or series of words (</w:t>
      </w:r>
      <w:proofErr w:type="spellStart"/>
      <w:r w:rsidRPr="002E0F5E">
        <w:rPr>
          <w:rFonts w:eastAsia="Calibri"/>
          <w:sz w:val="24"/>
          <w:szCs w:val="24"/>
          <w:lang w:eastAsia="en-US"/>
        </w:rPr>
        <w:t>Graybeal</w:t>
      </w:r>
      <w:proofErr w:type="spellEnd"/>
      <w:r w:rsidRPr="002E0F5E">
        <w:rPr>
          <w:rFonts w:eastAsia="Calibri"/>
          <w:sz w:val="24"/>
          <w:szCs w:val="24"/>
          <w:lang w:eastAsia="en-US"/>
        </w:rPr>
        <w:t xml:space="preserve"> and Strickland, 2018). Examples found in the science classroom include NASA, LASER, and RADAR. Examples are found throughout the school that explain processes, however. The COP rule and PEE are used in the history and English classrooms respectively and break down how pupils should analyse a source (Content, Origin, Purpose), and how pupils should use quotes (Point, Evidence, Explain). Techniques such as these seem to improve pupils’ skills in completing tasks independently by allowing them to internalise the steps required to complete a task, giving them more confidence (King-Sears </w:t>
      </w:r>
      <w:r w:rsidRPr="002E0F5E">
        <w:rPr>
          <w:rFonts w:eastAsia="Calibri"/>
          <w:i/>
          <w:sz w:val="24"/>
          <w:szCs w:val="24"/>
          <w:lang w:eastAsia="en-US"/>
        </w:rPr>
        <w:t>et al</w:t>
      </w:r>
      <w:r w:rsidRPr="002E0F5E">
        <w:rPr>
          <w:rFonts w:eastAsia="Calibri"/>
          <w:sz w:val="24"/>
          <w:szCs w:val="24"/>
          <w:lang w:eastAsia="en-US"/>
        </w:rPr>
        <w:t xml:space="preserve">., 1992). SALUTE as an acronym is comprehensive in what it covers to aid pupils (Scales, Axes, Units, Labels, Title, Explanation) but does suffer from not being something that all pupils will associate with easily. </w:t>
      </w:r>
      <w:proofErr w:type="spellStart"/>
      <w:r w:rsidRPr="002E0F5E">
        <w:rPr>
          <w:rFonts w:eastAsia="Calibri"/>
          <w:sz w:val="24"/>
          <w:szCs w:val="24"/>
          <w:lang w:eastAsia="en-US"/>
        </w:rPr>
        <w:t>Rafoth</w:t>
      </w:r>
      <w:proofErr w:type="spellEnd"/>
      <w:r w:rsidRPr="002E0F5E">
        <w:rPr>
          <w:rFonts w:eastAsia="Calibri"/>
          <w:sz w:val="24"/>
          <w:szCs w:val="24"/>
          <w:lang w:eastAsia="en-US"/>
        </w:rPr>
        <w:t xml:space="preserve"> (1999) agrees with Scruggs and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(1992) that young learners creating their own mnemonics results in more retention as mnemonics generated by others may cause confusion and adds that they may not be easily relatable to the learners or those around them as </w:t>
      </w:r>
      <w:proofErr w:type="spellStart"/>
      <w:r w:rsidRPr="002E0F5E">
        <w:rPr>
          <w:rFonts w:eastAsia="Calibri"/>
          <w:sz w:val="24"/>
          <w:szCs w:val="24"/>
          <w:lang w:eastAsia="en-US"/>
        </w:rPr>
        <w:t>Rafoth</w:t>
      </w:r>
      <w:proofErr w:type="spellEnd"/>
      <w:r w:rsidRPr="002E0F5E">
        <w:rPr>
          <w:rFonts w:eastAsia="Calibri"/>
          <w:sz w:val="24"/>
          <w:szCs w:val="24"/>
          <w:lang w:eastAsia="en-US"/>
        </w:rPr>
        <w:t xml:space="preserve"> (1999) considers them to be ‘concrete learners’.</w:t>
      </w:r>
    </w:p>
    <w:p w14:paraId="35B94594"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The work of </w:t>
      </w:r>
      <w:proofErr w:type="spellStart"/>
      <w:r w:rsidRPr="002E0F5E">
        <w:rPr>
          <w:rFonts w:eastAsia="Calibri"/>
          <w:sz w:val="24"/>
          <w:szCs w:val="24"/>
          <w:lang w:eastAsia="en-US"/>
        </w:rPr>
        <w:t>Ebbinghaus</w:t>
      </w:r>
      <w:proofErr w:type="spellEnd"/>
      <w:r w:rsidRPr="002E0F5E">
        <w:rPr>
          <w:rFonts w:eastAsia="Calibri"/>
          <w:sz w:val="24"/>
          <w:szCs w:val="24"/>
          <w:lang w:eastAsia="en-US"/>
        </w:rPr>
        <w:t xml:space="preserve"> (1913) suggested that successive teaching and the spacing out of revision increases the effectiveness of learning, with the subject becoming embedded in the pupil’s memory. This research may be flawed because </w:t>
      </w:r>
      <w:proofErr w:type="spellStart"/>
      <w:r w:rsidRPr="002E0F5E">
        <w:rPr>
          <w:rFonts w:eastAsia="Calibri"/>
          <w:sz w:val="24"/>
          <w:szCs w:val="24"/>
          <w:lang w:eastAsia="en-US"/>
        </w:rPr>
        <w:t>Ebbinghaus</w:t>
      </w:r>
      <w:proofErr w:type="spellEnd"/>
      <w:r w:rsidRPr="002E0F5E">
        <w:rPr>
          <w:rFonts w:eastAsia="Calibri"/>
          <w:sz w:val="24"/>
          <w:szCs w:val="24"/>
          <w:lang w:eastAsia="en-US"/>
        </w:rPr>
        <w:t xml:space="preserve"> experimented only on himself and so it cannot be taken to represent the entire population. He also only experimented with what later came to be termed ‘nonsense syllables’, thus eliminating the bias of prior knowledge on his results, though not entirely. Glaze (1928) improved on this method by assigning association values. This introduces a problem, however, in that pupils learning in a school will have prior knowledge and misconceptions, especially in a field where they are learning abstract concepts, not repeating nonsense syllables. This may make it easier for pupils to remember, or harder if they have to overcome misconceptions and </w:t>
      </w:r>
      <w:proofErr w:type="spellStart"/>
      <w:r w:rsidRPr="002E0F5E">
        <w:rPr>
          <w:rFonts w:eastAsia="Calibri"/>
          <w:sz w:val="24"/>
          <w:szCs w:val="24"/>
          <w:lang w:eastAsia="en-US"/>
        </w:rPr>
        <w:t>Ebbinghaus</w:t>
      </w:r>
      <w:proofErr w:type="spellEnd"/>
      <w:r w:rsidRPr="002E0F5E">
        <w:rPr>
          <w:rFonts w:eastAsia="Calibri"/>
          <w:sz w:val="24"/>
          <w:szCs w:val="24"/>
          <w:lang w:eastAsia="en-US"/>
        </w:rPr>
        <w:t>’ research cannot be taken as accurate at face value for these reasons.</w:t>
      </w:r>
    </w:p>
    <w:p w14:paraId="1FAF1C0E" w14:textId="77777777" w:rsidR="002E0F5E" w:rsidRPr="002E0F5E" w:rsidRDefault="002E0F5E" w:rsidP="002E0F5E">
      <w:pPr>
        <w:spacing w:after="160" w:line="480" w:lineRule="auto"/>
        <w:rPr>
          <w:rFonts w:eastAsia="Calibri"/>
          <w:sz w:val="24"/>
          <w:szCs w:val="24"/>
          <w:lang w:eastAsia="en-US"/>
        </w:rPr>
      </w:pPr>
    </w:p>
    <w:p w14:paraId="1BD3FE09"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Glaze (1928) assigning association values began to combat the bias towards syllables that were already part of existing words. For example, acknowledging that PED and KOJ differ in association values as PED is part of the word pedal where KOJ is not a part of any word as familiar or in frequent use. </w:t>
      </w:r>
    </w:p>
    <w:p w14:paraId="2EC5548C" w14:textId="77777777" w:rsidR="002E0F5E" w:rsidRPr="002E0F5E" w:rsidRDefault="002E0F5E" w:rsidP="002E0F5E">
      <w:pPr>
        <w:spacing w:after="160" w:line="480" w:lineRule="auto"/>
        <w:rPr>
          <w:rFonts w:eastAsia="Calibri"/>
          <w:sz w:val="24"/>
          <w:szCs w:val="24"/>
          <w:lang w:eastAsia="en-US"/>
        </w:rPr>
      </w:pPr>
    </w:p>
    <w:p w14:paraId="634937F4"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One of the findings of </w:t>
      </w:r>
      <w:proofErr w:type="spellStart"/>
      <w:r w:rsidRPr="002E0F5E">
        <w:rPr>
          <w:rFonts w:eastAsia="Calibri"/>
          <w:sz w:val="24"/>
          <w:szCs w:val="24"/>
          <w:lang w:eastAsia="en-US"/>
        </w:rPr>
        <w:t>Ebbinghaus</w:t>
      </w:r>
      <w:proofErr w:type="spellEnd"/>
      <w:r w:rsidRPr="002E0F5E">
        <w:rPr>
          <w:rFonts w:eastAsia="Calibri"/>
          <w:sz w:val="24"/>
          <w:szCs w:val="24"/>
          <w:lang w:eastAsia="en-US"/>
        </w:rPr>
        <w:t xml:space="preserve"> (1913) supported to this day is the forgetting curve, showing the exponential loss of information that occurs after learning. The greatest decline occurs in the first twenty minutes, with significant decay occurring through the first hour. The decay seems to stop after around twenty-four hours (Brink, 2008). </w:t>
      </w:r>
      <w:proofErr w:type="spellStart"/>
      <w:r w:rsidRPr="002E0F5E">
        <w:rPr>
          <w:rFonts w:eastAsia="Calibri"/>
          <w:sz w:val="24"/>
          <w:szCs w:val="24"/>
          <w:lang w:eastAsia="en-US"/>
        </w:rPr>
        <w:t>Ebbinghaus</w:t>
      </w:r>
      <w:proofErr w:type="spellEnd"/>
      <w:r w:rsidRPr="002E0F5E">
        <w:rPr>
          <w:rFonts w:eastAsia="Calibri"/>
          <w:sz w:val="24"/>
          <w:szCs w:val="24"/>
          <w:lang w:eastAsia="en-US"/>
        </w:rPr>
        <w:t xml:space="preserve"> (1913) also contributed the learning curve to experimental psychology which describes how quickly information is learned. The first attempt causes the sharpest increase, and less and less new information is remembered with each attempt.</w:t>
      </w:r>
    </w:p>
    <w:p w14:paraId="0AF47538" w14:textId="77777777" w:rsidR="002E0F5E" w:rsidRPr="002E0F5E" w:rsidRDefault="002E0F5E" w:rsidP="002E0F5E">
      <w:pPr>
        <w:spacing w:after="160" w:line="480" w:lineRule="auto"/>
        <w:rPr>
          <w:rFonts w:eastAsia="Calibri"/>
          <w:sz w:val="24"/>
          <w:szCs w:val="24"/>
          <w:lang w:eastAsia="en-US"/>
        </w:rPr>
      </w:pPr>
    </w:p>
    <w:p w14:paraId="5F419632"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It should be noted that Waite, </w:t>
      </w:r>
      <w:proofErr w:type="spellStart"/>
      <w:r w:rsidRPr="002E0F5E">
        <w:rPr>
          <w:rFonts w:eastAsia="Calibri"/>
          <w:sz w:val="24"/>
          <w:szCs w:val="24"/>
          <w:lang w:eastAsia="en-US"/>
        </w:rPr>
        <w:t>Blick</w:t>
      </w:r>
      <w:proofErr w:type="spellEnd"/>
      <w:r w:rsidRPr="002E0F5E">
        <w:rPr>
          <w:rFonts w:eastAsia="Calibri"/>
          <w:sz w:val="24"/>
          <w:szCs w:val="24"/>
          <w:lang w:eastAsia="en-US"/>
        </w:rPr>
        <w:t xml:space="preserve">, and Boltwood (1971) suggested that acronyms did not enhance recall after a delay, and that should be considered, though evidence from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and Scruggs (1998) seems to contradict Waite, </w:t>
      </w:r>
      <w:proofErr w:type="spellStart"/>
      <w:r w:rsidRPr="002E0F5E">
        <w:rPr>
          <w:rFonts w:eastAsia="Calibri"/>
          <w:sz w:val="24"/>
          <w:szCs w:val="24"/>
          <w:lang w:eastAsia="en-US"/>
        </w:rPr>
        <w:t>Blick</w:t>
      </w:r>
      <w:proofErr w:type="spellEnd"/>
      <w:r w:rsidRPr="002E0F5E">
        <w:rPr>
          <w:rFonts w:eastAsia="Calibri"/>
          <w:sz w:val="24"/>
          <w:szCs w:val="24"/>
          <w:lang w:eastAsia="en-US"/>
        </w:rPr>
        <w:t xml:space="preserve"> and Boltwood (1971) This could be due to the sample for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and Scruggs focussing on lower ability pupils and those with additional learning needs where Waite, </w:t>
      </w:r>
      <w:proofErr w:type="spellStart"/>
      <w:r w:rsidRPr="002E0F5E">
        <w:rPr>
          <w:rFonts w:eastAsia="Calibri"/>
          <w:sz w:val="24"/>
          <w:szCs w:val="24"/>
          <w:lang w:eastAsia="en-US"/>
        </w:rPr>
        <w:t>Blick</w:t>
      </w:r>
      <w:proofErr w:type="spellEnd"/>
      <w:r w:rsidRPr="002E0F5E">
        <w:rPr>
          <w:rFonts w:eastAsia="Calibri"/>
          <w:sz w:val="24"/>
          <w:szCs w:val="24"/>
          <w:lang w:eastAsia="en-US"/>
        </w:rPr>
        <w:t>, and Boltwood took a more general sample of the population.</w:t>
      </w:r>
    </w:p>
    <w:p w14:paraId="722BE67C" w14:textId="77777777" w:rsidR="002E0F5E" w:rsidRPr="002E0F5E" w:rsidRDefault="002E0F5E" w:rsidP="002E0F5E">
      <w:pPr>
        <w:spacing w:after="160" w:line="480" w:lineRule="auto"/>
        <w:rPr>
          <w:rFonts w:eastAsia="Calibri"/>
          <w:sz w:val="24"/>
          <w:szCs w:val="24"/>
          <w:lang w:eastAsia="en-US"/>
        </w:rPr>
      </w:pPr>
    </w:p>
    <w:p w14:paraId="19361996"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Mnemonic devices could be used as a scaffolding device to aid pupils in translating their understanding of theory to use in the classroom (Bliss and </w:t>
      </w:r>
      <w:proofErr w:type="spellStart"/>
      <w:r w:rsidRPr="002E0F5E">
        <w:rPr>
          <w:rFonts w:eastAsia="Calibri"/>
          <w:sz w:val="24"/>
          <w:szCs w:val="24"/>
          <w:lang w:eastAsia="en-US"/>
        </w:rPr>
        <w:t>Macrae</w:t>
      </w:r>
      <w:proofErr w:type="spellEnd"/>
      <w:r w:rsidRPr="002E0F5E">
        <w:rPr>
          <w:rFonts w:eastAsia="Calibri"/>
          <w:sz w:val="24"/>
          <w:szCs w:val="24"/>
          <w:lang w:eastAsia="en-US"/>
        </w:rPr>
        <w:t>, 2010). This would aid pupils who struggle in their zone of proximal development (ZPD) (Vygotsky, 1978), defined by Raymond (2000) as the distance between what pupils can achieve individually and the next step in their learning journey where they need competent assistance. Acronyms would seem to be of use here as they have been shown in research to aid pupils of all abilities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and Scruggs, 1998). It should also be noted that scaffolding has been reported to be absent in most lessons (Bliss and </w:t>
      </w:r>
      <w:proofErr w:type="spellStart"/>
      <w:r w:rsidRPr="002E0F5E">
        <w:rPr>
          <w:rFonts w:eastAsia="Calibri"/>
          <w:sz w:val="24"/>
          <w:szCs w:val="24"/>
          <w:lang w:eastAsia="en-US"/>
        </w:rPr>
        <w:t>Macrae</w:t>
      </w:r>
      <w:proofErr w:type="spellEnd"/>
      <w:r w:rsidRPr="002E0F5E">
        <w:rPr>
          <w:rFonts w:eastAsia="Calibri"/>
          <w:sz w:val="24"/>
          <w:szCs w:val="24"/>
          <w:lang w:eastAsia="en-US"/>
        </w:rPr>
        <w:t>, 2010) so effective scaffolding that is easy to implement such as mnemonics could be useful to all teachers, providing pupils with much needed support.</w:t>
      </w:r>
    </w:p>
    <w:p w14:paraId="4B8050C1"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I have chosen to relate my acronym with a mnemonic image of a person saluting a graph and pupils performing a kinaesthetic action in saluting their graph and the phrase, “Remember to SALUTE your graph”. These mnemonics and actions should help to secure the acronym in pupils’ minds, as using mixed methods of learning, such as auditory and kinaesthetic can aid pupils learning (</w:t>
      </w:r>
      <w:proofErr w:type="spellStart"/>
      <w:r w:rsidRPr="002E0F5E">
        <w:rPr>
          <w:rFonts w:eastAsia="Calibri"/>
          <w:sz w:val="24"/>
          <w:szCs w:val="24"/>
          <w:lang w:eastAsia="en-US"/>
        </w:rPr>
        <w:t>Coffield</w:t>
      </w:r>
      <w:proofErr w:type="spellEnd"/>
      <w:r w:rsidRPr="002E0F5E">
        <w:rPr>
          <w:rFonts w:eastAsia="Calibri"/>
          <w:sz w:val="24"/>
          <w:szCs w:val="24"/>
          <w:lang w:eastAsia="en-US"/>
        </w:rPr>
        <w:t xml:space="preserve">, </w:t>
      </w:r>
      <w:r w:rsidRPr="002E0F5E">
        <w:rPr>
          <w:rFonts w:eastAsia="Calibri"/>
          <w:i/>
          <w:sz w:val="24"/>
          <w:szCs w:val="24"/>
          <w:lang w:eastAsia="en-US"/>
        </w:rPr>
        <w:t>et al.,</w:t>
      </w:r>
      <w:r w:rsidRPr="002E0F5E">
        <w:rPr>
          <w:rFonts w:eastAsia="Calibri"/>
          <w:sz w:val="24"/>
          <w:szCs w:val="24"/>
          <w:lang w:eastAsia="en-US"/>
        </w:rPr>
        <w:t xml:space="preserve"> 2004).</w:t>
      </w:r>
    </w:p>
    <w:p w14:paraId="14A6DDF9" w14:textId="77777777" w:rsidR="002E0F5E" w:rsidRPr="002E0F5E" w:rsidRDefault="002E0F5E" w:rsidP="002E0F5E">
      <w:pPr>
        <w:spacing w:after="160" w:line="480" w:lineRule="auto"/>
        <w:rPr>
          <w:rFonts w:eastAsia="Calibri"/>
          <w:sz w:val="24"/>
          <w:szCs w:val="24"/>
          <w:lang w:eastAsia="en-US"/>
        </w:rPr>
      </w:pPr>
    </w:p>
    <w:p w14:paraId="609E5579"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Engagement of learners is one of the most important functions of a teacher. The Welsh Assembly Government (2010) have reported that pupils who become disengaged with work through absence, boredom, or inability to participate begin down a spiral where they exhibit bad behaviour, disengagement makes it harder for them to engage, which leads to further bad behaviour and disengagement, and so on leading to less understanding, poor behaviour, and feelings of isolation and exclusion. Building a relationship with pupils, using pupil language and engaging with them on their interests is an excellent way to build their engagement and building in things they care about into a lesson can result in vastly more engagement. Using an acronym with humour has been suggested to improve the effectiveness (</w:t>
      </w:r>
      <w:proofErr w:type="spellStart"/>
      <w:r w:rsidRPr="002E0F5E">
        <w:rPr>
          <w:rFonts w:eastAsia="Calibri"/>
          <w:sz w:val="24"/>
          <w:szCs w:val="24"/>
          <w:lang w:eastAsia="en-US"/>
        </w:rPr>
        <w:t>Lovorn</w:t>
      </w:r>
      <w:proofErr w:type="spellEnd"/>
      <w:r w:rsidRPr="002E0F5E">
        <w:rPr>
          <w:rFonts w:eastAsia="Calibri"/>
          <w:sz w:val="24"/>
          <w:szCs w:val="24"/>
          <w:lang w:eastAsia="en-US"/>
        </w:rPr>
        <w:t>, 2008).</w:t>
      </w:r>
    </w:p>
    <w:p w14:paraId="3541EFC1" w14:textId="77777777" w:rsidR="002E0F5E" w:rsidRPr="002E0F5E" w:rsidRDefault="002E0F5E" w:rsidP="002E0F5E">
      <w:pPr>
        <w:spacing w:after="160" w:line="480" w:lineRule="auto"/>
        <w:rPr>
          <w:rFonts w:eastAsia="Calibri"/>
          <w:sz w:val="24"/>
          <w:szCs w:val="24"/>
          <w:lang w:eastAsia="en-US"/>
        </w:rPr>
      </w:pPr>
    </w:p>
    <w:p w14:paraId="3D978F10" w14:textId="77777777" w:rsidR="002E0F5E" w:rsidRPr="002E0F5E" w:rsidRDefault="002E0F5E" w:rsidP="002E0F5E">
      <w:pPr>
        <w:spacing w:after="160" w:line="480" w:lineRule="auto"/>
        <w:rPr>
          <w:rFonts w:eastAsia="Calibri"/>
          <w:b/>
          <w:sz w:val="24"/>
          <w:szCs w:val="24"/>
          <w:lang w:eastAsia="en-US"/>
        </w:rPr>
      </w:pPr>
      <w:r w:rsidRPr="002E0F5E">
        <w:rPr>
          <w:rFonts w:eastAsia="Calibri"/>
          <w:b/>
          <w:sz w:val="24"/>
          <w:szCs w:val="24"/>
          <w:lang w:eastAsia="en-US"/>
        </w:rPr>
        <w:t>School Policy and Practice - 500</w:t>
      </w:r>
    </w:p>
    <w:p w14:paraId="7A582B61"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School Y has a large focus on skills in science with their key stage three (KS3) pupils as once pupils reach key stage four (KS4) they begin learning the GCSE curriculum and school Y has only eight hours a fortnight of science lessons for GCSE pupils. The national average for science lessons is around ten hours and twelve is considered generous. This time is also further cut into by themed “Futures Weeks” that the school uses to implement the recommendations of Donaldson (2015). During these weeks the whole school is taken off timetable, with KS3 pupils taking part in themed weeks where they use skills in a cross curricular fashion to learn about a topic This does provide them with an opportunity to utilise skills learned in one subject in several others and these weeks are engaging to pupils. Recent topics have included forensic science, Pompeii, and survival. KS4 pupils are expected to complete their Welsh Baccalaureate coursework in these weeks. The school conducts these weeks once a term and therefore loses twenty-four teaching hours of science a year for GCSE pupils. Due to these tight constraints on time it is extremely important that KS3 pupils pick up the scientific skills needed for GCSE examinations as much as possible before moving to KS4.</w:t>
      </w:r>
    </w:p>
    <w:p w14:paraId="23852EE3" w14:textId="77777777" w:rsidR="002E0F5E" w:rsidRPr="002E0F5E" w:rsidRDefault="002E0F5E" w:rsidP="002E0F5E">
      <w:pPr>
        <w:spacing w:after="160" w:line="480" w:lineRule="auto"/>
        <w:rPr>
          <w:rFonts w:eastAsia="Calibri"/>
          <w:sz w:val="24"/>
          <w:szCs w:val="24"/>
          <w:lang w:eastAsia="en-US"/>
        </w:rPr>
      </w:pPr>
    </w:p>
    <w:p w14:paraId="47647DAD"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KS3 pupils take part in an investigation after each topic is complete, designing an experiment, conducting the experiment, analysing results, and linking their results to a scenario in everyday life. This helps build up the pupils’ scientific investigation skills and strong formative feedback is given to pupils on how they can improve, with an opportunity presenting itself at the end of the next topic. This is in line with the Welsh Government (2013) that a good assessment policy gives pupils a clear evaluation of their work, and highlights appropriate areas for improvement, along with giving advice on how to do so.</w:t>
      </w:r>
    </w:p>
    <w:p w14:paraId="75362D10" w14:textId="77777777" w:rsidR="002E0F5E" w:rsidRPr="002E0F5E" w:rsidRDefault="002E0F5E" w:rsidP="002E0F5E">
      <w:pPr>
        <w:spacing w:after="160" w:line="480" w:lineRule="auto"/>
        <w:rPr>
          <w:rFonts w:eastAsia="Calibri"/>
          <w:sz w:val="24"/>
          <w:szCs w:val="24"/>
          <w:lang w:eastAsia="en-US"/>
        </w:rPr>
      </w:pPr>
    </w:p>
    <w:p w14:paraId="3A6BA923"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whole school has a strong focus on developing literacy, numeracy and digital competency through the LNF and digital competency framework (DCF). This leads to pupils creating graphs across all subjects. Pupils do not seem to be able to carry these skills across subjects, however. Maths and science both use graphs differently and teachers of other subjects lack the specialist knowledge to teach and presume students have the skills to craft their own graphs. A school-wide policy on the teaching of graphs could help both pupils and staff, even if graphs contained some extraneous details not absolutely needed for the subject in question.</w:t>
      </w:r>
    </w:p>
    <w:p w14:paraId="4F4473F6" w14:textId="77777777" w:rsidR="002E0F5E" w:rsidRPr="002E0F5E" w:rsidRDefault="002E0F5E" w:rsidP="002E0F5E">
      <w:pPr>
        <w:spacing w:after="160" w:line="480" w:lineRule="auto"/>
        <w:rPr>
          <w:rFonts w:eastAsia="Calibri"/>
          <w:sz w:val="24"/>
          <w:szCs w:val="24"/>
          <w:lang w:eastAsia="en-US"/>
        </w:rPr>
      </w:pPr>
    </w:p>
    <w:p w14:paraId="102192D1"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current method of teaching graphs within the school involves pupils analysing graphs and creating graphs of their own, which are marked throughout the course of their schooling without clear success criteria.</w:t>
      </w:r>
    </w:p>
    <w:p w14:paraId="730A055C" w14:textId="77777777" w:rsidR="002E0F5E" w:rsidRPr="002E0F5E" w:rsidRDefault="002E0F5E" w:rsidP="002E0F5E">
      <w:pPr>
        <w:spacing w:after="160" w:line="480" w:lineRule="auto"/>
        <w:rPr>
          <w:rFonts w:eastAsia="Calibri"/>
          <w:sz w:val="24"/>
          <w:szCs w:val="24"/>
          <w:lang w:eastAsia="en-US"/>
        </w:rPr>
      </w:pPr>
    </w:p>
    <w:p w14:paraId="627C856B"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The school has a very strong culture of sharing learning objectives with the pupils and sharing success criteria of what should happen in a lesson for it to be considered a success and what work should contain to be considered a success. This enables pupils to work towards success (Clark, 2008) and also enables them to see the steps required to improve, setting high expectations and encouraging pupils to reach their potential, particularly when pupils are involved in the creation of the success criteria (Clarke, 2016). Encouraging this clear target-setting in the construction of graphs, rather than relying on repetition to ingrain the key features in a pupil’s brain after the works of </w:t>
      </w:r>
      <w:proofErr w:type="spellStart"/>
      <w:r w:rsidRPr="002E0F5E">
        <w:rPr>
          <w:rFonts w:eastAsia="Calibri"/>
          <w:sz w:val="24"/>
          <w:szCs w:val="24"/>
          <w:lang w:eastAsia="en-US"/>
        </w:rPr>
        <w:t>Ebbinghaus</w:t>
      </w:r>
      <w:proofErr w:type="spellEnd"/>
      <w:r w:rsidRPr="002E0F5E">
        <w:rPr>
          <w:rFonts w:eastAsia="Calibri"/>
          <w:sz w:val="24"/>
          <w:szCs w:val="24"/>
          <w:lang w:eastAsia="en-US"/>
        </w:rPr>
        <w:t xml:space="preserve"> (1913) would allow pupils to more easily see the steps required to improve their work and would work well alongside the school’s policy of ensuring that pupils know what is necessary to succeed within a lesson.</w:t>
      </w:r>
    </w:p>
    <w:p w14:paraId="5E174265" w14:textId="77777777" w:rsidR="002E0F5E" w:rsidRPr="002E0F5E" w:rsidRDefault="002E0F5E" w:rsidP="002E0F5E">
      <w:pPr>
        <w:spacing w:after="160" w:line="480" w:lineRule="auto"/>
        <w:rPr>
          <w:rFonts w:eastAsia="Calibri"/>
          <w:b/>
          <w:sz w:val="24"/>
          <w:szCs w:val="24"/>
          <w:lang w:eastAsia="en-US"/>
        </w:rPr>
      </w:pPr>
      <w:r w:rsidRPr="002E0F5E">
        <w:rPr>
          <w:rFonts w:eastAsia="Calibri"/>
          <w:b/>
          <w:sz w:val="24"/>
          <w:szCs w:val="24"/>
          <w:lang w:eastAsia="en-US"/>
        </w:rPr>
        <w:t>Methodology and Ethics - 1000</w:t>
      </w:r>
    </w:p>
    <w:p w14:paraId="3D5B0571"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Of primary importance before I began my research was ensuring that my research practice was ethical, not impacting learners or their learning negatively in any way. To this end I consulted the BERA ethical guidelines (BERA, 2011).</w:t>
      </w:r>
    </w:p>
    <w:p w14:paraId="67EC9757" w14:textId="77777777" w:rsidR="002E0F5E" w:rsidRPr="002E0F5E" w:rsidRDefault="002E0F5E" w:rsidP="002E0F5E">
      <w:pPr>
        <w:spacing w:after="160" w:line="480" w:lineRule="auto"/>
        <w:rPr>
          <w:rFonts w:eastAsia="Calibri"/>
          <w:sz w:val="24"/>
          <w:szCs w:val="24"/>
          <w:lang w:eastAsia="en-US"/>
        </w:rPr>
      </w:pPr>
    </w:p>
    <w:p w14:paraId="7A76D5E5"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I ensured that my intervention would have minimal negative impact on the pupils’ learning by working my intervention lesson into the existing scheme of work, helping pupils gain higher levels in a levelled scientific investigation, and not adversely affecting teaching of the pupils.</w:t>
      </w:r>
    </w:p>
    <w:p w14:paraId="3BF8A49C" w14:textId="77777777" w:rsidR="002E0F5E" w:rsidRPr="002E0F5E" w:rsidRDefault="002E0F5E" w:rsidP="002E0F5E">
      <w:pPr>
        <w:spacing w:after="160" w:line="480" w:lineRule="auto"/>
        <w:rPr>
          <w:rFonts w:eastAsia="Calibri"/>
          <w:sz w:val="24"/>
          <w:szCs w:val="24"/>
          <w:lang w:eastAsia="en-US"/>
        </w:rPr>
      </w:pPr>
    </w:p>
    <w:p w14:paraId="4CCFB63C"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Pupils all gave informed consent to take part in the survey, which is defined by </w:t>
      </w:r>
      <w:proofErr w:type="spellStart"/>
      <w:r w:rsidRPr="002E0F5E">
        <w:rPr>
          <w:rFonts w:eastAsia="Calibri"/>
          <w:sz w:val="24"/>
          <w:szCs w:val="24"/>
          <w:lang w:eastAsia="en-US"/>
        </w:rPr>
        <w:t>Diener</w:t>
      </w:r>
      <w:proofErr w:type="spellEnd"/>
      <w:r w:rsidRPr="002E0F5E">
        <w:rPr>
          <w:rFonts w:eastAsia="Calibri"/>
          <w:sz w:val="24"/>
          <w:szCs w:val="24"/>
          <w:lang w:eastAsia="en-US"/>
        </w:rPr>
        <w:t xml:space="preserve"> and Crandall (1978) as ‘the procedures in which individuals choose whether to participate in an investigation after being informed of facts that would be likely to influence their decisions’. Informed consent requires four distinct constituent parts: </w:t>
      </w:r>
    </w:p>
    <w:p w14:paraId="578EF32A" w14:textId="77777777" w:rsidR="002E0F5E" w:rsidRPr="002E0F5E" w:rsidRDefault="002E0F5E" w:rsidP="002E0F5E">
      <w:pPr>
        <w:numPr>
          <w:ilvl w:val="0"/>
          <w:numId w:val="25"/>
        </w:numPr>
        <w:spacing w:after="160" w:line="480" w:lineRule="auto"/>
        <w:contextualSpacing/>
        <w:rPr>
          <w:rFonts w:eastAsia="Calibri"/>
          <w:sz w:val="24"/>
          <w:szCs w:val="24"/>
          <w:lang w:eastAsia="en-US"/>
        </w:rPr>
      </w:pPr>
      <w:r w:rsidRPr="002E0F5E">
        <w:rPr>
          <w:rFonts w:eastAsia="Calibri"/>
          <w:sz w:val="24"/>
          <w:szCs w:val="24"/>
          <w:lang w:eastAsia="en-US"/>
        </w:rPr>
        <w:t>Competence - researchers must make sure that participants are responsible and mature enough to give consent;</w:t>
      </w:r>
    </w:p>
    <w:p w14:paraId="22136428" w14:textId="77777777" w:rsidR="002E0F5E" w:rsidRPr="002E0F5E" w:rsidRDefault="002E0F5E" w:rsidP="002E0F5E">
      <w:pPr>
        <w:numPr>
          <w:ilvl w:val="0"/>
          <w:numId w:val="25"/>
        </w:numPr>
        <w:spacing w:after="160" w:line="480" w:lineRule="auto"/>
        <w:contextualSpacing/>
        <w:rPr>
          <w:rFonts w:eastAsia="Calibri"/>
          <w:sz w:val="24"/>
          <w:szCs w:val="24"/>
          <w:lang w:eastAsia="en-US"/>
        </w:rPr>
      </w:pPr>
      <w:r w:rsidRPr="002E0F5E">
        <w:rPr>
          <w:rFonts w:eastAsia="Calibri"/>
          <w:sz w:val="24"/>
          <w:szCs w:val="24"/>
          <w:lang w:eastAsia="en-US"/>
        </w:rPr>
        <w:t>Voluntarism - researchers must make sure that participants are freely choosing to take part;</w:t>
      </w:r>
    </w:p>
    <w:p w14:paraId="5CF61A76" w14:textId="77777777" w:rsidR="002E0F5E" w:rsidRPr="002E0F5E" w:rsidRDefault="002E0F5E" w:rsidP="002E0F5E">
      <w:pPr>
        <w:numPr>
          <w:ilvl w:val="0"/>
          <w:numId w:val="25"/>
        </w:numPr>
        <w:spacing w:after="160" w:line="480" w:lineRule="auto"/>
        <w:contextualSpacing/>
        <w:rPr>
          <w:rFonts w:eastAsia="Calibri"/>
          <w:sz w:val="24"/>
          <w:szCs w:val="24"/>
          <w:lang w:eastAsia="en-US"/>
        </w:rPr>
      </w:pPr>
      <w:r w:rsidRPr="002E0F5E">
        <w:rPr>
          <w:rFonts w:eastAsia="Calibri"/>
          <w:sz w:val="24"/>
          <w:szCs w:val="24"/>
          <w:lang w:eastAsia="en-US"/>
        </w:rPr>
        <w:t>Full information - researchers must ensure that participants are given all the information, or as much information as possible;</w:t>
      </w:r>
    </w:p>
    <w:p w14:paraId="68620917" w14:textId="77777777" w:rsidR="002E0F5E" w:rsidRPr="002E0F5E" w:rsidRDefault="002E0F5E" w:rsidP="002E0F5E">
      <w:pPr>
        <w:numPr>
          <w:ilvl w:val="0"/>
          <w:numId w:val="25"/>
        </w:numPr>
        <w:spacing w:after="160" w:line="480" w:lineRule="auto"/>
        <w:contextualSpacing/>
        <w:rPr>
          <w:rFonts w:eastAsia="Calibri"/>
          <w:sz w:val="24"/>
          <w:szCs w:val="24"/>
          <w:lang w:eastAsia="en-US"/>
        </w:rPr>
      </w:pPr>
      <w:r w:rsidRPr="002E0F5E">
        <w:rPr>
          <w:rFonts w:eastAsia="Calibri"/>
          <w:sz w:val="24"/>
          <w:szCs w:val="24"/>
          <w:lang w:eastAsia="en-US"/>
        </w:rPr>
        <w:t>Comprehension - researchers must ensure that participants understand the nature of the research project.</w:t>
      </w:r>
    </w:p>
    <w:p w14:paraId="1403AA99" w14:textId="77777777" w:rsidR="002E0F5E" w:rsidRPr="002E0F5E" w:rsidRDefault="002E0F5E" w:rsidP="002E0F5E">
      <w:pPr>
        <w:spacing w:after="160" w:line="480" w:lineRule="auto"/>
        <w:rPr>
          <w:rFonts w:eastAsia="Calibri"/>
          <w:sz w:val="24"/>
          <w:szCs w:val="24"/>
          <w:lang w:eastAsia="en-US"/>
        </w:rPr>
      </w:pPr>
    </w:p>
    <w:p w14:paraId="6BB470FE"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While in some cases informed consent is not necessary such as when deceit is beneficial (Frankfort-</w:t>
      </w:r>
      <w:proofErr w:type="spellStart"/>
      <w:r w:rsidRPr="002E0F5E">
        <w:rPr>
          <w:rFonts w:eastAsia="Calibri"/>
          <w:sz w:val="24"/>
          <w:szCs w:val="24"/>
          <w:lang w:eastAsia="en-US"/>
        </w:rPr>
        <w:t>Nachmias</w:t>
      </w:r>
      <w:proofErr w:type="spellEnd"/>
      <w:r w:rsidRPr="002E0F5E">
        <w:rPr>
          <w:rFonts w:eastAsia="Calibri"/>
          <w:sz w:val="24"/>
          <w:szCs w:val="24"/>
          <w:lang w:eastAsia="en-US"/>
        </w:rPr>
        <w:t xml:space="preserve"> and </w:t>
      </w:r>
      <w:proofErr w:type="spellStart"/>
      <w:r w:rsidRPr="002E0F5E">
        <w:rPr>
          <w:rFonts w:eastAsia="Calibri"/>
          <w:sz w:val="24"/>
          <w:szCs w:val="24"/>
          <w:lang w:eastAsia="en-US"/>
        </w:rPr>
        <w:t>Nachmias</w:t>
      </w:r>
      <w:proofErr w:type="spellEnd"/>
      <w:r w:rsidRPr="002E0F5E">
        <w:rPr>
          <w:rFonts w:eastAsia="Calibri"/>
          <w:sz w:val="24"/>
          <w:szCs w:val="24"/>
          <w:lang w:eastAsia="en-US"/>
        </w:rPr>
        <w:t>, 1992), there is no reason not to gain informed consent in this research project.</w:t>
      </w:r>
    </w:p>
    <w:p w14:paraId="045FB012" w14:textId="77777777" w:rsidR="002E0F5E" w:rsidRPr="002E0F5E" w:rsidRDefault="002E0F5E" w:rsidP="002E0F5E">
      <w:pPr>
        <w:spacing w:after="160" w:line="480" w:lineRule="auto"/>
        <w:rPr>
          <w:rFonts w:eastAsia="Calibri"/>
          <w:sz w:val="24"/>
          <w:szCs w:val="24"/>
          <w:lang w:eastAsia="en-US"/>
        </w:rPr>
      </w:pPr>
    </w:p>
    <w:p w14:paraId="65F25650"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school has been anonymised in this report to protect the identities of teachers and pupils. Pupils’ data was also anonymised and pupils were given the option to withdraw at any point if they desired. The importance of anonymity and right to withdraw are discussed in the work of Frankfort-</w:t>
      </w:r>
      <w:proofErr w:type="spellStart"/>
      <w:r w:rsidRPr="002E0F5E">
        <w:rPr>
          <w:rFonts w:eastAsia="Calibri"/>
          <w:sz w:val="24"/>
          <w:szCs w:val="24"/>
          <w:lang w:eastAsia="en-US"/>
        </w:rPr>
        <w:t>Nachmias</w:t>
      </w:r>
      <w:proofErr w:type="spellEnd"/>
      <w:r w:rsidRPr="002E0F5E">
        <w:rPr>
          <w:rFonts w:eastAsia="Calibri"/>
          <w:sz w:val="24"/>
          <w:szCs w:val="24"/>
          <w:lang w:eastAsia="en-US"/>
        </w:rPr>
        <w:t xml:space="preserve"> and </w:t>
      </w:r>
      <w:proofErr w:type="spellStart"/>
      <w:r w:rsidRPr="002E0F5E">
        <w:rPr>
          <w:rFonts w:eastAsia="Calibri"/>
          <w:sz w:val="24"/>
          <w:szCs w:val="24"/>
          <w:lang w:eastAsia="en-US"/>
        </w:rPr>
        <w:t>Nachmias</w:t>
      </w:r>
      <w:proofErr w:type="spellEnd"/>
      <w:r w:rsidRPr="002E0F5E">
        <w:rPr>
          <w:rFonts w:eastAsia="Calibri"/>
          <w:sz w:val="24"/>
          <w:szCs w:val="24"/>
          <w:lang w:eastAsia="en-US"/>
        </w:rPr>
        <w:t xml:space="preserve"> (1992). Some pupils did exercise this right and their data is therefore not included in my sample. Pupil data was always kept on a password-protected memory stick. The aim of the research was explained to pupils and pupils were asked to explain it back to me in their own words to ensure comprehension. It was explained to pupils that this intervention was a normal part of classroom procedure and they would be expected to take part in the lesson even if they withdrew consent for their data to be used in my sample.</w:t>
      </w:r>
    </w:p>
    <w:p w14:paraId="1CE6289C" w14:textId="77777777" w:rsidR="002E0F5E" w:rsidRPr="002E0F5E" w:rsidRDefault="002E0F5E" w:rsidP="002E0F5E">
      <w:pPr>
        <w:spacing w:after="160" w:line="480" w:lineRule="auto"/>
        <w:rPr>
          <w:rFonts w:eastAsia="Calibri"/>
          <w:sz w:val="24"/>
          <w:szCs w:val="24"/>
          <w:lang w:eastAsia="en-US"/>
        </w:rPr>
      </w:pPr>
    </w:p>
    <w:p w14:paraId="44B0B194"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My sample of pupils was chosen from the list of classes I was assigned as they were performing a levelled investigation that required graph work. A KS3 class was chosen as Scientific skills are taught mainly in KS3 in school Y and KS4 students would be adversely affected given the imminence of their examinations and the tight timeframe in which the material was required to be taught. </w:t>
      </w:r>
    </w:p>
    <w:p w14:paraId="49994A7D" w14:textId="77777777" w:rsidR="002E0F5E" w:rsidRPr="002E0F5E" w:rsidRDefault="002E0F5E" w:rsidP="002E0F5E">
      <w:pPr>
        <w:spacing w:after="160" w:line="480" w:lineRule="auto"/>
        <w:rPr>
          <w:rFonts w:eastAsia="Calibri"/>
          <w:sz w:val="24"/>
          <w:szCs w:val="24"/>
          <w:lang w:eastAsia="en-US"/>
        </w:rPr>
      </w:pPr>
    </w:p>
    <w:p w14:paraId="18CB8171"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Pupils in my sample class were given consent forms and it was ensured that pupils gave fully informed consent before the research began. Pupils assigned themselves numbers by selection from a hat and wrote those numbers on their work. Pupils kept their chosen numbers and were able to return them to me at any point to remove their data from the research. Two pupils withdrew themselves from the study.</w:t>
      </w:r>
    </w:p>
    <w:p w14:paraId="52319255" w14:textId="77777777" w:rsidR="002E0F5E" w:rsidRPr="002E0F5E" w:rsidRDefault="002E0F5E" w:rsidP="002E0F5E">
      <w:pPr>
        <w:spacing w:after="160" w:line="480" w:lineRule="auto"/>
        <w:rPr>
          <w:rFonts w:eastAsia="Calibri"/>
          <w:sz w:val="24"/>
          <w:szCs w:val="24"/>
          <w:lang w:eastAsia="en-US"/>
        </w:rPr>
      </w:pPr>
    </w:p>
    <w:p w14:paraId="52C7AF41"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My research methodology incorporated a variety of methodologies. Using mixed methodology is particularly appropriate for educational research as it enables me to collect both qualitative and quantitative data so I can discuss attitudes and opinions in the qualitative data and also identify trends and patterns within the quantitative data (Cohen, </w:t>
      </w:r>
      <w:proofErr w:type="spellStart"/>
      <w:r w:rsidRPr="002E0F5E">
        <w:rPr>
          <w:rFonts w:eastAsia="Calibri"/>
          <w:sz w:val="24"/>
          <w:szCs w:val="24"/>
          <w:lang w:eastAsia="en-US"/>
        </w:rPr>
        <w:t>Manion</w:t>
      </w:r>
      <w:proofErr w:type="spellEnd"/>
      <w:r w:rsidRPr="002E0F5E">
        <w:rPr>
          <w:rFonts w:eastAsia="Calibri"/>
          <w:sz w:val="24"/>
          <w:szCs w:val="24"/>
          <w:lang w:eastAsia="en-US"/>
        </w:rPr>
        <w:t xml:space="preserve"> and Morrison, 2011). This is particularly suitable for my research since the small sample size precludes my findings from definitively giving any certain conclusions or proving nomothetic laws, only being able to provide idiographic analysis conclusively (Castro-</w:t>
      </w:r>
      <w:proofErr w:type="spellStart"/>
      <w:r w:rsidRPr="002E0F5E">
        <w:rPr>
          <w:rFonts w:eastAsia="Calibri"/>
          <w:sz w:val="24"/>
          <w:szCs w:val="24"/>
          <w:lang w:eastAsia="en-US"/>
        </w:rPr>
        <w:t>Schilo</w:t>
      </w:r>
      <w:proofErr w:type="spellEnd"/>
      <w:r w:rsidRPr="002E0F5E">
        <w:rPr>
          <w:rFonts w:eastAsia="Calibri"/>
          <w:sz w:val="24"/>
          <w:szCs w:val="24"/>
          <w:lang w:eastAsia="en-US"/>
        </w:rPr>
        <w:t xml:space="preserve"> and Ferrer, 2013). This means that while my data can provide a snapshot of my class it cannot be definitively used to predict the results of all pupils exposed to this intervention in the future; I can only report on the experience of myself, my pupils, and the classroom teacher.</w:t>
      </w:r>
    </w:p>
    <w:p w14:paraId="519B2B6D"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My research was conducted from samples of pupils’ work, my own reflections as the researcher, the comments of my mentor, and the anonymously submitted comments of the pupils.</w:t>
      </w:r>
    </w:p>
    <w:p w14:paraId="48DDD422" w14:textId="77777777" w:rsidR="002E0F5E" w:rsidRPr="002E0F5E" w:rsidRDefault="002E0F5E" w:rsidP="002E0F5E">
      <w:pPr>
        <w:spacing w:after="160" w:line="480" w:lineRule="auto"/>
        <w:rPr>
          <w:rFonts w:eastAsia="Calibri"/>
          <w:sz w:val="24"/>
          <w:szCs w:val="24"/>
          <w:lang w:eastAsia="en-US"/>
        </w:rPr>
      </w:pPr>
    </w:p>
    <w:p w14:paraId="011FE689"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qualitative data collected over the course of this investigation (my reflections, mentor comments, and pupil feedback) will enable me to examine the emotional and behavioural effects of the strategy including pupil confidence with a technique to aid their memory.</w:t>
      </w:r>
    </w:p>
    <w:p w14:paraId="3FDBC281" w14:textId="77777777" w:rsidR="002E0F5E" w:rsidRPr="002E0F5E" w:rsidRDefault="002E0F5E" w:rsidP="002E0F5E">
      <w:pPr>
        <w:spacing w:after="160" w:line="480" w:lineRule="auto"/>
        <w:rPr>
          <w:rFonts w:eastAsia="Calibri"/>
          <w:sz w:val="24"/>
          <w:szCs w:val="24"/>
          <w:lang w:eastAsia="en-US"/>
        </w:rPr>
      </w:pPr>
    </w:p>
    <w:p w14:paraId="6CC19332"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quantitative data collected over the course of the investigation (mentor’s marking and my own marking of pupils’ work) will give a more concrete result of the pupils’ performances. A simple score out of seven will be given based on the presence of features, not the quality. I decided to have both myself and my mentor mark the work as he has more experience in the area of teaching GCSE science and I wanted to ensure that my marking wasn’t too lenient or too harsh. We did not discuss the marks given for each anonymised pupil and marks were not changed once they had been given. Since the graphs are hand-written this also helps to eliminate bias based on readability or perceived gender differences in submitted work as it has been reported that girls’ work is marked lower than boys’ when not submitted anonymously (</w:t>
      </w:r>
      <w:proofErr w:type="spellStart"/>
      <w:r w:rsidRPr="002E0F5E">
        <w:rPr>
          <w:rFonts w:eastAsia="Calibri"/>
          <w:sz w:val="24"/>
          <w:szCs w:val="24"/>
          <w:lang w:eastAsia="en-US"/>
        </w:rPr>
        <w:t>Lavy</w:t>
      </w:r>
      <w:proofErr w:type="spellEnd"/>
      <w:r w:rsidRPr="002E0F5E">
        <w:rPr>
          <w:rFonts w:eastAsia="Calibri"/>
          <w:sz w:val="24"/>
          <w:szCs w:val="24"/>
          <w:lang w:eastAsia="en-US"/>
        </w:rPr>
        <w:t xml:space="preserve"> and Sand, 2015).</w:t>
      </w:r>
    </w:p>
    <w:p w14:paraId="5938E3A4" w14:textId="77777777" w:rsidR="002E0F5E" w:rsidRPr="002E0F5E" w:rsidRDefault="002E0F5E" w:rsidP="002E0F5E">
      <w:pPr>
        <w:spacing w:after="160" w:line="480" w:lineRule="auto"/>
        <w:rPr>
          <w:rFonts w:eastAsia="Calibri"/>
          <w:sz w:val="24"/>
          <w:szCs w:val="24"/>
          <w:lang w:eastAsia="en-US"/>
        </w:rPr>
      </w:pPr>
    </w:p>
    <w:p w14:paraId="7681FBCB"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My research began with an assessment of pupils’ baseline graph skills where they were asked to create a bar graph based on the results of a neutralisation experiment they carried out. This work was assessed by myself and the class mentor and marked out of seven based on whether the pupil had included a scale, axes, labels, units, a title, an explanation, and taken up more than half of the allotted space, all things that students would gain marks for in GCSE examinations. Pupils were not told how well they had performed in this task and no graphs were marked until the intervention and post-intervention graph had been completed. This was decided on to try and eliminate bias and give more comparisons when marking the work as a whole.</w:t>
      </w:r>
    </w:p>
    <w:p w14:paraId="73A58631" w14:textId="77777777" w:rsidR="002E0F5E" w:rsidRPr="002E0F5E" w:rsidRDefault="002E0F5E" w:rsidP="002E0F5E">
      <w:pPr>
        <w:spacing w:after="160" w:line="480" w:lineRule="auto"/>
        <w:rPr>
          <w:rFonts w:eastAsia="Calibri"/>
          <w:sz w:val="24"/>
          <w:szCs w:val="24"/>
          <w:lang w:eastAsia="en-US"/>
        </w:rPr>
      </w:pPr>
    </w:p>
    <w:p w14:paraId="3019F1EC"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An intervention then took place in the next lesson where pupils were taught how to draw a graph step-by-step along with an acronym (SALUTE) and an action (a salute) to help them remember the six key points for drawing a graph (Scale, Axes, Label, Units, Title, Explanation). The kinaesthetic action of the salute was augmented with a video clip of a character from popular videogame </w:t>
      </w:r>
      <w:proofErr w:type="spellStart"/>
      <w:r w:rsidRPr="002E0F5E">
        <w:rPr>
          <w:rFonts w:eastAsia="Calibri"/>
          <w:sz w:val="24"/>
          <w:szCs w:val="24"/>
          <w:lang w:eastAsia="en-US"/>
        </w:rPr>
        <w:t>Fortnite</w:t>
      </w:r>
      <w:proofErr w:type="spellEnd"/>
      <w:r w:rsidRPr="002E0F5E">
        <w:rPr>
          <w:rFonts w:eastAsia="Calibri"/>
          <w:sz w:val="24"/>
          <w:szCs w:val="24"/>
          <w:lang w:eastAsia="en-US"/>
        </w:rPr>
        <w:t xml:space="preserve"> performing a salute.</w:t>
      </w:r>
    </w:p>
    <w:p w14:paraId="6E62C8C4" w14:textId="77777777" w:rsidR="002E0F5E" w:rsidRPr="002E0F5E" w:rsidRDefault="002E0F5E" w:rsidP="002E0F5E">
      <w:pPr>
        <w:spacing w:after="160" w:line="480" w:lineRule="auto"/>
        <w:rPr>
          <w:rFonts w:eastAsia="Calibri"/>
          <w:sz w:val="24"/>
          <w:szCs w:val="24"/>
          <w:lang w:eastAsia="en-US"/>
        </w:rPr>
      </w:pPr>
    </w:p>
    <w:p w14:paraId="5EBD05D5"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I first saw the acronym in use in the maths department of my last professional teaching experience and heard good reports of its efficacy. I did consider another acronym (LUSH) which covers the same material in less detail (Labels, Units, Scale, Heading) but decided not to use this as it left out key constituents of a scientific graph. I also utilised a sing-along video that covers the types of variables pupils would see and how to arrange them on a graph (</w:t>
      </w:r>
      <w:proofErr w:type="spellStart"/>
      <w:r w:rsidRPr="002E0F5E">
        <w:rPr>
          <w:rFonts w:eastAsia="Calibri"/>
          <w:sz w:val="24"/>
          <w:szCs w:val="24"/>
          <w:lang w:eastAsia="en-US"/>
        </w:rPr>
        <w:t>baibel</w:t>
      </w:r>
      <w:proofErr w:type="spellEnd"/>
      <w:r w:rsidRPr="002E0F5E">
        <w:rPr>
          <w:rFonts w:eastAsia="Calibri"/>
          <w:sz w:val="24"/>
          <w:szCs w:val="24"/>
          <w:lang w:eastAsia="en-US"/>
        </w:rPr>
        <w:t>, 2009).</w:t>
      </w:r>
    </w:p>
    <w:p w14:paraId="14959552" w14:textId="77777777" w:rsidR="002E0F5E" w:rsidRPr="002E0F5E" w:rsidRDefault="002E0F5E" w:rsidP="002E0F5E">
      <w:pPr>
        <w:spacing w:after="160" w:line="480" w:lineRule="auto"/>
        <w:rPr>
          <w:rFonts w:eastAsia="Calibri"/>
          <w:sz w:val="24"/>
          <w:szCs w:val="24"/>
          <w:lang w:eastAsia="en-US"/>
        </w:rPr>
      </w:pPr>
    </w:p>
    <w:p w14:paraId="498E3591"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The pupils were then asked to re-draw their graphs with the new method of remembering the essential features of the graph. My mentor and I then marked the new graphs out of seven. Pupils were asked to submit comments about the acronym and action anonymously </w:t>
      </w:r>
      <w:r w:rsidRPr="002E0F5E">
        <w:rPr>
          <w:rFonts w:eastAsia="Calibri"/>
          <w:i/>
          <w:sz w:val="24"/>
          <w:szCs w:val="24"/>
          <w:lang w:eastAsia="en-US"/>
        </w:rPr>
        <w:t>via</w:t>
      </w:r>
      <w:r w:rsidRPr="002E0F5E">
        <w:rPr>
          <w:rFonts w:eastAsia="Calibri"/>
          <w:sz w:val="24"/>
          <w:szCs w:val="24"/>
          <w:lang w:eastAsia="en-US"/>
        </w:rPr>
        <w:t xml:space="preserve"> the </w:t>
      </w:r>
      <w:proofErr w:type="spellStart"/>
      <w:r w:rsidRPr="002E0F5E">
        <w:rPr>
          <w:rFonts w:eastAsia="Calibri"/>
          <w:sz w:val="24"/>
          <w:szCs w:val="24"/>
          <w:lang w:eastAsia="en-US"/>
        </w:rPr>
        <w:t>padlet</w:t>
      </w:r>
      <w:proofErr w:type="spellEnd"/>
      <w:r w:rsidRPr="002E0F5E">
        <w:rPr>
          <w:rFonts w:eastAsia="Calibri"/>
          <w:sz w:val="24"/>
          <w:szCs w:val="24"/>
          <w:lang w:eastAsia="en-US"/>
        </w:rPr>
        <w:t xml:space="preserve"> app on the classroom iPads. This is a familiar form of feedback to the pupils as I use it often with them in lessons.</w:t>
      </w:r>
    </w:p>
    <w:p w14:paraId="6FA9E027" w14:textId="77777777" w:rsidR="002E0F5E" w:rsidRPr="002E0F5E" w:rsidRDefault="002E0F5E" w:rsidP="002E0F5E">
      <w:pPr>
        <w:spacing w:after="160" w:line="480" w:lineRule="auto"/>
        <w:rPr>
          <w:rFonts w:eastAsia="Calibri"/>
          <w:sz w:val="24"/>
          <w:szCs w:val="24"/>
          <w:lang w:eastAsia="en-US"/>
        </w:rPr>
      </w:pPr>
    </w:p>
    <w:p w14:paraId="63092842"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Pupils were given the same amount of time to complete each graph (15 minutes) to reduce any effect that a change in allotted time could produce.</w:t>
      </w:r>
    </w:p>
    <w:p w14:paraId="715A61FC"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EAL pupils were given access to their usual iPad translation apps during the research.</w:t>
      </w:r>
    </w:p>
    <w:p w14:paraId="336E03F9" w14:textId="77777777" w:rsidR="002E0F5E" w:rsidRPr="002E0F5E" w:rsidRDefault="002E0F5E" w:rsidP="002E0F5E">
      <w:pPr>
        <w:spacing w:after="160" w:line="480" w:lineRule="auto"/>
        <w:rPr>
          <w:rFonts w:eastAsia="Calibri"/>
          <w:sz w:val="24"/>
          <w:szCs w:val="24"/>
          <w:lang w:eastAsia="en-US"/>
        </w:rPr>
      </w:pPr>
    </w:p>
    <w:p w14:paraId="1E9B3203" w14:textId="77777777" w:rsidR="002E0F5E" w:rsidRPr="002E0F5E" w:rsidRDefault="002E0F5E" w:rsidP="002E0F5E">
      <w:pPr>
        <w:spacing w:after="160" w:line="480" w:lineRule="auto"/>
        <w:rPr>
          <w:rFonts w:eastAsia="Calibri"/>
          <w:b/>
          <w:sz w:val="24"/>
          <w:szCs w:val="24"/>
          <w:lang w:eastAsia="en-US"/>
        </w:rPr>
      </w:pPr>
      <w:r w:rsidRPr="002E0F5E">
        <w:rPr>
          <w:rFonts w:eastAsia="Calibri"/>
          <w:b/>
          <w:sz w:val="24"/>
          <w:szCs w:val="24"/>
          <w:lang w:eastAsia="en-US"/>
        </w:rPr>
        <w:t>Evaluation – 2000</w:t>
      </w:r>
    </w:p>
    <w:p w14:paraId="42DA6CAA"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initial outline for my methodology included my mentor’s marking of pupils’ work, as well as my own. While this was conducted, it is not included in this report for the sake of brevity. Due to the objective nature of the marking criteria, our marking lined up exactly, with no differences in our marking and as such, seems unworthy of analysis.</w:t>
      </w:r>
    </w:p>
    <w:p w14:paraId="50878BDA" w14:textId="77777777" w:rsidR="002E0F5E" w:rsidRPr="002E0F5E" w:rsidRDefault="002E0F5E" w:rsidP="002E0F5E">
      <w:pPr>
        <w:spacing w:after="160" w:line="480" w:lineRule="auto"/>
        <w:rPr>
          <w:rFonts w:eastAsia="Calibri"/>
          <w:sz w:val="24"/>
          <w:szCs w:val="24"/>
          <w:lang w:eastAsia="en-US"/>
        </w:rPr>
      </w:pPr>
    </w:p>
    <w:p w14:paraId="7B0CF8B8"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results before and after intervention were illuminating as they displayed what pupils were struggling with before and after their intervention.</w:t>
      </w:r>
    </w:p>
    <w:p w14:paraId="3BAE9278" w14:textId="77777777" w:rsidR="002E0F5E" w:rsidRPr="002E0F5E" w:rsidRDefault="002E0F5E" w:rsidP="002E0F5E">
      <w:pPr>
        <w:spacing w:after="160" w:line="480" w:lineRule="auto"/>
        <w:rPr>
          <w:rFonts w:eastAsia="Calibri"/>
          <w:sz w:val="24"/>
          <w:szCs w:val="24"/>
          <w:lang w:eastAsia="en-US"/>
        </w:rPr>
      </w:pPr>
    </w:p>
    <w:p w14:paraId="3335E787"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All pupils (22 out of 22 pupils, 100%) showed increased scores after the intervention compared to the baseline assessment, though uptake of labelling axes x and y leaves something to be desired. This suggests that the techniques worked in improving pupils’ memory of key features of a graph and merits further study. No pupils displayed all the desired elements in their pre-intervention graphs, whereas 7 out of 22 pupils (around 32%) attained full marks post-intervention.</w:t>
      </w:r>
    </w:p>
    <w:p w14:paraId="35FFE908" w14:textId="77777777" w:rsidR="002E0F5E" w:rsidRPr="002E0F5E" w:rsidRDefault="002E0F5E" w:rsidP="002E0F5E">
      <w:pPr>
        <w:spacing w:after="160" w:line="480" w:lineRule="auto"/>
        <w:rPr>
          <w:rFonts w:eastAsia="Calibri"/>
          <w:sz w:val="24"/>
          <w:szCs w:val="24"/>
          <w:lang w:eastAsia="en-US"/>
        </w:rPr>
      </w:pPr>
    </w:p>
    <w:p w14:paraId="359B9A38"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modal mark pre-intervention was 3 (7 out of 22 pupils, around 32%) and post-intervention, it was 6 (9 out of 22 pupils, around 41%).</w:t>
      </w:r>
    </w:p>
    <w:p w14:paraId="2D7826AB" w14:textId="77777777" w:rsidR="002E0F5E" w:rsidRPr="002E0F5E" w:rsidRDefault="002E0F5E" w:rsidP="002E0F5E">
      <w:pPr>
        <w:spacing w:after="160" w:line="480" w:lineRule="auto"/>
        <w:rPr>
          <w:rFonts w:eastAsia="Calibri"/>
          <w:sz w:val="24"/>
          <w:szCs w:val="24"/>
          <w:lang w:eastAsia="en-US"/>
        </w:rPr>
      </w:pPr>
    </w:p>
    <w:p w14:paraId="75703D2B"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These results suggest that the acronym and mnemonics were helpful to pupils in recalling the success criteria for graphs, improving their results as predicted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and Scruggs, 1998; King-Sears </w:t>
      </w:r>
      <w:r w:rsidRPr="002E0F5E">
        <w:rPr>
          <w:rFonts w:eastAsia="Calibri"/>
          <w:i/>
          <w:sz w:val="24"/>
          <w:szCs w:val="24"/>
          <w:lang w:eastAsia="en-US"/>
        </w:rPr>
        <w:t>et al.,</w:t>
      </w:r>
      <w:r w:rsidRPr="002E0F5E">
        <w:rPr>
          <w:rFonts w:eastAsia="Calibri"/>
          <w:sz w:val="24"/>
          <w:szCs w:val="24"/>
          <w:lang w:eastAsia="en-US"/>
        </w:rPr>
        <w:t xml:space="preserve"> 1992).</w:t>
      </w:r>
    </w:p>
    <w:p w14:paraId="6DE78CA9" w14:textId="77777777" w:rsidR="002E0F5E" w:rsidRPr="002E0F5E" w:rsidRDefault="002E0F5E" w:rsidP="002E0F5E">
      <w:pPr>
        <w:spacing w:after="160" w:line="480" w:lineRule="auto"/>
        <w:rPr>
          <w:rFonts w:eastAsia="Calibri"/>
          <w:sz w:val="24"/>
          <w:szCs w:val="24"/>
          <w:lang w:eastAsia="en-US"/>
        </w:rPr>
      </w:pPr>
    </w:p>
    <w:p w14:paraId="670C1AEA"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Displayed below are the results for each of the seven categories assessed in the study before and after intervention, with a brief comment about the results.</w:t>
      </w:r>
    </w:p>
    <w:p w14:paraId="56717606" w14:textId="77777777" w:rsidR="002E0F5E" w:rsidRPr="002E0F5E" w:rsidRDefault="002E0F5E" w:rsidP="002E0F5E">
      <w:pPr>
        <w:spacing w:after="160" w:line="480" w:lineRule="auto"/>
        <w:rPr>
          <w:rFonts w:eastAsia="Calibri"/>
          <w:b/>
          <w:sz w:val="24"/>
          <w:szCs w:val="24"/>
          <w:lang w:eastAsia="en-US"/>
        </w:rPr>
      </w:pPr>
    </w:p>
    <w:p w14:paraId="59C9970D" w14:textId="77777777" w:rsidR="002E0F5E" w:rsidRPr="002E0F5E" w:rsidRDefault="002E0F5E" w:rsidP="002E0F5E">
      <w:pPr>
        <w:spacing w:after="160" w:line="480" w:lineRule="auto"/>
        <w:rPr>
          <w:rFonts w:eastAsia="Calibri"/>
          <w:b/>
          <w:sz w:val="24"/>
          <w:szCs w:val="24"/>
          <w:lang w:eastAsia="en-US"/>
        </w:rPr>
      </w:pPr>
    </w:p>
    <w:p w14:paraId="25B4A384" w14:textId="77777777" w:rsidR="002E0F5E" w:rsidRPr="002E0F5E" w:rsidRDefault="002E0F5E" w:rsidP="002E0F5E">
      <w:pPr>
        <w:spacing w:after="160" w:line="480" w:lineRule="auto"/>
        <w:rPr>
          <w:rFonts w:eastAsia="Calibri"/>
          <w:b/>
          <w:sz w:val="24"/>
          <w:szCs w:val="24"/>
          <w:lang w:eastAsia="en-US"/>
        </w:rPr>
      </w:pPr>
    </w:p>
    <w:p w14:paraId="1DF1D7F8" w14:textId="77777777" w:rsidR="002E0F5E" w:rsidRPr="002E0F5E" w:rsidRDefault="002E0F5E" w:rsidP="002E0F5E">
      <w:pPr>
        <w:spacing w:after="160" w:line="480" w:lineRule="auto"/>
        <w:rPr>
          <w:rFonts w:eastAsia="Calibri"/>
          <w:b/>
          <w:sz w:val="24"/>
          <w:szCs w:val="24"/>
          <w:lang w:eastAsia="en-US"/>
        </w:rPr>
      </w:pPr>
      <w:r w:rsidRPr="002E0F5E">
        <w:rPr>
          <w:rFonts w:eastAsia="Calibri"/>
          <w:noProof/>
          <w:sz w:val="24"/>
          <w:szCs w:val="24"/>
        </w:rPr>
        <w:drawing>
          <wp:anchor distT="0" distB="0" distL="114300" distR="114300" simplePos="0" relativeHeight="251659776" behindDoc="0" locked="0" layoutInCell="1" allowOverlap="1" wp14:anchorId="5672EEDA" wp14:editId="12420C59">
            <wp:simplePos x="0" y="0"/>
            <wp:positionH relativeFrom="column">
              <wp:posOffset>2936240</wp:posOffset>
            </wp:positionH>
            <wp:positionV relativeFrom="paragraph">
              <wp:posOffset>-661035</wp:posOffset>
            </wp:positionV>
            <wp:extent cx="3193415" cy="2743200"/>
            <wp:effectExtent l="0" t="0" r="6985" b="0"/>
            <wp:wrapNone/>
            <wp:docPr id="4" name="Chart 4">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V relativeFrom="margin">
              <wp14:pctHeight>0</wp14:pctHeight>
            </wp14:sizeRelV>
          </wp:anchor>
        </w:drawing>
      </w:r>
      <w:r w:rsidRPr="002E0F5E">
        <w:rPr>
          <w:rFonts w:eastAsia="Calibri"/>
          <w:noProof/>
          <w:sz w:val="24"/>
          <w:szCs w:val="24"/>
        </w:rPr>
        <w:drawing>
          <wp:anchor distT="0" distB="0" distL="114300" distR="114300" simplePos="0" relativeHeight="251660800" behindDoc="0" locked="0" layoutInCell="1" allowOverlap="1" wp14:anchorId="0AE05C12" wp14:editId="5C38D8AF">
            <wp:simplePos x="0" y="0"/>
            <wp:positionH relativeFrom="margin">
              <wp:posOffset>-247650</wp:posOffset>
            </wp:positionH>
            <wp:positionV relativeFrom="paragraph">
              <wp:posOffset>-645795</wp:posOffset>
            </wp:positionV>
            <wp:extent cx="3193415" cy="2743200"/>
            <wp:effectExtent l="0" t="0" r="6985" b="0"/>
            <wp:wrapNone/>
            <wp:docPr id="5" name="Chart 5">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61F716D7" w14:textId="77777777" w:rsidR="002E0F5E" w:rsidRPr="002E0F5E" w:rsidRDefault="002E0F5E" w:rsidP="002E0F5E">
      <w:pPr>
        <w:spacing w:after="160" w:line="480" w:lineRule="auto"/>
        <w:rPr>
          <w:rFonts w:eastAsia="Calibri"/>
          <w:b/>
          <w:sz w:val="24"/>
          <w:szCs w:val="24"/>
          <w:lang w:eastAsia="en-US"/>
        </w:rPr>
      </w:pPr>
    </w:p>
    <w:p w14:paraId="5F341676" w14:textId="77777777" w:rsidR="002E0F5E" w:rsidRPr="002E0F5E" w:rsidRDefault="002E0F5E" w:rsidP="002E0F5E">
      <w:pPr>
        <w:spacing w:after="160" w:line="480" w:lineRule="auto"/>
        <w:rPr>
          <w:rFonts w:eastAsia="Calibri"/>
          <w:b/>
          <w:sz w:val="24"/>
          <w:szCs w:val="24"/>
          <w:lang w:eastAsia="en-US"/>
        </w:rPr>
      </w:pPr>
    </w:p>
    <w:p w14:paraId="6C4E9D55" w14:textId="77777777" w:rsidR="002E0F5E" w:rsidRPr="002E0F5E" w:rsidRDefault="002E0F5E" w:rsidP="002E0F5E">
      <w:pPr>
        <w:spacing w:after="160" w:line="480" w:lineRule="auto"/>
        <w:rPr>
          <w:rFonts w:eastAsia="Calibri"/>
          <w:b/>
          <w:sz w:val="24"/>
          <w:szCs w:val="24"/>
          <w:lang w:eastAsia="en-US"/>
        </w:rPr>
      </w:pPr>
    </w:p>
    <w:p w14:paraId="1EF6B85F" w14:textId="77777777" w:rsidR="002E0F5E" w:rsidRPr="002E0F5E" w:rsidRDefault="002E0F5E" w:rsidP="002E0F5E">
      <w:pPr>
        <w:spacing w:after="160" w:line="480" w:lineRule="auto"/>
        <w:rPr>
          <w:rFonts w:eastAsia="Calibri"/>
          <w:b/>
          <w:sz w:val="24"/>
          <w:szCs w:val="24"/>
          <w:lang w:eastAsia="en-US"/>
        </w:rPr>
      </w:pPr>
    </w:p>
    <w:p w14:paraId="7A0BDCF7" w14:textId="77777777" w:rsidR="002E0F5E" w:rsidRPr="002E0F5E" w:rsidRDefault="002E0F5E" w:rsidP="002E0F5E">
      <w:pPr>
        <w:spacing w:after="160" w:line="480" w:lineRule="auto"/>
        <w:rPr>
          <w:rFonts w:eastAsia="Calibri"/>
          <w:b/>
          <w:sz w:val="24"/>
          <w:szCs w:val="24"/>
          <w:lang w:eastAsia="en-US"/>
        </w:rPr>
      </w:pPr>
    </w:p>
    <w:p w14:paraId="3428E25F" w14:textId="77777777" w:rsidR="002E0F5E" w:rsidRPr="002E0F5E" w:rsidRDefault="002E0F5E" w:rsidP="002E0F5E">
      <w:pPr>
        <w:spacing w:after="160" w:line="480" w:lineRule="auto"/>
        <w:rPr>
          <w:rFonts w:eastAsia="Calibri"/>
          <w:b/>
          <w:sz w:val="24"/>
          <w:szCs w:val="24"/>
          <w:lang w:eastAsia="en-US"/>
        </w:rPr>
      </w:pPr>
    </w:p>
    <w:p w14:paraId="1F812D0E" w14:textId="77777777" w:rsidR="002E0F5E" w:rsidRPr="002E0F5E" w:rsidRDefault="002E0F5E" w:rsidP="002E0F5E">
      <w:pPr>
        <w:spacing w:after="160" w:line="480" w:lineRule="auto"/>
        <w:rPr>
          <w:rFonts w:eastAsia="Calibri"/>
          <w:b/>
          <w:sz w:val="24"/>
          <w:szCs w:val="24"/>
          <w:lang w:eastAsia="en-US"/>
        </w:rPr>
      </w:pPr>
    </w:p>
    <w:p w14:paraId="39AA440F"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Before the intervention, 18 out of 22 pupils used a scale in their graph (around 82%), this increased to 22 out of 22 pupils post intervention (100%). This suggests that the technique was effective in aiding pupil memory for graph scales as it led to 18% more pupils supplying their graphs with scales, and no pupils forgot to include them.</w:t>
      </w:r>
    </w:p>
    <w:p w14:paraId="5401C259" w14:textId="77777777" w:rsidR="002E0F5E" w:rsidRPr="002E0F5E" w:rsidRDefault="002E0F5E" w:rsidP="002E0F5E">
      <w:pPr>
        <w:spacing w:after="160" w:line="480" w:lineRule="auto"/>
        <w:rPr>
          <w:rFonts w:eastAsia="Calibri"/>
          <w:b/>
          <w:sz w:val="24"/>
          <w:szCs w:val="24"/>
          <w:lang w:eastAsia="en-US"/>
        </w:rPr>
      </w:pPr>
    </w:p>
    <w:p w14:paraId="6289B46F" w14:textId="77777777" w:rsidR="002E0F5E" w:rsidRPr="002E0F5E" w:rsidRDefault="002E0F5E" w:rsidP="002E0F5E">
      <w:pPr>
        <w:spacing w:after="160" w:line="480" w:lineRule="auto"/>
        <w:rPr>
          <w:rFonts w:eastAsia="Calibri"/>
          <w:b/>
          <w:sz w:val="24"/>
          <w:szCs w:val="24"/>
          <w:lang w:eastAsia="en-US"/>
        </w:rPr>
      </w:pPr>
      <w:r w:rsidRPr="002E0F5E">
        <w:rPr>
          <w:rFonts w:eastAsia="Calibri"/>
          <w:noProof/>
          <w:sz w:val="24"/>
          <w:szCs w:val="24"/>
        </w:rPr>
        <w:drawing>
          <wp:anchor distT="0" distB="0" distL="114300" distR="114300" simplePos="0" relativeHeight="251661824" behindDoc="0" locked="0" layoutInCell="1" allowOverlap="1" wp14:anchorId="0BDD899E" wp14:editId="4CF53648">
            <wp:simplePos x="0" y="0"/>
            <wp:positionH relativeFrom="column">
              <wp:posOffset>3179445</wp:posOffset>
            </wp:positionH>
            <wp:positionV relativeFrom="paragraph">
              <wp:posOffset>-635</wp:posOffset>
            </wp:positionV>
            <wp:extent cx="3015615" cy="2743200"/>
            <wp:effectExtent l="0" t="0" r="13335" b="0"/>
            <wp:wrapNone/>
            <wp:docPr id="6" name="Chart 6">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Pr="002E0F5E">
        <w:rPr>
          <w:rFonts w:eastAsia="Calibri"/>
          <w:noProof/>
          <w:sz w:val="24"/>
          <w:szCs w:val="24"/>
        </w:rPr>
        <w:drawing>
          <wp:inline distT="0" distB="0" distL="0" distR="0" wp14:anchorId="763057B9" wp14:editId="37A23FCE">
            <wp:extent cx="3016155" cy="2743200"/>
            <wp:effectExtent l="0" t="0" r="13335" b="0"/>
            <wp:docPr id="7" name="Chart 7">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7DBF9F0"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Before the intervention, three students out of 22 labelled their axes as x and y (around 14%). This increased to 11 out of 22 pupils post intervention (50%). This shows a marked improvement (around 36%) but the inclusion of x and y needs to be emphasised more in the intervention. Pupils were told to ‘label’ the x and y axes so it is possible that there is a confusion between this and “Labels”. Students were all placing the variables on the correct axes (independent variable on the x axis and dependent variable on the y axis) so they are exhibiting that they understand which axis is which, but not displaying that information clearly on their graphs. </w:t>
      </w:r>
    </w:p>
    <w:p w14:paraId="2D105071" w14:textId="77777777" w:rsidR="002E0F5E" w:rsidRPr="002E0F5E" w:rsidRDefault="002E0F5E" w:rsidP="002E0F5E">
      <w:pPr>
        <w:spacing w:after="160" w:line="480" w:lineRule="auto"/>
        <w:rPr>
          <w:rFonts w:eastAsia="Calibri"/>
          <w:sz w:val="24"/>
          <w:szCs w:val="24"/>
          <w:lang w:eastAsia="en-US"/>
        </w:rPr>
      </w:pPr>
    </w:p>
    <w:p w14:paraId="65EADA3D" w14:textId="77777777" w:rsidR="002E0F5E" w:rsidRPr="002E0F5E" w:rsidRDefault="002E0F5E" w:rsidP="002E0F5E">
      <w:pPr>
        <w:spacing w:after="160" w:line="480" w:lineRule="auto"/>
        <w:rPr>
          <w:rFonts w:eastAsia="Calibri"/>
          <w:sz w:val="24"/>
          <w:szCs w:val="24"/>
          <w:lang w:eastAsia="en-US"/>
        </w:rPr>
      </w:pPr>
    </w:p>
    <w:p w14:paraId="7DC3322B" w14:textId="77777777" w:rsidR="002E0F5E" w:rsidRPr="002E0F5E" w:rsidRDefault="002E0F5E" w:rsidP="002E0F5E">
      <w:pPr>
        <w:spacing w:after="160" w:line="480" w:lineRule="auto"/>
        <w:rPr>
          <w:rFonts w:eastAsia="Calibri"/>
          <w:sz w:val="24"/>
          <w:szCs w:val="24"/>
          <w:lang w:eastAsia="en-US"/>
        </w:rPr>
      </w:pPr>
    </w:p>
    <w:p w14:paraId="44689DEC" w14:textId="77777777" w:rsidR="002E0F5E" w:rsidRPr="002E0F5E" w:rsidRDefault="002E0F5E" w:rsidP="002E0F5E">
      <w:pPr>
        <w:spacing w:after="160" w:line="480" w:lineRule="auto"/>
        <w:rPr>
          <w:rFonts w:eastAsia="Calibri"/>
          <w:sz w:val="24"/>
          <w:szCs w:val="24"/>
          <w:lang w:eastAsia="en-US"/>
        </w:rPr>
      </w:pPr>
    </w:p>
    <w:p w14:paraId="7C7F3BC6" w14:textId="77777777" w:rsidR="002E0F5E" w:rsidRPr="002E0F5E" w:rsidRDefault="002E0F5E" w:rsidP="002E0F5E">
      <w:pPr>
        <w:spacing w:after="160" w:line="480" w:lineRule="auto"/>
        <w:rPr>
          <w:rFonts w:eastAsia="Calibri"/>
          <w:sz w:val="24"/>
          <w:szCs w:val="24"/>
          <w:lang w:eastAsia="en-US"/>
        </w:rPr>
      </w:pPr>
    </w:p>
    <w:p w14:paraId="3825215A" w14:textId="77777777" w:rsidR="002E0F5E" w:rsidRPr="002E0F5E" w:rsidRDefault="002E0F5E" w:rsidP="002E0F5E">
      <w:pPr>
        <w:spacing w:after="160" w:line="480" w:lineRule="auto"/>
        <w:rPr>
          <w:rFonts w:eastAsia="Calibri"/>
          <w:sz w:val="24"/>
          <w:szCs w:val="24"/>
          <w:lang w:eastAsia="en-US"/>
        </w:rPr>
      </w:pPr>
      <w:r w:rsidRPr="002E0F5E">
        <w:rPr>
          <w:rFonts w:eastAsia="Calibri"/>
          <w:noProof/>
          <w:sz w:val="24"/>
          <w:szCs w:val="24"/>
        </w:rPr>
        <w:drawing>
          <wp:anchor distT="0" distB="0" distL="114300" distR="114300" simplePos="0" relativeHeight="251663872" behindDoc="0" locked="0" layoutInCell="1" allowOverlap="1" wp14:anchorId="66769561" wp14:editId="6E4D9861">
            <wp:simplePos x="0" y="0"/>
            <wp:positionH relativeFrom="column">
              <wp:posOffset>3139440</wp:posOffset>
            </wp:positionH>
            <wp:positionV relativeFrom="paragraph">
              <wp:posOffset>-458470</wp:posOffset>
            </wp:positionV>
            <wp:extent cx="3084195" cy="2743200"/>
            <wp:effectExtent l="0" t="0" r="1905" b="0"/>
            <wp:wrapNone/>
            <wp:docPr id="8" name="Chart 8">
              <a:extLst xmlns:a="http://schemas.openxmlformats.org/drawingml/2006/main">
                <a:ext uri="{FF2B5EF4-FFF2-40B4-BE49-F238E27FC236}">
                  <a16:creationId xmlns:a16="http://schemas.microsoft.com/office/drawing/2014/main" id="{00000000-0008-0000-00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Pr="002E0F5E">
        <w:rPr>
          <w:rFonts w:eastAsia="Calibri"/>
          <w:noProof/>
          <w:sz w:val="24"/>
          <w:szCs w:val="24"/>
        </w:rPr>
        <w:drawing>
          <wp:anchor distT="0" distB="0" distL="114300" distR="114300" simplePos="0" relativeHeight="251662848" behindDoc="0" locked="0" layoutInCell="1" allowOverlap="1" wp14:anchorId="31DBC1E4" wp14:editId="56AA1D05">
            <wp:simplePos x="0" y="0"/>
            <wp:positionH relativeFrom="margin">
              <wp:posOffset>-153670</wp:posOffset>
            </wp:positionH>
            <wp:positionV relativeFrom="paragraph">
              <wp:posOffset>-447675</wp:posOffset>
            </wp:positionV>
            <wp:extent cx="3056890" cy="2743200"/>
            <wp:effectExtent l="0" t="0" r="10160" b="0"/>
            <wp:wrapNone/>
            <wp:docPr id="9" name="Chart 9">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037D4E71" w14:textId="77777777" w:rsidR="002E0F5E" w:rsidRPr="002E0F5E" w:rsidRDefault="002E0F5E" w:rsidP="002E0F5E">
      <w:pPr>
        <w:spacing w:after="160" w:line="480" w:lineRule="auto"/>
        <w:rPr>
          <w:rFonts w:eastAsia="Calibri"/>
          <w:sz w:val="24"/>
          <w:szCs w:val="24"/>
          <w:lang w:eastAsia="en-US"/>
        </w:rPr>
      </w:pPr>
    </w:p>
    <w:p w14:paraId="7937093B" w14:textId="77777777" w:rsidR="002E0F5E" w:rsidRPr="002E0F5E" w:rsidRDefault="002E0F5E" w:rsidP="002E0F5E">
      <w:pPr>
        <w:spacing w:after="160" w:line="480" w:lineRule="auto"/>
        <w:rPr>
          <w:rFonts w:eastAsia="Calibri"/>
          <w:sz w:val="24"/>
          <w:szCs w:val="24"/>
          <w:lang w:eastAsia="en-US"/>
        </w:rPr>
      </w:pPr>
    </w:p>
    <w:p w14:paraId="4F6A27E0" w14:textId="77777777" w:rsidR="002E0F5E" w:rsidRPr="002E0F5E" w:rsidRDefault="002E0F5E" w:rsidP="002E0F5E">
      <w:pPr>
        <w:spacing w:after="160" w:line="480" w:lineRule="auto"/>
        <w:rPr>
          <w:rFonts w:eastAsia="Calibri"/>
          <w:sz w:val="24"/>
          <w:szCs w:val="24"/>
          <w:lang w:eastAsia="en-US"/>
        </w:rPr>
      </w:pPr>
    </w:p>
    <w:p w14:paraId="36889790" w14:textId="77777777" w:rsidR="002E0F5E" w:rsidRPr="002E0F5E" w:rsidRDefault="002E0F5E" w:rsidP="002E0F5E">
      <w:pPr>
        <w:spacing w:after="160" w:line="480" w:lineRule="auto"/>
        <w:rPr>
          <w:rFonts w:eastAsia="Calibri"/>
          <w:sz w:val="24"/>
          <w:szCs w:val="24"/>
          <w:lang w:eastAsia="en-US"/>
        </w:rPr>
      </w:pPr>
    </w:p>
    <w:p w14:paraId="312B4B53" w14:textId="77777777" w:rsidR="002E0F5E" w:rsidRPr="002E0F5E" w:rsidRDefault="002E0F5E" w:rsidP="002E0F5E">
      <w:pPr>
        <w:spacing w:after="160" w:line="480" w:lineRule="auto"/>
        <w:rPr>
          <w:rFonts w:eastAsia="Calibri"/>
          <w:sz w:val="24"/>
          <w:szCs w:val="24"/>
          <w:lang w:eastAsia="en-US"/>
        </w:rPr>
      </w:pPr>
    </w:p>
    <w:p w14:paraId="64F58B16" w14:textId="77777777" w:rsidR="002E0F5E" w:rsidRPr="002E0F5E" w:rsidRDefault="002E0F5E" w:rsidP="002E0F5E">
      <w:pPr>
        <w:spacing w:after="160" w:line="480" w:lineRule="auto"/>
        <w:rPr>
          <w:rFonts w:eastAsia="Calibri"/>
          <w:sz w:val="24"/>
          <w:szCs w:val="24"/>
          <w:lang w:eastAsia="en-US"/>
        </w:rPr>
      </w:pPr>
    </w:p>
    <w:p w14:paraId="3AE5C653" w14:textId="77777777" w:rsidR="002E0F5E" w:rsidRPr="002E0F5E" w:rsidRDefault="002E0F5E" w:rsidP="002E0F5E">
      <w:pPr>
        <w:spacing w:after="160" w:line="480" w:lineRule="auto"/>
        <w:rPr>
          <w:rFonts w:eastAsia="Calibri"/>
          <w:sz w:val="24"/>
          <w:szCs w:val="24"/>
          <w:lang w:eastAsia="en-US"/>
        </w:rPr>
      </w:pPr>
    </w:p>
    <w:p w14:paraId="1BF6373F" w14:textId="77777777" w:rsidR="002E0F5E" w:rsidRPr="002E0F5E" w:rsidRDefault="002E0F5E" w:rsidP="002E0F5E">
      <w:pPr>
        <w:spacing w:after="160" w:line="480" w:lineRule="auto"/>
        <w:rPr>
          <w:rFonts w:eastAsia="Calibri"/>
          <w:sz w:val="24"/>
          <w:szCs w:val="24"/>
          <w:lang w:eastAsia="en-US"/>
        </w:rPr>
      </w:pPr>
    </w:p>
    <w:p w14:paraId="4FB21E3D"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Before the intervention, 7 pupils out of the class of 22 used labels on their graph (around 32%)Post-intervention, 20 of the 22 pupils used labels (around 91%). This shows an increase of around 60%. This suggests that pupils were able to include labels but were just forgetting to include the labels. A method of remembering to include them was sufficient to increase the quality of their graph work.</w:t>
      </w:r>
    </w:p>
    <w:p w14:paraId="7F3EE665" w14:textId="77777777" w:rsidR="002E0F5E" w:rsidRPr="002E0F5E" w:rsidRDefault="002E0F5E" w:rsidP="002E0F5E">
      <w:pPr>
        <w:spacing w:after="160" w:line="480" w:lineRule="auto"/>
        <w:rPr>
          <w:rFonts w:eastAsia="Calibri"/>
          <w:b/>
          <w:sz w:val="24"/>
          <w:szCs w:val="24"/>
          <w:lang w:eastAsia="en-US"/>
        </w:rPr>
      </w:pPr>
      <w:r w:rsidRPr="002E0F5E">
        <w:rPr>
          <w:rFonts w:eastAsia="Calibri"/>
          <w:noProof/>
          <w:sz w:val="24"/>
          <w:szCs w:val="24"/>
        </w:rPr>
        <w:drawing>
          <wp:anchor distT="0" distB="0" distL="114300" distR="114300" simplePos="0" relativeHeight="251664896" behindDoc="0" locked="0" layoutInCell="1" allowOverlap="1" wp14:anchorId="572836CF" wp14:editId="3CCB95EA">
            <wp:simplePos x="0" y="0"/>
            <wp:positionH relativeFrom="column">
              <wp:posOffset>3133725</wp:posOffset>
            </wp:positionH>
            <wp:positionV relativeFrom="paragraph">
              <wp:posOffset>6350</wp:posOffset>
            </wp:positionV>
            <wp:extent cx="3095625" cy="2743200"/>
            <wp:effectExtent l="0" t="0" r="9525" b="0"/>
            <wp:wrapNone/>
            <wp:docPr id="10" name="Chart 10">
              <a:extLst xmlns:a="http://schemas.openxmlformats.org/drawingml/2006/main">
                <a:ext uri="{FF2B5EF4-FFF2-40B4-BE49-F238E27FC236}">
                  <a16:creationId xmlns:a16="http://schemas.microsoft.com/office/drawing/2014/main" id="{00000000-0008-0000-00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Pr="002E0F5E">
        <w:rPr>
          <w:rFonts w:eastAsia="Calibri"/>
          <w:noProof/>
          <w:sz w:val="24"/>
          <w:szCs w:val="24"/>
        </w:rPr>
        <w:drawing>
          <wp:inline distT="0" distB="0" distL="0" distR="0" wp14:anchorId="69430F5E" wp14:editId="4CB16F6D">
            <wp:extent cx="3076575" cy="2743200"/>
            <wp:effectExtent l="0" t="0" r="9525" b="0"/>
            <wp:docPr id="11" name="Chart 11">
              <a:extLst xmlns:a="http://schemas.openxmlformats.org/drawingml/2006/main">
                <a:ext uri="{FF2B5EF4-FFF2-40B4-BE49-F238E27FC236}">
                  <a16:creationId xmlns:a16="http://schemas.microsoft.com/office/drawing/2014/main" id="{00000000-0008-0000-00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B19A189"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Before the intervention, 7 pupils out of the class of 22 used units for the labels on their graph (around 32%). Post-intervention, 20 of the 22 pupils used units (around 91%). This shows an increase of around 60%. It is worth noting that these figures are exactly the same as those for labels. No pupils attempted to include units without a label and no pupils who included a label forgot units. This suggests that the two are strongly linked in pupils’ minds, and may not need separate letters in the acronym.</w:t>
      </w:r>
    </w:p>
    <w:p w14:paraId="1156CD87" w14:textId="77777777" w:rsidR="002E0F5E" w:rsidRPr="002E0F5E" w:rsidRDefault="002E0F5E" w:rsidP="002E0F5E">
      <w:pPr>
        <w:spacing w:after="160" w:line="480" w:lineRule="auto"/>
        <w:rPr>
          <w:rFonts w:eastAsia="Calibri"/>
          <w:sz w:val="24"/>
          <w:szCs w:val="24"/>
          <w:lang w:eastAsia="en-US"/>
        </w:rPr>
      </w:pPr>
    </w:p>
    <w:p w14:paraId="4A1775D4" w14:textId="77777777" w:rsidR="002E0F5E" w:rsidRPr="002E0F5E" w:rsidRDefault="002E0F5E" w:rsidP="002E0F5E">
      <w:pPr>
        <w:spacing w:after="160" w:line="480" w:lineRule="auto"/>
        <w:rPr>
          <w:rFonts w:eastAsia="Calibri"/>
          <w:sz w:val="24"/>
          <w:szCs w:val="24"/>
          <w:lang w:eastAsia="en-US"/>
        </w:rPr>
      </w:pPr>
    </w:p>
    <w:p w14:paraId="0110324B" w14:textId="77777777" w:rsidR="002E0F5E" w:rsidRPr="002E0F5E" w:rsidRDefault="002E0F5E" w:rsidP="002E0F5E">
      <w:pPr>
        <w:spacing w:after="160" w:line="480" w:lineRule="auto"/>
        <w:rPr>
          <w:rFonts w:eastAsia="Calibri"/>
          <w:sz w:val="24"/>
          <w:szCs w:val="24"/>
          <w:lang w:eastAsia="en-US"/>
        </w:rPr>
      </w:pPr>
    </w:p>
    <w:p w14:paraId="6566066A" w14:textId="77777777" w:rsidR="002E0F5E" w:rsidRPr="002E0F5E" w:rsidRDefault="002E0F5E" w:rsidP="002E0F5E">
      <w:pPr>
        <w:spacing w:after="160" w:line="480" w:lineRule="auto"/>
        <w:rPr>
          <w:rFonts w:eastAsia="Calibri"/>
          <w:sz w:val="24"/>
          <w:szCs w:val="24"/>
          <w:lang w:eastAsia="en-US"/>
        </w:rPr>
      </w:pPr>
    </w:p>
    <w:p w14:paraId="1610FFEE" w14:textId="77777777" w:rsidR="002E0F5E" w:rsidRPr="002E0F5E" w:rsidRDefault="002E0F5E" w:rsidP="002E0F5E">
      <w:pPr>
        <w:spacing w:after="160" w:line="480" w:lineRule="auto"/>
        <w:rPr>
          <w:rFonts w:eastAsia="Calibri"/>
          <w:sz w:val="24"/>
          <w:szCs w:val="24"/>
          <w:lang w:eastAsia="en-US"/>
        </w:rPr>
      </w:pPr>
    </w:p>
    <w:p w14:paraId="25371039" w14:textId="77777777" w:rsidR="002E0F5E" w:rsidRPr="002E0F5E" w:rsidRDefault="002E0F5E" w:rsidP="002E0F5E">
      <w:pPr>
        <w:spacing w:after="160" w:line="480" w:lineRule="auto"/>
        <w:rPr>
          <w:rFonts w:eastAsia="Calibri"/>
          <w:sz w:val="24"/>
          <w:szCs w:val="24"/>
          <w:lang w:eastAsia="en-US"/>
        </w:rPr>
      </w:pPr>
      <w:r w:rsidRPr="002E0F5E">
        <w:rPr>
          <w:rFonts w:eastAsia="Calibri"/>
          <w:noProof/>
          <w:sz w:val="24"/>
          <w:szCs w:val="24"/>
        </w:rPr>
        <w:drawing>
          <wp:anchor distT="0" distB="0" distL="114300" distR="114300" simplePos="0" relativeHeight="251666944" behindDoc="0" locked="0" layoutInCell="1" allowOverlap="1" wp14:anchorId="4E0C801D" wp14:editId="509BB85E">
            <wp:simplePos x="0" y="0"/>
            <wp:positionH relativeFrom="margin">
              <wp:align>right</wp:align>
            </wp:positionH>
            <wp:positionV relativeFrom="paragraph">
              <wp:posOffset>-766445</wp:posOffset>
            </wp:positionV>
            <wp:extent cx="2638425" cy="2743200"/>
            <wp:effectExtent l="0" t="0" r="9525" b="0"/>
            <wp:wrapNone/>
            <wp:docPr id="12" name="Chart 12">
              <a:extLst xmlns:a="http://schemas.openxmlformats.org/drawingml/2006/main">
                <a:ext uri="{FF2B5EF4-FFF2-40B4-BE49-F238E27FC236}">
                  <a16:creationId xmlns:a16="http://schemas.microsoft.com/office/drawing/2014/main" id="{00000000-0008-0000-0000-00000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Pr="002E0F5E">
        <w:rPr>
          <w:rFonts w:eastAsia="Calibri"/>
          <w:noProof/>
          <w:sz w:val="24"/>
          <w:szCs w:val="24"/>
        </w:rPr>
        <w:drawing>
          <wp:anchor distT="0" distB="0" distL="114300" distR="114300" simplePos="0" relativeHeight="251665920" behindDoc="0" locked="0" layoutInCell="1" allowOverlap="1" wp14:anchorId="00FCD434" wp14:editId="7E659180">
            <wp:simplePos x="0" y="0"/>
            <wp:positionH relativeFrom="column">
              <wp:posOffset>-180975</wp:posOffset>
            </wp:positionH>
            <wp:positionV relativeFrom="paragraph">
              <wp:posOffset>-766445</wp:posOffset>
            </wp:positionV>
            <wp:extent cx="2771775" cy="2743200"/>
            <wp:effectExtent l="0" t="0" r="9525" b="0"/>
            <wp:wrapNone/>
            <wp:docPr id="13" name="Chart 13">
              <a:extLst xmlns:a="http://schemas.openxmlformats.org/drawingml/2006/main">
                <a:ext uri="{FF2B5EF4-FFF2-40B4-BE49-F238E27FC236}">
                  <a16:creationId xmlns:a16="http://schemas.microsoft.com/office/drawing/2014/main" id="{00000000-0008-0000-0000-00000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4C762E7A" w14:textId="77777777" w:rsidR="002E0F5E" w:rsidRPr="002E0F5E" w:rsidRDefault="002E0F5E" w:rsidP="002E0F5E">
      <w:pPr>
        <w:spacing w:after="160" w:line="480" w:lineRule="auto"/>
        <w:rPr>
          <w:rFonts w:eastAsia="Calibri"/>
          <w:sz w:val="24"/>
          <w:szCs w:val="24"/>
          <w:lang w:eastAsia="en-US"/>
        </w:rPr>
      </w:pPr>
    </w:p>
    <w:p w14:paraId="6CE1DB01" w14:textId="77777777" w:rsidR="002E0F5E" w:rsidRPr="002E0F5E" w:rsidRDefault="002E0F5E" w:rsidP="002E0F5E">
      <w:pPr>
        <w:spacing w:after="160" w:line="480" w:lineRule="auto"/>
        <w:rPr>
          <w:rFonts w:eastAsia="Calibri"/>
          <w:sz w:val="24"/>
          <w:szCs w:val="24"/>
          <w:lang w:eastAsia="en-US"/>
        </w:rPr>
      </w:pPr>
    </w:p>
    <w:p w14:paraId="2F9BA9A7" w14:textId="77777777" w:rsidR="002E0F5E" w:rsidRPr="002E0F5E" w:rsidRDefault="002E0F5E" w:rsidP="002E0F5E">
      <w:pPr>
        <w:spacing w:after="160" w:line="480" w:lineRule="auto"/>
        <w:rPr>
          <w:rFonts w:eastAsia="Calibri"/>
          <w:sz w:val="24"/>
          <w:szCs w:val="24"/>
          <w:lang w:eastAsia="en-US"/>
        </w:rPr>
      </w:pPr>
    </w:p>
    <w:p w14:paraId="01C841EA" w14:textId="77777777" w:rsidR="002E0F5E" w:rsidRPr="002E0F5E" w:rsidRDefault="002E0F5E" w:rsidP="002E0F5E">
      <w:pPr>
        <w:spacing w:after="160" w:line="480" w:lineRule="auto"/>
        <w:rPr>
          <w:rFonts w:eastAsia="Calibri"/>
          <w:sz w:val="24"/>
          <w:szCs w:val="24"/>
          <w:lang w:eastAsia="en-US"/>
        </w:rPr>
      </w:pPr>
    </w:p>
    <w:p w14:paraId="7A95641A" w14:textId="77777777" w:rsidR="002E0F5E" w:rsidRPr="002E0F5E" w:rsidRDefault="002E0F5E" w:rsidP="002E0F5E">
      <w:pPr>
        <w:spacing w:after="160" w:line="480" w:lineRule="auto"/>
        <w:rPr>
          <w:rFonts w:eastAsia="Calibri"/>
          <w:sz w:val="24"/>
          <w:szCs w:val="24"/>
          <w:lang w:eastAsia="en-US"/>
        </w:rPr>
      </w:pPr>
    </w:p>
    <w:p w14:paraId="502E3F32" w14:textId="77777777" w:rsidR="002E0F5E" w:rsidRPr="002E0F5E" w:rsidRDefault="002E0F5E" w:rsidP="002E0F5E">
      <w:pPr>
        <w:spacing w:after="160" w:line="480" w:lineRule="auto"/>
        <w:rPr>
          <w:rFonts w:eastAsia="Calibri"/>
          <w:sz w:val="24"/>
          <w:szCs w:val="24"/>
          <w:lang w:eastAsia="en-US"/>
        </w:rPr>
      </w:pPr>
    </w:p>
    <w:p w14:paraId="193B3469"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Before the intervention, 5 out of 22 pupils included a title for their graph (around 23%). Many of these titles were weak, such as ‘bar graph of antacids’, ‘bar graph of tablets’, ‘bar graph’, and ‘brands’. After the intervention, pupils’ titles were much stronger, almost all in the form of ‘A Graph to Show variable y against variable x’, the correct format for a good graph title. 20 out of 22 pupils used a title post-intervention (around 91%). This increase was the largest out of any of the key features and suggests that pupils either didn’t know or were simply forgetting to put a title on their graph.</w:t>
      </w:r>
    </w:p>
    <w:p w14:paraId="0F56726B" w14:textId="77777777" w:rsidR="002E0F5E" w:rsidRPr="002E0F5E" w:rsidRDefault="002E0F5E" w:rsidP="002E0F5E">
      <w:pPr>
        <w:spacing w:after="160" w:line="480" w:lineRule="auto"/>
        <w:rPr>
          <w:rFonts w:eastAsia="Calibri"/>
          <w:b/>
          <w:sz w:val="24"/>
          <w:szCs w:val="24"/>
          <w:lang w:eastAsia="en-US"/>
        </w:rPr>
      </w:pPr>
      <w:r w:rsidRPr="002E0F5E">
        <w:rPr>
          <w:rFonts w:eastAsia="Calibri"/>
          <w:noProof/>
          <w:sz w:val="24"/>
          <w:szCs w:val="24"/>
        </w:rPr>
        <w:drawing>
          <wp:inline distT="0" distB="0" distL="0" distR="0" wp14:anchorId="198BC7B3" wp14:editId="2278E822">
            <wp:extent cx="2933700" cy="2743200"/>
            <wp:effectExtent l="0" t="0" r="0" b="0"/>
            <wp:docPr id="14" name="Chart 14">
              <a:extLst xmlns:a="http://schemas.openxmlformats.org/drawingml/2006/main">
                <a:ext uri="{FF2B5EF4-FFF2-40B4-BE49-F238E27FC236}">
                  <a16:creationId xmlns:a16="http://schemas.microsoft.com/office/drawing/2014/main" id="{00000000-0008-0000-0000-00000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sidRPr="002E0F5E">
        <w:rPr>
          <w:rFonts w:eastAsia="Calibri"/>
          <w:noProof/>
          <w:sz w:val="24"/>
          <w:szCs w:val="24"/>
        </w:rPr>
        <w:drawing>
          <wp:inline distT="0" distB="0" distL="0" distR="0" wp14:anchorId="136E2C7B" wp14:editId="04AD3325">
            <wp:extent cx="2695575" cy="2743200"/>
            <wp:effectExtent l="0" t="0" r="9525" b="0"/>
            <wp:docPr id="15" name="Chart 15">
              <a:extLst xmlns:a="http://schemas.openxmlformats.org/drawingml/2006/main">
                <a:ext uri="{FF2B5EF4-FFF2-40B4-BE49-F238E27FC236}">
                  <a16:creationId xmlns:a16="http://schemas.microsoft.com/office/drawing/2014/main" id="{00000000-0008-0000-0000-00000E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2703749"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Before the intervention, 8 pupils out of 22 included an explanation of their results, a brief sentence describing the relationship between the two variables. This equates to around 36% of pupils including an explanation. After the intervention, 19 of the 22pupils (around 86%) included an explanation, giving an increase in percentage of pupils including an explanation of 50%. Explanations are the feature I would have expected the least number of pupils to include before the intervention as I would not have considered it a key feature of the graph itself, but part of the analysis. Pupils performed well, however. Pre-intervention it was the third most included feature, coming after scale (18 pupils included) and size (15 pupils included).</w:t>
      </w:r>
    </w:p>
    <w:p w14:paraId="260598C7" w14:textId="77777777" w:rsidR="002E0F5E" w:rsidRPr="002E0F5E" w:rsidRDefault="002E0F5E" w:rsidP="002E0F5E">
      <w:pPr>
        <w:spacing w:after="160" w:line="480" w:lineRule="auto"/>
        <w:rPr>
          <w:rFonts w:eastAsia="Calibri"/>
          <w:b/>
          <w:sz w:val="24"/>
          <w:szCs w:val="24"/>
          <w:lang w:eastAsia="en-US"/>
        </w:rPr>
      </w:pPr>
      <w:r w:rsidRPr="002E0F5E">
        <w:rPr>
          <w:rFonts w:eastAsia="Calibri"/>
          <w:noProof/>
          <w:sz w:val="24"/>
          <w:szCs w:val="24"/>
        </w:rPr>
        <w:drawing>
          <wp:inline distT="0" distB="0" distL="0" distR="0" wp14:anchorId="038FB85C" wp14:editId="3BA05174">
            <wp:extent cx="2838450" cy="2743200"/>
            <wp:effectExtent l="0" t="0" r="0" b="0"/>
            <wp:docPr id="16" name="Chart 16">
              <a:extLst xmlns:a="http://schemas.openxmlformats.org/drawingml/2006/main">
                <a:ext uri="{FF2B5EF4-FFF2-40B4-BE49-F238E27FC236}">
                  <a16:creationId xmlns:a16="http://schemas.microsoft.com/office/drawing/2014/main" id="{00000000-0008-0000-0000-000010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Pr="002E0F5E">
        <w:rPr>
          <w:rFonts w:eastAsia="Calibri"/>
          <w:noProof/>
          <w:sz w:val="24"/>
          <w:szCs w:val="24"/>
        </w:rPr>
        <w:drawing>
          <wp:inline distT="0" distB="0" distL="0" distR="0" wp14:anchorId="1061932E" wp14:editId="0A57FC7E">
            <wp:extent cx="2838450" cy="2743200"/>
            <wp:effectExtent l="0" t="0" r="0" b="0"/>
            <wp:docPr id="17" name="Chart 17">
              <a:extLst xmlns:a="http://schemas.openxmlformats.org/drawingml/2006/main">
                <a:ext uri="{FF2B5EF4-FFF2-40B4-BE49-F238E27FC236}">
                  <a16:creationId xmlns:a16="http://schemas.microsoft.com/office/drawing/2014/main" id="{00000000-0008-0000-0000-00000F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FC2D90C"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Before the intervention, size was the second most common feature for pupils to gain a mark in, behind scales, with 15 out of 22 pupils (around 68%) gaining a mark for having data take up at least fifty percent of the available space. After the intervention, 19 out of 22 (around 86%) pupils drew the graph at an acceptable size. This gives an increase of around 18% of pupils giving an explanation with their graph.</w:t>
      </w:r>
    </w:p>
    <w:p w14:paraId="310D682B" w14:textId="77777777" w:rsidR="002E0F5E" w:rsidRPr="002E0F5E" w:rsidRDefault="002E0F5E" w:rsidP="002E0F5E">
      <w:pPr>
        <w:spacing w:after="160" w:line="480" w:lineRule="auto"/>
        <w:rPr>
          <w:rFonts w:eastAsia="Calibri"/>
          <w:sz w:val="24"/>
          <w:szCs w:val="24"/>
          <w:lang w:eastAsia="en-US"/>
        </w:rPr>
      </w:pPr>
      <w:r w:rsidRPr="002E0F5E">
        <w:rPr>
          <w:rFonts w:eastAsia="Calibri"/>
          <w:noProof/>
          <w:sz w:val="24"/>
          <w:szCs w:val="24"/>
        </w:rPr>
        <w:drawing>
          <wp:inline distT="0" distB="0" distL="0" distR="0" wp14:anchorId="6C7E2AC3" wp14:editId="3F3B757F">
            <wp:extent cx="4572000" cy="2743200"/>
            <wp:effectExtent l="0" t="0" r="0" b="0"/>
            <wp:docPr id="18" name="Chart 18">
              <a:extLst xmlns:a="http://schemas.openxmlformats.org/drawingml/2006/main">
                <a:ext uri="{FF2B5EF4-FFF2-40B4-BE49-F238E27FC236}">
                  <a16:creationId xmlns:a16="http://schemas.microsoft.com/office/drawing/2014/main" id="{00000000-0008-0000-0000-00001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A62060C" w14:textId="77777777" w:rsidR="002E0F5E" w:rsidRPr="002E0F5E" w:rsidRDefault="002E0F5E" w:rsidP="002E0F5E">
      <w:pPr>
        <w:spacing w:after="160" w:line="480" w:lineRule="auto"/>
        <w:rPr>
          <w:rFonts w:eastAsia="Calibri"/>
          <w:sz w:val="24"/>
          <w:szCs w:val="24"/>
          <w:lang w:eastAsia="en-US"/>
        </w:rPr>
      </w:pPr>
    </w:p>
    <w:p w14:paraId="4D8EDEB0" w14:textId="77777777" w:rsidR="002E0F5E" w:rsidRPr="002E0F5E" w:rsidRDefault="002E0F5E" w:rsidP="002E0F5E">
      <w:pPr>
        <w:spacing w:after="160" w:line="480" w:lineRule="auto"/>
        <w:jc w:val="both"/>
        <w:rPr>
          <w:rFonts w:eastAsia="Calibri"/>
          <w:sz w:val="24"/>
          <w:szCs w:val="24"/>
          <w:lang w:eastAsia="en-US"/>
        </w:rPr>
      </w:pPr>
      <w:r w:rsidRPr="002E0F5E">
        <w:rPr>
          <w:rFonts w:eastAsia="Calibri"/>
          <w:sz w:val="24"/>
          <w:szCs w:val="24"/>
          <w:lang w:eastAsia="en-US"/>
        </w:rPr>
        <w:t>Scatterplot of the initial mark scored by pupils undertaking a graph-drawing exercise against the increase in their mark after an intervention (instruction in an acronym to help memorise graph elements). Pearson’s correlation indicates significant (</w:t>
      </w:r>
      <w:r w:rsidRPr="002E0F5E">
        <w:rPr>
          <w:rFonts w:eastAsia="Calibri"/>
          <w:i/>
          <w:sz w:val="24"/>
          <w:szCs w:val="24"/>
          <w:lang w:eastAsia="en-US"/>
        </w:rPr>
        <w:t>p</w:t>
      </w:r>
      <w:r w:rsidRPr="002E0F5E">
        <w:rPr>
          <w:rFonts w:eastAsia="Calibri"/>
          <w:sz w:val="24"/>
          <w:szCs w:val="24"/>
          <w:lang w:eastAsia="en-US"/>
        </w:rPr>
        <w:t xml:space="preserve"> &lt; 0.001) negative correlation (</w:t>
      </w:r>
      <w:r w:rsidRPr="002E0F5E">
        <w:rPr>
          <w:rFonts w:eastAsia="Calibri"/>
          <w:i/>
          <w:sz w:val="24"/>
          <w:szCs w:val="24"/>
          <w:lang w:eastAsia="en-US"/>
        </w:rPr>
        <w:t>r</w:t>
      </w:r>
      <w:r w:rsidRPr="002E0F5E">
        <w:rPr>
          <w:rFonts w:eastAsia="Calibri"/>
          <w:sz w:val="24"/>
          <w:szCs w:val="24"/>
          <w:lang w:eastAsia="en-US"/>
        </w:rPr>
        <w:t xml:space="preserve"> = - 0.71), suggesting that pupils who scored lower in the baseline assessment made the greatest improvement post-intervention.</w:t>
      </w:r>
    </w:p>
    <w:p w14:paraId="7D01E817" w14:textId="77777777" w:rsidR="002E0F5E" w:rsidRPr="002E0F5E" w:rsidRDefault="002E0F5E" w:rsidP="002E0F5E">
      <w:pPr>
        <w:spacing w:after="160" w:line="480" w:lineRule="auto"/>
        <w:rPr>
          <w:rFonts w:eastAsia="Calibri"/>
          <w:sz w:val="24"/>
          <w:szCs w:val="24"/>
          <w:lang w:eastAsia="en-US"/>
        </w:rPr>
      </w:pPr>
    </w:p>
    <w:p w14:paraId="4D31B89C"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This graph shows that the mnemonic techniques were particularly helpful to those pupils who could not recall the key features of a graph and helped them more than those who were already recalling most of the features. It should be noted that pupil 24, who achieved 0 marks pre-intervention did not improve as well as could be expected from the trend. The class contains learners with EAL, communication difficulties, including language processing, and pupils with moderate to severe learning difficulties, with one pupil being on the autistic spectrum. It has also been noted that pupils with autism spectrum disorder can become confused when introduced to acronyms (SWWCD, </w:t>
      </w:r>
      <w:proofErr w:type="spellStart"/>
      <w:r w:rsidRPr="002E0F5E">
        <w:rPr>
          <w:rFonts w:eastAsia="Calibri"/>
          <w:sz w:val="24"/>
          <w:szCs w:val="24"/>
          <w:lang w:eastAsia="en-US"/>
        </w:rPr>
        <w:t>n.d.</w:t>
      </w:r>
      <w:proofErr w:type="spellEnd"/>
      <w:r w:rsidRPr="002E0F5E">
        <w:rPr>
          <w:rFonts w:eastAsia="Calibri"/>
          <w:sz w:val="24"/>
          <w:szCs w:val="24"/>
          <w:lang w:eastAsia="en-US"/>
        </w:rPr>
        <w:t>). It therefore seems likely to me that pupil 24 is one of these pupils and either found it hard to remember the correct spelling of the acronym, did not have enough processing time to absorb the information, or was confused and did not grasp the concept as well as other pupils. Other possibilities include pupil 24 severely struggling with numeracy skills, being disengaged, or refusing to do the work.</w:t>
      </w:r>
    </w:p>
    <w:p w14:paraId="07841510" w14:textId="77777777" w:rsidR="002E0F5E" w:rsidRPr="002E0F5E" w:rsidRDefault="002E0F5E" w:rsidP="002E0F5E">
      <w:pPr>
        <w:spacing w:after="160" w:line="480" w:lineRule="auto"/>
        <w:rPr>
          <w:rFonts w:eastAsia="Calibri"/>
          <w:sz w:val="24"/>
          <w:szCs w:val="24"/>
          <w:lang w:eastAsia="en-US"/>
        </w:rPr>
      </w:pPr>
    </w:p>
    <w:p w14:paraId="7128B8DD"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Negative correlation between initial mark and improvement in mark post-intervention. Shapiro-Wilk tests indicate normal distribution for initial score data (</w:t>
      </w:r>
      <w:r w:rsidRPr="002E0F5E">
        <w:rPr>
          <w:rFonts w:eastAsia="Calibri"/>
          <w:i/>
          <w:sz w:val="24"/>
          <w:szCs w:val="24"/>
          <w:lang w:eastAsia="en-US"/>
        </w:rPr>
        <w:t>W</w:t>
      </w:r>
      <w:r w:rsidRPr="002E0F5E">
        <w:rPr>
          <w:rFonts w:eastAsia="Calibri"/>
          <w:sz w:val="24"/>
          <w:szCs w:val="24"/>
          <w:lang w:eastAsia="en-US"/>
        </w:rPr>
        <w:t xml:space="preserve"> = 0.96, </w:t>
      </w:r>
      <w:r w:rsidRPr="002E0F5E">
        <w:rPr>
          <w:rFonts w:eastAsia="Calibri"/>
          <w:i/>
          <w:sz w:val="24"/>
          <w:szCs w:val="24"/>
          <w:lang w:eastAsia="en-US"/>
        </w:rPr>
        <w:t>p</w:t>
      </w:r>
      <w:r w:rsidRPr="002E0F5E">
        <w:rPr>
          <w:rFonts w:eastAsia="Calibri"/>
          <w:sz w:val="24"/>
          <w:szCs w:val="24"/>
          <w:lang w:eastAsia="en-US"/>
        </w:rPr>
        <w:t xml:space="preserve"> = 0.47) and near-normal distribution of mark increase data (</w:t>
      </w:r>
      <w:r w:rsidRPr="002E0F5E">
        <w:rPr>
          <w:rFonts w:eastAsia="Calibri"/>
          <w:i/>
          <w:sz w:val="24"/>
          <w:szCs w:val="24"/>
          <w:lang w:eastAsia="en-US"/>
        </w:rPr>
        <w:t>W</w:t>
      </w:r>
      <w:r w:rsidRPr="002E0F5E">
        <w:rPr>
          <w:rFonts w:eastAsia="Calibri"/>
          <w:sz w:val="24"/>
          <w:szCs w:val="24"/>
          <w:lang w:eastAsia="en-US"/>
        </w:rPr>
        <w:t xml:space="preserve"> = 0.91, </w:t>
      </w:r>
      <w:r w:rsidRPr="002E0F5E">
        <w:rPr>
          <w:rFonts w:eastAsia="Calibri"/>
          <w:i/>
          <w:sz w:val="24"/>
          <w:szCs w:val="24"/>
          <w:lang w:eastAsia="en-US"/>
        </w:rPr>
        <w:t>p</w:t>
      </w:r>
      <w:r w:rsidRPr="002E0F5E">
        <w:rPr>
          <w:rFonts w:eastAsia="Calibri"/>
          <w:sz w:val="24"/>
          <w:szCs w:val="24"/>
          <w:lang w:eastAsia="en-US"/>
        </w:rPr>
        <w:t xml:space="preserve"> = 0.045). Further indication of normal distribution for mark increase data was observed by a bell-shaped histogram. Assuming equal variances (</w:t>
      </w:r>
      <w:r w:rsidRPr="002E0F5E">
        <w:rPr>
          <w:rFonts w:eastAsia="Calibri"/>
          <w:i/>
          <w:sz w:val="24"/>
          <w:szCs w:val="24"/>
          <w:lang w:eastAsia="en-US"/>
        </w:rPr>
        <w:t>F</w:t>
      </w:r>
      <w:r w:rsidRPr="002E0F5E">
        <w:rPr>
          <w:rFonts w:eastAsia="Calibri"/>
          <w:sz w:val="24"/>
          <w:szCs w:val="24"/>
          <w:lang w:eastAsia="en-US"/>
        </w:rPr>
        <w:t xml:space="preserve">-test, </w:t>
      </w:r>
      <w:r w:rsidRPr="002E0F5E">
        <w:rPr>
          <w:rFonts w:eastAsia="Calibri"/>
          <w:i/>
          <w:sz w:val="24"/>
          <w:szCs w:val="24"/>
          <w:lang w:eastAsia="en-US"/>
        </w:rPr>
        <w:t>F</w:t>
      </w:r>
      <w:r w:rsidRPr="002E0F5E">
        <w:rPr>
          <w:rFonts w:eastAsia="Calibri"/>
          <w:sz w:val="24"/>
          <w:szCs w:val="24"/>
          <w:lang w:eastAsia="en-US"/>
        </w:rPr>
        <w:t xml:space="preserve"> = 1.58, </w:t>
      </w:r>
      <w:r w:rsidRPr="002E0F5E">
        <w:rPr>
          <w:rFonts w:eastAsia="Calibri"/>
          <w:i/>
          <w:sz w:val="24"/>
          <w:szCs w:val="24"/>
          <w:lang w:eastAsia="en-US"/>
        </w:rPr>
        <w:t>p</w:t>
      </w:r>
      <w:r w:rsidRPr="002E0F5E">
        <w:rPr>
          <w:rFonts w:eastAsia="Calibri"/>
          <w:sz w:val="24"/>
          <w:szCs w:val="24"/>
          <w:lang w:eastAsia="en-US"/>
        </w:rPr>
        <w:t xml:space="preserve"> = 0.30), Pearson’s correlation indicated significant (</w:t>
      </w:r>
      <w:r w:rsidRPr="002E0F5E">
        <w:rPr>
          <w:rFonts w:eastAsia="Calibri"/>
          <w:i/>
          <w:sz w:val="24"/>
          <w:szCs w:val="24"/>
          <w:lang w:eastAsia="en-US"/>
        </w:rPr>
        <w:t>t</w:t>
      </w:r>
      <w:r w:rsidRPr="002E0F5E">
        <w:rPr>
          <w:rFonts w:eastAsia="Calibri"/>
          <w:sz w:val="24"/>
          <w:szCs w:val="24"/>
          <w:lang w:eastAsia="en-US"/>
        </w:rPr>
        <w:t xml:space="preserve"> = - 4.48, </w:t>
      </w:r>
      <w:proofErr w:type="spellStart"/>
      <w:r w:rsidRPr="002E0F5E">
        <w:rPr>
          <w:rFonts w:eastAsia="Calibri"/>
          <w:sz w:val="24"/>
          <w:szCs w:val="24"/>
          <w:lang w:eastAsia="en-US"/>
        </w:rPr>
        <w:t>d.f.</w:t>
      </w:r>
      <w:proofErr w:type="spellEnd"/>
      <w:r w:rsidRPr="002E0F5E">
        <w:rPr>
          <w:rFonts w:eastAsia="Calibri"/>
          <w:sz w:val="24"/>
          <w:szCs w:val="24"/>
          <w:lang w:eastAsia="en-US"/>
        </w:rPr>
        <w:t xml:space="preserve"> = 20, </w:t>
      </w:r>
      <w:r w:rsidRPr="002E0F5E">
        <w:rPr>
          <w:rFonts w:eastAsia="Calibri"/>
          <w:i/>
          <w:sz w:val="24"/>
          <w:szCs w:val="24"/>
          <w:lang w:eastAsia="en-US"/>
        </w:rPr>
        <w:t>p</w:t>
      </w:r>
      <w:r w:rsidRPr="002E0F5E">
        <w:rPr>
          <w:rFonts w:eastAsia="Calibri"/>
          <w:sz w:val="24"/>
          <w:szCs w:val="24"/>
          <w:lang w:eastAsia="en-US"/>
        </w:rPr>
        <w:t xml:space="preserve"> &lt; 0.001) negative correlation (</w:t>
      </w:r>
      <w:r w:rsidRPr="002E0F5E">
        <w:rPr>
          <w:rFonts w:eastAsia="Calibri"/>
          <w:i/>
          <w:sz w:val="24"/>
          <w:szCs w:val="24"/>
          <w:lang w:eastAsia="en-US"/>
        </w:rPr>
        <w:t>r</w:t>
      </w:r>
      <w:r w:rsidRPr="002E0F5E">
        <w:rPr>
          <w:rFonts w:eastAsia="Calibri"/>
          <w:sz w:val="24"/>
          <w:szCs w:val="24"/>
          <w:lang w:eastAsia="en-US"/>
        </w:rPr>
        <w:t xml:space="preserve"> = - 0.71) between the initial mark scored by a pupil, and the increase in mark observed post-intervention</w:t>
      </w:r>
    </w:p>
    <w:p w14:paraId="4248DD03" w14:textId="77777777" w:rsidR="002E0F5E" w:rsidRPr="002E0F5E" w:rsidRDefault="002E0F5E" w:rsidP="002E0F5E">
      <w:pPr>
        <w:spacing w:after="160" w:line="480" w:lineRule="auto"/>
        <w:rPr>
          <w:rFonts w:eastAsia="Calibri"/>
          <w:sz w:val="24"/>
          <w:szCs w:val="24"/>
          <w:lang w:eastAsia="en-US"/>
        </w:rPr>
      </w:pPr>
    </w:p>
    <w:p w14:paraId="00539722" w14:textId="77777777" w:rsidR="002E0F5E" w:rsidRPr="002E0F5E" w:rsidRDefault="002E0F5E" w:rsidP="002E0F5E">
      <w:pPr>
        <w:tabs>
          <w:tab w:val="left" w:pos="2103"/>
        </w:tabs>
        <w:spacing w:after="160" w:line="480" w:lineRule="auto"/>
        <w:jc w:val="both"/>
        <w:rPr>
          <w:rFonts w:eastAsia="Calibri"/>
          <w:sz w:val="24"/>
          <w:szCs w:val="24"/>
          <w:lang w:eastAsia="en-US"/>
        </w:rPr>
      </w:pPr>
      <w:r w:rsidRPr="002E0F5E">
        <w:rPr>
          <w:rFonts w:eastAsia="Calibri"/>
          <w:noProof/>
          <w:sz w:val="24"/>
          <w:szCs w:val="24"/>
          <w:lang w:eastAsia="en-US"/>
        </w:rPr>
        <w:t>Sample</w:t>
      </w:r>
      <w:r w:rsidRPr="002E0F5E">
        <w:rPr>
          <w:rFonts w:eastAsia="Calibri"/>
          <w:sz w:val="24"/>
          <w:szCs w:val="24"/>
          <w:lang w:eastAsia="en-US"/>
        </w:rPr>
        <w:t xml:space="preserve"> size (</w:t>
      </w:r>
      <w:r w:rsidRPr="002E0F5E">
        <w:rPr>
          <w:rFonts w:eastAsia="Calibri"/>
          <w:i/>
          <w:sz w:val="24"/>
          <w:szCs w:val="24"/>
          <w:lang w:eastAsia="en-US"/>
        </w:rPr>
        <w:t>n</w:t>
      </w:r>
      <w:r w:rsidRPr="002E0F5E">
        <w:rPr>
          <w:rFonts w:eastAsia="Calibri"/>
          <w:sz w:val="24"/>
          <w:szCs w:val="24"/>
          <w:lang w:eastAsia="en-US"/>
        </w:rPr>
        <w:t xml:space="preserve"> = 22). Mean mark for baseline assessment is 2.82 ± 0.31 and mean mark post-intervention is 5.95 ± 0.22. Statistical significance must be tested with a Wilcoxon rank-sum test, as post-intervention data are nonparametric (Shapiro-Wilk test, </w:t>
      </w:r>
      <w:r w:rsidRPr="002E0F5E">
        <w:rPr>
          <w:rFonts w:eastAsia="Calibri"/>
          <w:i/>
          <w:sz w:val="24"/>
          <w:szCs w:val="24"/>
          <w:lang w:eastAsia="en-US"/>
        </w:rPr>
        <w:t>W</w:t>
      </w:r>
      <w:r w:rsidRPr="002E0F5E">
        <w:rPr>
          <w:rFonts w:eastAsia="Calibri"/>
          <w:sz w:val="24"/>
          <w:szCs w:val="24"/>
          <w:lang w:eastAsia="en-US"/>
        </w:rPr>
        <w:t xml:space="preserve"> = 0.82, </w:t>
      </w:r>
      <w:r w:rsidRPr="002E0F5E">
        <w:rPr>
          <w:rFonts w:eastAsia="Calibri"/>
          <w:i/>
          <w:sz w:val="24"/>
          <w:szCs w:val="24"/>
          <w:lang w:eastAsia="en-US"/>
        </w:rPr>
        <w:t>p</w:t>
      </w:r>
      <w:r w:rsidRPr="002E0F5E">
        <w:rPr>
          <w:rFonts w:eastAsia="Calibri"/>
          <w:sz w:val="24"/>
          <w:szCs w:val="24"/>
          <w:lang w:eastAsia="en-US"/>
        </w:rPr>
        <w:t xml:space="preserve"> = 0.001) and variances are equal (</w:t>
      </w:r>
      <w:r w:rsidRPr="002E0F5E">
        <w:rPr>
          <w:rFonts w:eastAsia="Calibri"/>
          <w:i/>
          <w:sz w:val="24"/>
          <w:szCs w:val="24"/>
          <w:lang w:eastAsia="en-US"/>
        </w:rPr>
        <w:t>F</w:t>
      </w:r>
      <w:r w:rsidRPr="002E0F5E">
        <w:rPr>
          <w:rFonts w:eastAsia="Calibri"/>
          <w:sz w:val="24"/>
          <w:szCs w:val="24"/>
          <w:lang w:eastAsia="en-US"/>
        </w:rPr>
        <w:t xml:space="preserve">-test, </w:t>
      </w:r>
      <w:r w:rsidRPr="002E0F5E">
        <w:rPr>
          <w:rFonts w:eastAsia="Calibri"/>
          <w:i/>
          <w:sz w:val="24"/>
          <w:szCs w:val="24"/>
          <w:lang w:eastAsia="en-US"/>
        </w:rPr>
        <w:t xml:space="preserve">F </w:t>
      </w:r>
      <w:r w:rsidRPr="002E0F5E">
        <w:rPr>
          <w:rFonts w:eastAsia="Calibri"/>
          <w:sz w:val="24"/>
          <w:szCs w:val="24"/>
          <w:lang w:eastAsia="en-US"/>
        </w:rPr>
        <w:t xml:space="preserve">= 1.97, </w:t>
      </w:r>
      <w:r w:rsidRPr="002E0F5E">
        <w:rPr>
          <w:rFonts w:eastAsia="Calibri"/>
          <w:i/>
          <w:sz w:val="24"/>
          <w:szCs w:val="24"/>
          <w:lang w:eastAsia="en-US"/>
        </w:rPr>
        <w:t>p</w:t>
      </w:r>
      <w:r w:rsidRPr="002E0F5E">
        <w:rPr>
          <w:rFonts w:eastAsia="Calibri"/>
          <w:sz w:val="24"/>
          <w:szCs w:val="24"/>
          <w:lang w:eastAsia="en-US"/>
        </w:rPr>
        <w:t xml:space="preserve"> = 0.13). Wilcoxon rank-sum indicates that the change in mean mark post-intervention is significant (</w:t>
      </w:r>
      <w:bookmarkStart w:id="0" w:name="_Hlk514011139"/>
      <w:r w:rsidRPr="002E0F5E">
        <w:rPr>
          <w:rFonts w:eastAsia="Calibri"/>
          <w:i/>
          <w:sz w:val="24"/>
          <w:szCs w:val="24"/>
          <w:lang w:eastAsia="en-US"/>
        </w:rPr>
        <w:t>V</w:t>
      </w:r>
      <w:r w:rsidRPr="002E0F5E">
        <w:rPr>
          <w:rFonts w:eastAsia="Calibri"/>
          <w:sz w:val="24"/>
          <w:szCs w:val="24"/>
          <w:lang w:eastAsia="en-US"/>
        </w:rPr>
        <w:t xml:space="preserve"> = 0, </w:t>
      </w:r>
      <w:r w:rsidRPr="002E0F5E">
        <w:rPr>
          <w:rFonts w:eastAsia="Calibri"/>
          <w:i/>
          <w:sz w:val="24"/>
          <w:szCs w:val="24"/>
          <w:lang w:eastAsia="en-US"/>
        </w:rPr>
        <w:t>p</w:t>
      </w:r>
      <w:r w:rsidRPr="002E0F5E">
        <w:rPr>
          <w:rFonts w:eastAsia="Calibri"/>
          <w:sz w:val="24"/>
          <w:szCs w:val="24"/>
          <w:lang w:eastAsia="en-US"/>
        </w:rPr>
        <w:t xml:space="preserve"> &lt; 0.001</w:t>
      </w:r>
      <w:bookmarkEnd w:id="0"/>
      <w:r w:rsidRPr="002E0F5E">
        <w:rPr>
          <w:rFonts w:eastAsia="Calibri"/>
          <w:sz w:val="24"/>
          <w:szCs w:val="24"/>
          <w:lang w:eastAsia="en-US"/>
        </w:rPr>
        <w:t>).</w:t>
      </w:r>
    </w:p>
    <w:p w14:paraId="21D99B11" w14:textId="77777777" w:rsidR="002E0F5E" w:rsidRPr="002E0F5E" w:rsidRDefault="002E0F5E" w:rsidP="002E0F5E">
      <w:pPr>
        <w:tabs>
          <w:tab w:val="left" w:pos="2103"/>
        </w:tabs>
        <w:spacing w:after="160" w:line="480" w:lineRule="auto"/>
        <w:jc w:val="both"/>
        <w:rPr>
          <w:rFonts w:eastAsia="Calibri"/>
          <w:sz w:val="24"/>
          <w:szCs w:val="24"/>
          <w:lang w:eastAsia="en-US"/>
        </w:rPr>
      </w:pPr>
    </w:p>
    <w:p w14:paraId="341E98FF" w14:textId="77777777" w:rsidR="002E0F5E" w:rsidRPr="002E0F5E" w:rsidRDefault="002E0F5E" w:rsidP="002E0F5E">
      <w:pPr>
        <w:tabs>
          <w:tab w:val="left" w:pos="2103"/>
        </w:tabs>
        <w:spacing w:after="160" w:line="480" w:lineRule="auto"/>
        <w:jc w:val="both"/>
        <w:rPr>
          <w:rFonts w:eastAsia="Calibri"/>
          <w:sz w:val="24"/>
          <w:szCs w:val="24"/>
          <w:lang w:eastAsia="en-US"/>
        </w:rPr>
      </w:pPr>
      <w:r w:rsidRPr="002E0F5E">
        <w:rPr>
          <w:rFonts w:eastAsia="Calibri"/>
          <w:sz w:val="24"/>
          <w:szCs w:val="24"/>
          <w:lang w:eastAsia="en-US"/>
        </w:rPr>
        <w:t>This data shows a mean increase of 3.13 ± 0.53 in pupils’ test scores. This equates to an increase in marks of around 45% on average, a significant improvement.</w:t>
      </w:r>
    </w:p>
    <w:p w14:paraId="14E02AE2" w14:textId="77777777" w:rsidR="002E0F5E" w:rsidRPr="002E0F5E" w:rsidRDefault="002E0F5E" w:rsidP="002E0F5E">
      <w:pPr>
        <w:spacing w:after="160" w:line="480" w:lineRule="auto"/>
        <w:rPr>
          <w:rFonts w:eastAsia="Calibri"/>
          <w:sz w:val="24"/>
          <w:szCs w:val="24"/>
          <w:lang w:eastAsia="en-US"/>
        </w:rPr>
      </w:pPr>
    </w:p>
    <w:p w14:paraId="76D9D513" w14:textId="77777777" w:rsidR="002E0F5E" w:rsidRPr="002E0F5E" w:rsidRDefault="002E0F5E" w:rsidP="002E0F5E">
      <w:pPr>
        <w:spacing w:after="160" w:line="480" w:lineRule="auto"/>
        <w:rPr>
          <w:rFonts w:eastAsia="Calibri"/>
          <w:sz w:val="24"/>
          <w:szCs w:val="24"/>
          <w:lang w:eastAsia="en-US"/>
        </w:rPr>
      </w:pPr>
    </w:p>
    <w:p w14:paraId="1DD023DA" w14:textId="77777777" w:rsidR="002E0F5E" w:rsidRPr="002E0F5E" w:rsidRDefault="002E0F5E" w:rsidP="002E0F5E">
      <w:pPr>
        <w:spacing w:after="160" w:line="480" w:lineRule="auto"/>
        <w:rPr>
          <w:rFonts w:eastAsia="Calibri"/>
          <w:sz w:val="24"/>
          <w:szCs w:val="24"/>
          <w:lang w:eastAsia="en-US"/>
        </w:rPr>
      </w:pPr>
    </w:p>
    <w:p w14:paraId="54FC360A" w14:textId="77777777" w:rsidR="002E0F5E" w:rsidRPr="002E0F5E" w:rsidRDefault="002E0F5E" w:rsidP="002E0F5E">
      <w:pPr>
        <w:spacing w:after="160" w:line="480" w:lineRule="auto"/>
        <w:rPr>
          <w:rFonts w:eastAsia="Calibri"/>
          <w:sz w:val="24"/>
          <w:szCs w:val="24"/>
          <w:lang w:eastAsia="en-US"/>
        </w:rPr>
      </w:pPr>
      <w:r w:rsidRPr="002E0F5E">
        <w:rPr>
          <w:rFonts w:eastAsia="Calibri"/>
          <w:noProof/>
          <w:sz w:val="24"/>
          <w:szCs w:val="24"/>
        </w:rPr>
        <w:drawing>
          <wp:anchor distT="0" distB="0" distL="114300" distR="114300" simplePos="0" relativeHeight="251667968" behindDoc="0" locked="0" layoutInCell="1" allowOverlap="1" wp14:anchorId="67177050" wp14:editId="093C8B7A">
            <wp:simplePos x="0" y="0"/>
            <wp:positionH relativeFrom="margin">
              <wp:posOffset>304800</wp:posOffset>
            </wp:positionH>
            <wp:positionV relativeFrom="paragraph">
              <wp:posOffset>-745490</wp:posOffset>
            </wp:positionV>
            <wp:extent cx="4572000" cy="2607310"/>
            <wp:effectExtent l="0" t="0" r="0" b="254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BEBA8EAE-BF5A-486C-A8C5-ECC9F3942E4B}">
                          <a14:imgProps xmlns:a14="http://schemas.microsoft.com/office/drawing/2010/main">
                            <a14:imgLayer r:embed="rId27">
                              <a14:imgEffect>
                                <a14:saturation sat="66000"/>
                              </a14:imgEffect>
                            </a14:imgLayer>
                          </a14:imgProps>
                        </a:ext>
                      </a:extLst>
                    </a:blip>
                    <a:srcRect l="29538" t="39621" r="33465" b="22846"/>
                    <a:stretch/>
                  </pic:blipFill>
                  <pic:spPr bwMode="auto">
                    <a:xfrm>
                      <a:off x="0" y="0"/>
                      <a:ext cx="4572000" cy="2607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B20149" w14:textId="77777777" w:rsidR="002E0F5E" w:rsidRPr="002E0F5E" w:rsidRDefault="002E0F5E" w:rsidP="002E0F5E">
      <w:pPr>
        <w:spacing w:after="160" w:line="480" w:lineRule="auto"/>
        <w:rPr>
          <w:rFonts w:eastAsia="Calibri"/>
          <w:sz w:val="24"/>
          <w:szCs w:val="24"/>
          <w:lang w:eastAsia="en-US"/>
        </w:rPr>
      </w:pPr>
    </w:p>
    <w:p w14:paraId="49E83DB0" w14:textId="77777777" w:rsidR="002E0F5E" w:rsidRPr="002E0F5E" w:rsidRDefault="002E0F5E" w:rsidP="002E0F5E">
      <w:pPr>
        <w:spacing w:after="160" w:line="480" w:lineRule="auto"/>
        <w:rPr>
          <w:rFonts w:eastAsia="Calibri"/>
          <w:sz w:val="24"/>
          <w:szCs w:val="24"/>
          <w:lang w:eastAsia="en-US"/>
        </w:rPr>
      </w:pPr>
    </w:p>
    <w:p w14:paraId="6D935F8D" w14:textId="77777777" w:rsidR="002E0F5E" w:rsidRPr="002E0F5E" w:rsidRDefault="002E0F5E" w:rsidP="002E0F5E">
      <w:pPr>
        <w:spacing w:after="160" w:line="480" w:lineRule="auto"/>
        <w:rPr>
          <w:rFonts w:eastAsia="Calibri"/>
          <w:sz w:val="24"/>
          <w:szCs w:val="24"/>
          <w:lang w:eastAsia="en-US"/>
        </w:rPr>
      </w:pPr>
    </w:p>
    <w:p w14:paraId="49C5A387" w14:textId="77777777" w:rsidR="002E0F5E" w:rsidRPr="002E0F5E" w:rsidRDefault="002E0F5E" w:rsidP="002E0F5E">
      <w:pPr>
        <w:spacing w:after="160" w:line="480" w:lineRule="auto"/>
        <w:rPr>
          <w:rFonts w:eastAsia="Calibri"/>
          <w:sz w:val="24"/>
          <w:szCs w:val="24"/>
          <w:lang w:eastAsia="en-US"/>
        </w:rPr>
      </w:pPr>
    </w:p>
    <w:p w14:paraId="3E1F3CE6"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This boxplot shows the change in pupils’ marks achieved in a graph-drawing exercise during baseline testing and after an intervention (instruction in the use of an acronym to remember graph elements). Wilcoxon rank-sum test indicates a significant (p &lt; 0.001) increase in pupils’ performance post-intervention</w:t>
      </w:r>
    </w:p>
    <w:p w14:paraId="4F7008A3" w14:textId="77777777" w:rsidR="002E0F5E" w:rsidRPr="002E0F5E" w:rsidRDefault="002E0F5E" w:rsidP="002E0F5E">
      <w:pPr>
        <w:spacing w:after="160" w:line="480" w:lineRule="auto"/>
        <w:rPr>
          <w:rFonts w:eastAsia="Calibri"/>
          <w:sz w:val="24"/>
          <w:szCs w:val="24"/>
          <w:lang w:eastAsia="en-US"/>
        </w:rPr>
      </w:pPr>
      <w:r w:rsidRPr="002E0F5E">
        <w:rPr>
          <w:rFonts w:eastAsia="Calibri"/>
          <w:noProof/>
          <w:sz w:val="24"/>
          <w:szCs w:val="24"/>
        </w:rPr>
        <w:drawing>
          <wp:inline distT="0" distB="0" distL="0" distR="0" wp14:anchorId="72BF75B3" wp14:editId="36133E94">
            <wp:extent cx="4572000" cy="2743200"/>
            <wp:effectExtent l="0" t="0" r="0" b="0"/>
            <wp:docPr id="20" name="Chart 20">
              <a:extLst xmlns:a="http://schemas.openxmlformats.org/drawingml/2006/main">
                <a:ext uri="{FF2B5EF4-FFF2-40B4-BE49-F238E27FC236}">
                  <a16:creationId xmlns:a16="http://schemas.microsoft.com/office/drawing/2014/main" id="{00000000-0008-0000-0000-00001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8084130" w14:textId="77777777" w:rsidR="002E0F5E" w:rsidRPr="002E0F5E" w:rsidRDefault="002E0F5E" w:rsidP="002E0F5E">
      <w:pPr>
        <w:spacing w:after="160" w:line="480" w:lineRule="auto"/>
        <w:rPr>
          <w:rFonts w:eastAsia="Calibri"/>
          <w:sz w:val="24"/>
          <w:szCs w:val="24"/>
          <w:lang w:eastAsia="en-US"/>
        </w:rPr>
      </w:pPr>
    </w:p>
    <w:p w14:paraId="0FB99E77"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Excluding pupil 24 from the data set gives a clearer look at the pattern, reflected by the improved R</w:t>
      </w:r>
      <w:r w:rsidRPr="002E0F5E">
        <w:rPr>
          <w:rFonts w:eastAsia="Calibri"/>
          <w:sz w:val="24"/>
          <w:szCs w:val="24"/>
          <w:vertAlign w:val="superscript"/>
          <w:lang w:eastAsia="en-US"/>
        </w:rPr>
        <w:t>2</w:t>
      </w:r>
      <w:r w:rsidRPr="002E0F5E">
        <w:rPr>
          <w:rFonts w:eastAsia="Calibri"/>
          <w:sz w:val="24"/>
          <w:szCs w:val="24"/>
          <w:lang w:eastAsia="en-US"/>
        </w:rPr>
        <w:t xml:space="preserve"> value, which assesses the fit of the trend line to the data. Both with and without pupil 24, an exponential trend line fits better with the results (0.5 with linear and 0.5404 with exponential including pupil 24, 0.6333 with linear and 0.6469 with exponential excluding pupil 24). If pupils were all learning equally from the technique, then I would expect the graph to show a linear correlation. The results seem to reflect the findings of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and Scruggs (1998), that pupils of lower abilities find mnemonics useful in recall, since those pupils appear to benefit more from the techniques.</w:t>
      </w:r>
    </w:p>
    <w:p w14:paraId="5F00EE68"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Pupil engagement was high during the lesson, with pupils giving comments through </w:t>
      </w:r>
      <w:proofErr w:type="spellStart"/>
      <w:r w:rsidRPr="002E0F5E">
        <w:rPr>
          <w:rFonts w:eastAsia="Calibri"/>
          <w:sz w:val="24"/>
          <w:szCs w:val="24"/>
          <w:lang w:eastAsia="en-US"/>
        </w:rPr>
        <w:t>Padlet</w:t>
      </w:r>
      <w:proofErr w:type="spellEnd"/>
      <w:r w:rsidRPr="002E0F5E">
        <w:rPr>
          <w:rFonts w:eastAsia="Calibri"/>
          <w:sz w:val="24"/>
          <w:szCs w:val="24"/>
          <w:lang w:eastAsia="en-US"/>
        </w:rPr>
        <w:t xml:space="preserve"> that it was useful to have a set list of things to check against when creating a graph, and giving varying responses with regard to the action of saluting the graph. Some pupils enjoyed the injection of silliness into what can otherwise be a dry topic while other pupils were worried that they would be laughed at or said they would feel embarrassed. One pupil said that they would feel stupid having to use a technique like this and doing a silly action when other pupils could remember everything without needing a ‘crutch’.</w:t>
      </w:r>
    </w:p>
    <w:p w14:paraId="41C6E7F1" w14:textId="77777777" w:rsidR="002E0F5E" w:rsidRPr="002E0F5E" w:rsidRDefault="002E0F5E" w:rsidP="002E0F5E">
      <w:pPr>
        <w:spacing w:after="160" w:line="480" w:lineRule="auto"/>
        <w:rPr>
          <w:rFonts w:eastAsia="Calibri"/>
          <w:sz w:val="24"/>
          <w:szCs w:val="24"/>
          <w:lang w:eastAsia="en-US"/>
        </w:rPr>
      </w:pPr>
    </w:p>
    <w:p w14:paraId="06BCF26E"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On the whole, pupils responded well to the use of a ‘</w:t>
      </w:r>
      <w:proofErr w:type="spellStart"/>
      <w:r w:rsidRPr="002E0F5E">
        <w:rPr>
          <w:rFonts w:eastAsia="Calibri"/>
          <w:sz w:val="24"/>
          <w:szCs w:val="24"/>
          <w:lang w:eastAsia="en-US"/>
        </w:rPr>
        <w:t>Fortnite</w:t>
      </w:r>
      <w:proofErr w:type="spellEnd"/>
      <w:r w:rsidRPr="002E0F5E">
        <w:rPr>
          <w:rFonts w:eastAsia="Calibri"/>
          <w:sz w:val="24"/>
          <w:szCs w:val="24"/>
          <w:lang w:eastAsia="en-US"/>
        </w:rPr>
        <w:t xml:space="preserve">’ character saluting, though some girls found the use annoying, with one commenting, “Why did you use </w:t>
      </w:r>
      <w:proofErr w:type="spellStart"/>
      <w:r w:rsidRPr="002E0F5E">
        <w:rPr>
          <w:rFonts w:eastAsia="Calibri"/>
          <w:sz w:val="24"/>
          <w:szCs w:val="24"/>
          <w:lang w:eastAsia="en-US"/>
        </w:rPr>
        <w:t>Fortnite</w:t>
      </w:r>
      <w:proofErr w:type="spellEnd"/>
      <w:r w:rsidRPr="002E0F5E">
        <w:rPr>
          <w:rFonts w:eastAsia="Calibri"/>
          <w:sz w:val="24"/>
          <w:szCs w:val="24"/>
          <w:lang w:eastAsia="en-US"/>
        </w:rPr>
        <w:t xml:space="preserve">? That game is for losers”. The boys seemed more engaged on average than the girls with this particular aspect and my mentor commented that the action of saluting could be construed as masculine by some of the girls and reduce their enjoyment of that aspect of the lesson. Engagement was particularly high in pupils who are usually low </w:t>
      </w:r>
      <w:proofErr w:type="spellStart"/>
      <w:r w:rsidRPr="002E0F5E">
        <w:rPr>
          <w:rFonts w:eastAsia="Calibri"/>
          <w:sz w:val="24"/>
          <w:szCs w:val="24"/>
          <w:lang w:eastAsia="en-US"/>
        </w:rPr>
        <w:t>attainers</w:t>
      </w:r>
      <w:proofErr w:type="spellEnd"/>
      <w:r w:rsidRPr="002E0F5E">
        <w:rPr>
          <w:rFonts w:eastAsia="Calibri"/>
          <w:sz w:val="24"/>
          <w:szCs w:val="24"/>
          <w:lang w:eastAsia="en-US"/>
        </w:rPr>
        <w:t>, though I don’t know how they performed in this task as data is anonymised.</w:t>
      </w:r>
    </w:p>
    <w:p w14:paraId="19AD0C54" w14:textId="77777777" w:rsidR="002E0F5E" w:rsidRPr="002E0F5E" w:rsidRDefault="002E0F5E" w:rsidP="002E0F5E">
      <w:pPr>
        <w:spacing w:after="160" w:line="480" w:lineRule="auto"/>
        <w:rPr>
          <w:rFonts w:eastAsia="Calibri"/>
          <w:sz w:val="24"/>
          <w:szCs w:val="24"/>
          <w:lang w:eastAsia="en-US"/>
        </w:rPr>
      </w:pPr>
    </w:p>
    <w:p w14:paraId="1EBEA5FE"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Pupil comments suggested greater confidence in their understanding of the criteria, especially among those pupils who were using the kinaesthetic action to check their work at the end.</w:t>
      </w:r>
    </w:p>
    <w:p w14:paraId="12F2D2F3" w14:textId="77777777" w:rsidR="002E0F5E" w:rsidRPr="002E0F5E" w:rsidRDefault="002E0F5E" w:rsidP="002E0F5E">
      <w:pPr>
        <w:spacing w:after="160" w:line="480" w:lineRule="auto"/>
        <w:rPr>
          <w:rFonts w:eastAsia="Calibri"/>
          <w:sz w:val="24"/>
          <w:szCs w:val="24"/>
          <w:lang w:eastAsia="en-US"/>
        </w:rPr>
      </w:pPr>
    </w:p>
    <w:p w14:paraId="0893674F"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Of particular interest to me is the level of engagement pupils responded with to ‘The Variables Song’. Pupils have subsequently asked to sing along with the song whenever they need to construct a graph and pupils can be heard singing to themselves when constructing their graphs. My mentor liked the use of the song so much that it has been incorporated into his teaching of KS3 graphing and the video has been added to the school’s science department shared resources google drive.</w:t>
      </w:r>
    </w:p>
    <w:p w14:paraId="19EEE990" w14:textId="77777777" w:rsidR="002E0F5E" w:rsidRPr="002E0F5E" w:rsidRDefault="002E0F5E" w:rsidP="002E0F5E">
      <w:pPr>
        <w:spacing w:after="160" w:line="480" w:lineRule="auto"/>
        <w:rPr>
          <w:rFonts w:eastAsia="Calibri"/>
          <w:sz w:val="24"/>
          <w:szCs w:val="24"/>
          <w:lang w:eastAsia="en-US"/>
        </w:rPr>
      </w:pPr>
    </w:p>
    <w:p w14:paraId="7D830510"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results of introducing these techniques to the pupils has truly surprised me, producing excellent results. When I began the investigation, I expected my results to mirror the ideas of Berliner and Biddle (1995), that techniques may work for some but not for all. However, this generalised technique has worked for everyone in the class.</w:t>
      </w:r>
    </w:p>
    <w:p w14:paraId="26662928" w14:textId="77777777" w:rsidR="002E0F5E" w:rsidRPr="002E0F5E" w:rsidRDefault="002E0F5E" w:rsidP="002E0F5E">
      <w:pPr>
        <w:spacing w:after="160" w:line="480" w:lineRule="auto"/>
        <w:rPr>
          <w:rFonts w:eastAsia="Calibri"/>
          <w:sz w:val="24"/>
          <w:szCs w:val="24"/>
          <w:lang w:eastAsia="en-US"/>
        </w:rPr>
      </w:pPr>
    </w:p>
    <w:p w14:paraId="38459E33" w14:textId="77777777" w:rsidR="002E0F5E" w:rsidRPr="002E0F5E" w:rsidRDefault="002E0F5E" w:rsidP="002E0F5E">
      <w:pPr>
        <w:spacing w:after="160" w:line="480" w:lineRule="auto"/>
        <w:rPr>
          <w:rFonts w:eastAsia="Calibri"/>
          <w:b/>
          <w:sz w:val="24"/>
          <w:szCs w:val="24"/>
          <w:lang w:eastAsia="en-US"/>
        </w:rPr>
      </w:pPr>
      <w:r w:rsidRPr="002E0F5E">
        <w:rPr>
          <w:rFonts w:eastAsia="Calibri"/>
          <w:b/>
          <w:sz w:val="24"/>
          <w:szCs w:val="24"/>
          <w:lang w:eastAsia="en-US"/>
        </w:rPr>
        <w:t>Conclusions – 1000</w:t>
      </w:r>
    </w:p>
    <w:p w14:paraId="61D2ECFB"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aim of this investigation was to trial the effectiveness of mnemonic devices, acronyms, and a kinaesthetic action on the recall of pupils doing graph work in the science classroom, hoping to improve results, giving pupils greater science skills and the ability to perform better in examinations.</w:t>
      </w:r>
    </w:p>
    <w:p w14:paraId="73DA4CF2" w14:textId="77777777" w:rsidR="002E0F5E" w:rsidRPr="002E0F5E" w:rsidRDefault="002E0F5E" w:rsidP="002E0F5E">
      <w:pPr>
        <w:spacing w:after="160" w:line="480" w:lineRule="auto"/>
        <w:rPr>
          <w:rFonts w:eastAsia="Calibri"/>
          <w:sz w:val="24"/>
          <w:szCs w:val="24"/>
          <w:lang w:eastAsia="en-US"/>
        </w:rPr>
      </w:pPr>
    </w:p>
    <w:p w14:paraId="18C6D21C"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While no evidence has surfaced of pupils using SALUTE in their other lessons they have taken to using it in the science classroom and staff from the mathematics department have asked me about the variables song as pupils are apparently singing it when creating graphs in their maths lessons and teaching it to peers (science lessons are banded and maths lessons are set so pupils have lessons with peers from other classes). It is also possible that pupils are using SALUTE as there would not necessarily be an outward sign of it, especially from those pupils embarrassed by performing the action of saluting their graph.</w:t>
      </w:r>
    </w:p>
    <w:p w14:paraId="1E7728C2" w14:textId="77777777" w:rsidR="002E0F5E" w:rsidRPr="002E0F5E" w:rsidRDefault="002E0F5E" w:rsidP="002E0F5E">
      <w:pPr>
        <w:spacing w:after="160" w:line="480" w:lineRule="auto"/>
        <w:rPr>
          <w:rFonts w:eastAsia="Calibri"/>
          <w:sz w:val="24"/>
          <w:szCs w:val="24"/>
          <w:lang w:eastAsia="en-US"/>
        </w:rPr>
      </w:pPr>
    </w:p>
    <w:p w14:paraId="5C6350E0"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techniques showed great effectiveness, increasing the score of every pupil in the class, with all pupils showing progress, an average increase of 3.13 ± 0.53. This equates to an increase in marks of around 45% on average. The techniques were relevant to all pupils within the class. The acronym provided scaffolding, helping pupils reach into their ZPD individually, supporting those who were unclear or uncertain of what a completed graph should contain and needed to recall and apply that information.</w:t>
      </w:r>
    </w:p>
    <w:p w14:paraId="69227644" w14:textId="77777777" w:rsidR="002E0F5E" w:rsidRPr="002E0F5E" w:rsidRDefault="002E0F5E" w:rsidP="002E0F5E">
      <w:pPr>
        <w:spacing w:after="160" w:line="480" w:lineRule="auto"/>
        <w:rPr>
          <w:rFonts w:eastAsia="Calibri"/>
          <w:sz w:val="24"/>
          <w:szCs w:val="24"/>
          <w:lang w:eastAsia="en-US"/>
        </w:rPr>
      </w:pPr>
    </w:p>
    <w:p w14:paraId="6A200730"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This investigation has shown the effectiveness of a simple strategy on improving pupils’ graph work. Pupils said they had more confidence, exhibited greater skill in the drawing of their graphs and had a high level of engagement.</w:t>
      </w:r>
    </w:p>
    <w:p w14:paraId="69C09945" w14:textId="77777777" w:rsidR="002E0F5E" w:rsidRPr="002E0F5E" w:rsidRDefault="002E0F5E" w:rsidP="002E0F5E">
      <w:pPr>
        <w:spacing w:after="160" w:line="480" w:lineRule="auto"/>
        <w:rPr>
          <w:rFonts w:eastAsia="Calibri"/>
          <w:sz w:val="24"/>
          <w:szCs w:val="24"/>
          <w:lang w:eastAsia="en-US"/>
        </w:rPr>
      </w:pPr>
    </w:p>
    <w:p w14:paraId="1CC4EE4B"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There is a question of whether another acronym would prove better. Some schools use the acronym ‘LUSH’ (Labels, Units, Scales, Headings). I still feel that SALUTE can be used in more contexts and covers more of the key features of a graph. SALUTE can also be applied more broadly, where lush may only be found humorous in Wales and only be associated with grass in other countries, being less relatable to pupils, whereas the salute is a common action found across English-speaking countries and the action and image are inherently silly, utilising humour to stick the concept in pupils’ minds. I believe this aspect of SALUTE greatly increased pupil engagement in the lesson.</w:t>
      </w:r>
    </w:p>
    <w:p w14:paraId="49F6813F" w14:textId="77777777" w:rsidR="002E0F5E" w:rsidRPr="002E0F5E" w:rsidRDefault="002E0F5E" w:rsidP="002E0F5E">
      <w:pPr>
        <w:spacing w:after="160" w:line="480" w:lineRule="auto"/>
        <w:rPr>
          <w:rFonts w:eastAsia="Calibri"/>
          <w:sz w:val="24"/>
          <w:szCs w:val="24"/>
          <w:lang w:eastAsia="en-US"/>
        </w:rPr>
      </w:pPr>
    </w:p>
    <w:p w14:paraId="10C92B1A"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combination of the mnemonic, acronym, and kinaesthetic action seems to have proven extremely effective in enabling pupils to recall the necessary constituents of a graph, proving much more effective than predicted based on literature.</w:t>
      </w:r>
    </w:p>
    <w:p w14:paraId="1087366D" w14:textId="77777777" w:rsidR="002E0F5E" w:rsidRPr="002E0F5E" w:rsidRDefault="002E0F5E" w:rsidP="002E0F5E">
      <w:pPr>
        <w:spacing w:after="160" w:line="480" w:lineRule="auto"/>
        <w:rPr>
          <w:rFonts w:eastAsia="Calibri"/>
          <w:sz w:val="24"/>
          <w:szCs w:val="24"/>
          <w:lang w:eastAsia="en-US"/>
        </w:rPr>
      </w:pPr>
    </w:p>
    <w:p w14:paraId="2E3FACFF"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Based on my results, these strategies have the potential to greatly improve the skills of all pupils who use them in the science classroom and I would expect repetition to further ingrain the methods and thus further improve results. In the new curriculum, with its emphasis on skills, these techniques, and the toolkit required for pupils to create their own mnemonics, will definitely find their way into my teaching and be recommended by me to other teachers.</w:t>
      </w:r>
    </w:p>
    <w:p w14:paraId="5BDC6B5B" w14:textId="77777777" w:rsidR="002E0F5E" w:rsidRPr="002E0F5E" w:rsidRDefault="002E0F5E" w:rsidP="002E0F5E">
      <w:pPr>
        <w:spacing w:after="160" w:line="480" w:lineRule="auto"/>
        <w:rPr>
          <w:rFonts w:eastAsia="Calibri"/>
          <w:sz w:val="24"/>
          <w:szCs w:val="24"/>
          <w:lang w:eastAsia="en-US"/>
        </w:rPr>
      </w:pPr>
    </w:p>
    <w:p w14:paraId="320F6F28" w14:textId="77777777" w:rsidR="002E0F5E" w:rsidRPr="002E0F5E" w:rsidRDefault="002E0F5E" w:rsidP="002E0F5E">
      <w:pPr>
        <w:spacing w:after="160" w:line="480" w:lineRule="auto"/>
        <w:rPr>
          <w:rFonts w:eastAsia="Calibri"/>
          <w:b/>
          <w:sz w:val="24"/>
          <w:szCs w:val="24"/>
          <w:lang w:eastAsia="en-US"/>
        </w:rPr>
      </w:pPr>
    </w:p>
    <w:p w14:paraId="152816FE" w14:textId="77777777" w:rsidR="002E0F5E" w:rsidRPr="002E0F5E" w:rsidRDefault="002E0F5E" w:rsidP="002E0F5E">
      <w:pPr>
        <w:spacing w:after="160" w:line="480" w:lineRule="auto"/>
        <w:rPr>
          <w:rFonts w:eastAsia="Calibri"/>
          <w:b/>
          <w:sz w:val="24"/>
          <w:szCs w:val="24"/>
          <w:lang w:eastAsia="en-US"/>
        </w:rPr>
      </w:pPr>
      <w:r w:rsidRPr="002E0F5E">
        <w:rPr>
          <w:rFonts w:eastAsia="Calibri"/>
          <w:b/>
          <w:sz w:val="24"/>
          <w:szCs w:val="24"/>
          <w:lang w:eastAsia="en-US"/>
        </w:rPr>
        <w:t>Limitations and Future Development – 800</w:t>
      </w:r>
    </w:p>
    <w:p w14:paraId="3E06D05C"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While this study has provided some results that show promise, the validity of this study is limited for several reasons.</w:t>
      </w:r>
    </w:p>
    <w:p w14:paraId="26743B35" w14:textId="77777777" w:rsidR="002E0F5E" w:rsidRPr="002E0F5E" w:rsidRDefault="002E0F5E" w:rsidP="002E0F5E">
      <w:pPr>
        <w:spacing w:after="160" w:line="480" w:lineRule="auto"/>
        <w:rPr>
          <w:rFonts w:eastAsia="Calibri"/>
          <w:sz w:val="24"/>
          <w:szCs w:val="24"/>
          <w:lang w:eastAsia="en-US"/>
        </w:rPr>
      </w:pPr>
    </w:p>
    <w:p w14:paraId="5410154D"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In an effort to anonymise pupils as much as possible, I anonymised them at the start of the study so I cannot discuss the impacts of the techniques specifically on FSM eligible learners, EAL learners, those with communication difficulties, or learning difficulties, this would have given more insight to the benefit of these techniques for pupils from more disadvantaged backgrounds and data on how effective the techniques were for pupils who struggle with language and communication which would have been useful since the technique relies on pupils making associations between words, actions and acronyms. In future, an anonymised questionnaire could be attached to the work so that these factors could be considered in the results or groups of pupils with a specific need could be analysed separately.</w:t>
      </w:r>
    </w:p>
    <w:p w14:paraId="080E1BE5"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small sample size of this investigation prevents formation of nomothetic laws as data cannot be extrapolated to entire population, meaning that this data can only be considered a snapshot of this class at this time. A study over a longer period of time and including more pupils, classes, and subjects could provide more significant data.</w:t>
      </w:r>
    </w:p>
    <w:p w14:paraId="2050C967" w14:textId="77777777" w:rsidR="002E0F5E" w:rsidRPr="002E0F5E" w:rsidRDefault="002E0F5E" w:rsidP="002E0F5E">
      <w:pPr>
        <w:spacing w:after="160" w:line="480" w:lineRule="auto"/>
        <w:rPr>
          <w:rFonts w:eastAsia="Calibri"/>
          <w:sz w:val="24"/>
          <w:szCs w:val="24"/>
          <w:lang w:eastAsia="en-US"/>
        </w:rPr>
      </w:pPr>
    </w:p>
    <w:p w14:paraId="564B4A82"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Since pupils were introduced to various inter-linked techniques it is not possible to pin down which technique worked best. Some pupils did not use the kinaesthetic salute as they felt embarrassed or silly and since data is anonymised I cannot track that in results. Future studies should include a questionnaire to determine which techniques the pupils have adopted in their practice.</w:t>
      </w:r>
    </w:p>
    <w:p w14:paraId="2176521E" w14:textId="77777777" w:rsidR="002E0F5E" w:rsidRPr="002E0F5E" w:rsidRDefault="002E0F5E" w:rsidP="002E0F5E">
      <w:pPr>
        <w:spacing w:after="160" w:line="480" w:lineRule="auto"/>
        <w:rPr>
          <w:rFonts w:eastAsia="Calibri"/>
          <w:sz w:val="24"/>
          <w:szCs w:val="24"/>
          <w:lang w:eastAsia="en-US"/>
        </w:rPr>
      </w:pPr>
    </w:p>
    <w:p w14:paraId="53390A29"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This investigation was carried out over a short time frame and I would suggest that future studies take place over a longer span of time and examine how spacing effects the memory curve.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and Scruggs (1998) suggest that pupils retain mnemonic information over long periods of time without subsequent coaching. It would be illuminating to examine whether repetition over longer periods of time would embed the device more deeply into the memory of pupils.</w:t>
      </w:r>
    </w:p>
    <w:p w14:paraId="4E47A8C0" w14:textId="77777777" w:rsidR="002E0F5E" w:rsidRPr="002E0F5E" w:rsidRDefault="002E0F5E" w:rsidP="002E0F5E">
      <w:pPr>
        <w:spacing w:after="160" w:line="480" w:lineRule="auto"/>
        <w:rPr>
          <w:rFonts w:eastAsia="Calibri"/>
          <w:sz w:val="24"/>
          <w:szCs w:val="24"/>
          <w:lang w:eastAsia="en-US"/>
        </w:rPr>
      </w:pPr>
    </w:p>
    <w:p w14:paraId="2E21B022"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Since pupils’ comments on the lesson and their work were anonymised separately, connections cannot be drawn between them. Future studies should rectify this by including the comments section in an anonymised questionnaire appended to the work.</w:t>
      </w:r>
    </w:p>
    <w:p w14:paraId="5D6ECEC8" w14:textId="77777777" w:rsidR="002E0F5E" w:rsidRPr="002E0F5E" w:rsidRDefault="002E0F5E" w:rsidP="002E0F5E">
      <w:pPr>
        <w:spacing w:after="160" w:line="480" w:lineRule="auto"/>
        <w:rPr>
          <w:rFonts w:eastAsia="Calibri"/>
          <w:sz w:val="24"/>
          <w:szCs w:val="24"/>
          <w:lang w:eastAsia="en-US"/>
        </w:rPr>
      </w:pPr>
    </w:p>
    <w:p w14:paraId="7EFFC4F7"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The class this experiment was conducted with is a lower middle band class with some behavioural issues and a significant portion with additional learning needs. The class features no identified ‘</w:t>
      </w:r>
      <w:proofErr w:type="gramStart"/>
      <w:r w:rsidRPr="002E0F5E">
        <w:rPr>
          <w:rFonts w:eastAsia="Calibri"/>
          <w:sz w:val="24"/>
          <w:szCs w:val="24"/>
          <w:lang w:eastAsia="en-US"/>
        </w:rPr>
        <w:t>more able</w:t>
      </w:r>
      <w:proofErr w:type="gramEnd"/>
      <w:r w:rsidRPr="002E0F5E">
        <w:rPr>
          <w:rFonts w:eastAsia="Calibri"/>
          <w:sz w:val="24"/>
          <w:szCs w:val="24"/>
          <w:lang w:eastAsia="en-US"/>
        </w:rPr>
        <w:t xml:space="preserve"> and talented’ pupils so the study cannot be taken to represent the wider school population.</w:t>
      </w:r>
    </w:p>
    <w:p w14:paraId="353430AA" w14:textId="77777777" w:rsidR="002E0F5E" w:rsidRPr="002E0F5E" w:rsidRDefault="002E0F5E" w:rsidP="002E0F5E">
      <w:pPr>
        <w:spacing w:after="160" w:line="480" w:lineRule="auto"/>
        <w:rPr>
          <w:rFonts w:eastAsia="Calibri"/>
          <w:sz w:val="24"/>
          <w:szCs w:val="24"/>
          <w:lang w:eastAsia="en-US"/>
        </w:rPr>
      </w:pPr>
    </w:p>
    <w:p w14:paraId="2E3BCA31"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Pupil behaviour and engagement is known to vary throughout the day, and day-to-day based on many factors, such as length of time to or from breaks, pupil hunger levels, social interactions between pupils, day of the week, and school events. To limit the effect of this on future studies, lessons could be timetabled at roughly the same time over a selection of days of the week to provide the effect of an average day at a set time.</w:t>
      </w:r>
    </w:p>
    <w:p w14:paraId="46C88AE0" w14:textId="77777777" w:rsidR="002E0F5E" w:rsidRPr="002E0F5E" w:rsidRDefault="002E0F5E" w:rsidP="002E0F5E">
      <w:pPr>
        <w:spacing w:after="160" w:line="480" w:lineRule="auto"/>
        <w:rPr>
          <w:rFonts w:eastAsia="Calibri"/>
          <w:sz w:val="24"/>
          <w:szCs w:val="24"/>
          <w:lang w:eastAsia="en-US"/>
        </w:rPr>
      </w:pPr>
    </w:p>
    <w:p w14:paraId="16847B62"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In future, this method could be trialled across the whole science department, feedback taken and if results are positive, any alterations necessary could be made and the method expanded to include the mathematics department. After feedback from the mathematics department, if successful, the method could be expanded to be school-wide and used in conjunction with the school’s implementation of the LNF. Laminated copies of graph help-sheets could be provided to every class or made available in a central location for staff to collect them as most subjects outside of maths and science use graphs far less frequently and would not need copies every lesson. This would greatly reduce cost.</w:t>
      </w:r>
    </w:p>
    <w:p w14:paraId="737E276E" w14:textId="77777777" w:rsidR="002E0F5E" w:rsidRPr="002E0F5E" w:rsidRDefault="002E0F5E" w:rsidP="002E0F5E">
      <w:pPr>
        <w:spacing w:after="160" w:line="480" w:lineRule="auto"/>
        <w:rPr>
          <w:rFonts w:eastAsia="Calibri"/>
          <w:sz w:val="24"/>
          <w:szCs w:val="24"/>
          <w:lang w:eastAsia="en-US"/>
        </w:rPr>
      </w:pPr>
    </w:p>
    <w:p w14:paraId="49BB9614"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For the most reliable results future studies should include a larger number of participant pupils, taken from a range of abilities, with lessons timetabled at approximately the same time of day, with specific details taken of pupils additional learning needs, eligibility for FSM and EAL status.</w:t>
      </w:r>
    </w:p>
    <w:p w14:paraId="3C79657E" w14:textId="77777777" w:rsidR="002E0F5E" w:rsidRPr="002E0F5E" w:rsidRDefault="002E0F5E" w:rsidP="002E0F5E">
      <w:pPr>
        <w:spacing w:after="160" w:line="480" w:lineRule="auto"/>
        <w:rPr>
          <w:rFonts w:eastAsia="Calibri"/>
          <w:b/>
          <w:sz w:val="24"/>
          <w:szCs w:val="24"/>
          <w:lang w:eastAsia="en-US"/>
        </w:rPr>
      </w:pPr>
      <w:r w:rsidRPr="002E0F5E">
        <w:rPr>
          <w:rFonts w:eastAsia="Calibri"/>
          <w:b/>
          <w:sz w:val="24"/>
          <w:szCs w:val="24"/>
          <w:lang w:eastAsia="en-US"/>
        </w:rPr>
        <w:t>References</w:t>
      </w:r>
    </w:p>
    <w:p w14:paraId="18375FA7" w14:textId="77777777" w:rsidR="002E0F5E" w:rsidRPr="002E0F5E" w:rsidRDefault="002E0F5E" w:rsidP="002E0F5E">
      <w:pPr>
        <w:spacing w:after="160" w:line="480" w:lineRule="auto"/>
        <w:rPr>
          <w:rFonts w:eastAsia="Calibri"/>
          <w:sz w:val="24"/>
          <w:szCs w:val="24"/>
          <w:lang w:eastAsia="en-US"/>
        </w:rPr>
      </w:pPr>
      <w:proofErr w:type="spellStart"/>
      <w:r w:rsidRPr="002E0F5E">
        <w:rPr>
          <w:rFonts w:eastAsia="Calibri"/>
          <w:sz w:val="24"/>
          <w:szCs w:val="24"/>
          <w:lang w:eastAsia="en-US"/>
        </w:rPr>
        <w:t>baibel</w:t>
      </w:r>
      <w:proofErr w:type="spellEnd"/>
      <w:r w:rsidRPr="002E0F5E">
        <w:rPr>
          <w:rFonts w:eastAsia="Calibri"/>
          <w:sz w:val="24"/>
          <w:szCs w:val="24"/>
          <w:lang w:eastAsia="en-US"/>
        </w:rPr>
        <w:t>, (2009). </w:t>
      </w:r>
      <w:r w:rsidRPr="002E0F5E">
        <w:rPr>
          <w:rFonts w:eastAsia="Calibri"/>
          <w:i/>
          <w:iCs/>
          <w:sz w:val="24"/>
          <w:szCs w:val="24"/>
          <w:lang w:eastAsia="en-US"/>
        </w:rPr>
        <w:t xml:space="preserve">The Variables </w:t>
      </w:r>
      <w:proofErr w:type="gramStart"/>
      <w:r w:rsidRPr="002E0F5E">
        <w:rPr>
          <w:rFonts w:eastAsia="Calibri"/>
          <w:i/>
          <w:iCs/>
          <w:sz w:val="24"/>
          <w:szCs w:val="24"/>
          <w:lang w:eastAsia="en-US"/>
        </w:rPr>
        <w:t>Song!</w:t>
      </w:r>
      <w:r w:rsidRPr="002E0F5E">
        <w:rPr>
          <w:rFonts w:eastAsia="Calibri"/>
          <w:sz w:val="24"/>
          <w:szCs w:val="24"/>
          <w:lang w:eastAsia="en-US"/>
        </w:rPr>
        <w:t>.</w:t>
      </w:r>
      <w:proofErr w:type="gramEnd"/>
      <w:r w:rsidRPr="002E0F5E">
        <w:rPr>
          <w:rFonts w:eastAsia="Calibri"/>
          <w:sz w:val="24"/>
          <w:szCs w:val="24"/>
          <w:lang w:eastAsia="en-US"/>
        </w:rPr>
        <w:t xml:space="preserve"> [online video] Available at: https://www.youtube.com/watch?v=hwU3YL_SD70 [Accessed 12 May 2018].</w:t>
      </w:r>
    </w:p>
    <w:p w14:paraId="1F5D4B15" w14:textId="77777777" w:rsidR="002E0F5E" w:rsidRPr="002E0F5E" w:rsidRDefault="002E0F5E" w:rsidP="002E0F5E">
      <w:pPr>
        <w:spacing w:after="160" w:line="480" w:lineRule="auto"/>
        <w:rPr>
          <w:rFonts w:eastAsia="Calibri"/>
          <w:sz w:val="24"/>
          <w:szCs w:val="24"/>
          <w:lang w:eastAsia="en-US"/>
        </w:rPr>
      </w:pPr>
    </w:p>
    <w:p w14:paraId="59162E0F" w14:textId="77777777" w:rsidR="002E0F5E" w:rsidRPr="002E0F5E" w:rsidRDefault="002E0F5E" w:rsidP="002E0F5E">
      <w:pPr>
        <w:autoSpaceDE w:val="0"/>
        <w:adjustRightInd w:val="0"/>
        <w:spacing w:after="160" w:line="480" w:lineRule="auto"/>
        <w:rPr>
          <w:i/>
          <w:color w:val="353535"/>
          <w:sz w:val="24"/>
          <w:szCs w:val="22"/>
          <w:lang w:val="en-US" w:eastAsia="en-US"/>
        </w:rPr>
      </w:pPr>
      <w:r w:rsidRPr="002E0F5E">
        <w:rPr>
          <w:color w:val="353535"/>
          <w:sz w:val="24"/>
          <w:szCs w:val="22"/>
          <w:lang w:val="en-US" w:eastAsia="en-US"/>
        </w:rPr>
        <w:t xml:space="preserve">Berliner, D.C. and Biddle, B.J. (1995) Defending public education. </w:t>
      </w:r>
      <w:r w:rsidRPr="002E0F5E">
        <w:rPr>
          <w:i/>
          <w:color w:val="353535"/>
          <w:sz w:val="24"/>
          <w:szCs w:val="22"/>
          <w:lang w:val="en-US" w:eastAsia="en-US"/>
        </w:rPr>
        <w:t>Texas A&amp;M University.</w:t>
      </w:r>
    </w:p>
    <w:p w14:paraId="42F1CF97" w14:textId="77777777" w:rsidR="002E0F5E" w:rsidRPr="002E0F5E" w:rsidRDefault="002E0F5E" w:rsidP="002E0F5E">
      <w:pPr>
        <w:autoSpaceDE w:val="0"/>
        <w:adjustRightInd w:val="0"/>
        <w:spacing w:after="160" w:line="480" w:lineRule="auto"/>
        <w:rPr>
          <w:color w:val="353535"/>
          <w:sz w:val="24"/>
          <w:szCs w:val="22"/>
          <w:lang w:val="en-US" w:eastAsia="en-US"/>
        </w:rPr>
      </w:pPr>
    </w:p>
    <w:p w14:paraId="51B59B09" w14:textId="77777777" w:rsidR="002E0F5E" w:rsidRPr="002E0F5E" w:rsidRDefault="002E0F5E" w:rsidP="002E0F5E">
      <w:pPr>
        <w:spacing w:after="160" w:line="480" w:lineRule="auto"/>
        <w:rPr>
          <w:rFonts w:eastAsia="Calibri"/>
          <w:sz w:val="24"/>
          <w:szCs w:val="24"/>
          <w:shd w:val="clear" w:color="auto" w:fill="FFFFFF"/>
          <w:lang w:eastAsia="en-US"/>
        </w:rPr>
      </w:pPr>
      <w:r w:rsidRPr="002E0F5E">
        <w:rPr>
          <w:rFonts w:eastAsia="Calibri"/>
          <w:sz w:val="24"/>
          <w:szCs w:val="24"/>
          <w:shd w:val="clear" w:color="auto" w:fill="FFFFFF"/>
          <w:lang w:eastAsia="en-US"/>
        </w:rPr>
        <w:t>British Educational Research Association (BERA) (2011) </w:t>
      </w:r>
      <w:r w:rsidRPr="002E0F5E">
        <w:rPr>
          <w:rFonts w:eastAsia="Calibri"/>
          <w:i/>
          <w:iCs/>
          <w:sz w:val="24"/>
          <w:szCs w:val="24"/>
          <w:shd w:val="clear" w:color="auto" w:fill="FFFFFF"/>
          <w:lang w:eastAsia="en-US"/>
        </w:rPr>
        <w:t>Ethical guidelines for educational research</w:t>
      </w:r>
      <w:r w:rsidRPr="002E0F5E">
        <w:rPr>
          <w:rFonts w:eastAsia="Calibri"/>
          <w:sz w:val="24"/>
          <w:szCs w:val="24"/>
          <w:shd w:val="clear" w:color="auto" w:fill="FFFFFF"/>
          <w:lang w:eastAsia="en-US"/>
        </w:rPr>
        <w:t>. Available at: </w:t>
      </w:r>
      <w:hyperlink r:id="rId29" w:tgtFrame="_blank" w:history="1">
        <w:r w:rsidRPr="002E0F5E">
          <w:rPr>
            <w:rFonts w:eastAsia="Calibri"/>
            <w:color w:val="337AB7"/>
            <w:sz w:val="24"/>
            <w:szCs w:val="24"/>
            <w:u w:val="single"/>
            <w:shd w:val="clear" w:color="auto" w:fill="FFFFFF"/>
            <w:lang w:eastAsia="en-US"/>
          </w:rPr>
          <w:t>https://www.bera.ac.uk/researchers-resources/publications/ethical-guidelines-for-educational-research-2011</w:t>
        </w:r>
      </w:hyperlink>
      <w:r w:rsidRPr="002E0F5E">
        <w:rPr>
          <w:rFonts w:eastAsia="Calibri"/>
          <w:color w:val="333333"/>
          <w:sz w:val="24"/>
          <w:szCs w:val="24"/>
          <w:shd w:val="clear" w:color="auto" w:fill="FFFFFF"/>
          <w:lang w:eastAsia="en-US"/>
        </w:rPr>
        <w:t> </w:t>
      </w:r>
      <w:r w:rsidRPr="002E0F5E">
        <w:rPr>
          <w:rFonts w:eastAsia="Calibri"/>
          <w:sz w:val="24"/>
          <w:szCs w:val="24"/>
          <w:shd w:val="clear" w:color="auto" w:fill="FFFFFF"/>
          <w:lang w:eastAsia="en-US"/>
        </w:rPr>
        <w:t>[Accessed 13 May 2011].</w:t>
      </w:r>
    </w:p>
    <w:p w14:paraId="3F09978A" w14:textId="77777777" w:rsidR="002E0F5E" w:rsidRPr="002E0F5E" w:rsidRDefault="002E0F5E" w:rsidP="002E0F5E">
      <w:pPr>
        <w:spacing w:after="160" w:line="480" w:lineRule="auto"/>
        <w:rPr>
          <w:rFonts w:eastAsia="Calibri"/>
          <w:sz w:val="24"/>
          <w:szCs w:val="24"/>
          <w:shd w:val="clear" w:color="auto" w:fill="FFFFFF"/>
          <w:lang w:eastAsia="en-US"/>
        </w:rPr>
      </w:pPr>
    </w:p>
    <w:p w14:paraId="6E0758DB" w14:textId="77777777" w:rsidR="002E0F5E" w:rsidRPr="002E0F5E" w:rsidRDefault="002E0F5E" w:rsidP="002E0F5E">
      <w:pPr>
        <w:autoSpaceDE w:val="0"/>
        <w:adjustRightInd w:val="0"/>
        <w:spacing w:line="480" w:lineRule="auto"/>
        <w:rPr>
          <w:color w:val="353535"/>
          <w:sz w:val="24"/>
          <w:szCs w:val="24"/>
          <w:lang w:eastAsia="en-US"/>
        </w:rPr>
      </w:pPr>
      <w:r w:rsidRPr="002E0F5E">
        <w:rPr>
          <w:color w:val="353535"/>
          <w:sz w:val="24"/>
          <w:szCs w:val="24"/>
          <w:lang w:eastAsia="en-US"/>
        </w:rPr>
        <w:t xml:space="preserve">Bliss, J., Askew, M. and </w:t>
      </w:r>
      <w:proofErr w:type="spellStart"/>
      <w:r w:rsidRPr="002E0F5E">
        <w:rPr>
          <w:color w:val="353535"/>
          <w:sz w:val="24"/>
          <w:szCs w:val="24"/>
          <w:lang w:eastAsia="en-US"/>
        </w:rPr>
        <w:t>Macrae</w:t>
      </w:r>
      <w:proofErr w:type="spellEnd"/>
      <w:r w:rsidRPr="002E0F5E">
        <w:rPr>
          <w:color w:val="353535"/>
          <w:sz w:val="24"/>
          <w:szCs w:val="24"/>
          <w:lang w:eastAsia="en-US"/>
        </w:rPr>
        <w:t xml:space="preserve">, S. (1996). Effective teaching and learning: scaffolding revisited. </w:t>
      </w:r>
      <w:r w:rsidRPr="002E0F5E">
        <w:rPr>
          <w:i/>
          <w:color w:val="353535"/>
          <w:sz w:val="24"/>
          <w:szCs w:val="24"/>
          <w:lang w:eastAsia="en-US"/>
        </w:rPr>
        <w:t>Oxford Review of Education,</w:t>
      </w:r>
      <w:r w:rsidRPr="002E0F5E">
        <w:rPr>
          <w:color w:val="353535"/>
          <w:sz w:val="24"/>
          <w:szCs w:val="24"/>
          <w:lang w:eastAsia="en-US"/>
        </w:rPr>
        <w:t xml:space="preserve"> 22: 37-61.</w:t>
      </w:r>
    </w:p>
    <w:p w14:paraId="2AE8AD97" w14:textId="77777777" w:rsidR="002E0F5E" w:rsidRPr="002E0F5E" w:rsidRDefault="002E0F5E" w:rsidP="002E0F5E">
      <w:pPr>
        <w:autoSpaceDE w:val="0"/>
        <w:adjustRightInd w:val="0"/>
        <w:spacing w:line="480" w:lineRule="auto"/>
        <w:rPr>
          <w:color w:val="353535"/>
          <w:sz w:val="24"/>
          <w:szCs w:val="24"/>
          <w:lang w:eastAsia="en-US"/>
        </w:rPr>
      </w:pPr>
    </w:p>
    <w:p w14:paraId="3B584037" w14:textId="77777777" w:rsidR="002E0F5E" w:rsidRPr="002E0F5E" w:rsidRDefault="002E0F5E" w:rsidP="002E0F5E">
      <w:pPr>
        <w:autoSpaceDE w:val="0"/>
        <w:adjustRightInd w:val="0"/>
        <w:spacing w:line="480" w:lineRule="auto"/>
        <w:rPr>
          <w:color w:val="353535"/>
          <w:sz w:val="24"/>
          <w:szCs w:val="24"/>
          <w:lang w:eastAsia="en-US"/>
        </w:rPr>
      </w:pPr>
      <w:r w:rsidRPr="002E0F5E">
        <w:rPr>
          <w:color w:val="353535"/>
          <w:sz w:val="24"/>
          <w:szCs w:val="24"/>
          <w:lang w:eastAsia="en-US"/>
        </w:rPr>
        <w:t>Clark, I. (2008). Assessment is for Learning: Formative Assessment and Positive Learning Interactions. </w:t>
      </w:r>
      <w:r w:rsidRPr="002E0F5E">
        <w:rPr>
          <w:i/>
          <w:iCs/>
          <w:color w:val="353535"/>
          <w:sz w:val="24"/>
          <w:szCs w:val="24"/>
          <w:lang w:eastAsia="en-US"/>
        </w:rPr>
        <w:t>Florida Journal of Educational Administration &amp; Policy</w:t>
      </w:r>
      <w:r w:rsidRPr="002E0F5E">
        <w:rPr>
          <w:color w:val="353535"/>
          <w:sz w:val="24"/>
          <w:szCs w:val="24"/>
          <w:lang w:eastAsia="en-US"/>
        </w:rPr>
        <w:t>, </w:t>
      </w:r>
      <w:r w:rsidRPr="002E0F5E">
        <w:rPr>
          <w:iCs/>
          <w:color w:val="353535"/>
          <w:sz w:val="24"/>
          <w:szCs w:val="24"/>
          <w:lang w:eastAsia="en-US"/>
        </w:rPr>
        <w:t>2</w:t>
      </w:r>
      <w:r w:rsidRPr="002E0F5E">
        <w:rPr>
          <w:color w:val="353535"/>
          <w:sz w:val="24"/>
          <w:szCs w:val="24"/>
          <w:lang w:eastAsia="en-US"/>
        </w:rPr>
        <w:t>: 1-16.</w:t>
      </w:r>
    </w:p>
    <w:p w14:paraId="43A446F6" w14:textId="77777777" w:rsidR="002E0F5E" w:rsidRPr="002E0F5E" w:rsidRDefault="002E0F5E" w:rsidP="002E0F5E">
      <w:pPr>
        <w:autoSpaceDE w:val="0"/>
        <w:adjustRightInd w:val="0"/>
        <w:spacing w:line="480" w:lineRule="auto"/>
        <w:rPr>
          <w:rFonts w:eastAsia="Calibri"/>
          <w:color w:val="353535"/>
          <w:sz w:val="24"/>
          <w:szCs w:val="24"/>
          <w:lang w:val="en-US" w:eastAsia="en-US"/>
        </w:rPr>
      </w:pPr>
    </w:p>
    <w:p w14:paraId="10432210" w14:textId="77777777" w:rsidR="002E0F5E" w:rsidRPr="002E0F5E" w:rsidRDefault="002E0F5E" w:rsidP="002E0F5E">
      <w:pPr>
        <w:autoSpaceDE w:val="0"/>
        <w:adjustRightInd w:val="0"/>
        <w:spacing w:line="480" w:lineRule="auto"/>
        <w:rPr>
          <w:rFonts w:eastAsia="Calibri"/>
          <w:bCs/>
          <w:color w:val="353535"/>
          <w:sz w:val="24"/>
          <w:szCs w:val="24"/>
          <w:lang w:eastAsia="en-US"/>
        </w:rPr>
      </w:pPr>
      <w:r w:rsidRPr="002E0F5E">
        <w:rPr>
          <w:rFonts w:eastAsia="Calibri"/>
          <w:color w:val="353535"/>
          <w:sz w:val="24"/>
          <w:szCs w:val="24"/>
          <w:lang w:val="en-US" w:eastAsia="en-US"/>
        </w:rPr>
        <w:t xml:space="preserve">Clarke, S. (2016) </w:t>
      </w:r>
      <w:r w:rsidRPr="002E0F5E">
        <w:rPr>
          <w:rFonts w:eastAsia="Calibri"/>
          <w:bCs/>
          <w:color w:val="353535"/>
          <w:sz w:val="24"/>
          <w:szCs w:val="24"/>
          <w:lang w:eastAsia="en-US"/>
        </w:rPr>
        <w:t xml:space="preserve">Learning objectives and co-constructed success criteria. [online] Available at: </w:t>
      </w:r>
      <w:hyperlink r:id="rId30" w:history="1">
        <w:r w:rsidRPr="002E0F5E">
          <w:rPr>
            <w:rFonts w:eastAsia="Calibri"/>
            <w:bCs/>
            <w:color w:val="0563C1"/>
            <w:sz w:val="24"/>
            <w:szCs w:val="24"/>
            <w:u w:val="single"/>
            <w:lang w:eastAsia="en-US"/>
          </w:rPr>
          <w:t>https://www.shirleyclarke-education.org/research/learning-objectives-co-constructed-success-criteria-2/</w:t>
        </w:r>
      </w:hyperlink>
      <w:r w:rsidRPr="002E0F5E">
        <w:rPr>
          <w:rFonts w:eastAsia="Calibri"/>
          <w:bCs/>
          <w:color w:val="353535"/>
          <w:sz w:val="24"/>
          <w:szCs w:val="24"/>
          <w:lang w:eastAsia="en-US"/>
        </w:rPr>
        <w:t>. [Accessed 14 May 2018].</w:t>
      </w:r>
    </w:p>
    <w:p w14:paraId="7A7E795B" w14:textId="77777777" w:rsidR="002E0F5E" w:rsidRPr="002E0F5E" w:rsidRDefault="002E0F5E" w:rsidP="002E0F5E">
      <w:pPr>
        <w:autoSpaceDE w:val="0"/>
        <w:adjustRightInd w:val="0"/>
        <w:spacing w:line="480" w:lineRule="auto"/>
        <w:rPr>
          <w:color w:val="353535"/>
          <w:sz w:val="24"/>
          <w:szCs w:val="24"/>
          <w:lang w:eastAsia="en-US"/>
        </w:rPr>
      </w:pPr>
    </w:p>
    <w:p w14:paraId="61028514" w14:textId="77777777" w:rsidR="002E0F5E" w:rsidRPr="002E0F5E" w:rsidRDefault="002E0F5E" w:rsidP="002E0F5E">
      <w:pPr>
        <w:autoSpaceDE w:val="0"/>
        <w:adjustRightInd w:val="0"/>
        <w:spacing w:line="480" w:lineRule="auto"/>
        <w:rPr>
          <w:color w:val="353535"/>
          <w:sz w:val="24"/>
          <w:szCs w:val="24"/>
          <w:lang w:eastAsia="en-US"/>
        </w:rPr>
      </w:pPr>
      <w:r w:rsidRPr="002E0F5E">
        <w:rPr>
          <w:color w:val="353535"/>
          <w:sz w:val="24"/>
          <w:szCs w:val="24"/>
          <w:lang w:eastAsia="en-US"/>
        </w:rPr>
        <w:t> </w:t>
      </w:r>
      <w:proofErr w:type="spellStart"/>
      <w:r w:rsidRPr="002E0F5E">
        <w:rPr>
          <w:color w:val="353535"/>
          <w:sz w:val="24"/>
          <w:szCs w:val="24"/>
          <w:lang w:eastAsia="en-US"/>
        </w:rPr>
        <w:t>Coffield</w:t>
      </w:r>
      <w:proofErr w:type="spellEnd"/>
      <w:r w:rsidRPr="002E0F5E">
        <w:rPr>
          <w:color w:val="353535"/>
          <w:sz w:val="24"/>
          <w:szCs w:val="24"/>
          <w:lang w:eastAsia="en-US"/>
        </w:rPr>
        <w:t xml:space="preserve">, F., Moseley, D., Hall, E., </w:t>
      </w:r>
      <w:proofErr w:type="spellStart"/>
      <w:r w:rsidRPr="002E0F5E">
        <w:rPr>
          <w:color w:val="353535"/>
          <w:sz w:val="24"/>
          <w:szCs w:val="24"/>
          <w:lang w:eastAsia="en-US"/>
        </w:rPr>
        <w:t>Ecclestone</w:t>
      </w:r>
      <w:proofErr w:type="spellEnd"/>
      <w:r w:rsidRPr="002E0F5E">
        <w:rPr>
          <w:color w:val="353535"/>
          <w:sz w:val="24"/>
          <w:szCs w:val="24"/>
          <w:lang w:eastAsia="en-US"/>
        </w:rPr>
        <w:t>, K. (2004). </w:t>
      </w:r>
      <w:r w:rsidRPr="002E0F5E">
        <w:rPr>
          <w:i/>
          <w:iCs/>
          <w:color w:val="353535"/>
          <w:sz w:val="24"/>
          <w:szCs w:val="24"/>
          <w:lang w:eastAsia="en-US"/>
        </w:rPr>
        <w:t>Learning styles and pedagogy in post-16 learning. A systematic and critical review</w:t>
      </w:r>
      <w:r w:rsidRPr="002E0F5E">
        <w:rPr>
          <w:color w:val="353535"/>
          <w:sz w:val="24"/>
          <w:szCs w:val="24"/>
          <w:lang w:eastAsia="en-US"/>
        </w:rPr>
        <w:t>. London: Learning and Skills Research Centre.</w:t>
      </w:r>
    </w:p>
    <w:p w14:paraId="38B83532" w14:textId="77777777" w:rsidR="002E0F5E" w:rsidRPr="002E0F5E" w:rsidRDefault="002E0F5E" w:rsidP="002E0F5E">
      <w:pPr>
        <w:autoSpaceDE w:val="0"/>
        <w:adjustRightInd w:val="0"/>
        <w:spacing w:line="480" w:lineRule="auto"/>
        <w:rPr>
          <w:color w:val="353535"/>
          <w:sz w:val="24"/>
          <w:szCs w:val="24"/>
          <w:lang w:eastAsia="en-US"/>
        </w:rPr>
      </w:pPr>
    </w:p>
    <w:p w14:paraId="0DDD8C58"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Cohen, L., </w:t>
      </w:r>
      <w:proofErr w:type="spellStart"/>
      <w:r w:rsidRPr="002E0F5E">
        <w:rPr>
          <w:rFonts w:eastAsia="Calibri"/>
          <w:sz w:val="24"/>
          <w:szCs w:val="24"/>
          <w:lang w:eastAsia="en-US"/>
        </w:rPr>
        <w:t>Manion</w:t>
      </w:r>
      <w:proofErr w:type="spellEnd"/>
      <w:r w:rsidRPr="002E0F5E">
        <w:rPr>
          <w:rFonts w:eastAsia="Calibri"/>
          <w:sz w:val="24"/>
          <w:szCs w:val="24"/>
          <w:lang w:eastAsia="en-US"/>
        </w:rPr>
        <w:t xml:space="preserve">, L. and Morrison, K. (2011). </w:t>
      </w:r>
      <w:r w:rsidRPr="002E0F5E">
        <w:rPr>
          <w:rFonts w:eastAsia="Calibri"/>
          <w:i/>
          <w:sz w:val="24"/>
          <w:szCs w:val="24"/>
          <w:lang w:eastAsia="en-US"/>
        </w:rPr>
        <w:t>Research methods in education</w:t>
      </w:r>
      <w:r w:rsidRPr="002E0F5E">
        <w:rPr>
          <w:rFonts w:eastAsia="Calibri"/>
          <w:sz w:val="24"/>
          <w:szCs w:val="24"/>
          <w:lang w:eastAsia="en-US"/>
        </w:rPr>
        <w:t>. London: Routledge.</w:t>
      </w:r>
    </w:p>
    <w:p w14:paraId="075DC2E5" w14:textId="77777777" w:rsidR="002E0F5E" w:rsidRPr="002E0F5E" w:rsidRDefault="002E0F5E" w:rsidP="002E0F5E">
      <w:pPr>
        <w:spacing w:after="160" w:line="480" w:lineRule="auto"/>
        <w:rPr>
          <w:rFonts w:eastAsia="Calibri"/>
          <w:sz w:val="24"/>
          <w:szCs w:val="24"/>
          <w:lang w:eastAsia="en-US"/>
        </w:rPr>
      </w:pPr>
    </w:p>
    <w:p w14:paraId="330A8423" w14:textId="77777777" w:rsidR="002E0F5E" w:rsidRPr="002E0F5E" w:rsidRDefault="002E0F5E" w:rsidP="002E0F5E">
      <w:pPr>
        <w:spacing w:after="160" w:line="480" w:lineRule="auto"/>
        <w:rPr>
          <w:rFonts w:eastAsia="Calibri"/>
          <w:sz w:val="24"/>
          <w:szCs w:val="24"/>
          <w:lang w:eastAsia="en-US"/>
        </w:rPr>
      </w:pPr>
      <w:proofErr w:type="spellStart"/>
      <w:r w:rsidRPr="002E0F5E">
        <w:rPr>
          <w:rFonts w:eastAsia="Calibri"/>
          <w:sz w:val="24"/>
          <w:szCs w:val="24"/>
          <w:lang w:eastAsia="en-US"/>
        </w:rPr>
        <w:t>Diener</w:t>
      </w:r>
      <w:proofErr w:type="spellEnd"/>
      <w:r w:rsidRPr="002E0F5E">
        <w:rPr>
          <w:rFonts w:eastAsia="Calibri"/>
          <w:sz w:val="24"/>
          <w:szCs w:val="24"/>
          <w:lang w:eastAsia="en-US"/>
        </w:rPr>
        <w:t xml:space="preserve">, E. and Crandall, R. (1978) </w:t>
      </w:r>
      <w:r w:rsidRPr="002E0F5E">
        <w:rPr>
          <w:rFonts w:eastAsia="Calibri"/>
          <w:i/>
          <w:sz w:val="24"/>
          <w:szCs w:val="24"/>
          <w:lang w:eastAsia="en-US"/>
        </w:rPr>
        <w:t xml:space="preserve">Ethics in Social and </w:t>
      </w:r>
      <w:proofErr w:type="spellStart"/>
      <w:r w:rsidRPr="002E0F5E">
        <w:rPr>
          <w:rFonts w:eastAsia="Calibri"/>
          <w:i/>
          <w:sz w:val="24"/>
          <w:szCs w:val="24"/>
          <w:lang w:eastAsia="en-US"/>
        </w:rPr>
        <w:t>Behavioral</w:t>
      </w:r>
      <w:proofErr w:type="spellEnd"/>
      <w:r w:rsidRPr="002E0F5E">
        <w:rPr>
          <w:rFonts w:eastAsia="Calibri"/>
          <w:i/>
          <w:sz w:val="24"/>
          <w:szCs w:val="24"/>
          <w:lang w:eastAsia="en-US"/>
        </w:rPr>
        <w:t xml:space="preserve"> Research.</w:t>
      </w:r>
      <w:r w:rsidRPr="002E0F5E">
        <w:rPr>
          <w:rFonts w:eastAsia="Calibri"/>
          <w:sz w:val="24"/>
          <w:szCs w:val="24"/>
          <w:lang w:eastAsia="en-US"/>
        </w:rPr>
        <w:t xml:space="preserve"> Chicago, IL: University of Chicago Press.</w:t>
      </w:r>
    </w:p>
    <w:p w14:paraId="357C0E5A" w14:textId="77777777" w:rsidR="002E0F5E" w:rsidRPr="002E0F5E" w:rsidRDefault="002E0F5E" w:rsidP="002E0F5E">
      <w:pPr>
        <w:spacing w:after="160" w:line="480" w:lineRule="auto"/>
        <w:rPr>
          <w:rFonts w:eastAsia="Calibri"/>
          <w:sz w:val="24"/>
          <w:szCs w:val="24"/>
          <w:lang w:eastAsia="en-US"/>
        </w:rPr>
      </w:pPr>
    </w:p>
    <w:p w14:paraId="733F7227" w14:textId="77777777" w:rsidR="002E0F5E" w:rsidRPr="002E0F5E" w:rsidRDefault="002E0F5E" w:rsidP="002E0F5E">
      <w:pPr>
        <w:autoSpaceDE w:val="0"/>
        <w:adjustRightInd w:val="0"/>
        <w:spacing w:line="480" w:lineRule="auto"/>
        <w:rPr>
          <w:i/>
          <w:color w:val="353535"/>
          <w:sz w:val="24"/>
          <w:szCs w:val="24"/>
          <w:lang w:val="en-US" w:eastAsia="en-US"/>
        </w:rPr>
      </w:pPr>
      <w:r w:rsidRPr="002E0F5E">
        <w:rPr>
          <w:color w:val="353535"/>
          <w:sz w:val="24"/>
          <w:szCs w:val="24"/>
          <w:lang w:val="en-US" w:eastAsia="en-US"/>
        </w:rPr>
        <w:t xml:space="preserve">Donaldson, G. (2015) </w:t>
      </w:r>
      <w:r w:rsidRPr="002E0F5E">
        <w:rPr>
          <w:iCs/>
          <w:color w:val="353535"/>
          <w:sz w:val="24"/>
          <w:szCs w:val="24"/>
          <w:lang w:val="en-US" w:eastAsia="en-US"/>
        </w:rPr>
        <w:t>Successful Futures: Independent review of curriculum and assessment arrangements in Wales</w:t>
      </w:r>
      <w:r w:rsidRPr="002E0F5E">
        <w:rPr>
          <w:color w:val="353535"/>
          <w:sz w:val="24"/>
          <w:szCs w:val="24"/>
          <w:lang w:val="en-US" w:eastAsia="en-US"/>
        </w:rPr>
        <w:t xml:space="preserve">. </w:t>
      </w:r>
      <w:proofErr w:type="spellStart"/>
      <w:r w:rsidRPr="002E0F5E">
        <w:rPr>
          <w:i/>
          <w:color w:val="353535"/>
          <w:sz w:val="24"/>
          <w:szCs w:val="24"/>
          <w:lang w:val="en-US" w:eastAsia="en-US"/>
        </w:rPr>
        <w:t>Caerdydd</w:t>
      </w:r>
      <w:proofErr w:type="spellEnd"/>
      <w:r w:rsidRPr="002E0F5E">
        <w:rPr>
          <w:i/>
          <w:color w:val="353535"/>
          <w:sz w:val="24"/>
          <w:szCs w:val="24"/>
          <w:lang w:val="en-US" w:eastAsia="en-US"/>
        </w:rPr>
        <w:t xml:space="preserve">: </w:t>
      </w:r>
      <w:proofErr w:type="spellStart"/>
      <w:r w:rsidRPr="002E0F5E">
        <w:rPr>
          <w:i/>
          <w:color w:val="353535"/>
          <w:sz w:val="24"/>
          <w:szCs w:val="24"/>
          <w:lang w:val="en-US" w:eastAsia="en-US"/>
        </w:rPr>
        <w:t>Llywodraeth</w:t>
      </w:r>
      <w:proofErr w:type="spellEnd"/>
      <w:r w:rsidRPr="002E0F5E">
        <w:rPr>
          <w:i/>
          <w:color w:val="353535"/>
          <w:sz w:val="24"/>
          <w:szCs w:val="24"/>
          <w:lang w:val="en-US" w:eastAsia="en-US"/>
        </w:rPr>
        <w:t xml:space="preserve"> </w:t>
      </w:r>
      <w:proofErr w:type="spellStart"/>
      <w:r w:rsidRPr="002E0F5E">
        <w:rPr>
          <w:i/>
          <w:color w:val="353535"/>
          <w:sz w:val="24"/>
          <w:szCs w:val="24"/>
          <w:lang w:val="en-US" w:eastAsia="en-US"/>
        </w:rPr>
        <w:t>Cenedlaethol</w:t>
      </w:r>
      <w:proofErr w:type="spellEnd"/>
      <w:r w:rsidRPr="002E0F5E">
        <w:rPr>
          <w:i/>
          <w:color w:val="353535"/>
          <w:sz w:val="24"/>
          <w:szCs w:val="24"/>
          <w:lang w:val="en-US" w:eastAsia="en-US"/>
        </w:rPr>
        <w:t xml:space="preserve"> </w:t>
      </w:r>
      <w:proofErr w:type="spellStart"/>
      <w:r w:rsidRPr="002E0F5E">
        <w:rPr>
          <w:i/>
          <w:color w:val="353535"/>
          <w:sz w:val="24"/>
          <w:szCs w:val="24"/>
          <w:lang w:val="en-US" w:eastAsia="en-US"/>
        </w:rPr>
        <w:t>Cymru</w:t>
      </w:r>
      <w:proofErr w:type="spellEnd"/>
      <w:r w:rsidRPr="002E0F5E">
        <w:rPr>
          <w:i/>
          <w:color w:val="353535"/>
          <w:sz w:val="24"/>
          <w:szCs w:val="24"/>
          <w:lang w:val="en-US" w:eastAsia="en-US"/>
        </w:rPr>
        <w:t>.</w:t>
      </w:r>
    </w:p>
    <w:p w14:paraId="640B2BBD" w14:textId="77777777" w:rsidR="002E0F5E" w:rsidRPr="002E0F5E" w:rsidRDefault="002E0F5E" w:rsidP="002E0F5E">
      <w:pPr>
        <w:autoSpaceDE w:val="0"/>
        <w:adjustRightInd w:val="0"/>
        <w:spacing w:line="480" w:lineRule="auto"/>
        <w:rPr>
          <w:i/>
          <w:color w:val="353535"/>
          <w:sz w:val="24"/>
          <w:szCs w:val="24"/>
          <w:lang w:val="en-US" w:eastAsia="en-US"/>
        </w:rPr>
      </w:pPr>
    </w:p>
    <w:p w14:paraId="1B99EF51" w14:textId="77777777" w:rsidR="002E0F5E" w:rsidRPr="002E0F5E" w:rsidRDefault="002E0F5E" w:rsidP="002E0F5E">
      <w:pPr>
        <w:autoSpaceDE w:val="0"/>
        <w:adjustRightInd w:val="0"/>
        <w:spacing w:line="480" w:lineRule="auto"/>
        <w:rPr>
          <w:color w:val="353535"/>
          <w:sz w:val="24"/>
          <w:szCs w:val="24"/>
          <w:lang w:val="en-US" w:eastAsia="en-US"/>
        </w:rPr>
      </w:pPr>
      <w:proofErr w:type="spellStart"/>
      <w:r w:rsidRPr="002E0F5E">
        <w:rPr>
          <w:color w:val="353535"/>
          <w:sz w:val="24"/>
          <w:szCs w:val="24"/>
          <w:lang w:val="en-US" w:eastAsia="en-US"/>
        </w:rPr>
        <w:t>Dunlosky</w:t>
      </w:r>
      <w:proofErr w:type="spellEnd"/>
      <w:r w:rsidRPr="002E0F5E">
        <w:rPr>
          <w:color w:val="353535"/>
          <w:sz w:val="24"/>
          <w:szCs w:val="24"/>
          <w:lang w:val="en-US" w:eastAsia="en-US"/>
        </w:rPr>
        <w:t>, J., Rawson, K.A., Marsh, E.J., Nathan, M.J. and Willingham, D.T. (2013). Improving students’ learning with effective learning techniques: Promising directions from cognitive and educational psychology. </w:t>
      </w:r>
      <w:r w:rsidRPr="002E0F5E">
        <w:rPr>
          <w:i/>
          <w:iCs/>
          <w:color w:val="353535"/>
          <w:sz w:val="24"/>
          <w:szCs w:val="24"/>
          <w:lang w:val="en-US" w:eastAsia="en-US"/>
        </w:rPr>
        <w:t>Psychological Science in the Public Interest</w:t>
      </w:r>
      <w:r w:rsidRPr="002E0F5E">
        <w:rPr>
          <w:color w:val="353535"/>
          <w:sz w:val="24"/>
          <w:szCs w:val="24"/>
          <w:lang w:val="en-US" w:eastAsia="en-US"/>
        </w:rPr>
        <w:t>, </w:t>
      </w:r>
      <w:r w:rsidRPr="002E0F5E">
        <w:rPr>
          <w:iCs/>
          <w:color w:val="353535"/>
          <w:sz w:val="24"/>
          <w:szCs w:val="24"/>
          <w:lang w:val="en-US" w:eastAsia="en-US"/>
        </w:rPr>
        <w:t>14</w:t>
      </w:r>
      <w:r w:rsidRPr="002E0F5E">
        <w:rPr>
          <w:color w:val="353535"/>
          <w:sz w:val="24"/>
          <w:szCs w:val="24"/>
          <w:lang w:val="en-US" w:eastAsia="en-US"/>
        </w:rPr>
        <w:t>: 4-58.</w:t>
      </w:r>
    </w:p>
    <w:p w14:paraId="7B7EC15A" w14:textId="77777777" w:rsidR="002E0F5E" w:rsidRPr="002E0F5E" w:rsidRDefault="002E0F5E" w:rsidP="002E0F5E">
      <w:pPr>
        <w:spacing w:after="160" w:line="480" w:lineRule="auto"/>
        <w:rPr>
          <w:rFonts w:eastAsia="Calibri"/>
          <w:sz w:val="24"/>
          <w:szCs w:val="24"/>
          <w:lang w:eastAsia="en-US"/>
        </w:rPr>
      </w:pPr>
    </w:p>
    <w:p w14:paraId="48CC8C1C" w14:textId="77777777" w:rsidR="002E0F5E" w:rsidRPr="002E0F5E" w:rsidRDefault="002E0F5E" w:rsidP="002E0F5E">
      <w:pPr>
        <w:spacing w:after="160" w:line="480" w:lineRule="auto"/>
        <w:rPr>
          <w:rFonts w:eastAsia="Calibri"/>
          <w:bCs/>
          <w:sz w:val="24"/>
          <w:szCs w:val="24"/>
          <w:shd w:val="clear" w:color="auto" w:fill="FFFFFF"/>
          <w:lang w:eastAsia="en-US"/>
        </w:rPr>
      </w:pPr>
      <w:proofErr w:type="spellStart"/>
      <w:r w:rsidRPr="002E0F5E">
        <w:rPr>
          <w:rFonts w:eastAsia="Calibri"/>
          <w:bCs/>
          <w:sz w:val="24"/>
          <w:szCs w:val="24"/>
          <w:shd w:val="clear" w:color="auto" w:fill="FFFFFF"/>
          <w:lang w:eastAsia="en-US"/>
        </w:rPr>
        <w:t>Ebbinghaus</w:t>
      </w:r>
      <w:proofErr w:type="spellEnd"/>
      <w:r w:rsidRPr="002E0F5E">
        <w:rPr>
          <w:rFonts w:eastAsia="Calibri"/>
          <w:bCs/>
          <w:sz w:val="24"/>
          <w:szCs w:val="24"/>
          <w:shd w:val="clear" w:color="auto" w:fill="FFFFFF"/>
          <w:lang w:eastAsia="en-US"/>
        </w:rPr>
        <w:t xml:space="preserve">, H. (1913). </w:t>
      </w:r>
      <w:r w:rsidRPr="002E0F5E">
        <w:rPr>
          <w:rFonts w:eastAsia="Calibri"/>
          <w:bCs/>
          <w:i/>
          <w:sz w:val="24"/>
          <w:szCs w:val="24"/>
          <w:shd w:val="clear" w:color="auto" w:fill="FFFFFF"/>
          <w:lang w:eastAsia="en-US"/>
        </w:rPr>
        <w:t>Memory: A contribution to experimental psychology.</w:t>
      </w:r>
      <w:r w:rsidRPr="002E0F5E">
        <w:rPr>
          <w:rFonts w:eastAsia="Calibri"/>
          <w:bCs/>
          <w:sz w:val="24"/>
          <w:szCs w:val="24"/>
          <w:shd w:val="clear" w:color="auto" w:fill="FFFFFF"/>
          <w:lang w:eastAsia="en-US"/>
        </w:rPr>
        <w:t xml:space="preserve"> New York: Teachers College, Columbia University </w:t>
      </w:r>
    </w:p>
    <w:p w14:paraId="6A27F618" w14:textId="77777777" w:rsidR="002E0F5E" w:rsidRPr="002E0F5E" w:rsidRDefault="002E0F5E" w:rsidP="002E0F5E">
      <w:pPr>
        <w:spacing w:after="160" w:line="480" w:lineRule="auto"/>
        <w:rPr>
          <w:rFonts w:eastAsia="Calibri"/>
          <w:bCs/>
          <w:sz w:val="24"/>
          <w:szCs w:val="24"/>
          <w:shd w:val="clear" w:color="auto" w:fill="FFFFFF"/>
          <w:lang w:eastAsia="en-US"/>
        </w:rPr>
      </w:pPr>
    </w:p>
    <w:p w14:paraId="1A18F473" w14:textId="77777777" w:rsidR="002E0F5E" w:rsidRPr="002E0F5E" w:rsidRDefault="002E0F5E" w:rsidP="002E0F5E">
      <w:pPr>
        <w:spacing w:after="160" w:line="480" w:lineRule="auto"/>
        <w:rPr>
          <w:rFonts w:eastAsia="Calibri"/>
          <w:sz w:val="24"/>
          <w:szCs w:val="24"/>
          <w:lang w:eastAsia="en-US"/>
        </w:rPr>
      </w:pPr>
      <w:proofErr w:type="spellStart"/>
      <w:r w:rsidRPr="002E0F5E">
        <w:rPr>
          <w:rFonts w:eastAsia="Calibri"/>
          <w:sz w:val="24"/>
          <w:szCs w:val="24"/>
          <w:lang w:eastAsia="en-US"/>
        </w:rPr>
        <w:t>Estyn</w:t>
      </w:r>
      <w:proofErr w:type="spellEnd"/>
      <w:r w:rsidRPr="002E0F5E">
        <w:rPr>
          <w:rFonts w:eastAsia="Calibri"/>
          <w:sz w:val="24"/>
          <w:szCs w:val="24"/>
          <w:lang w:eastAsia="en-US"/>
        </w:rPr>
        <w:t>, (2015). Report on School Y.</w:t>
      </w:r>
    </w:p>
    <w:p w14:paraId="4A66B1AC" w14:textId="77777777" w:rsidR="002E0F5E" w:rsidRPr="002E0F5E" w:rsidRDefault="002E0F5E" w:rsidP="002E0F5E">
      <w:pPr>
        <w:spacing w:after="160" w:line="480" w:lineRule="auto"/>
        <w:rPr>
          <w:rFonts w:eastAsia="Calibri"/>
          <w:sz w:val="24"/>
          <w:szCs w:val="24"/>
          <w:lang w:eastAsia="en-US"/>
        </w:rPr>
      </w:pPr>
    </w:p>
    <w:p w14:paraId="60BB01C7"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Frankfort-</w:t>
      </w:r>
      <w:proofErr w:type="spellStart"/>
      <w:r w:rsidRPr="002E0F5E">
        <w:rPr>
          <w:rFonts w:eastAsia="Calibri"/>
          <w:sz w:val="24"/>
          <w:szCs w:val="24"/>
          <w:lang w:eastAsia="en-US"/>
        </w:rPr>
        <w:t>Nachmias</w:t>
      </w:r>
      <w:proofErr w:type="spellEnd"/>
      <w:r w:rsidRPr="002E0F5E">
        <w:rPr>
          <w:rFonts w:eastAsia="Calibri"/>
          <w:sz w:val="24"/>
          <w:szCs w:val="24"/>
          <w:lang w:eastAsia="en-US"/>
        </w:rPr>
        <w:t xml:space="preserve">, C. and </w:t>
      </w:r>
      <w:proofErr w:type="spellStart"/>
      <w:r w:rsidRPr="002E0F5E">
        <w:rPr>
          <w:rFonts w:eastAsia="Calibri"/>
          <w:sz w:val="24"/>
          <w:szCs w:val="24"/>
          <w:lang w:eastAsia="en-US"/>
        </w:rPr>
        <w:t>Nachmias</w:t>
      </w:r>
      <w:proofErr w:type="spellEnd"/>
      <w:r w:rsidRPr="002E0F5E">
        <w:rPr>
          <w:rFonts w:eastAsia="Calibri"/>
          <w:sz w:val="24"/>
          <w:szCs w:val="24"/>
          <w:lang w:eastAsia="en-US"/>
        </w:rPr>
        <w:t xml:space="preserve">, D. (1992) </w:t>
      </w:r>
      <w:r w:rsidRPr="002E0F5E">
        <w:rPr>
          <w:rFonts w:eastAsia="Calibri"/>
          <w:i/>
          <w:sz w:val="24"/>
          <w:szCs w:val="24"/>
          <w:lang w:eastAsia="en-US"/>
        </w:rPr>
        <w:t>Research Methods in the Social Sciences</w:t>
      </w:r>
      <w:r w:rsidRPr="002E0F5E">
        <w:rPr>
          <w:rFonts w:eastAsia="Calibri"/>
          <w:sz w:val="24"/>
          <w:szCs w:val="24"/>
          <w:lang w:eastAsia="en-US"/>
        </w:rPr>
        <w:t>. London: Edward Arnold.</w:t>
      </w:r>
    </w:p>
    <w:p w14:paraId="01401786" w14:textId="77777777" w:rsidR="002E0F5E" w:rsidRPr="002E0F5E" w:rsidRDefault="002E0F5E" w:rsidP="002E0F5E">
      <w:pPr>
        <w:spacing w:after="160" w:line="480" w:lineRule="auto"/>
        <w:rPr>
          <w:rFonts w:eastAsia="Calibri"/>
          <w:sz w:val="24"/>
          <w:szCs w:val="24"/>
          <w:lang w:eastAsia="en-US"/>
        </w:rPr>
      </w:pPr>
    </w:p>
    <w:p w14:paraId="12D31632" w14:textId="77777777" w:rsidR="002E0F5E" w:rsidRPr="002E0F5E" w:rsidRDefault="002E0F5E" w:rsidP="002E0F5E">
      <w:pPr>
        <w:autoSpaceDE w:val="0"/>
        <w:adjustRightInd w:val="0"/>
        <w:spacing w:line="480" w:lineRule="auto"/>
        <w:rPr>
          <w:rFonts w:eastAsia="Calibri"/>
          <w:color w:val="353535"/>
          <w:sz w:val="24"/>
          <w:szCs w:val="24"/>
          <w:lang w:eastAsia="en-US"/>
        </w:rPr>
      </w:pPr>
      <w:r w:rsidRPr="002E0F5E">
        <w:rPr>
          <w:rFonts w:eastAsia="Calibri"/>
          <w:color w:val="353535"/>
          <w:sz w:val="24"/>
          <w:szCs w:val="24"/>
          <w:lang w:eastAsia="en-US"/>
        </w:rPr>
        <w:t xml:space="preserve">Fritz, C. O., Morris, P. E., Acton, M., </w:t>
      </w:r>
      <w:proofErr w:type="spellStart"/>
      <w:r w:rsidRPr="002E0F5E">
        <w:rPr>
          <w:rFonts w:eastAsia="Calibri"/>
          <w:color w:val="353535"/>
          <w:sz w:val="24"/>
          <w:szCs w:val="24"/>
          <w:lang w:eastAsia="en-US"/>
        </w:rPr>
        <w:t>Voelkel</w:t>
      </w:r>
      <w:proofErr w:type="spellEnd"/>
      <w:r w:rsidRPr="002E0F5E">
        <w:rPr>
          <w:rFonts w:eastAsia="Calibri"/>
          <w:color w:val="353535"/>
          <w:sz w:val="24"/>
          <w:szCs w:val="24"/>
          <w:lang w:eastAsia="en-US"/>
        </w:rPr>
        <w:t xml:space="preserve">, A. R., &amp; </w:t>
      </w:r>
      <w:proofErr w:type="spellStart"/>
      <w:r w:rsidRPr="002E0F5E">
        <w:rPr>
          <w:rFonts w:eastAsia="Calibri"/>
          <w:color w:val="353535"/>
          <w:sz w:val="24"/>
          <w:szCs w:val="24"/>
          <w:lang w:eastAsia="en-US"/>
        </w:rPr>
        <w:t>Etkind</w:t>
      </w:r>
      <w:proofErr w:type="spellEnd"/>
      <w:r w:rsidRPr="002E0F5E">
        <w:rPr>
          <w:rFonts w:eastAsia="Calibri"/>
          <w:color w:val="353535"/>
          <w:sz w:val="24"/>
          <w:szCs w:val="24"/>
          <w:lang w:eastAsia="en-US"/>
        </w:rPr>
        <w:t xml:space="preserve">, R. (2007). Comparing and combining retrieval practice and the keyword mnemonic for foreign vocabulary learning. </w:t>
      </w:r>
      <w:r w:rsidRPr="002E0F5E">
        <w:rPr>
          <w:rFonts w:eastAsia="Calibri"/>
          <w:i/>
          <w:color w:val="353535"/>
          <w:sz w:val="24"/>
          <w:szCs w:val="24"/>
          <w:lang w:eastAsia="en-US"/>
        </w:rPr>
        <w:t>Applied Cognitive Psychology,</w:t>
      </w:r>
      <w:r w:rsidRPr="002E0F5E">
        <w:rPr>
          <w:rFonts w:eastAsia="Calibri"/>
          <w:color w:val="353535"/>
          <w:sz w:val="24"/>
          <w:szCs w:val="24"/>
          <w:lang w:eastAsia="en-US"/>
        </w:rPr>
        <w:t xml:space="preserve"> 21: 499 –526.</w:t>
      </w:r>
    </w:p>
    <w:p w14:paraId="47073D94" w14:textId="77777777" w:rsidR="002E0F5E" w:rsidRPr="002E0F5E" w:rsidRDefault="002E0F5E" w:rsidP="002E0F5E">
      <w:pPr>
        <w:spacing w:after="160" w:line="480" w:lineRule="auto"/>
        <w:rPr>
          <w:rFonts w:eastAsia="Calibri"/>
          <w:sz w:val="24"/>
          <w:szCs w:val="24"/>
          <w:lang w:eastAsia="en-US"/>
        </w:rPr>
      </w:pPr>
    </w:p>
    <w:p w14:paraId="7BD22BB2" w14:textId="77777777" w:rsidR="002E0F5E" w:rsidRPr="002E0F5E" w:rsidRDefault="002E0F5E" w:rsidP="002E0F5E">
      <w:pPr>
        <w:spacing w:after="160" w:line="480" w:lineRule="auto"/>
        <w:rPr>
          <w:rFonts w:eastAsia="Calibri"/>
          <w:sz w:val="24"/>
          <w:szCs w:val="24"/>
          <w:lang w:eastAsia="en-US"/>
        </w:rPr>
      </w:pPr>
      <w:proofErr w:type="spellStart"/>
      <w:r w:rsidRPr="002E0F5E">
        <w:rPr>
          <w:rFonts w:eastAsia="Calibri"/>
          <w:sz w:val="24"/>
          <w:szCs w:val="24"/>
          <w:lang w:eastAsia="en-US"/>
        </w:rPr>
        <w:t>Fulk</w:t>
      </w:r>
      <w:proofErr w:type="spellEnd"/>
      <w:r w:rsidRPr="002E0F5E">
        <w:rPr>
          <w:rFonts w:eastAsia="Calibri"/>
          <w:sz w:val="24"/>
          <w:szCs w:val="24"/>
          <w:lang w:eastAsia="en-US"/>
        </w:rPr>
        <w:t xml:space="preserve">, B.J. M.,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M. A., &amp; Scruggs, T. E. (1992). Mnemonic generalization training with learning disabled students. </w:t>
      </w:r>
      <w:r w:rsidRPr="002E0F5E">
        <w:rPr>
          <w:rFonts w:eastAsia="Calibri"/>
          <w:i/>
          <w:sz w:val="24"/>
          <w:szCs w:val="24"/>
          <w:lang w:eastAsia="en-US"/>
        </w:rPr>
        <w:t>Learning Disabilities Research and Practice</w:t>
      </w:r>
      <w:r w:rsidRPr="002E0F5E">
        <w:rPr>
          <w:rFonts w:eastAsia="Calibri"/>
          <w:sz w:val="24"/>
          <w:szCs w:val="24"/>
          <w:lang w:eastAsia="en-US"/>
        </w:rPr>
        <w:t>, 7, 2-10.</w:t>
      </w:r>
    </w:p>
    <w:p w14:paraId="48E3346A" w14:textId="77777777" w:rsidR="002E0F5E" w:rsidRPr="002E0F5E" w:rsidRDefault="002E0F5E" w:rsidP="002E0F5E">
      <w:pPr>
        <w:spacing w:after="160" w:line="480" w:lineRule="auto"/>
        <w:rPr>
          <w:rFonts w:eastAsia="Calibri"/>
          <w:sz w:val="24"/>
          <w:szCs w:val="24"/>
          <w:lang w:eastAsia="en-US"/>
        </w:rPr>
      </w:pPr>
    </w:p>
    <w:p w14:paraId="4F5E9DF3" w14:textId="77777777" w:rsidR="002E0F5E" w:rsidRPr="002E0F5E" w:rsidRDefault="002E0F5E" w:rsidP="002E0F5E">
      <w:pPr>
        <w:spacing w:after="160" w:line="480" w:lineRule="auto"/>
        <w:rPr>
          <w:rFonts w:eastAsia="Calibri"/>
          <w:color w:val="222222"/>
          <w:sz w:val="24"/>
          <w:szCs w:val="19"/>
          <w:shd w:val="clear" w:color="auto" w:fill="FFFFFF"/>
          <w:lang w:eastAsia="en-US"/>
        </w:rPr>
      </w:pPr>
      <w:r w:rsidRPr="002E0F5E">
        <w:rPr>
          <w:rFonts w:eastAsia="Calibri"/>
          <w:color w:val="222222"/>
          <w:sz w:val="24"/>
          <w:szCs w:val="19"/>
          <w:shd w:val="clear" w:color="auto" w:fill="FFFFFF"/>
          <w:lang w:eastAsia="en-US"/>
        </w:rPr>
        <w:t> Glaze, J. A. (1928). The association value of non-sense syllables. </w:t>
      </w:r>
      <w:r w:rsidRPr="002E0F5E">
        <w:rPr>
          <w:rFonts w:eastAsia="Calibri"/>
          <w:i/>
          <w:iCs/>
          <w:color w:val="222222"/>
          <w:sz w:val="24"/>
          <w:szCs w:val="19"/>
          <w:shd w:val="clear" w:color="auto" w:fill="FFFFFF"/>
          <w:lang w:eastAsia="en-US"/>
        </w:rPr>
        <w:t>Pedagogical Seminary and Journal of Genetic Psychology, 35</w:t>
      </w:r>
      <w:r w:rsidRPr="002E0F5E">
        <w:rPr>
          <w:rFonts w:eastAsia="Calibri"/>
          <w:color w:val="222222"/>
          <w:sz w:val="24"/>
          <w:szCs w:val="19"/>
          <w:shd w:val="clear" w:color="auto" w:fill="FFFFFF"/>
          <w:lang w:eastAsia="en-US"/>
        </w:rPr>
        <w:t>, 255-269.</w:t>
      </w:r>
    </w:p>
    <w:p w14:paraId="7BDE4C24" w14:textId="77777777" w:rsidR="002E0F5E" w:rsidRPr="002E0F5E" w:rsidRDefault="002E0F5E" w:rsidP="002E0F5E">
      <w:pPr>
        <w:spacing w:after="160" w:line="480" w:lineRule="auto"/>
        <w:rPr>
          <w:rFonts w:eastAsia="Calibri"/>
          <w:color w:val="222222"/>
          <w:sz w:val="24"/>
          <w:szCs w:val="19"/>
          <w:shd w:val="clear" w:color="auto" w:fill="FFFFFF"/>
          <w:lang w:eastAsia="en-US"/>
        </w:rPr>
      </w:pPr>
    </w:p>
    <w:p w14:paraId="1A1BEB41" w14:textId="77777777" w:rsidR="002E0F5E" w:rsidRPr="002E0F5E" w:rsidRDefault="002E0F5E" w:rsidP="002E0F5E">
      <w:pPr>
        <w:autoSpaceDE w:val="0"/>
        <w:adjustRightInd w:val="0"/>
        <w:spacing w:line="480" w:lineRule="auto"/>
        <w:rPr>
          <w:color w:val="353535"/>
          <w:sz w:val="24"/>
          <w:szCs w:val="24"/>
          <w:lang w:val="en-US" w:eastAsia="en-US"/>
        </w:rPr>
      </w:pPr>
      <w:proofErr w:type="spellStart"/>
      <w:r w:rsidRPr="002E0F5E">
        <w:rPr>
          <w:color w:val="353535"/>
          <w:sz w:val="24"/>
          <w:szCs w:val="24"/>
          <w:lang w:val="en-US" w:eastAsia="en-US"/>
        </w:rPr>
        <w:t>Graybeal</w:t>
      </w:r>
      <w:proofErr w:type="spellEnd"/>
      <w:r w:rsidRPr="002E0F5E">
        <w:rPr>
          <w:color w:val="353535"/>
          <w:sz w:val="24"/>
          <w:szCs w:val="24"/>
          <w:lang w:val="en-US" w:eastAsia="en-US"/>
        </w:rPr>
        <w:t xml:space="preserve">, C.D. and Strickland, T.K. (2018). The Trouble with </w:t>
      </w:r>
      <w:proofErr w:type="spellStart"/>
      <w:r w:rsidRPr="002E0F5E">
        <w:rPr>
          <w:color w:val="353535"/>
          <w:sz w:val="24"/>
          <w:szCs w:val="24"/>
          <w:lang w:val="en-US" w:eastAsia="en-US"/>
        </w:rPr>
        <w:t>KISSing</w:t>
      </w:r>
      <w:proofErr w:type="spellEnd"/>
      <w:r w:rsidRPr="002E0F5E">
        <w:rPr>
          <w:color w:val="353535"/>
          <w:sz w:val="24"/>
          <w:szCs w:val="24"/>
          <w:lang w:val="en-US" w:eastAsia="en-US"/>
        </w:rPr>
        <w:t xml:space="preserve"> and Other Mnemonic Devices. </w:t>
      </w:r>
      <w:r w:rsidRPr="002E0F5E">
        <w:rPr>
          <w:i/>
          <w:iCs/>
          <w:color w:val="353535"/>
          <w:sz w:val="24"/>
          <w:szCs w:val="24"/>
          <w:lang w:val="en-US" w:eastAsia="en-US"/>
        </w:rPr>
        <w:t>Ohio Journal of School Mathematics</w:t>
      </w:r>
      <w:r w:rsidRPr="002E0F5E">
        <w:rPr>
          <w:color w:val="353535"/>
          <w:sz w:val="24"/>
          <w:szCs w:val="24"/>
          <w:lang w:val="en-US" w:eastAsia="en-US"/>
        </w:rPr>
        <w:t>, </w:t>
      </w:r>
      <w:r w:rsidRPr="002E0F5E">
        <w:rPr>
          <w:iCs/>
          <w:color w:val="353535"/>
          <w:sz w:val="24"/>
          <w:szCs w:val="24"/>
          <w:lang w:val="en-US" w:eastAsia="en-US"/>
        </w:rPr>
        <w:t>78</w:t>
      </w:r>
      <w:r w:rsidRPr="002E0F5E">
        <w:rPr>
          <w:color w:val="353535"/>
          <w:sz w:val="24"/>
          <w:szCs w:val="24"/>
          <w:lang w:val="en-US" w:eastAsia="en-US"/>
        </w:rPr>
        <w:t>.</w:t>
      </w:r>
    </w:p>
    <w:p w14:paraId="3C1CDEED" w14:textId="77777777" w:rsidR="002E0F5E" w:rsidRPr="002E0F5E" w:rsidRDefault="002E0F5E" w:rsidP="002E0F5E">
      <w:pPr>
        <w:spacing w:after="160" w:line="480" w:lineRule="auto"/>
        <w:rPr>
          <w:rFonts w:eastAsia="Calibri"/>
          <w:sz w:val="36"/>
          <w:szCs w:val="24"/>
          <w:lang w:eastAsia="en-US"/>
        </w:rPr>
      </w:pPr>
    </w:p>
    <w:p w14:paraId="3AA0FA6C" w14:textId="77777777" w:rsidR="002E0F5E" w:rsidRPr="002E0F5E" w:rsidRDefault="002E0F5E" w:rsidP="002E0F5E">
      <w:pPr>
        <w:autoSpaceDE w:val="0"/>
        <w:adjustRightInd w:val="0"/>
        <w:spacing w:after="160" w:line="480" w:lineRule="auto"/>
        <w:rPr>
          <w:sz w:val="24"/>
          <w:szCs w:val="24"/>
          <w:lang w:eastAsia="en-US"/>
        </w:rPr>
      </w:pPr>
      <w:proofErr w:type="spellStart"/>
      <w:r w:rsidRPr="002E0F5E">
        <w:rPr>
          <w:sz w:val="24"/>
          <w:szCs w:val="24"/>
          <w:lang w:eastAsia="en-US"/>
        </w:rPr>
        <w:t>Gruneberg</w:t>
      </w:r>
      <w:proofErr w:type="spellEnd"/>
      <w:r w:rsidRPr="002E0F5E">
        <w:rPr>
          <w:sz w:val="24"/>
          <w:szCs w:val="24"/>
          <w:lang w:eastAsia="en-US"/>
        </w:rPr>
        <w:t xml:space="preserve">, M.M., 1973. The role of memorisation techniques in finals examination preparation – a study of psychology students. </w:t>
      </w:r>
      <w:r w:rsidRPr="002E0F5E">
        <w:rPr>
          <w:i/>
          <w:iCs/>
          <w:sz w:val="24"/>
          <w:szCs w:val="24"/>
          <w:lang w:eastAsia="en-US"/>
        </w:rPr>
        <w:t xml:space="preserve"> Educational Research</w:t>
      </w:r>
      <w:r w:rsidRPr="002E0F5E">
        <w:rPr>
          <w:sz w:val="24"/>
          <w:szCs w:val="24"/>
          <w:lang w:eastAsia="en-US"/>
        </w:rPr>
        <w:t>, </w:t>
      </w:r>
      <w:r w:rsidRPr="002E0F5E">
        <w:rPr>
          <w:i/>
          <w:iCs/>
          <w:sz w:val="24"/>
          <w:szCs w:val="24"/>
          <w:lang w:eastAsia="en-US"/>
        </w:rPr>
        <w:t>15</w:t>
      </w:r>
      <w:r w:rsidRPr="002E0F5E">
        <w:rPr>
          <w:sz w:val="24"/>
          <w:szCs w:val="24"/>
          <w:lang w:eastAsia="en-US"/>
        </w:rPr>
        <w:t>: 134-139.</w:t>
      </w:r>
    </w:p>
    <w:p w14:paraId="4CB3D049" w14:textId="77777777" w:rsidR="002E0F5E" w:rsidRPr="002E0F5E" w:rsidRDefault="002E0F5E" w:rsidP="002E0F5E">
      <w:pPr>
        <w:autoSpaceDE w:val="0"/>
        <w:adjustRightInd w:val="0"/>
        <w:spacing w:after="160" w:line="480" w:lineRule="auto"/>
        <w:rPr>
          <w:sz w:val="24"/>
          <w:szCs w:val="24"/>
          <w:lang w:eastAsia="en-US"/>
        </w:rPr>
      </w:pPr>
    </w:p>
    <w:p w14:paraId="294A4C33"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Kilpatrick, J. (1985). Doing mathematics without understanding it: A commentary on </w:t>
      </w:r>
      <w:proofErr w:type="spellStart"/>
      <w:r w:rsidRPr="002E0F5E">
        <w:rPr>
          <w:rFonts w:eastAsia="Calibri"/>
          <w:sz w:val="24"/>
          <w:szCs w:val="24"/>
          <w:lang w:eastAsia="en-US"/>
        </w:rPr>
        <w:t>Higbee</w:t>
      </w:r>
      <w:proofErr w:type="spellEnd"/>
      <w:r w:rsidRPr="002E0F5E">
        <w:rPr>
          <w:rFonts w:eastAsia="Calibri"/>
          <w:sz w:val="24"/>
          <w:szCs w:val="24"/>
          <w:lang w:eastAsia="en-US"/>
        </w:rPr>
        <w:t xml:space="preserve"> and </w:t>
      </w:r>
      <w:proofErr w:type="spellStart"/>
      <w:r w:rsidRPr="002E0F5E">
        <w:rPr>
          <w:rFonts w:eastAsia="Calibri"/>
          <w:sz w:val="24"/>
          <w:szCs w:val="24"/>
          <w:lang w:eastAsia="en-US"/>
        </w:rPr>
        <w:t>Kunihira</w:t>
      </w:r>
      <w:proofErr w:type="spellEnd"/>
      <w:r w:rsidRPr="002E0F5E">
        <w:rPr>
          <w:rFonts w:eastAsia="Calibri"/>
          <w:i/>
          <w:sz w:val="24"/>
          <w:szCs w:val="24"/>
          <w:lang w:eastAsia="en-US"/>
        </w:rPr>
        <w:t>. Educational Psychologist</w:t>
      </w:r>
      <w:r w:rsidRPr="002E0F5E">
        <w:rPr>
          <w:rFonts w:eastAsia="Calibri"/>
          <w:sz w:val="24"/>
          <w:szCs w:val="24"/>
          <w:lang w:eastAsia="en-US"/>
        </w:rPr>
        <w:t>, 20, 65-68.</w:t>
      </w:r>
    </w:p>
    <w:p w14:paraId="225A058A" w14:textId="77777777" w:rsidR="002E0F5E" w:rsidRPr="002E0F5E" w:rsidRDefault="002E0F5E" w:rsidP="002E0F5E">
      <w:pPr>
        <w:spacing w:after="160" w:line="480" w:lineRule="auto"/>
        <w:rPr>
          <w:rFonts w:eastAsia="Calibri"/>
          <w:sz w:val="24"/>
          <w:szCs w:val="24"/>
          <w:lang w:eastAsia="en-US"/>
        </w:rPr>
      </w:pPr>
    </w:p>
    <w:p w14:paraId="72933DC5" w14:textId="77777777" w:rsidR="002E0F5E" w:rsidRPr="002E0F5E" w:rsidRDefault="002E0F5E" w:rsidP="002E0F5E">
      <w:pPr>
        <w:autoSpaceDE w:val="0"/>
        <w:adjustRightInd w:val="0"/>
        <w:spacing w:line="480" w:lineRule="auto"/>
        <w:rPr>
          <w:color w:val="353535"/>
          <w:sz w:val="24"/>
          <w:szCs w:val="24"/>
          <w:lang w:val="en-US" w:eastAsia="en-US"/>
        </w:rPr>
      </w:pPr>
      <w:r w:rsidRPr="002E0F5E">
        <w:rPr>
          <w:color w:val="353535"/>
          <w:sz w:val="24"/>
          <w:szCs w:val="24"/>
          <w:lang w:val="en-US" w:eastAsia="en-US"/>
        </w:rPr>
        <w:t xml:space="preserve">King-Sears, M.E., Mercer, C.D. and </w:t>
      </w:r>
      <w:proofErr w:type="spellStart"/>
      <w:r w:rsidRPr="002E0F5E">
        <w:rPr>
          <w:color w:val="353535"/>
          <w:sz w:val="24"/>
          <w:szCs w:val="24"/>
          <w:lang w:val="en-US" w:eastAsia="en-US"/>
        </w:rPr>
        <w:t>Sindelar</w:t>
      </w:r>
      <w:proofErr w:type="spellEnd"/>
      <w:r w:rsidRPr="002E0F5E">
        <w:rPr>
          <w:color w:val="353535"/>
          <w:sz w:val="24"/>
          <w:szCs w:val="24"/>
          <w:lang w:val="en-US" w:eastAsia="en-US"/>
        </w:rPr>
        <w:t>, P.T. (1992). Toward independence with keyword mnemonics: A strategy for science vocabulary instruction. </w:t>
      </w:r>
      <w:r w:rsidRPr="002E0F5E">
        <w:rPr>
          <w:i/>
          <w:iCs/>
          <w:color w:val="353535"/>
          <w:sz w:val="24"/>
          <w:szCs w:val="24"/>
          <w:lang w:val="en-US" w:eastAsia="en-US"/>
        </w:rPr>
        <w:t>Remedial and Special Education</w:t>
      </w:r>
      <w:r w:rsidRPr="002E0F5E">
        <w:rPr>
          <w:color w:val="353535"/>
          <w:sz w:val="24"/>
          <w:szCs w:val="24"/>
          <w:lang w:val="en-US" w:eastAsia="en-US"/>
        </w:rPr>
        <w:t>, </w:t>
      </w:r>
      <w:r w:rsidRPr="002E0F5E">
        <w:rPr>
          <w:iCs/>
          <w:color w:val="353535"/>
          <w:sz w:val="24"/>
          <w:szCs w:val="24"/>
          <w:lang w:val="en-US" w:eastAsia="en-US"/>
        </w:rPr>
        <w:t>13</w:t>
      </w:r>
      <w:r w:rsidRPr="002E0F5E">
        <w:rPr>
          <w:color w:val="353535"/>
          <w:sz w:val="24"/>
          <w:szCs w:val="24"/>
          <w:lang w:val="en-US" w:eastAsia="en-US"/>
        </w:rPr>
        <w:t>: 22-33.</w:t>
      </w:r>
    </w:p>
    <w:p w14:paraId="15B5A914" w14:textId="77777777" w:rsidR="002E0F5E" w:rsidRPr="002E0F5E" w:rsidRDefault="002E0F5E" w:rsidP="002E0F5E">
      <w:pPr>
        <w:spacing w:after="160" w:line="480" w:lineRule="auto"/>
        <w:rPr>
          <w:rFonts w:eastAsia="Calibri"/>
          <w:sz w:val="24"/>
          <w:szCs w:val="24"/>
          <w:lang w:eastAsia="en-US"/>
        </w:rPr>
      </w:pPr>
    </w:p>
    <w:p w14:paraId="75241724" w14:textId="77777777" w:rsidR="002E0F5E" w:rsidRPr="002E0F5E" w:rsidRDefault="002E0F5E" w:rsidP="002E0F5E">
      <w:pPr>
        <w:spacing w:after="160" w:line="480" w:lineRule="auto"/>
        <w:rPr>
          <w:rFonts w:eastAsia="Calibri"/>
          <w:sz w:val="24"/>
          <w:szCs w:val="24"/>
          <w:lang w:eastAsia="en-US"/>
        </w:rPr>
      </w:pPr>
      <w:proofErr w:type="spellStart"/>
      <w:r w:rsidRPr="002E0F5E">
        <w:rPr>
          <w:rFonts w:eastAsia="Calibri"/>
          <w:sz w:val="24"/>
          <w:szCs w:val="24"/>
          <w:lang w:eastAsia="en-US"/>
        </w:rPr>
        <w:t>Lavy</w:t>
      </w:r>
      <w:proofErr w:type="spellEnd"/>
      <w:r w:rsidRPr="002E0F5E">
        <w:rPr>
          <w:rFonts w:eastAsia="Calibri"/>
          <w:sz w:val="24"/>
          <w:szCs w:val="24"/>
          <w:lang w:eastAsia="en-US"/>
        </w:rPr>
        <w:t>, V. and Sand, E. (2015). On The Origins of Gender Human Capital Gaps: Short and Long Term Consequences of Teachers’ Stereotypical Biases.</w:t>
      </w:r>
    </w:p>
    <w:p w14:paraId="0498A6BC" w14:textId="77777777" w:rsidR="002E0F5E" w:rsidRPr="002E0F5E" w:rsidRDefault="002E0F5E" w:rsidP="002E0F5E">
      <w:pPr>
        <w:spacing w:after="160" w:line="480" w:lineRule="auto"/>
        <w:rPr>
          <w:rFonts w:eastAsia="Calibri"/>
          <w:sz w:val="24"/>
          <w:szCs w:val="24"/>
          <w:lang w:eastAsia="en-US"/>
        </w:rPr>
      </w:pPr>
    </w:p>
    <w:p w14:paraId="6F412813" w14:textId="77777777" w:rsidR="002E0F5E" w:rsidRPr="002E0F5E" w:rsidRDefault="002E0F5E" w:rsidP="002E0F5E">
      <w:pPr>
        <w:autoSpaceDE w:val="0"/>
        <w:adjustRightInd w:val="0"/>
        <w:spacing w:after="160" w:line="480" w:lineRule="auto"/>
        <w:rPr>
          <w:color w:val="353535"/>
          <w:sz w:val="24"/>
          <w:szCs w:val="24"/>
          <w:lang w:val="en-US" w:eastAsia="en-US"/>
        </w:rPr>
      </w:pPr>
      <w:proofErr w:type="spellStart"/>
      <w:r w:rsidRPr="002E0F5E">
        <w:rPr>
          <w:color w:val="353535"/>
          <w:sz w:val="24"/>
          <w:szCs w:val="24"/>
          <w:lang w:val="en-US" w:eastAsia="en-US"/>
        </w:rPr>
        <w:t>Lovorn</w:t>
      </w:r>
      <w:proofErr w:type="spellEnd"/>
      <w:r w:rsidRPr="002E0F5E">
        <w:rPr>
          <w:color w:val="353535"/>
          <w:sz w:val="24"/>
          <w:szCs w:val="24"/>
          <w:lang w:val="en-US" w:eastAsia="en-US"/>
        </w:rPr>
        <w:t>, M.G. (2008). Humor in the home and in the classroom: The benefits of laughing while we learn. </w:t>
      </w:r>
      <w:r w:rsidRPr="002E0F5E">
        <w:rPr>
          <w:i/>
          <w:iCs/>
          <w:color w:val="353535"/>
          <w:sz w:val="24"/>
          <w:szCs w:val="24"/>
          <w:lang w:val="en-US" w:eastAsia="en-US"/>
        </w:rPr>
        <w:t>Journal of Education and Human Development</w:t>
      </w:r>
      <w:r w:rsidRPr="002E0F5E">
        <w:rPr>
          <w:color w:val="353535"/>
          <w:sz w:val="24"/>
          <w:szCs w:val="24"/>
          <w:lang w:val="en-US" w:eastAsia="en-US"/>
        </w:rPr>
        <w:t>, </w:t>
      </w:r>
      <w:r w:rsidRPr="002E0F5E">
        <w:rPr>
          <w:iCs/>
          <w:color w:val="353535"/>
          <w:sz w:val="24"/>
          <w:szCs w:val="24"/>
          <w:lang w:val="en-US" w:eastAsia="en-US"/>
        </w:rPr>
        <w:t>2</w:t>
      </w:r>
      <w:r w:rsidRPr="002E0F5E">
        <w:rPr>
          <w:color w:val="353535"/>
          <w:sz w:val="24"/>
          <w:szCs w:val="24"/>
          <w:lang w:val="en-US" w:eastAsia="en-US"/>
        </w:rPr>
        <w:t>.</w:t>
      </w:r>
    </w:p>
    <w:p w14:paraId="31AB606E" w14:textId="77777777" w:rsidR="002E0F5E" w:rsidRPr="002E0F5E" w:rsidRDefault="002E0F5E" w:rsidP="002E0F5E">
      <w:pPr>
        <w:autoSpaceDE w:val="0"/>
        <w:adjustRightInd w:val="0"/>
        <w:spacing w:after="160" w:line="480" w:lineRule="auto"/>
        <w:rPr>
          <w:color w:val="353535"/>
          <w:sz w:val="24"/>
          <w:szCs w:val="24"/>
          <w:lang w:val="en-US" w:eastAsia="en-US"/>
        </w:rPr>
      </w:pPr>
    </w:p>
    <w:p w14:paraId="169F3BCC" w14:textId="77777777" w:rsidR="002E0F5E" w:rsidRPr="002E0F5E" w:rsidRDefault="002E0F5E" w:rsidP="002E0F5E">
      <w:pPr>
        <w:spacing w:after="160" w:line="480" w:lineRule="auto"/>
        <w:rPr>
          <w:rFonts w:eastAsia="Calibri"/>
          <w:sz w:val="24"/>
          <w:szCs w:val="24"/>
          <w:lang w:eastAsia="en-US"/>
        </w:rPr>
      </w:pP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M. A., Scruggs, T. E., &amp; </w:t>
      </w:r>
      <w:proofErr w:type="spellStart"/>
      <w:r w:rsidRPr="002E0F5E">
        <w:rPr>
          <w:rFonts w:eastAsia="Calibri"/>
          <w:sz w:val="24"/>
          <w:szCs w:val="24"/>
          <w:lang w:eastAsia="en-US"/>
        </w:rPr>
        <w:t>Fulk</w:t>
      </w:r>
      <w:proofErr w:type="spellEnd"/>
      <w:r w:rsidRPr="002E0F5E">
        <w:rPr>
          <w:rFonts w:eastAsia="Calibri"/>
          <w:sz w:val="24"/>
          <w:szCs w:val="24"/>
          <w:lang w:eastAsia="en-US"/>
        </w:rPr>
        <w:t>, B. J. M. (1990). Teaching abstract vocabulary with the keyword method: Effects on recall and comprehension., Journal of Learning Disabilities, 23, 92-96.</w:t>
      </w:r>
    </w:p>
    <w:p w14:paraId="75C5C0CC" w14:textId="77777777" w:rsidR="002E0F5E" w:rsidRPr="002E0F5E" w:rsidRDefault="002E0F5E" w:rsidP="002E0F5E">
      <w:pPr>
        <w:spacing w:after="160" w:line="480" w:lineRule="auto"/>
        <w:rPr>
          <w:rFonts w:eastAsia="Calibri"/>
          <w:sz w:val="24"/>
          <w:szCs w:val="24"/>
          <w:lang w:eastAsia="en-US"/>
        </w:rPr>
      </w:pPr>
    </w:p>
    <w:p w14:paraId="3E823B16" w14:textId="77777777" w:rsidR="002E0F5E" w:rsidRPr="002E0F5E" w:rsidRDefault="002E0F5E" w:rsidP="002E0F5E">
      <w:pPr>
        <w:autoSpaceDE w:val="0"/>
        <w:adjustRightInd w:val="0"/>
        <w:spacing w:after="160" w:line="480" w:lineRule="auto"/>
        <w:rPr>
          <w:sz w:val="24"/>
          <w:szCs w:val="24"/>
          <w:lang w:val="en-US" w:eastAsia="en-US"/>
        </w:rPr>
      </w:pPr>
      <w:proofErr w:type="spellStart"/>
      <w:r w:rsidRPr="002E0F5E">
        <w:rPr>
          <w:sz w:val="24"/>
          <w:szCs w:val="24"/>
          <w:lang w:val="en-US" w:eastAsia="en-US"/>
        </w:rPr>
        <w:t>Mastropieri</w:t>
      </w:r>
      <w:proofErr w:type="spellEnd"/>
      <w:r w:rsidRPr="002E0F5E">
        <w:rPr>
          <w:sz w:val="24"/>
          <w:szCs w:val="24"/>
          <w:lang w:val="en-US" w:eastAsia="en-US"/>
        </w:rPr>
        <w:t>, M.A. and Scruggs, T.E. (1998). Enhancing school success with mnemonic strategies. </w:t>
      </w:r>
      <w:r w:rsidRPr="002E0F5E">
        <w:rPr>
          <w:i/>
          <w:iCs/>
          <w:sz w:val="24"/>
          <w:szCs w:val="24"/>
          <w:lang w:val="en-US" w:eastAsia="en-US"/>
        </w:rPr>
        <w:t>Intervention in school and clinic</w:t>
      </w:r>
      <w:r w:rsidRPr="002E0F5E">
        <w:rPr>
          <w:sz w:val="24"/>
          <w:szCs w:val="24"/>
          <w:lang w:val="en-US" w:eastAsia="en-US"/>
        </w:rPr>
        <w:t>, 4: 201-208.</w:t>
      </w:r>
    </w:p>
    <w:p w14:paraId="252180E7" w14:textId="77777777" w:rsidR="002E0F5E" w:rsidRPr="002E0F5E" w:rsidRDefault="002E0F5E" w:rsidP="002E0F5E">
      <w:pPr>
        <w:autoSpaceDE w:val="0"/>
        <w:adjustRightInd w:val="0"/>
        <w:spacing w:after="160" w:line="480" w:lineRule="auto"/>
        <w:rPr>
          <w:sz w:val="24"/>
          <w:szCs w:val="24"/>
          <w:lang w:val="en-US" w:eastAsia="en-US"/>
        </w:rPr>
      </w:pPr>
    </w:p>
    <w:p w14:paraId="115AE374"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Mylocalschool.wales.gov.uk, Welsh Government. (2017). </w:t>
      </w:r>
      <w:r w:rsidRPr="002E0F5E">
        <w:rPr>
          <w:rFonts w:eastAsia="Calibri"/>
          <w:i/>
          <w:sz w:val="24"/>
          <w:szCs w:val="24"/>
          <w:lang w:eastAsia="en-US"/>
        </w:rPr>
        <w:t>School Report</w:t>
      </w:r>
      <w:r w:rsidRPr="002E0F5E">
        <w:rPr>
          <w:rFonts w:eastAsia="Calibri"/>
          <w:sz w:val="24"/>
          <w:szCs w:val="24"/>
          <w:lang w:eastAsia="en-US"/>
        </w:rPr>
        <w:t>. [online] Available at: URL REDACTED FOR ANONYMITY PURPOSES [Accessed 12 May 2018]</w:t>
      </w:r>
    </w:p>
    <w:p w14:paraId="66D4A232"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National Assembly for Wales (2013). Literacy and numeracy in Wales [online] Available at: </w:t>
      </w:r>
      <w:hyperlink r:id="rId31" w:history="1">
        <w:r w:rsidRPr="002E0F5E">
          <w:rPr>
            <w:rFonts w:eastAsia="Calibri"/>
            <w:color w:val="0563C1"/>
            <w:sz w:val="24"/>
            <w:szCs w:val="24"/>
            <w:u w:val="single"/>
            <w:lang w:eastAsia="en-US"/>
          </w:rPr>
          <w:t>http://www.assembly.wales/Research%20Documents/Literacy%20and%20Numeracy%20in%20Wales%20-%20Research%20paper-03062013-246762/13-039-English.pdf</w:t>
        </w:r>
      </w:hyperlink>
      <w:r w:rsidRPr="002E0F5E">
        <w:rPr>
          <w:rFonts w:eastAsia="Calibri"/>
          <w:sz w:val="24"/>
          <w:szCs w:val="24"/>
          <w:lang w:eastAsia="en-US"/>
        </w:rPr>
        <w:t xml:space="preserve"> [Accessed 14 May 2018].</w:t>
      </w:r>
    </w:p>
    <w:p w14:paraId="065F35D4" w14:textId="77777777" w:rsidR="002E0F5E" w:rsidRPr="002E0F5E" w:rsidRDefault="002E0F5E" w:rsidP="002E0F5E">
      <w:pPr>
        <w:autoSpaceDE w:val="0"/>
        <w:adjustRightInd w:val="0"/>
        <w:spacing w:line="480" w:lineRule="auto"/>
        <w:rPr>
          <w:color w:val="353535"/>
          <w:sz w:val="24"/>
          <w:szCs w:val="24"/>
          <w:lang w:val="en-US" w:eastAsia="en-US"/>
        </w:rPr>
      </w:pPr>
      <w:r w:rsidRPr="002E0F5E">
        <w:rPr>
          <w:color w:val="353535"/>
          <w:sz w:val="24"/>
          <w:szCs w:val="24"/>
          <w:lang w:val="en-US" w:eastAsia="en-US"/>
        </w:rPr>
        <w:t>Pillai, N.R. (2017) Using mnemonics to improve vocabulary, boost memory and enhance creativity in the ESL classroom. </w:t>
      </w:r>
      <w:r w:rsidRPr="002E0F5E">
        <w:rPr>
          <w:i/>
          <w:iCs/>
          <w:color w:val="353535"/>
          <w:sz w:val="24"/>
          <w:szCs w:val="24"/>
          <w:lang w:val="en-US" w:eastAsia="en-US"/>
        </w:rPr>
        <w:t>The English Teacher</w:t>
      </w:r>
      <w:r w:rsidRPr="002E0F5E">
        <w:rPr>
          <w:color w:val="353535"/>
          <w:sz w:val="24"/>
          <w:szCs w:val="24"/>
          <w:lang w:val="en-US" w:eastAsia="en-US"/>
        </w:rPr>
        <w:t>, p.22.</w:t>
      </w:r>
    </w:p>
    <w:p w14:paraId="0DA0BB71" w14:textId="77777777" w:rsidR="002E0F5E" w:rsidRPr="002E0F5E" w:rsidRDefault="002E0F5E" w:rsidP="002E0F5E">
      <w:pPr>
        <w:autoSpaceDE w:val="0"/>
        <w:adjustRightInd w:val="0"/>
        <w:spacing w:line="480" w:lineRule="auto"/>
        <w:rPr>
          <w:color w:val="353535"/>
          <w:sz w:val="24"/>
          <w:szCs w:val="24"/>
          <w:lang w:val="en-US" w:eastAsia="en-US"/>
        </w:rPr>
      </w:pPr>
    </w:p>
    <w:p w14:paraId="6A43A515" w14:textId="77777777" w:rsidR="002E0F5E" w:rsidRPr="002E0F5E" w:rsidRDefault="002E0F5E" w:rsidP="002E0F5E">
      <w:pPr>
        <w:autoSpaceDE w:val="0"/>
        <w:adjustRightInd w:val="0"/>
        <w:spacing w:line="480" w:lineRule="auto"/>
        <w:rPr>
          <w:color w:val="353535"/>
          <w:sz w:val="24"/>
          <w:szCs w:val="24"/>
          <w:lang w:val="en-US" w:eastAsia="en-US"/>
        </w:rPr>
      </w:pPr>
      <w:r w:rsidRPr="002E0F5E">
        <w:rPr>
          <w:color w:val="353535"/>
          <w:sz w:val="24"/>
          <w:szCs w:val="24"/>
          <w:lang w:val="en-US" w:eastAsia="en-US"/>
        </w:rPr>
        <w:t>Putnam, A.L. (2015). Mnemonics in education: Current research and applications. </w:t>
      </w:r>
      <w:r w:rsidRPr="002E0F5E">
        <w:rPr>
          <w:i/>
          <w:iCs/>
          <w:color w:val="353535"/>
          <w:sz w:val="24"/>
          <w:szCs w:val="24"/>
          <w:lang w:val="en-US" w:eastAsia="en-US"/>
        </w:rPr>
        <w:t>Translational Issues in Psychological Science</w:t>
      </w:r>
      <w:r w:rsidRPr="002E0F5E">
        <w:rPr>
          <w:color w:val="353535"/>
          <w:sz w:val="24"/>
          <w:szCs w:val="24"/>
          <w:lang w:val="en-US" w:eastAsia="en-US"/>
        </w:rPr>
        <w:t>, </w:t>
      </w:r>
      <w:r w:rsidRPr="002E0F5E">
        <w:rPr>
          <w:iCs/>
          <w:color w:val="353535"/>
          <w:sz w:val="24"/>
          <w:szCs w:val="24"/>
          <w:lang w:val="en-US" w:eastAsia="en-US"/>
        </w:rPr>
        <w:t>1</w:t>
      </w:r>
      <w:r w:rsidRPr="002E0F5E">
        <w:rPr>
          <w:color w:val="353535"/>
          <w:sz w:val="24"/>
          <w:szCs w:val="24"/>
          <w:lang w:val="en-US" w:eastAsia="en-US"/>
        </w:rPr>
        <w:t>: 130.</w:t>
      </w:r>
    </w:p>
    <w:p w14:paraId="4020F7F6" w14:textId="77777777" w:rsidR="002E0F5E" w:rsidRPr="002E0F5E" w:rsidRDefault="002E0F5E" w:rsidP="002E0F5E">
      <w:pPr>
        <w:autoSpaceDE w:val="0"/>
        <w:adjustRightInd w:val="0"/>
        <w:spacing w:line="480" w:lineRule="auto"/>
        <w:rPr>
          <w:color w:val="353535"/>
          <w:sz w:val="24"/>
          <w:szCs w:val="24"/>
          <w:lang w:val="en-US" w:eastAsia="en-US"/>
        </w:rPr>
      </w:pPr>
    </w:p>
    <w:p w14:paraId="4BD57055" w14:textId="77777777" w:rsidR="002E0F5E" w:rsidRPr="002E0F5E" w:rsidRDefault="002E0F5E" w:rsidP="002E0F5E">
      <w:pPr>
        <w:spacing w:line="480" w:lineRule="auto"/>
        <w:rPr>
          <w:rFonts w:eastAsia="Calibri"/>
          <w:color w:val="353535"/>
          <w:sz w:val="24"/>
          <w:szCs w:val="24"/>
          <w:lang w:eastAsia="en-US"/>
        </w:rPr>
      </w:pPr>
      <w:proofErr w:type="spellStart"/>
      <w:r w:rsidRPr="002E0F5E">
        <w:rPr>
          <w:rFonts w:eastAsia="Calibri"/>
          <w:color w:val="353535"/>
          <w:sz w:val="24"/>
          <w:szCs w:val="24"/>
          <w:lang w:eastAsia="en-US"/>
        </w:rPr>
        <w:t>Rafoth</w:t>
      </w:r>
      <w:proofErr w:type="spellEnd"/>
      <w:r w:rsidRPr="002E0F5E">
        <w:rPr>
          <w:rFonts w:eastAsia="Calibri"/>
          <w:color w:val="353535"/>
          <w:sz w:val="24"/>
          <w:szCs w:val="24"/>
          <w:lang w:eastAsia="en-US"/>
        </w:rPr>
        <w:t>, M.A. (1999). </w:t>
      </w:r>
      <w:r w:rsidRPr="002E0F5E">
        <w:rPr>
          <w:rFonts w:eastAsia="Calibri"/>
          <w:iCs/>
          <w:color w:val="353535"/>
          <w:sz w:val="24"/>
          <w:szCs w:val="24"/>
          <w:lang w:eastAsia="en-US"/>
        </w:rPr>
        <w:t>Inspiring Independent Learning: Successful Classroom Strategies. The Inspired Classroom Series</w:t>
      </w:r>
      <w:r w:rsidRPr="002E0F5E">
        <w:rPr>
          <w:rFonts w:eastAsia="Calibri"/>
          <w:color w:val="353535"/>
          <w:sz w:val="24"/>
          <w:szCs w:val="24"/>
          <w:lang w:eastAsia="en-US"/>
        </w:rPr>
        <w:t xml:space="preserve">. </w:t>
      </w:r>
      <w:r w:rsidRPr="002E0F5E">
        <w:rPr>
          <w:rFonts w:eastAsia="Calibri"/>
          <w:i/>
          <w:color w:val="353535"/>
          <w:sz w:val="24"/>
          <w:szCs w:val="24"/>
          <w:lang w:eastAsia="en-US"/>
        </w:rPr>
        <w:t xml:space="preserve">National Education Association Professional Library Distribution </w:t>
      </w:r>
      <w:proofErr w:type="spellStart"/>
      <w:r w:rsidRPr="002E0F5E">
        <w:rPr>
          <w:rFonts w:eastAsia="Calibri"/>
          <w:i/>
          <w:color w:val="353535"/>
          <w:sz w:val="24"/>
          <w:szCs w:val="24"/>
          <w:lang w:eastAsia="en-US"/>
        </w:rPr>
        <w:t>Center</w:t>
      </w:r>
      <w:proofErr w:type="spellEnd"/>
      <w:r w:rsidRPr="002E0F5E">
        <w:rPr>
          <w:rFonts w:eastAsia="Calibri"/>
          <w:color w:val="353535"/>
          <w:sz w:val="24"/>
          <w:szCs w:val="24"/>
          <w:lang w:eastAsia="en-US"/>
        </w:rPr>
        <w:t>.</w:t>
      </w:r>
    </w:p>
    <w:p w14:paraId="56435028" w14:textId="77777777" w:rsidR="002E0F5E" w:rsidRPr="002E0F5E" w:rsidRDefault="002E0F5E" w:rsidP="002E0F5E">
      <w:pPr>
        <w:spacing w:line="480" w:lineRule="auto"/>
        <w:rPr>
          <w:rFonts w:eastAsia="Calibri"/>
          <w:color w:val="353535"/>
          <w:sz w:val="24"/>
          <w:szCs w:val="24"/>
          <w:lang w:eastAsia="en-US"/>
        </w:rPr>
      </w:pPr>
    </w:p>
    <w:p w14:paraId="6F670238" w14:textId="77777777" w:rsidR="002E0F5E" w:rsidRPr="002E0F5E" w:rsidRDefault="002E0F5E" w:rsidP="002E0F5E">
      <w:pPr>
        <w:shd w:val="clear" w:color="auto" w:fill="FFFFFF"/>
        <w:spacing w:after="225"/>
        <w:rPr>
          <w:color w:val="454545"/>
          <w:sz w:val="24"/>
          <w:szCs w:val="24"/>
          <w:lang w:eastAsia="en-US"/>
        </w:rPr>
      </w:pPr>
      <w:r w:rsidRPr="002E0F5E">
        <w:rPr>
          <w:color w:val="454545"/>
          <w:sz w:val="24"/>
          <w:szCs w:val="24"/>
          <w:shd w:val="clear" w:color="auto" w:fill="FFFFFF"/>
          <w:lang w:eastAsia="en-US"/>
        </w:rPr>
        <w:t>Raymond, E. (2000). Cognitive Characteristics.  </w:t>
      </w:r>
      <w:r w:rsidRPr="002E0F5E">
        <w:rPr>
          <w:rFonts w:eastAsia="Calibri"/>
          <w:i/>
          <w:iCs/>
          <w:color w:val="454545"/>
          <w:sz w:val="24"/>
          <w:szCs w:val="24"/>
          <w:shd w:val="clear" w:color="auto" w:fill="FFFFFF"/>
          <w:lang w:eastAsia="en-US"/>
        </w:rPr>
        <w:t>Learners with Mild</w:t>
      </w:r>
      <w:r w:rsidRPr="002E0F5E">
        <w:rPr>
          <w:sz w:val="24"/>
          <w:szCs w:val="24"/>
          <w:lang w:eastAsia="en-US"/>
        </w:rPr>
        <w:t xml:space="preserve"> </w:t>
      </w:r>
      <w:r w:rsidRPr="002E0F5E">
        <w:rPr>
          <w:i/>
          <w:iCs/>
          <w:color w:val="454545"/>
          <w:sz w:val="24"/>
          <w:szCs w:val="24"/>
          <w:lang w:eastAsia="en-US"/>
        </w:rPr>
        <w:t>Disabilities</w:t>
      </w:r>
      <w:r w:rsidRPr="002E0F5E">
        <w:rPr>
          <w:color w:val="454545"/>
          <w:sz w:val="24"/>
          <w:szCs w:val="24"/>
          <w:lang w:eastAsia="en-US"/>
        </w:rPr>
        <w:t xml:space="preserve">. 169-201. </w:t>
      </w:r>
    </w:p>
    <w:p w14:paraId="5DCD0991" w14:textId="77777777" w:rsidR="002E0F5E" w:rsidRPr="002E0F5E" w:rsidRDefault="002E0F5E" w:rsidP="002E0F5E">
      <w:pPr>
        <w:spacing w:after="160" w:line="480" w:lineRule="auto"/>
        <w:rPr>
          <w:rFonts w:eastAsia="Calibri"/>
          <w:sz w:val="24"/>
          <w:szCs w:val="24"/>
          <w:lang w:eastAsia="en-US"/>
        </w:rPr>
      </w:pPr>
    </w:p>
    <w:p w14:paraId="1DF4D6D2" w14:textId="77777777" w:rsidR="002E0F5E" w:rsidRPr="002E0F5E" w:rsidRDefault="002E0F5E" w:rsidP="002E0F5E">
      <w:pPr>
        <w:autoSpaceDE w:val="0"/>
        <w:adjustRightInd w:val="0"/>
        <w:spacing w:line="480" w:lineRule="auto"/>
        <w:rPr>
          <w:i/>
          <w:color w:val="353535"/>
          <w:sz w:val="24"/>
          <w:szCs w:val="24"/>
          <w:lang w:val="en-US" w:eastAsia="en-US"/>
        </w:rPr>
      </w:pPr>
      <w:r w:rsidRPr="002E0F5E">
        <w:rPr>
          <w:color w:val="353535"/>
          <w:sz w:val="24"/>
          <w:szCs w:val="24"/>
          <w:lang w:val="en-US" w:eastAsia="en-US"/>
        </w:rPr>
        <w:t>Reid, G. and Green, S. (2007). </w:t>
      </w:r>
      <w:r w:rsidRPr="002E0F5E">
        <w:rPr>
          <w:iCs/>
          <w:color w:val="353535"/>
          <w:sz w:val="24"/>
          <w:szCs w:val="24"/>
          <w:lang w:val="en-US" w:eastAsia="en-US"/>
        </w:rPr>
        <w:t>100 ideas for supporting pupils with dyslexia</w:t>
      </w:r>
      <w:r w:rsidRPr="002E0F5E">
        <w:rPr>
          <w:color w:val="353535"/>
          <w:sz w:val="24"/>
          <w:szCs w:val="24"/>
          <w:lang w:val="en-US" w:eastAsia="en-US"/>
        </w:rPr>
        <w:t xml:space="preserve">. </w:t>
      </w:r>
      <w:r w:rsidRPr="002E0F5E">
        <w:rPr>
          <w:i/>
          <w:color w:val="353535"/>
          <w:sz w:val="24"/>
          <w:szCs w:val="24"/>
          <w:lang w:val="en-US" w:eastAsia="en-US"/>
        </w:rPr>
        <w:t>Bloomsbury Publishing.</w:t>
      </w:r>
    </w:p>
    <w:p w14:paraId="54E1F348" w14:textId="77777777" w:rsidR="002E0F5E" w:rsidRPr="002E0F5E" w:rsidRDefault="002E0F5E" w:rsidP="002E0F5E">
      <w:pPr>
        <w:autoSpaceDE w:val="0"/>
        <w:adjustRightInd w:val="0"/>
        <w:spacing w:line="480" w:lineRule="auto"/>
        <w:rPr>
          <w:i/>
          <w:color w:val="353535"/>
          <w:sz w:val="24"/>
          <w:szCs w:val="24"/>
          <w:lang w:val="en-US" w:eastAsia="en-US"/>
        </w:rPr>
      </w:pPr>
    </w:p>
    <w:p w14:paraId="7B3EE573" w14:textId="77777777" w:rsidR="002E0F5E" w:rsidRPr="002E0F5E" w:rsidRDefault="002E0F5E" w:rsidP="002E0F5E">
      <w:pPr>
        <w:autoSpaceDE w:val="0"/>
        <w:adjustRightInd w:val="0"/>
        <w:spacing w:line="480" w:lineRule="auto"/>
        <w:rPr>
          <w:color w:val="353535"/>
          <w:sz w:val="24"/>
          <w:szCs w:val="24"/>
          <w:lang w:eastAsia="en-US"/>
        </w:rPr>
      </w:pPr>
      <w:r w:rsidRPr="002E0F5E">
        <w:rPr>
          <w:color w:val="353535"/>
          <w:sz w:val="24"/>
          <w:szCs w:val="24"/>
          <w:lang w:eastAsia="en-US"/>
        </w:rPr>
        <w:t xml:space="preserve">Roth, W. and </w:t>
      </w:r>
      <w:proofErr w:type="spellStart"/>
      <w:r w:rsidRPr="002E0F5E">
        <w:rPr>
          <w:color w:val="353535"/>
          <w:sz w:val="24"/>
          <w:szCs w:val="24"/>
          <w:lang w:eastAsia="en-US"/>
        </w:rPr>
        <w:t>McGinn</w:t>
      </w:r>
      <w:proofErr w:type="spellEnd"/>
      <w:r w:rsidRPr="002E0F5E">
        <w:rPr>
          <w:color w:val="353535"/>
          <w:sz w:val="24"/>
          <w:szCs w:val="24"/>
          <w:lang w:eastAsia="en-US"/>
        </w:rPr>
        <w:t xml:space="preserve">, M. (1997). Graphing: Cognitive ability or </w:t>
      </w:r>
      <w:proofErr w:type="gramStart"/>
      <w:r w:rsidRPr="002E0F5E">
        <w:rPr>
          <w:color w:val="353535"/>
          <w:sz w:val="24"/>
          <w:szCs w:val="24"/>
          <w:lang w:eastAsia="en-US"/>
        </w:rPr>
        <w:t>practice?.</w:t>
      </w:r>
      <w:proofErr w:type="gramEnd"/>
      <w:r w:rsidRPr="002E0F5E">
        <w:rPr>
          <w:color w:val="353535"/>
          <w:sz w:val="24"/>
          <w:szCs w:val="24"/>
          <w:lang w:eastAsia="en-US"/>
        </w:rPr>
        <w:t> </w:t>
      </w:r>
      <w:r w:rsidRPr="002E0F5E">
        <w:rPr>
          <w:i/>
          <w:iCs/>
          <w:color w:val="353535"/>
          <w:sz w:val="24"/>
          <w:szCs w:val="24"/>
          <w:lang w:eastAsia="en-US"/>
        </w:rPr>
        <w:t>Science Education</w:t>
      </w:r>
      <w:r w:rsidRPr="002E0F5E">
        <w:rPr>
          <w:color w:val="353535"/>
          <w:sz w:val="24"/>
          <w:szCs w:val="24"/>
          <w:lang w:eastAsia="en-US"/>
        </w:rPr>
        <w:t>, 81(1), pp.91-106.</w:t>
      </w:r>
    </w:p>
    <w:p w14:paraId="36F553E1" w14:textId="77777777" w:rsidR="002E0F5E" w:rsidRPr="002E0F5E" w:rsidRDefault="002E0F5E" w:rsidP="002E0F5E">
      <w:pPr>
        <w:autoSpaceDE w:val="0"/>
        <w:adjustRightInd w:val="0"/>
        <w:spacing w:line="480" w:lineRule="auto"/>
        <w:rPr>
          <w:color w:val="353535"/>
          <w:sz w:val="24"/>
          <w:szCs w:val="24"/>
          <w:lang w:val="en-US" w:eastAsia="en-US"/>
        </w:rPr>
      </w:pPr>
    </w:p>
    <w:p w14:paraId="7C9FB62D" w14:textId="77777777" w:rsidR="002E0F5E" w:rsidRPr="002E0F5E" w:rsidRDefault="002E0F5E" w:rsidP="002E0F5E">
      <w:pPr>
        <w:spacing w:after="160" w:line="480" w:lineRule="auto"/>
        <w:rPr>
          <w:rFonts w:eastAsia="Calibri"/>
          <w:color w:val="0563C1"/>
          <w:sz w:val="24"/>
          <w:szCs w:val="24"/>
          <w:u w:val="single"/>
          <w:shd w:val="clear" w:color="auto" w:fill="FFFFFF"/>
          <w:lang w:eastAsia="en-US"/>
        </w:rPr>
      </w:pPr>
      <w:proofErr w:type="spellStart"/>
      <w:r w:rsidRPr="002E0F5E">
        <w:rPr>
          <w:rFonts w:eastAsia="Calibri"/>
          <w:sz w:val="24"/>
          <w:szCs w:val="24"/>
          <w:shd w:val="clear" w:color="auto" w:fill="FFFFFF"/>
          <w:lang w:eastAsia="en-US"/>
        </w:rPr>
        <w:t>Rouder</w:t>
      </w:r>
      <w:proofErr w:type="spellEnd"/>
      <w:r w:rsidRPr="002E0F5E">
        <w:rPr>
          <w:rFonts w:eastAsia="Calibri"/>
          <w:sz w:val="24"/>
          <w:szCs w:val="24"/>
          <w:shd w:val="clear" w:color="auto" w:fill="FFFFFF"/>
          <w:lang w:eastAsia="en-US"/>
        </w:rPr>
        <w:t xml:space="preserve">, J. N., Morey, R. D., Cowan, N., </w:t>
      </w:r>
      <w:proofErr w:type="spellStart"/>
      <w:r w:rsidRPr="002E0F5E">
        <w:rPr>
          <w:rFonts w:eastAsia="Calibri"/>
          <w:sz w:val="24"/>
          <w:szCs w:val="24"/>
          <w:shd w:val="clear" w:color="auto" w:fill="FFFFFF"/>
          <w:lang w:eastAsia="en-US"/>
        </w:rPr>
        <w:t>Zwilling</w:t>
      </w:r>
      <w:proofErr w:type="spellEnd"/>
      <w:r w:rsidRPr="002E0F5E">
        <w:rPr>
          <w:rFonts w:eastAsia="Calibri"/>
          <w:sz w:val="24"/>
          <w:szCs w:val="24"/>
          <w:shd w:val="clear" w:color="auto" w:fill="FFFFFF"/>
          <w:lang w:eastAsia="en-US"/>
        </w:rPr>
        <w:t>, C. E., Morey, C. C., and Pratte, M. S. (2008). An assessment of fixed-capacity models of visual working memory. </w:t>
      </w:r>
      <w:r w:rsidRPr="002E0F5E">
        <w:rPr>
          <w:rFonts w:eastAsia="Calibri"/>
          <w:i/>
          <w:iCs/>
          <w:sz w:val="24"/>
          <w:szCs w:val="24"/>
          <w:shd w:val="clear" w:color="auto" w:fill="FFFFFF"/>
          <w:lang w:eastAsia="en-US"/>
        </w:rPr>
        <w:t>Proceedings of the National Academy of Sciences of the United States of America</w:t>
      </w:r>
      <w:r w:rsidRPr="002E0F5E">
        <w:rPr>
          <w:rFonts w:eastAsia="Calibri"/>
          <w:sz w:val="24"/>
          <w:szCs w:val="24"/>
          <w:shd w:val="clear" w:color="auto" w:fill="FFFFFF"/>
          <w:lang w:eastAsia="en-US"/>
        </w:rPr>
        <w:t>, </w:t>
      </w:r>
      <w:r w:rsidRPr="002E0F5E">
        <w:rPr>
          <w:rFonts w:eastAsia="Calibri"/>
          <w:i/>
          <w:iCs/>
          <w:sz w:val="24"/>
          <w:szCs w:val="24"/>
          <w:shd w:val="clear" w:color="auto" w:fill="FFFFFF"/>
          <w:lang w:eastAsia="en-US"/>
        </w:rPr>
        <w:t>105</w:t>
      </w:r>
      <w:r w:rsidRPr="002E0F5E">
        <w:rPr>
          <w:rFonts w:eastAsia="Calibri"/>
          <w:sz w:val="24"/>
          <w:szCs w:val="24"/>
          <w:shd w:val="clear" w:color="auto" w:fill="FFFFFF"/>
          <w:lang w:eastAsia="en-US"/>
        </w:rPr>
        <w:t xml:space="preserve">(16), 5975–5979. </w:t>
      </w:r>
      <w:hyperlink r:id="rId32" w:history="1">
        <w:r w:rsidRPr="002E0F5E">
          <w:rPr>
            <w:rFonts w:eastAsia="Calibri"/>
            <w:color w:val="0563C1"/>
            <w:sz w:val="24"/>
            <w:szCs w:val="24"/>
            <w:u w:val="single"/>
            <w:shd w:val="clear" w:color="auto" w:fill="FFFFFF"/>
            <w:lang w:eastAsia="en-US"/>
          </w:rPr>
          <w:t>http://doi.org/10.1073/pnas.0711295105</w:t>
        </w:r>
      </w:hyperlink>
    </w:p>
    <w:p w14:paraId="161CDB94" w14:textId="77777777" w:rsidR="002E0F5E" w:rsidRPr="002E0F5E" w:rsidRDefault="002E0F5E" w:rsidP="002E0F5E">
      <w:pPr>
        <w:spacing w:after="160" w:line="480" w:lineRule="auto"/>
        <w:rPr>
          <w:rFonts w:eastAsia="Calibri"/>
          <w:color w:val="303030"/>
          <w:sz w:val="24"/>
          <w:szCs w:val="24"/>
          <w:shd w:val="clear" w:color="auto" w:fill="FFFFFF"/>
          <w:lang w:eastAsia="en-US"/>
        </w:rPr>
      </w:pPr>
    </w:p>
    <w:p w14:paraId="6C2080B9"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Scruggs, T. E., </w:t>
      </w:r>
      <w:proofErr w:type="spellStart"/>
      <w:r w:rsidRPr="002E0F5E">
        <w:rPr>
          <w:rFonts w:eastAsia="Calibri"/>
          <w:sz w:val="24"/>
          <w:szCs w:val="24"/>
          <w:lang w:eastAsia="en-US"/>
        </w:rPr>
        <w:t>Mastropieri</w:t>
      </w:r>
      <w:proofErr w:type="spellEnd"/>
      <w:r w:rsidRPr="002E0F5E">
        <w:rPr>
          <w:rFonts w:eastAsia="Calibri"/>
          <w:sz w:val="24"/>
          <w:szCs w:val="24"/>
          <w:lang w:eastAsia="en-US"/>
        </w:rPr>
        <w:t xml:space="preserve">, M. A., </w:t>
      </w:r>
      <w:proofErr w:type="spellStart"/>
      <w:r w:rsidRPr="002E0F5E">
        <w:rPr>
          <w:rFonts w:eastAsia="Calibri"/>
          <w:sz w:val="24"/>
          <w:szCs w:val="24"/>
          <w:lang w:eastAsia="en-US"/>
        </w:rPr>
        <w:t>McLoone</w:t>
      </w:r>
      <w:proofErr w:type="spellEnd"/>
      <w:r w:rsidRPr="002E0F5E">
        <w:rPr>
          <w:rFonts w:eastAsia="Calibri"/>
          <w:sz w:val="24"/>
          <w:szCs w:val="24"/>
          <w:lang w:eastAsia="en-US"/>
        </w:rPr>
        <w:t>, B. B., Levin, J. R., &amp; Morrison, C. (1987). Mnemonic facilitation of learning disabled students' memory for expository prose. Journal of Educational Psychology, 79, 27-34.</w:t>
      </w:r>
    </w:p>
    <w:p w14:paraId="35F72FBF" w14:textId="77777777" w:rsidR="002E0F5E" w:rsidRPr="002E0F5E" w:rsidRDefault="002E0F5E" w:rsidP="002E0F5E">
      <w:pPr>
        <w:spacing w:after="160" w:line="480" w:lineRule="auto"/>
        <w:rPr>
          <w:rFonts w:eastAsia="Calibri"/>
          <w:sz w:val="24"/>
          <w:szCs w:val="24"/>
          <w:lang w:eastAsia="en-US"/>
        </w:rPr>
      </w:pPr>
    </w:p>
    <w:p w14:paraId="66EF73A6" w14:textId="77777777" w:rsidR="002E0F5E" w:rsidRPr="002E0F5E" w:rsidRDefault="002E0F5E" w:rsidP="002E0F5E">
      <w:pPr>
        <w:autoSpaceDE w:val="0"/>
        <w:adjustRightInd w:val="0"/>
        <w:spacing w:line="480" w:lineRule="auto"/>
        <w:rPr>
          <w:color w:val="353535"/>
          <w:sz w:val="24"/>
          <w:szCs w:val="24"/>
          <w:lang w:eastAsia="en-US"/>
        </w:rPr>
      </w:pPr>
      <w:proofErr w:type="spellStart"/>
      <w:r w:rsidRPr="002E0F5E">
        <w:rPr>
          <w:color w:val="353535"/>
          <w:sz w:val="24"/>
          <w:szCs w:val="24"/>
          <w:lang w:eastAsia="en-US"/>
        </w:rPr>
        <w:t>Stalder</w:t>
      </w:r>
      <w:proofErr w:type="spellEnd"/>
      <w:r w:rsidRPr="002E0F5E">
        <w:rPr>
          <w:color w:val="353535"/>
          <w:sz w:val="24"/>
          <w:szCs w:val="24"/>
          <w:lang w:eastAsia="en-US"/>
        </w:rPr>
        <w:t>, D.R. (2005). Learning and motivational benefits of acronym use in introductory psychology. </w:t>
      </w:r>
      <w:r w:rsidRPr="002E0F5E">
        <w:rPr>
          <w:i/>
          <w:iCs/>
          <w:color w:val="353535"/>
          <w:sz w:val="24"/>
          <w:szCs w:val="24"/>
          <w:lang w:eastAsia="en-US"/>
        </w:rPr>
        <w:t>Teaching of Psychology</w:t>
      </w:r>
      <w:r w:rsidRPr="002E0F5E">
        <w:rPr>
          <w:color w:val="353535"/>
          <w:sz w:val="24"/>
          <w:szCs w:val="24"/>
          <w:lang w:eastAsia="en-US"/>
        </w:rPr>
        <w:t>, </w:t>
      </w:r>
      <w:r w:rsidRPr="002E0F5E">
        <w:rPr>
          <w:i/>
          <w:iCs/>
          <w:color w:val="353535"/>
          <w:sz w:val="24"/>
          <w:szCs w:val="24"/>
          <w:lang w:eastAsia="en-US"/>
        </w:rPr>
        <w:t>32</w:t>
      </w:r>
      <w:r w:rsidRPr="002E0F5E">
        <w:rPr>
          <w:color w:val="353535"/>
          <w:sz w:val="24"/>
          <w:szCs w:val="24"/>
          <w:lang w:eastAsia="en-US"/>
        </w:rPr>
        <w:t>: 222-228.</w:t>
      </w:r>
    </w:p>
    <w:p w14:paraId="0B34892A" w14:textId="77777777" w:rsidR="002E0F5E" w:rsidRPr="002E0F5E" w:rsidRDefault="002E0F5E" w:rsidP="002E0F5E">
      <w:pPr>
        <w:spacing w:after="160" w:line="480" w:lineRule="auto"/>
        <w:rPr>
          <w:rFonts w:eastAsia="Calibri"/>
          <w:sz w:val="24"/>
          <w:szCs w:val="24"/>
          <w:lang w:eastAsia="en-US"/>
        </w:rPr>
      </w:pPr>
    </w:p>
    <w:p w14:paraId="797ECC46" w14:textId="77777777" w:rsidR="002E0F5E" w:rsidRPr="002E0F5E" w:rsidRDefault="002E0F5E" w:rsidP="002E0F5E">
      <w:pPr>
        <w:autoSpaceDE w:val="0"/>
        <w:autoSpaceDN w:val="0"/>
        <w:adjustRightInd w:val="0"/>
        <w:spacing w:line="480" w:lineRule="auto"/>
        <w:rPr>
          <w:rFonts w:eastAsia="Calibri"/>
          <w:color w:val="353535"/>
          <w:sz w:val="24"/>
          <w:szCs w:val="24"/>
          <w:lang w:val="en-US" w:eastAsia="en-US"/>
        </w:rPr>
      </w:pPr>
      <w:proofErr w:type="spellStart"/>
      <w:r w:rsidRPr="002E0F5E">
        <w:rPr>
          <w:rFonts w:eastAsia="Calibri"/>
          <w:color w:val="353535"/>
          <w:sz w:val="24"/>
          <w:szCs w:val="24"/>
          <w:lang w:val="en-US" w:eastAsia="en-US"/>
        </w:rPr>
        <w:t>Stalder</w:t>
      </w:r>
      <w:proofErr w:type="spellEnd"/>
      <w:r w:rsidRPr="002E0F5E">
        <w:rPr>
          <w:rFonts w:eastAsia="Calibri"/>
          <w:color w:val="353535"/>
          <w:sz w:val="24"/>
          <w:szCs w:val="24"/>
          <w:lang w:val="en-US" w:eastAsia="en-US"/>
        </w:rPr>
        <w:t xml:space="preserve">, D. R., &amp; Olson, E. A. (2011). t for two: Using mnemonics to teach statistics. </w:t>
      </w:r>
      <w:r w:rsidRPr="002E0F5E">
        <w:rPr>
          <w:rFonts w:eastAsia="Calibri"/>
          <w:i/>
          <w:color w:val="353535"/>
          <w:sz w:val="24"/>
          <w:szCs w:val="24"/>
          <w:lang w:val="en-US" w:eastAsia="en-US"/>
        </w:rPr>
        <w:t xml:space="preserve">Teaching of Psychology, </w:t>
      </w:r>
      <w:r w:rsidRPr="002E0F5E">
        <w:rPr>
          <w:rFonts w:eastAsia="Calibri"/>
          <w:color w:val="353535"/>
          <w:sz w:val="24"/>
          <w:szCs w:val="24"/>
          <w:lang w:val="en-US" w:eastAsia="en-US"/>
        </w:rPr>
        <w:t>38: 247–250.</w:t>
      </w:r>
    </w:p>
    <w:p w14:paraId="106F863B" w14:textId="77777777" w:rsidR="002E0F5E" w:rsidRPr="002E0F5E" w:rsidRDefault="002E0F5E" w:rsidP="002E0F5E">
      <w:pPr>
        <w:spacing w:after="160" w:line="480" w:lineRule="auto"/>
        <w:rPr>
          <w:rFonts w:eastAsia="Calibri"/>
          <w:sz w:val="24"/>
          <w:szCs w:val="24"/>
          <w:lang w:eastAsia="en-US"/>
        </w:rPr>
      </w:pPr>
    </w:p>
    <w:p w14:paraId="217D2F05" w14:textId="77777777" w:rsidR="002E0F5E" w:rsidRPr="002E0F5E" w:rsidRDefault="002E0F5E" w:rsidP="002E0F5E">
      <w:pPr>
        <w:autoSpaceDE w:val="0"/>
        <w:autoSpaceDN w:val="0"/>
        <w:adjustRightInd w:val="0"/>
        <w:spacing w:line="480" w:lineRule="auto"/>
        <w:rPr>
          <w:rFonts w:eastAsia="Calibri"/>
          <w:color w:val="353535"/>
          <w:sz w:val="24"/>
          <w:szCs w:val="24"/>
          <w:lang w:val="en-US" w:eastAsia="en-US"/>
        </w:rPr>
      </w:pPr>
      <w:r w:rsidRPr="002E0F5E">
        <w:rPr>
          <w:rFonts w:eastAsia="Calibri"/>
          <w:color w:val="353535"/>
          <w:sz w:val="24"/>
          <w:szCs w:val="24"/>
          <w:lang w:val="en-US" w:eastAsia="en-US"/>
        </w:rPr>
        <w:t>SWCCD. (</w:t>
      </w:r>
      <w:proofErr w:type="spellStart"/>
      <w:r w:rsidRPr="002E0F5E">
        <w:rPr>
          <w:rFonts w:eastAsia="Calibri"/>
          <w:color w:val="353535"/>
          <w:sz w:val="24"/>
          <w:szCs w:val="24"/>
          <w:lang w:val="en-US" w:eastAsia="en-US"/>
        </w:rPr>
        <w:t>n.d</w:t>
      </w:r>
      <w:proofErr w:type="spellEnd"/>
      <w:r w:rsidRPr="002E0F5E">
        <w:rPr>
          <w:rFonts w:eastAsia="Calibri"/>
          <w:color w:val="353535"/>
          <w:sz w:val="24"/>
          <w:szCs w:val="24"/>
          <w:lang w:val="en-US" w:eastAsia="en-US"/>
        </w:rPr>
        <w:t>) Classroom tips for working with students on the Autism spectrum. [online] Available at:</w:t>
      </w:r>
    </w:p>
    <w:p w14:paraId="5A81A563" w14:textId="77777777" w:rsidR="002E0F5E" w:rsidRPr="002E0F5E" w:rsidRDefault="002E0F5E" w:rsidP="002E0F5E">
      <w:pPr>
        <w:autoSpaceDE w:val="0"/>
        <w:autoSpaceDN w:val="0"/>
        <w:adjustRightInd w:val="0"/>
        <w:spacing w:line="480" w:lineRule="auto"/>
        <w:rPr>
          <w:rFonts w:eastAsia="Calibri"/>
          <w:color w:val="353535"/>
          <w:sz w:val="24"/>
          <w:szCs w:val="24"/>
          <w:lang w:val="en-US" w:eastAsia="en-US"/>
        </w:rPr>
      </w:pPr>
      <w:hyperlink r:id="rId33" w:history="1">
        <w:r w:rsidRPr="002E0F5E">
          <w:rPr>
            <w:rFonts w:eastAsia="Calibri"/>
            <w:color w:val="4472C4"/>
            <w:sz w:val="24"/>
            <w:szCs w:val="24"/>
            <w:lang w:val="en-US" w:eastAsia="en-US"/>
            <w14:textFill>
              <w14:solidFill>
                <w14:srgbClr w14:val="4472C4">
                  <w14:lumMod w14:val="75000"/>
                </w14:srgbClr>
              </w14:solidFill>
            </w14:textFill>
          </w:rPr>
          <w:t>http://www.swccd.edu/Modules/ShowDocument.aspx?documentid=13018</w:t>
        </w:r>
      </w:hyperlink>
      <w:r w:rsidRPr="002E0F5E">
        <w:rPr>
          <w:rFonts w:eastAsia="Calibri"/>
          <w:color w:val="353535"/>
          <w:sz w:val="24"/>
          <w:szCs w:val="24"/>
          <w:lang w:val="en-US" w:eastAsia="en-US"/>
        </w:rPr>
        <w:t>. [Accessed 14 May 2018].</w:t>
      </w:r>
    </w:p>
    <w:p w14:paraId="3AB2A740" w14:textId="77777777" w:rsidR="002E0F5E" w:rsidRPr="002E0F5E" w:rsidRDefault="002E0F5E" w:rsidP="002E0F5E">
      <w:pPr>
        <w:autoSpaceDE w:val="0"/>
        <w:autoSpaceDN w:val="0"/>
        <w:adjustRightInd w:val="0"/>
        <w:spacing w:line="480" w:lineRule="auto"/>
        <w:rPr>
          <w:rFonts w:eastAsia="Calibri"/>
          <w:color w:val="353535"/>
          <w:sz w:val="24"/>
          <w:szCs w:val="24"/>
          <w:lang w:val="en-US" w:eastAsia="en-US"/>
        </w:rPr>
      </w:pPr>
    </w:p>
    <w:p w14:paraId="72C70562" w14:textId="77777777" w:rsidR="002E0F5E" w:rsidRPr="002E0F5E" w:rsidRDefault="002E0F5E" w:rsidP="002E0F5E">
      <w:pPr>
        <w:autoSpaceDE w:val="0"/>
        <w:adjustRightInd w:val="0"/>
        <w:spacing w:line="480" w:lineRule="auto"/>
        <w:rPr>
          <w:rFonts w:eastAsia="Calibri"/>
          <w:color w:val="353535"/>
          <w:sz w:val="24"/>
          <w:szCs w:val="24"/>
          <w:lang w:val="en-US" w:eastAsia="en-US"/>
        </w:rPr>
      </w:pPr>
      <w:r w:rsidRPr="002E0F5E">
        <w:rPr>
          <w:rFonts w:eastAsia="Calibri"/>
          <w:color w:val="353535"/>
          <w:sz w:val="24"/>
          <w:szCs w:val="24"/>
          <w:lang w:val="en-US" w:eastAsia="en-US"/>
        </w:rPr>
        <w:t xml:space="preserve">Thorne, G. (2003) What strategies can be used to increase memory? The </w:t>
      </w:r>
      <w:proofErr w:type="spellStart"/>
      <w:r w:rsidRPr="002E0F5E">
        <w:rPr>
          <w:rFonts w:eastAsia="Calibri"/>
          <w:color w:val="353535"/>
          <w:sz w:val="24"/>
          <w:szCs w:val="24"/>
          <w:lang w:val="en-US" w:eastAsia="en-US"/>
        </w:rPr>
        <w:t>centre</w:t>
      </w:r>
      <w:proofErr w:type="spellEnd"/>
      <w:r w:rsidRPr="002E0F5E">
        <w:rPr>
          <w:rFonts w:eastAsia="Calibri"/>
          <w:color w:val="353535"/>
          <w:sz w:val="24"/>
          <w:szCs w:val="24"/>
          <w:lang w:val="en-US" w:eastAsia="en-US"/>
        </w:rPr>
        <w:t xml:space="preserve"> for development and learning. [online] Available at: </w:t>
      </w:r>
      <w:hyperlink r:id="rId34" w:history="1">
        <w:r w:rsidRPr="002E0F5E">
          <w:rPr>
            <w:rFonts w:eastAsia="Calibri"/>
            <w:color w:val="0563C1"/>
            <w:sz w:val="24"/>
            <w:szCs w:val="24"/>
            <w:u w:val="single"/>
            <w:lang w:val="en-US" w:eastAsia="en-US"/>
          </w:rPr>
          <w:t>http://www.cdl.org/articles/what-strategies-can-be-used-to-increase-memory/</w:t>
        </w:r>
      </w:hyperlink>
      <w:r w:rsidRPr="002E0F5E">
        <w:rPr>
          <w:rFonts w:eastAsia="Calibri"/>
          <w:color w:val="353535"/>
          <w:sz w:val="24"/>
          <w:szCs w:val="24"/>
          <w:lang w:val="en-US" w:eastAsia="en-US"/>
        </w:rPr>
        <w:t>. [Accessed 14 May 2018].</w:t>
      </w:r>
    </w:p>
    <w:p w14:paraId="58267736" w14:textId="77777777" w:rsidR="002E0F5E" w:rsidRPr="002E0F5E" w:rsidRDefault="002E0F5E" w:rsidP="002E0F5E">
      <w:pPr>
        <w:autoSpaceDE w:val="0"/>
        <w:adjustRightInd w:val="0"/>
        <w:spacing w:line="480" w:lineRule="auto"/>
        <w:rPr>
          <w:rFonts w:eastAsia="Calibri"/>
          <w:color w:val="353535"/>
          <w:sz w:val="24"/>
          <w:szCs w:val="24"/>
          <w:lang w:val="en-US" w:eastAsia="en-US"/>
        </w:rPr>
      </w:pPr>
    </w:p>
    <w:p w14:paraId="56B84123" w14:textId="77777777" w:rsidR="002E0F5E" w:rsidRPr="002E0F5E" w:rsidRDefault="002E0F5E" w:rsidP="002E0F5E">
      <w:pPr>
        <w:spacing w:after="160" w:line="480" w:lineRule="auto"/>
        <w:rPr>
          <w:rFonts w:eastAsia="Calibri"/>
          <w:sz w:val="24"/>
          <w:szCs w:val="24"/>
          <w:lang w:eastAsia="en-US"/>
        </w:rPr>
      </w:pPr>
      <w:r w:rsidRPr="002E0F5E">
        <w:rPr>
          <w:rFonts w:eastAsia="Calibri"/>
          <w:sz w:val="24"/>
          <w:szCs w:val="24"/>
          <w:lang w:eastAsia="en-US"/>
        </w:rPr>
        <w:t xml:space="preserve">Vygotsky, L. S. (1978). </w:t>
      </w:r>
      <w:r w:rsidRPr="002E0F5E">
        <w:rPr>
          <w:rFonts w:eastAsia="Calibri"/>
          <w:i/>
          <w:sz w:val="24"/>
          <w:szCs w:val="24"/>
          <w:lang w:eastAsia="en-US"/>
        </w:rPr>
        <w:t>Mind in society.</w:t>
      </w:r>
      <w:r w:rsidRPr="002E0F5E">
        <w:rPr>
          <w:rFonts w:eastAsia="Calibri"/>
          <w:sz w:val="24"/>
          <w:szCs w:val="24"/>
          <w:lang w:eastAsia="en-US"/>
        </w:rPr>
        <w:t xml:space="preserve"> Cambridge, MA: Harvard University Press</w:t>
      </w:r>
    </w:p>
    <w:p w14:paraId="75A7B27B" w14:textId="77777777" w:rsidR="002E0F5E" w:rsidRPr="002E0F5E" w:rsidRDefault="002E0F5E" w:rsidP="002E0F5E">
      <w:pPr>
        <w:autoSpaceDE w:val="0"/>
        <w:autoSpaceDN w:val="0"/>
        <w:adjustRightInd w:val="0"/>
        <w:spacing w:line="480" w:lineRule="auto"/>
        <w:rPr>
          <w:rFonts w:eastAsia="Calibri"/>
          <w:color w:val="353535"/>
          <w:sz w:val="24"/>
          <w:szCs w:val="24"/>
          <w:lang w:eastAsia="en-US"/>
        </w:rPr>
      </w:pPr>
    </w:p>
    <w:p w14:paraId="3D76FF90" w14:textId="77777777" w:rsidR="002E0F5E" w:rsidRPr="002E0F5E" w:rsidRDefault="002E0F5E" w:rsidP="002E0F5E">
      <w:pPr>
        <w:autoSpaceDE w:val="0"/>
        <w:autoSpaceDN w:val="0"/>
        <w:adjustRightInd w:val="0"/>
        <w:spacing w:line="480" w:lineRule="auto"/>
        <w:rPr>
          <w:rFonts w:eastAsia="Calibri"/>
          <w:color w:val="353535"/>
          <w:sz w:val="24"/>
          <w:szCs w:val="24"/>
          <w:lang w:eastAsia="en-US"/>
        </w:rPr>
      </w:pPr>
      <w:r w:rsidRPr="002E0F5E">
        <w:rPr>
          <w:rFonts w:eastAsia="Calibri"/>
          <w:color w:val="353535"/>
          <w:sz w:val="24"/>
          <w:szCs w:val="24"/>
          <w:lang w:eastAsia="en-US"/>
        </w:rPr>
        <w:t xml:space="preserve">Waite, C.J., </w:t>
      </w:r>
      <w:proofErr w:type="spellStart"/>
      <w:r w:rsidRPr="002E0F5E">
        <w:rPr>
          <w:rFonts w:eastAsia="Calibri"/>
          <w:color w:val="353535"/>
          <w:sz w:val="24"/>
          <w:szCs w:val="24"/>
          <w:lang w:eastAsia="en-US"/>
        </w:rPr>
        <w:t>Blick</w:t>
      </w:r>
      <w:proofErr w:type="spellEnd"/>
      <w:r w:rsidRPr="002E0F5E">
        <w:rPr>
          <w:rFonts w:eastAsia="Calibri"/>
          <w:color w:val="353535"/>
          <w:sz w:val="24"/>
          <w:szCs w:val="24"/>
          <w:lang w:eastAsia="en-US"/>
        </w:rPr>
        <w:t>, K.A. and Boltwood, C.E. (1971). Prior usage of the first-letter technique. </w:t>
      </w:r>
      <w:r w:rsidRPr="002E0F5E">
        <w:rPr>
          <w:rFonts w:eastAsia="Calibri"/>
          <w:i/>
          <w:iCs/>
          <w:color w:val="353535"/>
          <w:sz w:val="24"/>
          <w:szCs w:val="24"/>
          <w:lang w:eastAsia="en-US"/>
        </w:rPr>
        <w:t>Psychological Reports</w:t>
      </w:r>
      <w:r w:rsidRPr="002E0F5E">
        <w:rPr>
          <w:rFonts w:eastAsia="Calibri"/>
          <w:color w:val="353535"/>
          <w:sz w:val="24"/>
          <w:szCs w:val="24"/>
          <w:lang w:eastAsia="en-US"/>
        </w:rPr>
        <w:t>.</w:t>
      </w:r>
    </w:p>
    <w:p w14:paraId="1936F9ED" w14:textId="77777777" w:rsidR="002E0F5E" w:rsidRPr="002E0F5E" w:rsidRDefault="002E0F5E" w:rsidP="002E0F5E">
      <w:pPr>
        <w:autoSpaceDE w:val="0"/>
        <w:autoSpaceDN w:val="0"/>
        <w:adjustRightInd w:val="0"/>
        <w:spacing w:line="480" w:lineRule="auto"/>
        <w:rPr>
          <w:rFonts w:eastAsia="Calibri"/>
          <w:color w:val="353535"/>
          <w:sz w:val="24"/>
          <w:szCs w:val="24"/>
          <w:lang w:eastAsia="en-US"/>
        </w:rPr>
      </w:pPr>
    </w:p>
    <w:p w14:paraId="6D1EBEEE" w14:textId="77777777" w:rsidR="002E0F5E" w:rsidRPr="002E0F5E" w:rsidRDefault="002E0F5E" w:rsidP="002E0F5E">
      <w:pPr>
        <w:autoSpaceDE w:val="0"/>
        <w:adjustRightInd w:val="0"/>
        <w:spacing w:line="480" w:lineRule="auto"/>
        <w:rPr>
          <w:color w:val="353535"/>
          <w:sz w:val="24"/>
          <w:szCs w:val="24"/>
          <w:lang w:val="en-US" w:eastAsia="en-US"/>
        </w:rPr>
      </w:pPr>
      <w:r w:rsidRPr="002E0F5E">
        <w:rPr>
          <w:color w:val="353535"/>
          <w:sz w:val="24"/>
          <w:szCs w:val="24"/>
          <w:lang w:val="en-US" w:eastAsia="en-US"/>
        </w:rPr>
        <w:t xml:space="preserve">Welsh government (2013). </w:t>
      </w:r>
      <w:r w:rsidRPr="002E0F5E">
        <w:rPr>
          <w:bCs/>
          <w:color w:val="353535"/>
          <w:sz w:val="24"/>
          <w:szCs w:val="24"/>
          <w:lang w:eastAsia="en-US"/>
        </w:rPr>
        <w:t xml:space="preserve">Science in the national curriculum for Wales. [online] Available at: </w:t>
      </w:r>
      <w:r w:rsidRPr="002E0F5E">
        <w:rPr>
          <w:color w:val="353535"/>
          <w:sz w:val="24"/>
          <w:szCs w:val="24"/>
          <w:lang w:val="en-US" w:eastAsia="en-US"/>
        </w:rPr>
        <w:t xml:space="preserve"> </w:t>
      </w:r>
      <w:hyperlink r:id="rId35">
        <w:r w:rsidRPr="002E0F5E">
          <w:rPr>
            <w:color w:val="4472C4"/>
            <w:sz w:val="24"/>
            <w:szCs w:val="24"/>
            <w:lang w:val="en-US" w:eastAsia="en-US"/>
            <w14:textFill>
              <w14:solidFill>
                <w14:srgbClr w14:val="4472C4">
                  <w14:lumMod w14:val="75000"/>
                </w14:srgbClr>
              </w14:solidFill>
            </w14:textFill>
          </w:rPr>
          <w:t>http://learning.gov.wales/resources/browse-all/science-in-the-national-curriculum/?lang=en</w:t>
        </w:r>
      </w:hyperlink>
      <w:r w:rsidRPr="002E0F5E">
        <w:rPr>
          <w:color w:val="353535"/>
          <w:sz w:val="24"/>
          <w:szCs w:val="24"/>
          <w:lang w:val="en-US" w:eastAsia="en-US"/>
        </w:rPr>
        <w:t>. [Accessed 12 May 2018].</w:t>
      </w:r>
    </w:p>
    <w:p w14:paraId="4F8F9564" w14:textId="77777777" w:rsidR="002E0F5E" w:rsidRPr="002E0F5E" w:rsidRDefault="002E0F5E" w:rsidP="002E0F5E">
      <w:pPr>
        <w:autoSpaceDE w:val="0"/>
        <w:adjustRightInd w:val="0"/>
        <w:spacing w:line="480" w:lineRule="auto"/>
        <w:rPr>
          <w:color w:val="353535"/>
          <w:sz w:val="24"/>
          <w:szCs w:val="24"/>
          <w:lang w:val="en-US" w:eastAsia="en-US"/>
        </w:rPr>
      </w:pPr>
    </w:p>
    <w:p w14:paraId="5262EA94" w14:textId="77777777" w:rsidR="002E0F5E" w:rsidRPr="002E0F5E" w:rsidRDefault="002E0F5E" w:rsidP="002E0F5E">
      <w:pPr>
        <w:spacing w:line="480" w:lineRule="auto"/>
        <w:rPr>
          <w:rFonts w:eastAsia="Calibri"/>
          <w:bCs/>
          <w:color w:val="353535"/>
          <w:sz w:val="24"/>
          <w:szCs w:val="24"/>
          <w:lang w:eastAsia="en-US"/>
        </w:rPr>
      </w:pPr>
      <w:r w:rsidRPr="002E0F5E">
        <w:rPr>
          <w:rFonts w:eastAsia="Calibri"/>
          <w:color w:val="353535"/>
          <w:sz w:val="24"/>
          <w:szCs w:val="24"/>
          <w:lang w:val="en-US" w:eastAsia="en-US"/>
        </w:rPr>
        <w:t xml:space="preserve">Welsh Government (2014) </w:t>
      </w:r>
      <w:r w:rsidRPr="002E0F5E">
        <w:rPr>
          <w:rFonts w:eastAsia="Calibri"/>
          <w:bCs/>
          <w:color w:val="353535"/>
          <w:sz w:val="24"/>
          <w:szCs w:val="24"/>
          <w:lang w:eastAsia="en-US"/>
        </w:rPr>
        <w:t xml:space="preserve">National Literacy and Numeracy Framework. [online] Available at:  </w:t>
      </w:r>
      <w:hyperlink r:id="rId36" w:history="1">
        <w:r w:rsidRPr="002E0F5E">
          <w:rPr>
            <w:rFonts w:eastAsia="Calibri"/>
            <w:bCs/>
            <w:color w:val="0563C1"/>
            <w:sz w:val="24"/>
            <w:szCs w:val="24"/>
            <w:u w:val="single"/>
            <w:lang w:eastAsia="en-US"/>
          </w:rPr>
          <w:t>http://learning.gov.wales/resources/browse-all/nlnf/?lang=en</w:t>
        </w:r>
      </w:hyperlink>
      <w:r w:rsidRPr="002E0F5E">
        <w:rPr>
          <w:rFonts w:eastAsia="Calibri"/>
          <w:bCs/>
          <w:color w:val="353535"/>
          <w:sz w:val="24"/>
          <w:szCs w:val="24"/>
          <w:lang w:eastAsia="en-US"/>
        </w:rPr>
        <w:t>. [Accessed 13 May 2018].</w:t>
      </w:r>
    </w:p>
    <w:p w14:paraId="37CE1405" w14:textId="77777777" w:rsidR="002E0F5E" w:rsidRPr="002E0F5E" w:rsidRDefault="002E0F5E" w:rsidP="002E0F5E">
      <w:pPr>
        <w:autoSpaceDE w:val="0"/>
        <w:adjustRightInd w:val="0"/>
        <w:spacing w:line="480" w:lineRule="auto"/>
        <w:rPr>
          <w:color w:val="353535"/>
          <w:sz w:val="24"/>
          <w:szCs w:val="24"/>
          <w:lang w:val="en-US" w:eastAsia="en-US"/>
        </w:rPr>
      </w:pPr>
    </w:p>
    <w:p w14:paraId="77E2DF00" w14:textId="77777777" w:rsidR="002E0F5E" w:rsidRPr="002E0F5E" w:rsidRDefault="002E0F5E" w:rsidP="002E0F5E">
      <w:pPr>
        <w:autoSpaceDE w:val="0"/>
        <w:adjustRightInd w:val="0"/>
        <w:spacing w:line="480" w:lineRule="auto"/>
        <w:rPr>
          <w:color w:val="353535"/>
          <w:sz w:val="24"/>
          <w:szCs w:val="24"/>
          <w:lang w:val="en-US" w:eastAsia="en-US"/>
        </w:rPr>
      </w:pPr>
      <w:r w:rsidRPr="002E0F5E">
        <w:rPr>
          <w:color w:val="353535"/>
          <w:sz w:val="24"/>
          <w:szCs w:val="24"/>
          <w:lang w:val="en-US" w:eastAsia="en-US"/>
        </w:rPr>
        <w:t xml:space="preserve">Yates, F. (1966). The art of memory. </w:t>
      </w:r>
      <w:r w:rsidRPr="002E0F5E">
        <w:rPr>
          <w:i/>
          <w:color w:val="353535"/>
          <w:sz w:val="24"/>
          <w:szCs w:val="24"/>
          <w:lang w:val="en-US" w:eastAsia="en-US"/>
        </w:rPr>
        <w:t>Chicago, IL: The University of Chicago Press.</w:t>
      </w:r>
    </w:p>
    <w:p w14:paraId="55920560" w14:textId="77777777" w:rsidR="002E0F5E" w:rsidRPr="002E0F5E" w:rsidRDefault="002E0F5E" w:rsidP="002E0F5E">
      <w:pPr>
        <w:autoSpaceDE w:val="0"/>
        <w:adjustRightInd w:val="0"/>
        <w:spacing w:line="480" w:lineRule="auto"/>
        <w:rPr>
          <w:color w:val="353535"/>
          <w:sz w:val="24"/>
          <w:szCs w:val="24"/>
          <w:lang w:val="en-US" w:eastAsia="en-US"/>
        </w:rPr>
      </w:pPr>
    </w:p>
    <w:p w14:paraId="5DE50FCF" w14:textId="77777777" w:rsidR="002E0F5E" w:rsidRPr="002E0F5E" w:rsidRDefault="002E0F5E" w:rsidP="002E0F5E">
      <w:pPr>
        <w:autoSpaceDE w:val="0"/>
        <w:autoSpaceDN w:val="0"/>
        <w:adjustRightInd w:val="0"/>
        <w:spacing w:line="480" w:lineRule="auto"/>
        <w:rPr>
          <w:rFonts w:eastAsia="Calibri"/>
          <w:color w:val="353535"/>
          <w:sz w:val="24"/>
          <w:szCs w:val="24"/>
          <w:lang w:eastAsia="en-US"/>
        </w:rPr>
      </w:pPr>
    </w:p>
    <w:p w14:paraId="379C7388" w14:textId="77777777" w:rsidR="002E0F5E" w:rsidRPr="002E0F5E" w:rsidRDefault="002E0F5E" w:rsidP="002E0F5E">
      <w:pPr>
        <w:autoSpaceDE w:val="0"/>
        <w:autoSpaceDN w:val="0"/>
        <w:adjustRightInd w:val="0"/>
        <w:spacing w:line="480" w:lineRule="auto"/>
        <w:rPr>
          <w:rFonts w:eastAsia="Calibri"/>
          <w:color w:val="353535"/>
          <w:sz w:val="24"/>
          <w:szCs w:val="24"/>
          <w:lang w:eastAsia="en-US"/>
        </w:rPr>
      </w:pPr>
    </w:p>
    <w:p w14:paraId="08090180" w14:textId="77777777" w:rsidR="002E0F5E" w:rsidRPr="002E0F5E" w:rsidRDefault="002E0F5E" w:rsidP="002E0F5E">
      <w:pPr>
        <w:autoSpaceDE w:val="0"/>
        <w:autoSpaceDN w:val="0"/>
        <w:adjustRightInd w:val="0"/>
        <w:spacing w:line="480" w:lineRule="auto"/>
        <w:rPr>
          <w:rFonts w:eastAsia="Calibri"/>
          <w:color w:val="353535"/>
          <w:sz w:val="24"/>
          <w:szCs w:val="24"/>
          <w:lang w:eastAsia="en-US"/>
        </w:rPr>
      </w:pPr>
    </w:p>
    <w:p w14:paraId="5C8B3DDA" w14:textId="6B5B6A33" w:rsidR="002E0F5E" w:rsidRDefault="002E0F5E" w:rsidP="002E0F5E">
      <w:pPr>
        <w:autoSpaceDE w:val="0"/>
        <w:autoSpaceDN w:val="0"/>
        <w:adjustRightInd w:val="0"/>
        <w:spacing w:line="480" w:lineRule="auto"/>
        <w:rPr>
          <w:rFonts w:eastAsia="Calibri"/>
          <w:color w:val="353535"/>
          <w:sz w:val="24"/>
          <w:szCs w:val="24"/>
          <w:lang w:eastAsia="en-US"/>
        </w:rPr>
      </w:pPr>
    </w:p>
    <w:p w14:paraId="2D060503" w14:textId="5AFB1FE0" w:rsidR="002E0F5E" w:rsidRDefault="002E0F5E" w:rsidP="002E0F5E">
      <w:pPr>
        <w:autoSpaceDE w:val="0"/>
        <w:autoSpaceDN w:val="0"/>
        <w:adjustRightInd w:val="0"/>
        <w:spacing w:line="480" w:lineRule="auto"/>
        <w:rPr>
          <w:rFonts w:eastAsia="Calibri"/>
          <w:color w:val="353535"/>
          <w:sz w:val="24"/>
          <w:szCs w:val="24"/>
          <w:lang w:eastAsia="en-US"/>
        </w:rPr>
      </w:pPr>
    </w:p>
    <w:p w14:paraId="6F02C1C5" w14:textId="57D083E6" w:rsidR="002E0F5E" w:rsidRDefault="002E0F5E" w:rsidP="002E0F5E">
      <w:pPr>
        <w:autoSpaceDE w:val="0"/>
        <w:autoSpaceDN w:val="0"/>
        <w:adjustRightInd w:val="0"/>
        <w:spacing w:line="480" w:lineRule="auto"/>
        <w:rPr>
          <w:rFonts w:eastAsia="Calibri"/>
          <w:color w:val="353535"/>
          <w:sz w:val="24"/>
          <w:szCs w:val="24"/>
          <w:lang w:eastAsia="en-US"/>
        </w:rPr>
      </w:pPr>
    </w:p>
    <w:p w14:paraId="7560E698" w14:textId="217B3F78" w:rsidR="002E0F5E" w:rsidRDefault="002E0F5E" w:rsidP="002E0F5E">
      <w:pPr>
        <w:autoSpaceDE w:val="0"/>
        <w:autoSpaceDN w:val="0"/>
        <w:adjustRightInd w:val="0"/>
        <w:spacing w:line="480" w:lineRule="auto"/>
        <w:rPr>
          <w:rFonts w:eastAsia="Calibri"/>
          <w:color w:val="353535"/>
          <w:sz w:val="24"/>
          <w:szCs w:val="24"/>
          <w:lang w:eastAsia="en-US"/>
        </w:rPr>
      </w:pPr>
    </w:p>
    <w:p w14:paraId="103EA7F4" w14:textId="4EBDE872" w:rsidR="002E0F5E" w:rsidRDefault="002E0F5E" w:rsidP="002E0F5E">
      <w:pPr>
        <w:autoSpaceDE w:val="0"/>
        <w:autoSpaceDN w:val="0"/>
        <w:adjustRightInd w:val="0"/>
        <w:spacing w:line="480" w:lineRule="auto"/>
        <w:rPr>
          <w:rFonts w:eastAsia="Calibri"/>
          <w:color w:val="353535"/>
          <w:sz w:val="24"/>
          <w:szCs w:val="24"/>
          <w:lang w:eastAsia="en-US"/>
        </w:rPr>
      </w:pPr>
    </w:p>
    <w:p w14:paraId="668B4F14" w14:textId="0965A12A" w:rsidR="002E0F5E" w:rsidRDefault="002E0F5E" w:rsidP="002E0F5E">
      <w:pPr>
        <w:autoSpaceDE w:val="0"/>
        <w:autoSpaceDN w:val="0"/>
        <w:adjustRightInd w:val="0"/>
        <w:spacing w:line="480" w:lineRule="auto"/>
        <w:rPr>
          <w:rFonts w:eastAsia="Calibri"/>
          <w:color w:val="353535"/>
          <w:sz w:val="24"/>
          <w:szCs w:val="24"/>
          <w:lang w:eastAsia="en-US"/>
        </w:rPr>
      </w:pPr>
    </w:p>
    <w:p w14:paraId="1AE47524" w14:textId="496EB859" w:rsidR="002E0F5E" w:rsidRDefault="002E0F5E" w:rsidP="002E0F5E">
      <w:pPr>
        <w:autoSpaceDE w:val="0"/>
        <w:autoSpaceDN w:val="0"/>
        <w:adjustRightInd w:val="0"/>
        <w:spacing w:line="480" w:lineRule="auto"/>
        <w:rPr>
          <w:rFonts w:eastAsia="Calibri"/>
          <w:color w:val="353535"/>
          <w:sz w:val="24"/>
          <w:szCs w:val="24"/>
          <w:lang w:eastAsia="en-US"/>
        </w:rPr>
      </w:pPr>
    </w:p>
    <w:p w14:paraId="37A3191B" w14:textId="0706F46F" w:rsidR="002E0F5E" w:rsidRDefault="002E0F5E" w:rsidP="002E0F5E">
      <w:pPr>
        <w:autoSpaceDE w:val="0"/>
        <w:autoSpaceDN w:val="0"/>
        <w:adjustRightInd w:val="0"/>
        <w:spacing w:line="480" w:lineRule="auto"/>
        <w:rPr>
          <w:rFonts w:eastAsia="Calibri"/>
          <w:color w:val="353535"/>
          <w:sz w:val="24"/>
          <w:szCs w:val="24"/>
          <w:lang w:eastAsia="en-US"/>
        </w:rPr>
      </w:pPr>
    </w:p>
    <w:p w14:paraId="30DBEEB6" w14:textId="0061924A" w:rsidR="002E0F5E" w:rsidRDefault="002E0F5E" w:rsidP="002E0F5E">
      <w:pPr>
        <w:autoSpaceDE w:val="0"/>
        <w:autoSpaceDN w:val="0"/>
        <w:adjustRightInd w:val="0"/>
        <w:spacing w:line="480" w:lineRule="auto"/>
        <w:rPr>
          <w:rFonts w:eastAsia="Calibri"/>
          <w:color w:val="353535"/>
          <w:sz w:val="24"/>
          <w:szCs w:val="24"/>
          <w:lang w:eastAsia="en-US"/>
        </w:rPr>
      </w:pPr>
    </w:p>
    <w:p w14:paraId="3A35D003" w14:textId="3D79E699" w:rsidR="002E0F5E" w:rsidRDefault="002E0F5E" w:rsidP="002E0F5E">
      <w:pPr>
        <w:autoSpaceDE w:val="0"/>
        <w:autoSpaceDN w:val="0"/>
        <w:adjustRightInd w:val="0"/>
        <w:spacing w:line="480" w:lineRule="auto"/>
        <w:rPr>
          <w:rFonts w:eastAsia="Calibri"/>
          <w:color w:val="353535"/>
          <w:sz w:val="24"/>
          <w:szCs w:val="24"/>
          <w:lang w:eastAsia="en-US"/>
        </w:rPr>
      </w:pPr>
    </w:p>
    <w:p w14:paraId="089045D7" w14:textId="21D3FCCF" w:rsidR="002E0F5E" w:rsidRDefault="002E0F5E" w:rsidP="002E0F5E">
      <w:pPr>
        <w:autoSpaceDE w:val="0"/>
        <w:autoSpaceDN w:val="0"/>
        <w:adjustRightInd w:val="0"/>
        <w:spacing w:line="480" w:lineRule="auto"/>
        <w:rPr>
          <w:rFonts w:eastAsia="Calibri"/>
          <w:color w:val="353535"/>
          <w:sz w:val="24"/>
          <w:szCs w:val="24"/>
          <w:lang w:eastAsia="en-US"/>
        </w:rPr>
      </w:pPr>
    </w:p>
    <w:p w14:paraId="5C965169" w14:textId="0DBE1C8A" w:rsidR="002E0F5E" w:rsidRDefault="002E0F5E" w:rsidP="002E0F5E">
      <w:pPr>
        <w:autoSpaceDE w:val="0"/>
        <w:autoSpaceDN w:val="0"/>
        <w:adjustRightInd w:val="0"/>
        <w:spacing w:line="480" w:lineRule="auto"/>
        <w:rPr>
          <w:rFonts w:eastAsia="Calibri"/>
          <w:color w:val="353535"/>
          <w:sz w:val="24"/>
          <w:szCs w:val="24"/>
          <w:lang w:eastAsia="en-US"/>
        </w:rPr>
      </w:pPr>
    </w:p>
    <w:p w14:paraId="5159831E" w14:textId="7207FD72" w:rsidR="002E0F5E" w:rsidRDefault="002E0F5E" w:rsidP="002E0F5E">
      <w:pPr>
        <w:autoSpaceDE w:val="0"/>
        <w:autoSpaceDN w:val="0"/>
        <w:adjustRightInd w:val="0"/>
        <w:spacing w:line="480" w:lineRule="auto"/>
        <w:rPr>
          <w:rFonts w:eastAsia="Calibri"/>
          <w:color w:val="353535"/>
          <w:sz w:val="24"/>
          <w:szCs w:val="24"/>
          <w:lang w:eastAsia="en-US"/>
        </w:rPr>
      </w:pPr>
    </w:p>
    <w:p w14:paraId="3792FFAB" w14:textId="1D670356" w:rsidR="002E0F5E" w:rsidRDefault="002E0F5E" w:rsidP="002E0F5E">
      <w:pPr>
        <w:autoSpaceDE w:val="0"/>
        <w:autoSpaceDN w:val="0"/>
        <w:adjustRightInd w:val="0"/>
        <w:spacing w:line="480" w:lineRule="auto"/>
        <w:rPr>
          <w:rFonts w:eastAsia="Calibri"/>
          <w:color w:val="353535"/>
          <w:sz w:val="24"/>
          <w:szCs w:val="24"/>
          <w:lang w:eastAsia="en-US"/>
        </w:rPr>
      </w:pPr>
    </w:p>
    <w:p w14:paraId="13F7C746" w14:textId="23A4716B" w:rsidR="002E0F5E" w:rsidRDefault="002E0F5E" w:rsidP="002E0F5E">
      <w:pPr>
        <w:autoSpaceDE w:val="0"/>
        <w:autoSpaceDN w:val="0"/>
        <w:adjustRightInd w:val="0"/>
        <w:spacing w:line="480" w:lineRule="auto"/>
        <w:rPr>
          <w:rFonts w:eastAsia="Calibri"/>
          <w:color w:val="353535"/>
          <w:sz w:val="24"/>
          <w:szCs w:val="24"/>
          <w:lang w:eastAsia="en-US"/>
        </w:rPr>
      </w:pPr>
    </w:p>
    <w:p w14:paraId="769FD70E" w14:textId="6D0A3556" w:rsidR="002E0F5E" w:rsidRDefault="002E0F5E" w:rsidP="002E0F5E">
      <w:pPr>
        <w:autoSpaceDE w:val="0"/>
        <w:autoSpaceDN w:val="0"/>
        <w:adjustRightInd w:val="0"/>
        <w:spacing w:line="480" w:lineRule="auto"/>
        <w:rPr>
          <w:rFonts w:eastAsia="Calibri"/>
          <w:color w:val="353535"/>
          <w:sz w:val="24"/>
          <w:szCs w:val="24"/>
          <w:lang w:eastAsia="en-US"/>
        </w:rPr>
      </w:pPr>
    </w:p>
    <w:p w14:paraId="3BAD0AD2" w14:textId="7884E763" w:rsidR="002E0F5E" w:rsidRDefault="002E0F5E" w:rsidP="002E0F5E">
      <w:pPr>
        <w:autoSpaceDE w:val="0"/>
        <w:autoSpaceDN w:val="0"/>
        <w:adjustRightInd w:val="0"/>
        <w:spacing w:line="480" w:lineRule="auto"/>
        <w:rPr>
          <w:rFonts w:eastAsia="Calibri"/>
          <w:color w:val="353535"/>
          <w:sz w:val="24"/>
          <w:szCs w:val="24"/>
          <w:lang w:eastAsia="en-US"/>
        </w:rPr>
      </w:pPr>
    </w:p>
    <w:p w14:paraId="1DADBDA6" w14:textId="2D51465F" w:rsidR="002E0F5E" w:rsidRDefault="002E0F5E" w:rsidP="002E0F5E">
      <w:pPr>
        <w:autoSpaceDE w:val="0"/>
        <w:autoSpaceDN w:val="0"/>
        <w:adjustRightInd w:val="0"/>
        <w:spacing w:line="480" w:lineRule="auto"/>
        <w:rPr>
          <w:rFonts w:eastAsia="Calibri"/>
          <w:color w:val="353535"/>
          <w:sz w:val="24"/>
          <w:szCs w:val="24"/>
          <w:lang w:eastAsia="en-US"/>
        </w:rPr>
      </w:pPr>
    </w:p>
    <w:p w14:paraId="220585C7" w14:textId="77777777" w:rsidR="002E0F5E" w:rsidRPr="002E0F5E" w:rsidRDefault="002E0F5E" w:rsidP="002E0F5E">
      <w:pPr>
        <w:autoSpaceDE w:val="0"/>
        <w:autoSpaceDN w:val="0"/>
        <w:adjustRightInd w:val="0"/>
        <w:spacing w:line="480" w:lineRule="auto"/>
        <w:rPr>
          <w:rFonts w:eastAsia="Calibri"/>
          <w:color w:val="353535"/>
          <w:sz w:val="24"/>
          <w:szCs w:val="24"/>
          <w:lang w:eastAsia="en-US"/>
        </w:rPr>
      </w:pPr>
      <w:bookmarkStart w:id="1" w:name="_GoBack"/>
      <w:bookmarkEnd w:id="1"/>
    </w:p>
    <w:p w14:paraId="64D0B06E" w14:textId="77777777" w:rsidR="002E0F5E" w:rsidRPr="002E0F5E" w:rsidRDefault="002E0F5E" w:rsidP="002E0F5E">
      <w:pPr>
        <w:autoSpaceDE w:val="0"/>
        <w:autoSpaceDN w:val="0"/>
        <w:adjustRightInd w:val="0"/>
        <w:spacing w:line="480" w:lineRule="auto"/>
        <w:rPr>
          <w:rFonts w:eastAsia="Calibri"/>
          <w:color w:val="353535"/>
          <w:sz w:val="24"/>
          <w:szCs w:val="24"/>
          <w:lang w:eastAsia="en-US"/>
        </w:rPr>
      </w:pPr>
    </w:p>
    <w:p w14:paraId="350D5CCE" w14:textId="77777777" w:rsidR="002E0F5E" w:rsidRPr="002E0F5E" w:rsidRDefault="002E0F5E" w:rsidP="002E0F5E">
      <w:pPr>
        <w:autoSpaceDE w:val="0"/>
        <w:autoSpaceDN w:val="0"/>
        <w:adjustRightInd w:val="0"/>
        <w:spacing w:line="480" w:lineRule="auto"/>
        <w:rPr>
          <w:rFonts w:eastAsia="Calibri"/>
          <w:color w:val="353535"/>
          <w:sz w:val="24"/>
          <w:szCs w:val="24"/>
          <w:lang w:eastAsia="en-US"/>
        </w:rPr>
      </w:pPr>
      <w:r w:rsidRPr="002E0F5E">
        <w:rPr>
          <w:rFonts w:eastAsia="Calibri"/>
          <w:color w:val="353535"/>
          <w:sz w:val="24"/>
          <w:szCs w:val="24"/>
          <w:lang w:eastAsia="en-US"/>
        </w:rPr>
        <w:t>Appendix: Pupil data</w:t>
      </w:r>
    </w:p>
    <w:p w14:paraId="5CAE1371" w14:textId="77777777" w:rsidR="002E0F5E" w:rsidRPr="002E0F5E" w:rsidRDefault="002E0F5E" w:rsidP="002E0F5E">
      <w:pPr>
        <w:autoSpaceDE w:val="0"/>
        <w:autoSpaceDN w:val="0"/>
        <w:adjustRightInd w:val="0"/>
        <w:spacing w:line="480" w:lineRule="auto"/>
        <w:rPr>
          <w:rFonts w:eastAsia="Calibri"/>
          <w:color w:val="353535"/>
          <w:sz w:val="24"/>
          <w:szCs w:val="24"/>
          <w:lang w:eastAsia="en-US"/>
        </w:rPr>
      </w:pPr>
      <w:r w:rsidRPr="002E0F5E">
        <w:rPr>
          <w:rFonts w:ascii="Calibri" w:eastAsia="Calibri" w:hAnsi="Calibri"/>
          <w:sz w:val="22"/>
          <w:szCs w:val="22"/>
          <w:lang w:eastAsia="en-US"/>
        </w:rPr>
        <w:drawing>
          <wp:inline distT="0" distB="0" distL="0" distR="0" wp14:anchorId="1B5472A2" wp14:editId="11BE738A">
            <wp:extent cx="9303786" cy="3127273"/>
            <wp:effectExtent l="2223"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rot="5400000">
                      <a:off x="0" y="0"/>
                      <a:ext cx="9323538" cy="3133912"/>
                    </a:xfrm>
                    <a:prstGeom prst="rect">
                      <a:avLst/>
                    </a:prstGeom>
                    <a:noFill/>
                    <a:ln>
                      <a:noFill/>
                    </a:ln>
                  </pic:spPr>
                </pic:pic>
              </a:graphicData>
            </a:graphic>
          </wp:inline>
        </w:drawing>
      </w:r>
    </w:p>
    <w:p w14:paraId="3C314E5F" w14:textId="5FAF83AD" w:rsidR="002E0F5E" w:rsidRPr="002E0F5E" w:rsidRDefault="002E0F5E" w:rsidP="002E0F5E">
      <w:pPr>
        <w:autoSpaceDE w:val="0"/>
        <w:autoSpaceDN w:val="0"/>
        <w:adjustRightInd w:val="0"/>
        <w:spacing w:line="480" w:lineRule="auto"/>
        <w:rPr>
          <w:rFonts w:eastAsia="Calibri"/>
          <w:color w:val="353535"/>
          <w:sz w:val="24"/>
          <w:szCs w:val="24"/>
          <w:lang w:eastAsia="en-US"/>
        </w:rPr>
      </w:pPr>
      <w:r w:rsidRPr="002E0F5E">
        <w:rPr>
          <w:rFonts w:ascii="Calibri" w:eastAsia="Calibri" w:hAnsi="Calibri"/>
          <w:sz w:val="22"/>
          <w:szCs w:val="22"/>
          <w:lang w:eastAsia="en-US"/>
        </w:rPr>
        <w:drawing>
          <wp:inline distT="0" distB="0" distL="0" distR="0" wp14:anchorId="526341EF" wp14:editId="44E54EA2">
            <wp:extent cx="9719544" cy="3217207"/>
            <wp:effectExtent l="0" t="6350" r="889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rot="5400000">
                      <a:off x="0" y="0"/>
                      <a:ext cx="9733461" cy="3221813"/>
                    </a:xfrm>
                    <a:prstGeom prst="rect">
                      <a:avLst/>
                    </a:prstGeom>
                    <a:noFill/>
                    <a:ln>
                      <a:noFill/>
                    </a:ln>
                  </pic:spPr>
                </pic:pic>
              </a:graphicData>
            </a:graphic>
          </wp:inline>
        </w:drawing>
      </w:r>
    </w:p>
    <w:sectPr w:rsidR="002E0F5E" w:rsidRPr="002E0F5E" w:rsidSect="008A2003">
      <w:footerReference w:type="default" r:id="rId3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DC33D5" w14:textId="77777777" w:rsidR="00241294" w:rsidRDefault="00241294">
      <w:r>
        <w:separator/>
      </w:r>
    </w:p>
  </w:endnote>
  <w:endnote w:type="continuationSeparator" w:id="0">
    <w:p w14:paraId="1A7B9C0D" w14:textId="77777777" w:rsidR="00241294" w:rsidRDefault="00241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09045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77C45F" w14:textId="77777777" w:rsidR="00241294" w:rsidRDefault="00241294">
      <w:r>
        <w:separator/>
      </w:r>
    </w:p>
  </w:footnote>
  <w:footnote w:type="continuationSeparator" w:id="0">
    <w:p w14:paraId="5D4DD548" w14:textId="77777777" w:rsidR="00241294" w:rsidRDefault="00241294">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F474DC"/>
    <w:multiLevelType w:val="hybridMultilevel"/>
    <w:tmpl w:val="E580E51A"/>
    <w:lvl w:ilvl="0" w:tplc="707CBEF6">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F60D0C"/>
    <w:multiLevelType w:val="hybridMultilevel"/>
    <w:tmpl w:val="702A7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345A54"/>
    <w:multiLevelType w:val="hybridMultilevel"/>
    <w:tmpl w:val="165AD3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C545DC"/>
    <w:multiLevelType w:val="hybridMultilevel"/>
    <w:tmpl w:val="9B68739C"/>
    <w:lvl w:ilvl="0" w:tplc="707CBEF6">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136DB0"/>
    <w:multiLevelType w:val="hybridMultilevel"/>
    <w:tmpl w:val="98BE3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EE2B78"/>
    <w:multiLevelType w:val="hybridMultilevel"/>
    <w:tmpl w:val="9AFC3802"/>
    <w:lvl w:ilvl="0" w:tplc="C834F166">
      <w:start w:val="1"/>
      <w:numFmt w:val="decimal"/>
      <w:lvlText w:val="%1."/>
      <w:lvlJc w:val="left"/>
      <w:pPr>
        <w:ind w:left="1080" w:hanging="360"/>
      </w:pPr>
      <w:rPr>
        <w:i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0B64344"/>
    <w:multiLevelType w:val="hybridMultilevel"/>
    <w:tmpl w:val="5DD64F06"/>
    <w:lvl w:ilvl="0" w:tplc="707CBEF6">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4A5414"/>
    <w:multiLevelType w:val="hybridMultilevel"/>
    <w:tmpl w:val="9C0C27EA"/>
    <w:lvl w:ilvl="0" w:tplc="707CBEF6">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E990A48"/>
    <w:multiLevelType w:val="hybridMultilevel"/>
    <w:tmpl w:val="383CA6A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3"/>
  </w:num>
  <w:num w:numId="2">
    <w:abstractNumId w:val="15"/>
  </w:num>
  <w:num w:numId="3">
    <w:abstractNumId w:val="24"/>
  </w:num>
  <w:num w:numId="4">
    <w:abstractNumId w:val="19"/>
  </w:num>
  <w:num w:numId="5">
    <w:abstractNumId w:val="13"/>
  </w:num>
  <w:num w:numId="6">
    <w:abstractNumId w:val="23"/>
  </w:num>
  <w:num w:numId="7">
    <w:abstractNumId w:val="4"/>
  </w:num>
  <w:num w:numId="8">
    <w:abstractNumId w:val="21"/>
  </w:num>
  <w:num w:numId="9">
    <w:abstractNumId w:val="16"/>
  </w:num>
  <w:num w:numId="10">
    <w:abstractNumId w:val="7"/>
  </w:num>
  <w:num w:numId="11">
    <w:abstractNumId w:val="8"/>
  </w:num>
  <w:num w:numId="12">
    <w:abstractNumId w:val="14"/>
  </w:num>
  <w:num w:numId="13">
    <w:abstractNumId w:val="20"/>
  </w:num>
  <w:num w:numId="14">
    <w:abstractNumId w:val="5"/>
  </w:num>
  <w:num w:numId="15">
    <w:abstractNumId w:val="0"/>
  </w:num>
  <w:num w:numId="16">
    <w:abstractNumId w:val="10"/>
  </w:num>
  <w:num w:numId="17">
    <w:abstractNumId w:val="17"/>
  </w:num>
  <w:num w:numId="18">
    <w:abstractNumId w:val="18"/>
  </w:num>
  <w:num w:numId="1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1"/>
  </w:num>
  <w:num w:numId="21">
    <w:abstractNumId w:val="25"/>
  </w:num>
  <w:num w:numId="22">
    <w:abstractNumId w:val="9"/>
  </w:num>
  <w:num w:numId="23">
    <w:abstractNumId w:val="1"/>
  </w:num>
  <w:num w:numId="24">
    <w:abstractNumId w:val="22"/>
  </w:num>
  <w:num w:numId="25">
    <w:abstractNumId w:val="6"/>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LcwMjAyMjW0NDU3MzNU0lEKTi0uzszPAykwqgUATn91HywAAAA="/>
  </w:docVars>
  <w:rsids>
    <w:rsidRoot w:val="00FB4521"/>
    <w:rsid w:val="00011666"/>
    <w:rsid w:val="000138ED"/>
    <w:rsid w:val="00026B02"/>
    <w:rsid w:val="000822E5"/>
    <w:rsid w:val="000971FC"/>
    <w:rsid w:val="000A2A3A"/>
    <w:rsid w:val="000A492A"/>
    <w:rsid w:val="000D2F80"/>
    <w:rsid w:val="000E413A"/>
    <w:rsid w:val="000F5AA3"/>
    <w:rsid w:val="00100396"/>
    <w:rsid w:val="00100B5C"/>
    <w:rsid w:val="00105A08"/>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1294"/>
    <w:rsid w:val="002444CA"/>
    <w:rsid w:val="00260DE6"/>
    <w:rsid w:val="00273FEE"/>
    <w:rsid w:val="0028204E"/>
    <w:rsid w:val="0028591B"/>
    <w:rsid w:val="00291841"/>
    <w:rsid w:val="002C449B"/>
    <w:rsid w:val="002C6040"/>
    <w:rsid w:val="002D5B3F"/>
    <w:rsid w:val="002E0F5E"/>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A7"/>
    <w:rsid w:val="00426244"/>
    <w:rsid w:val="00470A38"/>
    <w:rsid w:val="004874DE"/>
    <w:rsid w:val="004B5334"/>
    <w:rsid w:val="004B5C19"/>
    <w:rsid w:val="004B6C14"/>
    <w:rsid w:val="004D63D9"/>
    <w:rsid w:val="0050249F"/>
    <w:rsid w:val="00524566"/>
    <w:rsid w:val="00530BEF"/>
    <w:rsid w:val="005617CF"/>
    <w:rsid w:val="00561F00"/>
    <w:rsid w:val="00562C4E"/>
    <w:rsid w:val="00562DEC"/>
    <w:rsid w:val="00576AB4"/>
    <w:rsid w:val="00577917"/>
    <w:rsid w:val="00590667"/>
    <w:rsid w:val="005969E2"/>
    <w:rsid w:val="005A1689"/>
    <w:rsid w:val="005B61CD"/>
    <w:rsid w:val="005D1D58"/>
    <w:rsid w:val="005D29F9"/>
    <w:rsid w:val="005D432C"/>
    <w:rsid w:val="005E285E"/>
    <w:rsid w:val="005E72F8"/>
    <w:rsid w:val="005F0579"/>
    <w:rsid w:val="005F6180"/>
    <w:rsid w:val="006062A3"/>
    <w:rsid w:val="00610E08"/>
    <w:rsid w:val="006140BF"/>
    <w:rsid w:val="006161BE"/>
    <w:rsid w:val="00620787"/>
    <w:rsid w:val="00632434"/>
    <w:rsid w:val="0063478F"/>
    <w:rsid w:val="00641090"/>
    <w:rsid w:val="00644256"/>
    <w:rsid w:val="00661D6F"/>
    <w:rsid w:val="006628E9"/>
    <w:rsid w:val="0066725E"/>
    <w:rsid w:val="006716C7"/>
    <w:rsid w:val="00681208"/>
    <w:rsid w:val="00681FA9"/>
    <w:rsid w:val="00691EA9"/>
    <w:rsid w:val="006934D4"/>
    <w:rsid w:val="006A6DC3"/>
    <w:rsid w:val="006D49ED"/>
    <w:rsid w:val="006D55CE"/>
    <w:rsid w:val="006D637A"/>
    <w:rsid w:val="006E65FF"/>
    <w:rsid w:val="006F45BF"/>
    <w:rsid w:val="006F60E0"/>
    <w:rsid w:val="00702F71"/>
    <w:rsid w:val="007366DF"/>
    <w:rsid w:val="007423C5"/>
    <w:rsid w:val="00757839"/>
    <w:rsid w:val="00770C81"/>
    <w:rsid w:val="007866E5"/>
    <w:rsid w:val="00791024"/>
    <w:rsid w:val="00793F0A"/>
    <w:rsid w:val="007A2657"/>
    <w:rsid w:val="007C2438"/>
    <w:rsid w:val="007C682C"/>
    <w:rsid w:val="007D2385"/>
    <w:rsid w:val="007F214F"/>
    <w:rsid w:val="00800069"/>
    <w:rsid w:val="008310A0"/>
    <w:rsid w:val="00835D29"/>
    <w:rsid w:val="00842E7F"/>
    <w:rsid w:val="00852933"/>
    <w:rsid w:val="008566E5"/>
    <w:rsid w:val="008566FE"/>
    <w:rsid w:val="00865B46"/>
    <w:rsid w:val="0088296F"/>
    <w:rsid w:val="00896134"/>
    <w:rsid w:val="008A2003"/>
    <w:rsid w:val="008A62BC"/>
    <w:rsid w:val="008B43E7"/>
    <w:rsid w:val="008C1855"/>
    <w:rsid w:val="008D763F"/>
    <w:rsid w:val="008F036F"/>
    <w:rsid w:val="008F78C2"/>
    <w:rsid w:val="00904568"/>
    <w:rsid w:val="00911394"/>
    <w:rsid w:val="00923EF2"/>
    <w:rsid w:val="00926D25"/>
    <w:rsid w:val="00926E9D"/>
    <w:rsid w:val="00932C6E"/>
    <w:rsid w:val="00933F10"/>
    <w:rsid w:val="009433C5"/>
    <w:rsid w:val="00965881"/>
    <w:rsid w:val="009871FF"/>
    <w:rsid w:val="00990799"/>
    <w:rsid w:val="009A0631"/>
    <w:rsid w:val="009D3EA4"/>
    <w:rsid w:val="009D649C"/>
    <w:rsid w:val="009E4BC1"/>
    <w:rsid w:val="009F5CB2"/>
    <w:rsid w:val="00A03BB8"/>
    <w:rsid w:val="00A16174"/>
    <w:rsid w:val="00A3505D"/>
    <w:rsid w:val="00A4036F"/>
    <w:rsid w:val="00A4641C"/>
    <w:rsid w:val="00A52FDE"/>
    <w:rsid w:val="00A55876"/>
    <w:rsid w:val="00A62BD8"/>
    <w:rsid w:val="00A67FB1"/>
    <w:rsid w:val="00AB6FE7"/>
    <w:rsid w:val="00AB7AD7"/>
    <w:rsid w:val="00AD2430"/>
    <w:rsid w:val="00AE41A6"/>
    <w:rsid w:val="00AF0E34"/>
    <w:rsid w:val="00AF271D"/>
    <w:rsid w:val="00AF56C2"/>
    <w:rsid w:val="00B004E6"/>
    <w:rsid w:val="00B01A8F"/>
    <w:rsid w:val="00B0744D"/>
    <w:rsid w:val="00B53B62"/>
    <w:rsid w:val="00B64082"/>
    <w:rsid w:val="00B72325"/>
    <w:rsid w:val="00B81AD3"/>
    <w:rsid w:val="00B829D8"/>
    <w:rsid w:val="00B84B5B"/>
    <w:rsid w:val="00B86446"/>
    <w:rsid w:val="00BA1176"/>
    <w:rsid w:val="00BA6B2C"/>
    <w:rsid w:val="00BC0EEA"/>
    <w:rsid w:val="00BE0B01"/>
    <w:rsid w:val="00BE34DB"/>
    <w:rsid w:val="00BE79C7"/>
    <w:rsid w:val="00BF3CB5"/>
    <w:rsid w:val="00BF4918"/>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71AE"/>
    <w:rsid w:val="00DA36EE"/>
    <w:rsid w:val="00DB116D"/>
    <w:rsid w:val="00DD17CC"/>
    <w:rsid w:val="00DE217A"/>
    <w:rsid w:val="00DF321B"/>
    <w:rsid w:val="00E230E0"/>
    <w:rsid w:val="00E3293C"/>
    <w:rsid w:val="00E51AAC"/>
    <w:rsid w:val="00E66CC0"/>
    <w:rsid w:val="00E728A9"/>
    <w:rsid w:val="00E807D9"/>
    <w:rsid w:val="00EA0F4E"/>
    <w:rsid w:val="00EA295B"/>
    <w:rsid w:val="00EA6801"/>
    <w:rsid w:val="00EB4F96"/>
    <w:rsid w:val="00ED7072"/>
    <w:rsid w:val="00EE3132"/>
    <w:rsid w:val="00EE3D9D"/>
    <w:rsid w:val="00EE6F25"/>
    <w:rsid w:val="00EF62B0"/>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52293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D971AE"/>
    <w:rPr>
      <w:sz w:val="16"/>
      <w:szCs w:val="16"/>
    </w:rPr>
  </w:style>
  <w:style w:type="paragraph" w:styleId="CommentText">
    <w:name w:val="annotation text"/>
    <w:basedOn w:val="Normal"/>
    <w:link w:val="CommentTextChar"/>
    <w:semiHidden/>
    <w:unhideWhenUsed/>
    <w:rsid w:val="00D971AE"/>
  </w:style>
  <w:style w:type="character" w:customStyle="1" w:styleId="CommentTextChar">
    <w:name w:val="Comment Text Char"/>
    <w:basedOn w:val="DefaultParagraphFont"/>
    <w:link w:val="CommentText"/>
    <w:semiHidden/>
    <w:rsid w:val="00D971AE"/>
    <w:rPr>
      <w:lang w:eastAsia="en-GB"/>
    </w:rPr>
  </w:style>
  <w:style w:type="paragraph" w:styleId="CommentSubject">
    <w:name w:val="annotation subject"/>
    <w:basedOn w:val="CommentText"/>
    <w:next w:val="CommentText"/>
    <w:link w:val="CommentSubjectChar"/>
    <w:semiHidden/>
    <w:unhideWhenUsed/>
    <w:rsid w:val="00D971AE"/>
    <w:rPr>
      <w:b/>
      <w:bCs/>
    </w:rPr>
  </w:style>
  <w:style w:type="character" w:customStyle="1" w:styleId="CommentSubjectChar">
    <w:name w:val="Comment Subject Char"/>
    <w:basedOn w:val="CommentTextChar"/>
    <w:link w:val="CommentSubject"/>
    <w:semiHidden/>
    <w:rsid w:val="00D971AE"/>
    <w:rPr>
      <w:b/>
      <w:bCs/>
      <w:lang w:eastAsia="en-GB"/>
    </w:rPr>
  </w:style>
  <w:style w:type="paragraph" w:customStyle="1" w:styleId="Default">
    <w:name w:val="Default"/>
    <w:rsid w:val="00B01A8F"/>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229199">
      <w:bodyDiv w:val="1"/>
      <w:marLeft w:val="0"/>
      <w:marRight w:val="0"/>
      <w:marTop w:val="0"/>
      <w:marBottom w:val="0"/>
      <w:divBdr>
        <w:top w:val="none" w:sz="0" w:space="0" w:color="auto"/>
        <w:left w:val="none" w:sz="0" w:space="0" w:color="auto"/>
        <w:bottom w:val="none" w:sz="0" w:space="0" w:color="auto"/>
        <w:right w:val="none" w:sz="0" w:space="0" w:color="auto"/>
      </w:divBdr>
    </w:div>
    <w:div w:id="536044001">
      <w:bodyDiv w:val="1"/>
      <w:marLeft w:val="0"/>
      <w:marRight w:val="0"/>
      <w:marTop w:val="0"/>
      <w:marBottom w:val="0"/>
      <w:divBdr>
        <w:top w:val="none" w:sz="0" w:space="0" w:color="auto"/>
        <w:left w:val="none" w:sz="0" w:space="0" w:color="auto"/>
        <w:bottom w:val="none" w:sz="0" w:space="0" w:color="auto"/>
        <w:right w:val="none" w:sz="0" w:space="0" w:color="auto"/>
      </w:divBdr>
    </w:div>
    <w:div w:id="803163156">
      <w:bodyDiv w:val="1"/>
      <w:marLeft w:val="0"/>
      <w:marRight w:val="0"/>
      <w:marTop w:val="0"/>
      <w:marBottom w:val="0"/>
      <w:divBdr>
        <w:top w:val="none" w:sz="0" w:space="0" w:color="auto"/>
        <w:left w:val="none" w:sz="0" w:space="0" w:color="auto"/>
        <w:bottom w:val="none" w:sz="0" w:space="0" w:color="auto"/>
        <w:right w:val="none" w:sz="0" w:space="0" w:color="auto"/>
      </w:divBdr>
    </w:div>
    <w:div w:id="11082404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0948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image" Target="media/image3.png"/><Relationship Id="rId39" Type="http://schemas.openxmlformats.org/officeDocument/2006/relationships/footer" Target="footer1.xml"/><Relationship Id="rId21" Type="http://schemas.openxmlformats.org/officeDocument/2006/relationships/chart" Target="charts/chart11.xml"/><Relationship Id="rId34" Type="http://schemas.openxmlformats.org/officeDocument/2006/relationships/hyperlink" Target="http://www.cdl.org/articles/what-strategies-can-be-used-to-increase-memor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hyperlink" Target="https://www.bera.ac.uk/researchers-resources/publications/ethical-guidelines-for-educational-research-201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14.xml"/><Relationship Id="rId32" Type="http://schemas.openxmlformats.org/officeDocument/2006/relationships/hyperlink" Target="http://doi.org/10.1073/pnas.0711295105" TargetMode="External"/><Relationship Id="rId37" Type="http://schemas.openxmlformats.org/officeDocument/2006/relationships/image" Target="media/image4.emf"/><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chart" Target="charts/chart13.xml"/><Relationship Id="rId28" Type="http://schemas.openxmlformats.org/officeDocument/2006/relationships/chart" Target="charts/chart16.xml"/><Relationship Id="rId36" Type="http://schemas.openxmlformats.org/officeDocument/2006/relationships/hyperlink" Target="http://learning.gov.wales/resources/browse-all/nlnf/?lang=en" TargetMode="External"/><Relationship Id="rId10" Type="http://schemas.openxmlformats.org/officeDocument/2006/relationships/image" Target="cid:image001.png@01D0EA4A.2BD679A0" TargetMode="External"/><Relationship Id="rId19" Type="http://schemas.openxmlformats.org/officeDocument/2006/relationships/chart" Target="charts/chart9.xml"/><Relationship Id="rId31" Type="http://schemas.openxmlformats.org/officeDocument/2006/relationships/hyperlink" Target="http://www.assembly.wales/Research%20Documents/Literacy%20and%20Numeracy%20in%20Wales%20-%20Research%20paper-03062013-246762/13-039-English.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chart" Target="charts/chart12.xml"/><Relationship Id="rId27" Type="http://schemas.microsoft.com/office/2007/relationships/hdphoto" Target="media/hdphoto1.wdp"/><Relationship Id="rId30" Type="http://schemas.openxmlformats.org/officeDocument/2006/relationships/hyperlink" Target="https://www.shirleyclarke-education.org/research/learning-objectives-co-constructed-success-criteria-2/" TargetMode="External"/><Relationship Id="rId35" Type="http://schemas.openxmlformats.org/officeDocument/2006/relationships/hyperlink" Target="http://learning.gov.wales/resources/browse-all/science-in-the-national-curriculum/?lang=en" TargetMode="Externa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chart" Target="charts/chart15.xml"/><Relationship Id="rId33" Type="http://schemas.openxmlformats.org/officeDocument/2006/relationships/hyperlink" Target="http://www.swccd.edu/Modules/ShowDocument.aspx?documentid=13018" TargetMode="External"/><Relationship Id="rId38" Type="http://schemas.openxmlformats.org/officeDocument/2006/relationships/image" Target="media/image5.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user\AppData\Local\Packages\Microsoft.SkypeApp_kzf8qxf38zg5c\LocalState\Downloads\pupil%20data.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C:\Users\user\AppData\Local\Packages\Microsoft.SkypeApp_kzf8qxf38zg5c\LocalState\Downloads\pupil%20data.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C:\Users\user\AppData\Local\Packages\Microsoft.SkypeApp_kzf8qxf38zg5c\LocalState\Downloads\pupil%20data.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C:\Users\user\AppData\Local\Packages\Microsoft.SkypeApp_kzf8qxf38zg5c\LocalState\Downloads\pupil%20data.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user\AppData\Local\Packages\Microsoft.SkypeApp_kzf8qxf38zg5c\LocalState\Downloads\pupil%20data.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file:///C:\Users\user\AppData\Local\Packages\Microsoft.SkypeApp_kzf8qxf38zg5c\LocalState\Downloads\pupil%20data.xlsx" TargetMode="Externa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file:///C:\Users\user\AppData\Local\Packages\Microsoft.SkypeApp_kzf8qxf38zg5c\LocalState\Downloads\pupil%20data.xlsx" TargetMode="Externa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file:///C:\Users\user\AppData\Local\Packages\Microsoft.SkypeApp_kzf8qxf38zg5c\LocalState\Downloads\pupil%20data.xlsx" TargetMode="Externa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file:///C:\Users\user\AppData\Local\Packages\Microsoft.SkypeApp_kzf8qxf38zg5c\LocalState\Downloads\pupil%20data.xlsx" TargetMode="External"/></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oleObject" Target="file:///C:\Users\user\AppData\Local\Packages\Microsoft.SkypeApp_kzf8qxf38zg5c\LocalState\Downloads\pupil%20data.xlsx" TargetMode="External"/></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oleObject" Target="file:///C:\Users\user\AppData\Local\Packages\Microsoft.SkypeApp_kzf8qxf38zg5c\LocalState\Downloads\pupil%20data.xlsx" TargetMode="External"/></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oleObject" Target="file:///C:\Users\user\AppData\Local\Packages\Microsoft.SkypeApp_kzf8qxf38zg5c\LocalState\Downloads\pupil%20data.xlsx" TargetMode="External"/></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oleObject" Target="file:///C:\Users\user\AppData\Local\Packages\Microsoft.SkypeApp_kzf8qxf38zg5c\LocalState\Downloads\pupil%20data.xlsx" TargetMode="External"/></Relationships>
</file>

<file path=word/charts/_rels/chart14.xml.rels><?xml version="1.0" encoding="UTF-8" standalone="yes"?>
<Relationships xmlns="http://schemas.openxmlformats.org/package/2006/relationships"><Relationship Id="rId3" Type="http://schemas.openxmlformats.org/officeDocument/2006/relationships/themeOverride" Target="../theme/themeOverride14.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oleObject" Target="file:///C:\Users\user\AppData\Local\Packages\Microsoft.SkypeApp_kzf8qxf38zg5c\LocalState\Downloads\pupil%20data.xlsx" TargetMode="External"/></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15.xm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oleObject" Target="../embeddings/oleObject1.bin"/></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6.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Scale</a:t>
            </a:r>
            <a:r>
              <a:rPr lang="en-GB" baseline="0"/>
              <a:t> after intervention</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after</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FA1-4625-AC7D-1A618A2EEB5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FA1-4625-AC7D-1A618A2EEB5C}"/>
              </c:ext>
            </c:extLst>
          </c:dPt>
          <c:cat>
            <c:strRef>
              <c:f>'[pupil data.xlsx]Sheet1'!$C$25:$C$26</c:f>
              <c:strCache>
                <c:ptCount val="2"/>
                <c:pt idx="0">
                  <c:v>Number of students that remembered</c:v>
                </c:pt>
                <c:pt idx="1">
                  <c:v>Number of students that didn't</c:v>
                </c:pt>
              </c:strCache>
            </c:strRef>
          </c:cat>
          <c:val>
            <c:numRef>
              <c:f>'[pupil data.xlsx]Sheet1'!$O$25:$O$26</c:f>
              <c:numCache>
                <c:formatCode>General</c:formatCode>
                <c:ptCount val="2"/>
                <c:pt idx="0">
                  <c:v>22</c:v>
                </c:pt>
                <c:pt idx="1">
                  <c:v>0</c:v>
                </c:pt>
              </c:numCache>
            </c:numRef>
          </c:val>
          <c:extLst>
            <c:ext xmlns:c16="http://schemas.microsoft.com/office/drawing/2014/chart" uri="{C3380CC4-5D6E-409C-BE32-E72D297353CC}">
              <c16:uniqueId val="{00000004-6FA1-4625-AC7D-1A618A2EEB5C}"/>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Scale before intervention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DEF-434F-9CCF-A27996A4115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DEF-434F-9CCF-A27996A41157}"/>
              </c:ext>
            </c:extLst>
          </c:dPt>
          <c:cat>
            <c:strRef>
              <c:f>'[pupil data.xlsx]Sheet1'!$C$25:$C$26</c:f>
              <c:strCache>
                <c:ptCount val="2"/>
                <c:pt idx="0">
                  <c:v>Number of students that remembered</c:v>
                </c:pt>
                <c:pt idx="1">
                  <c:v>Number of students that didn't</c:v>
                </c:pt>
              </c:strCache>
            </c:strRef>
          </c:cat>
          <c:val>
            <c:numRef>
              <c:f>'[pupil data.xlsx]Sheet1'!$E$25:$E$26</c:f>
              <c:numCache>
                <c:formatCode>General</c:formatCode>
                <c:ptCount val="2"/>
                <c:pt idx="0">
                  <c:v>18</c:v>
                </c:pt>
                <c:pt idx="1">
                  <c:v>4</c:v>
                </c:pt>
              </c:numCache>
            </c:numRef>
          </c:val>
          <c:extLst>
            <c:ext xmlns:c16="http://schemas.microsoft.com/office/drawing/2014/chart" uri="{C3380CC4-5D6E-409C-BE32-E72D297353CC}">
              <c16:uniqueId val="{00000004-DDEF-434F-9CCF-A27996A41157}"/>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Axes after intervention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8E3-4C1F-9F9B-390B065AE3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8E3-4C1F-9F9B-390B065AE36B}"/>
              </c:ext>
            </c:extLst>
          </c:dPt>
          <c:cat>
            <c:strRef>
              <c:f>'[pupil data.xlsx]Sheet1'!$C$25:$C$26</c:f>
              <c:strCache>
                <c:ptCount val="2"/>
                <c:pt idx="0">
                  <c:v>Number of students that remembered</c:v>
                </c:pt>
                <c:pt idx="1">
                  <c:v>Number of students that didn't</c:v>
                </c:pt>
              </c:strCache>
            </c:strRef>
          </c:cat>
          <c:val>
            <c:numRef>
              <c:f>'[pupil data.xlsx]Sheet1'!$P$25:$P$26</c:f>
              <c:numCache>
                <c:formatCode>General</c:formatCode>
                <c:ptCount val="2"/>
                <c:pt idx="0">
                  <c:v>11</c:v>
                </c:pt>
                <c:pt idx="1">
                  <c:v>11</c:v>
                </c:pt>
              </c:numCache>
            </c:numRef>
          </c:val>
          <c:extLst>
            <c:ext xmlns:c16="http://schemas.microsoft.com/office/drawing/2014/chart" uri="{C3380CC4-5D6E-409C-BE32-E72D297353CC}">
              <c16:uniqueId val="{00000004-28E3-4C1F-9F9B-390B065AE36B}"/>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Axes before intervention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36-45F6-8343-ECDC6181062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36-45F6-8343-ECDC6181062B}"/>
              </c:ext>
            </c:extLst>
          </c:dPt>
          <c:cat>
            <c:strRef>
              <c:f>'[pupil data.xlsx]Sheet1'!$C$25:$C$26</c:f>
              <c:strCache>
                <c:ptCount val="2"/>
                <c:pt idx="0">
                  <c:v>Number of students that remembered</c:v>
                </c:pt>
                <c:pt idx="1">
                  <c:v>Number of students that didn't</c:v>
                </c:pt>
              </c:strCache>
            </c:strRef>
          </c:cat>
          <c:val>
            <c:numRef>
              <c:f>'[pupil data.xlsx]Sheet1'!$F$25:$F$26</c:f>
              <c:numCache>
                <c:formatCode>General</c:formatCode>
                <c:ptCount val="2"/>
                <c:pt idx="0">
                  <c:v>3</c:v>
                </c:pt>
                <c:pt idx="1">
                  <c:v>19</c:v>
                </c:pt>
              </c:numCache>
            </c:numRef>
          </c:val>
          <c:extLst>
            <c:ext xmlns:c16="http://schemas.microsoft.com/office/drawing/2014/chart" uri="{C3380CC4-5D6E-409C-BE32-E72D297353CC}">
              <c16:uniqueId val="{00000004-D836-45F6-8343-ECDC6181062B}"/>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Labels after intervention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F05-46A2-891F-A1882C03338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F05-46A2-891F-A1882C033383}"/>
              </c:ext>
            </c:extLst>
          </c:dPt>
          <c:cat>
            <c:strRef>
              <c:f>'[pupil data.xlsx]Sheet1'!$C$25:$C$26</c:f>
              <c:strCache>
                <c:ptCount val="2"/>
                <c:pt idx="0">
                  <c:v>Number of students that remembered</c:v>
                </c:pt>
                <c:pt idx="1">
                  <c:v>Number of students that didn't</c:v>
                </c:pt>
              </c:strCache>
            </c:strRef>
          </c:cat>
          <c:val>
            <c:numRef>
              <c:f>'[pupil data.xlsx]Sheet1'!$Q$25:$Q$26</c:f>
              <c:numCache>
                <c:formatCode>General</c:formatCode>
                <c:ptCount val="2"/>
                <c:pt idx="0">
                  <c:v>20</c:v>
                </c:pt>
                <c:pt idx="1">
                  <c:v>2</c:v>
                </c:pt>
              </c:numCache>
            </c:numRef>
          </c:val>
          <c:extLst>
            <c:ext xmlns:c16="http://schemas.microsoft.com/office/drawing/2014/chart" uri="{C3380CC4-5D6E-409C-BE32-E72D297353CC}">
              <c16:uniqueId val="{00000004-DF05-46A2-891F-A1882C033383}"/>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Labels before intervention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FCD-4806-9A35-B19325A91CB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FCD-4806-9A35-B19325A91CB2}"/>
              </c:ext>
            </c:extLst>
          </c:dPt>
          <c:cat>
            <c:strRef>
              <c:f>'[pupil data.xlsx]Sheet1'!$C$25:$C$26</c:f>
              <c:strCache>
                <c:ptCount val="2"/>
                <c:pt idx="0">
                  <c:v>Number of students that remembered</c:v>
                </c:pt>
                <c:pt idx="1">
                  <c:v>Number of students that didn't</c:v>
                </c:pt>
              </c:strCache>
            </c:strRef>
          </c:cat>
          <c:val>
            <c:numRef>
              <c:f>'[pupil data.xlsx]Sheet1'!$G$25:$G$26</c:f>
              <c:numCache>
                <c:formatCode>General</c:formatCode>
                <c:ptCount val="2"/>
                <c:pt idx="0">
                  <c:v>7</c:v>
                </c:pt>
                <c:pt idx="1">
                  <c:v>15</c:v>
                </c:pt>
              </c:numCache>
            </c:numRef>
          </c:val>
          <c:extLst>
            <c:ext xmlns:c16="http://schemas.microsoft.com/office/drawing/2014/chart" uri="{C3380CC4-5D6E-409C-BE32-E72D297353CC}">
              <c16:uniqueId val="{00000004-3FCD-4806-9A35-B19325A91CB2}"/>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Units after intervention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89C-4884-A0CF-2E9A8E55D23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89C-4884-A0CF-2E9A8E55D236}"/>
              </c:ext>
            </c:extLst>
          </c:dPt>
          <c:cat>
            <c:strRef>
              <c:f>'[pupil data.xlsx]Sheet1'!$C$25:$C$26</c:f>
              <c:strCache>
                <c:ptCount val="2"/>
                <c:pt idx="0">
                  <c:v>Number of students that remembered</c:v>
                </c:pt>
                <c:pt idx="1">
                  <c:v>Number of students that didn't</c:v>
                </c:pt>
              </c:strCache>
            </c:strRef>
          </c:cat>
          <c:val>
            <c:numRef>
              <c:f>'[pupil data.xlsx]Sheet1'!$R$25:$R$26</c:f>
              <c:numCache>
                <c:formatCode>General</c:formatCode>
                <c:ptCount val="2"/>
                <c:pt idx="0">
                  <c:v>20</c:v>
                </c:pt>
                <c:pt idx="1">
                  <c:v>2</c:v>
                </c:pt>
              </c:numCache>
            </c:numRef>
          </c:val>
          <c:extLst>
            <c:ext xmlns:c16="http://schemas.microsoft.com/office/drawing/2014/chart" uri="{C3380CC4-5D6E-409C-BE32-E72D297353CC}">
              <c16:uniqueId val="{00000004-F89C-4884-A0CF-2E9A8E55D236}"/>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Units before intervention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52C-4A16-A4F0-4F8B5BC98CA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52C-4A16-A4F0-4F8B5BC98CAB}"/>
              </c:ext>
            </c:extLst>
          </c:dPt>
          <c:cat>
            <c:strRef>
              <c:f>'[pupil data.xlsx]Sheet1'!$C$25:$C$26</c:f>
              <c:strCache>
                <c:ptCount val="2"/>
                <c:pt idx="0">
                  <c:v>Number of students that remembered</c:v>
                </c:pt>
                <c:pt idx="1">
                  <c:v>Number of students that didn't</c:v>
                </c:pt>
              </c:strCache>
            </c:strRef>
          </c:cat>
          <c:val>
            <c:numRef>
              <c:f>'[pupil data.xlsx]Sheet1'!$H$25:$H$26</c:f>
              <c:numCache>
                <c:formatCode>General</c:formatCode>
                <c:ptCount val="2"/>
                <c:pt idx="0">
                  <c:v>7</c:v>
                </c:pt>
                <c:pt idx="1">
                  <c:v>15</c:v>
                </c:pt>
              </c:numCache>
            </c:numRef>
          </c:val>
          <c:extLst>
            <c:ext xmlns:c16="http://schemas.microsoft.com/office/drawing/2014/chart" uri="{C3380CC4-5D6E-409C-BE32-E72D297353CC}">
              <c16:uniqueId val="{00000004-752C-4A16-A4F0-4F8B5BC98CAB}"/>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Title after intervention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302-4949-8C55-BBDD72CBB19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302-4949-8C55-BBDD72CBB192}"/>
              </c:ext>
            </c:extLst>
          </c:dPt>
          <c:cat>
            <c:strRef>
              <c:f>'[pupil data.xlsx]Sheet1'!$C$25:$C$26</c:f>
              <c:strCache>
                <c:ptCount val="2"/>
                <c:pt idx="0">
                  <c:v>Number of students that remembered</c:v>
                </c:pt>
                <c:pt idx="1">
                  <c:v>Number of students that didn't</c:v>
                </c:pt>
              </c:strCache>
            </c:strRef>
          </c:cat>
          <c:val>
            <c:numRef>
              <c:f>'[pupil data.xlsx]Sheet1'!$S$25:$S$26</c:f>
              <c:numCache>
                <c:formatCode>General</c:formatCode>
                <c:ptCount val="2"/>
                <c:pt idx="0">
                  <c:v>20</c:v>
                </c:pt>
                <c:pt idx="1">
                  <c:v>2</c:v>
                </c:pt>
              </c:numCache>
            </c:numRef>
          </c:val>
          <c:extLst>
            <c:ext xmlns:c16="http://schemas.microsoft.com/office/drawing/2014/chart" uri="{C3380CC4-5D6E-409C-BE32-E72D297353CC}">
              <c16:uniqueId val="{00000004-B302-4949-8C55-BBDD72CBB192}"/>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Title before intervention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8C2-4FF0-BDF7-E39CECA0A31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8C2-4FF0-BDF7-E39CECA0A31B}"/>
              </c:ext>
            </c:extLst>
          </c:dPt>
          <c:cat>
            <c:strRef>
              <c:f>'[pupil data.xlsx]Sheet1'!$C$25:$C$26</c:f>
              <c:strCache>
                <c:ptCount val="2"/>
                <c:pt idx="0">
                  <c:v>Number of students that remembered</c:v>
                </c:pt>
                <c:pt idx="1">
                  <c:v>Number of students that didn't</c:v>
                </c:pt>
              </c:strCache>
            </c:strRef>
          </c:cat>
          <c:val>
            <c:numRef>
              <c:f>'[pupil data.xlsx]Sheet1'!$I$25:$I$26</c:f>
              <c:numCache>
                <c:formatCode>General</c:formatCode>
                <c:ptCount val="2"/>
                <c:pt idx="0">
                  <c:v>5</c:v>
                </c:pt>
                <c:pt idx="1">
                  <c:v>17</c:v>
                </c:pt>
              </c:numCache>
            </c:numRef>
          </c:val>
          <c:extLst>
            <c:ext xmlns:c16="http://schemas.microsoft.com/office/drawing/2014/chart" uri="{C3380CC4-5D6E-409C-BE32-E72D297353CC}">
              <c16:uniqueId val="{00000004-98C2-4FF0-BDF7-E39CECA0A31B}"/>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Explanation before intervention</a:t>
            </a:r>
          </a:p>
        </c:rich>
      </c:tx>
      <c:layout>
        <c:manualLayout>
          <c:xMode val="edge"/>
          <c:yMode val="edge"/>
          <c:x val="0.13891740805126632"/>
          <c:y val="3.7037037037037035E-2"/>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621-488A-997B-F776880AEBD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621-488A-997B-F776880AEBD5}"/>
              </c:ext>
            </c:extLst>
          </c:dPt>
          <c:cat>
            <c:strRef>
              <c:f>'[pupil data.xlsx]Sheet1'!$C$25:$C$26</c:f>
              <c:strCache>
                <c:ptCount val="2"/>
                <c:pt idx="0">
                  <c:v>Number of students that remembered</c:v>
                </c:pt>
                <c:pt idx="1">
                  <c:v>Number of students that didn't</c:v>
                </c:pt>
              </c:strCache>
            </c:strRef>
          </c:cat>
          <c:val>
            <c:numRef>
              <c:f>'[pupil data.xlsx]Sheet1'!$J$25:$J$26</c:f>
              <c:numCache>
                <c:formatCode>General</c:formatCode>
                <c:ptCount val="2"/>
                <c:pt idx="0">
                  <c:v>8</c:v>
                </c:pt>
                <c:pt idx="1">
                  <c:v>14</c:v>
                </c:pt>
              </c:numCache>
            </c:numRef>
          </c:val>
          <c:extLst>
            <c:ext xmlns:c16="http://schemas.microsoft.com/office/drawing/2014/chart" uri="{C3380CC4-5D6E-409C-BE32-E72D297353CC}">
              <c16:uniqueId val="{00000004-4621-488A-997B-F776880AEBD5}"/>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Explanation after intervention</a:t>
            </a:r>
          </a:p>
        </c:rich>
      </c:tx>
      <c:layout/>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06F-4888-9418-A752F8EEB43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06F-4888-9418-A752F8EEB43C}"/>
              </c:ext>
            </c:extLst>
          </c:dPt>
          <c:cat>
            <c:strRef>
              <c:f>'[pupil data.xlsx]Sheet1'!$C$25:$C$26</c:f>
              <c:strCache>
                <c:ptCount val="2"/>
                <c:pt idx="0">
                  <c:v>Number of students that remembered</c:v>
                </c:pt>
                <c:pt idx="1">
                  <c:v>Number of students that didn't</c:v>
                </c:pt>
              </c:strCache>
            </c:strRef>
          </c:cat>
          <c:val>
            <c:numRef>
              <c:f>'[pupil data.xlsx]Sheet1'!$T$25:$T$26</c:f>
              <c:numCache>
                <c:formatCode>General</c:formatCode>
                <c:ptCount val="2"/>
                <c:pt idx="0">
                  <c:v>19</c:v>
                </c:pt>
                <c:pt idx="1">
                  <c:v>3</c:v>
                </c:pt>
              </c:numCache>
            </c:numRef>
          </c:val>
          <c:extLst>
            <c:ext xmlns:c16="http://schemas.microsoft.com/office/drawing/2014/chart" uri="{C3380CC4-5D6E-409C-BE32-E72D297353CC}">
              <c16:uniqueId val="{00000004-C06F-4888-9418-A752F8EEB43C}"/>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Size before intervention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098-4A85-AF16-C6F56FF7C27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098-4A85-AF16-C6F56FF7C271}"/>
              </c:ext>
            </c:extLst>
          </c:dPt>
          <c:cat>
            <c:strRef>
              <c:f>'[pupil data.xlsx]Sheet1'!$C$25:$C$26</c:f>
              <c:strCache>
                <c:ptCount val="2"/>
                <c:pt idx="0">
                  <c:v>Number of students that remembered</c:v>
                </c:pt>
                <c:pt idx="1">
                  <c:v>Number of students that didn't</c:v>
                </c:pt>
              </c:strCache>
            </c:strRef>
          </c:cat>
          <c:val>
            <c:numRef>
              <c:f>'[pupil data.xlsx]Sheet1'!$K$25:$K$26</c:f>
              <c:numCache>
                <c:formatCode>General</c:formatCode>
                <c:ptCount val="2"/>
                <c:pt idx="0">
                  <c:v>15</c:v>
                </c:pt>
                <c:pt idx="1">
                  <c:v>7</c:v>
                </c:pt>
              </c:numCache>
            </c:numRef>
          </c:val>
          <c:extLst>
            <c:ext xmlns:c16="http://schemas.microsoft.com/office/drawing/2014/chart" uri="{C3380CC4-5D6E-409C-BE32-E72D297353CC}">
              <c16:uniqueId val="{00000004-B098-4A85-AF16-C6F56FF7C271}"/>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Size after intervention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Scale before</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956-4F64-B194-3118FB61F3F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956-4F64-B194-3118FB61F3FC}"/>
              </c:ext>
            </c:extLst>
          </c:dPt>
          <c:cat>
            <c:strRef>
              <c:f>'[pupil data.xlsx]Sheet1'!$C$25:$C$26</c:f>
              <c:strCache>
                <c:ptCount val="2"/>
                <c:pt idx="0">
                  <c:v>Number of students that remembered</c:v>
                </c:pt>
                <c:pt idx="1">
                  <c:v>Number of students that didn't</c:v>
                </c:pt>
              </c:strCache>
            </c:strRef>
          </c:cat>
          <c:val>
            <c:numRef>
              <c:f>'[pupil data.xlsx]Sheet1'!$U$25:$U$26</c:f>
              <c:numCache>
                <c:formatCode>General</c:formatCode>
                <c:ptCount val="2"/>
                <c:pt idx="0">
                  <c:v>19</c:v>
                </c:pt>
                <c:pt idx="1">
                  <c:v>3</c:v>
                </c:pt>
              </c:numCache>
            </c:numRef>
          </c:val>
          <c:extLst>
            <c:ext xmlns:c16="http://schemas.microsoft.com/office/drawing/2014/chart" uri="{C3380CC4-5D6E-409C-BE32-E72D297353CC}">
              <c16:uniqueId val="{00000004-9956-4F64-B194-3118FB61F3FC}"/>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Increase in percentage</a:t>
            </a:r>
            <a:r>
              <a:rPr lang="en-US" baseline="0"/>
              <a:t> against initial score</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exp"/>
            <c:dispRSqr val="1"/>
            <c:dispEq val="0"/>
            <c:trendlineLbl>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'[pupil data (2).xlsx]Sheet1'!$C$2:$C$23</c:f>
              <c:numCache>
                <c:formatCode>General</c:formatCode>
                <c:ptCount val="22"/>
                <c:pt idx="0">
                  <c:v>3</c:v>
                </c:pt>
                <c:pt idx="1">
                  <c:v>5</c:v>
                </c:pt>
                <c:pt idx="2">
                  <c:v>3</c:v>
                </c:pt>
                <c:pt idx="3">
                  <c:v>2</c:v>
                </c:pt>
                <c:pt idx="4">
                  <c:v>2</c:v>
                </c:pt>
                <c:pt idx="5">
                  <c:v>4</c:v>
                </c:pt>
                <c:pt idx="6">
                  <c:v>3</c:v>
                </c:pt>
                <c:pt idx="7">
                  <c:v>4</c:v>
                </c:pt>
                <c:pt idx="8">
                  <c:v>6</c:v>
                </c:pt>
                <c:pt idx="9">
                  <c:v>5</c:v>
                </c:pt>
                <c:pt idx="10">
                  <c:v>2</c:v>
                </c:pt>
                <c:pt idx="11">
                  <c:v>2</c:v>
                </c:pt>
                <c:pt idx="12">
                  <c:v>3</c:v>
                </c:pt>
                <c:pt idx="13">
                  <c:v>1</c:v>
                </c:pt>
                <c:pt idx="14">
                  <c:v>1</c:v>
                </c:pt>
                <c:pt idx="15">
                  <c:v>4</c:v>
                </c:pt>
                <c:pt idx="16">
                  <c:v>3</c:v>
                </c:pt>
                <c:pt idx="17">
                  <c:v>2</c:v>
                </c:pt>
                <c:pt idx="18">
                  <c:v>3</c:v>
                </c:pt>
                <c:pt idx="19">
                  <c:v>1</c:v>
                </c:pt>
                <c:pt idx="20">
                  <c:v>3</c:v>
                </c:pt>
                <c:pt idx="21">
                  <c:v>0</c:v>
                </c:pt>
              </c:numCache>
            </c:numRef>
          </c:xVal>
          <c:yVal>
            <c:numRef>
              <c:f>'[pupil data (2).xlsx]Sheet1'!$O$2:$O$23</c:f>
              <c:numCache>
                <c:formatCode>General</c:formatCode>
                <c:ptCount val="22"/>
                <c:pt idx="0">
                  <c:v>57.142857142857153</c:v>
                </c:pt>
                <c:pt idx="1">
                  <c:v>28.571428571428569</c:v>
                </c:pt>
                <c:pt idx="2">
                  <c:v>42.857142857142847</c:v>
                </c:pt>
                <c:pt idx="3">
                  <c:v>42.857142857142847</c:v>
                </c:pt>
                <c:pt idx="4">
                  <c:v>28.571428571428569</c:v>
                </c:pt>
                <c:pt idx="5">
                  <c:v>42.857142857142847</c:v>
                </c:pt>
                <c:pt idx="6">
                  <c:v>28.57142857142858</c:v>
                </c:pt>
                <c:pt idx="7">
                  <c:v>28.571428571428569</c:v>
                </c:pt>
                <c:pt idx="8">
                  <c:v>14.28571428571429</c:v>
                </c:pt>
                <c:pt idx="9">
                  <c:v>14.285714285714279</c:v>
                </c:pt>
                <c:pt idx="10">
                  <c:v>57.142857142857139</c:v>
                </c:pt>
                <c:pt idx="11">
                  <c:v>57.142857142857139</c:v>
                </c:pt>
                <c:pt idx="12">
                  <c:v>57.142857142857153</c:v>
                </c:pt>
                <c:pt idx="13">
                  <c:v>57.142857142857153</c:v>
                </c:pt>
                <c:pt idx="14">
                  <c:v>71.428571428571402</c:v>
                </c:pt>
                <c:pt idx="15">
                  <c:v>28.571428571428569</c:v>
                </c:pt>
                <c:pt idx="16">
                  <c:v>57.142857142857153</c:v>
                </c:pt>
                <c:pt idx="17">
                  <c:v>57.142857142857139</c:v>
                </c:pt>
                <c:pt idx="18">
                  <c:v>42.857142857142847</c:v>
                </c:pt>
                <c:pt idx="19">
                  <c:v>71.428571428571402</c:v>
                </c:pt>
                <c:pt idx="20">
                  <c:v>57.142857142857153</c:v>
                </c:pt>
                <c:pt idx="21">
                  <c:v>42.857142857142847</c:v>
                </c:pt>
              </c:numCache>
            </c:numRef>
          </c:yVal>
          <c:smooth val="0"/>
          <c:extLst>
            <c:ext xmlns:c16="http://schemas.microsoft.com/office/drawing/2014/chart" uri="{C3380CC4-5D6E-409C-BE32-E72D297353CC}">
              <c16:uniqueId val="{00000000-6835-45A2-BBDD-035345BDD267}"/>
            </c:ext>
          </c:extLst>
        </c:ser>
        <c:dLbls>
          <c:showLegendKey val="0"/>
          <c:showVal val="0"/>
          <c:showCatName val="0"/>
          <c:showSerName val="0"/>
          <c:showPercent val="0"/>
          <c:showBubbleSize val="0"/>
        </c:dLbls>
        <c:axId val="-262312512"/>
        <c:axId val="-262311152"/>
      </c:scatterChart>
      <c:valAx>
        <c:axId val="-262312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score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2311152"/>
        <c:crosses val="autoZero"/>
        <c:crossBetween val="midCat"/>
      </c:valAx>
      <c:valAx>
        <c:axId val="-262311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Increase</a:t>
                </a:r>
                <a:r>
                  <a:rPr lang="en-GB" baseline="0"/>
                  <a:t> in percentage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231251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Increase in percentage against initial score excluding outlier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exp"/>
            <c:dispRSqr val="1"/>
            <c:dispEq val="0"/>
            <c:trendlineLbl>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Sheet1!$C$2:$C$23</c:f>
              <c:numCache>
                <c:formatCode>General</c:formatCode>
                <c:ptCount val="22"/>
                <c:pt idx="0">
                  <c:v>3</c:v>
                </c:pt>
                <c:pt idx="1">
                  <c:v>5</c:v>
                </c:pt>
                <c:pt idx="2">
                  <c:v>3</c:v>
                </c:pt>
                <c:pt idx="3">
                  <c:v>2</c:v>
                </c:pt>
                <c:pt idx="4">
                  <c:v>2</c:v>
                </c:pt>
                <c:pt idx="5">
                  <c:v>4</c:v>
                </c:pt>
                <c:pt idx="6">
                  <c:v>3</c:v>
                </c:pt>
                <c:pt idx="7">
                  <c:v>4</c:v>
                </c:pt>
                <c:pt idx="8">
                  <c:v>6</c:v>
                </c:pt>
                <c:pt idx="9">
                  <c:v>5</c:v>
                </c:pt>
                <c:pt idx="10">
                  <c:v>2</c:v>
                </c:pt>
                <c:pt idx="11">
                  <c:v>2</c:v>
                </c:pt>
                <c:pt idx="12">
                  <c:v>3</c:v>
                </c:pt>
                <c:pt idx="13">
                  <c:v>1</c:v>
                </c:pt>
                <c:pt idx="14">
                  <c:v>1</c:v>
                </c:pt>
                <c:pt idx="15">
                  <c:v>4</c:v>
                </c:pt>
                <c:pt idx="16">
                  <c:v>3</c:v>
                </c:pt>
                <c:pt idx="17">
                  <c:v>2</c:v>
                </c:pt>
                <c:pt idx="18">
                  <c:v>3</c:v>
                </c:pt>
                <c:pt idx="19">
                  <c:v>1</c:v>
                </c:pt>
                <c:pt idx="20">
                  <c:v>3</c:v>
                </c:pt>
                <c:pt idx="21">
                  <c:v>0</c:v>
                </c:pt>
              </c:numCache>
            </c:numRef>
          </c:xVal>
          <c:yVal>
            <c:numRef>
              <c:f>Sheet1!$O$2:$O$22</c:f>
              <c:numCache>
                <c:formatCode>General</c:formatCode>
                <c:ptCount val="21"/>
                <c:pt idx="0">
                  <c:v>57.142857142857153</c:v>
                </c:pt>
                <c:pt idx="1">
                  <c:v>28.571428571428569</c:v>
                </c:pt>
                <c:pt idx="2">
                  <c:v>42.857142857142847</c:v>
                </c:pt>
                <c:pt idx="3">
                  <c:v>42.857142857142847</c:v>
                </c:pt>
                <c:pt idx="4">
                  <c:v>28.571428571428569</c:v>
                </c:pt>
                <c:pt idx="5">
                  <c:v>42.857142857142847</c:v>
                </c:pt>
                <c:pt idx="6">
                  <c:v>28.57142857142858</c:v>
                </c:pt>
                <c:pt idx="7">
                  <c:v>28.571428571428569</c:v>
                </c:pt>
                <c:pt idx="8">
                  <c:v>14.28571428571429</c:v>
                </c:pt>
                <c:pt idx="9">
                  <c:v>14.285714285714279</c:v>
                </c:pt>
                <c:pt idx="10">
                  <c:v>57.142857142857139</c:v>
                </c:pt>
                <c:pt idx="11">
                  <c:v>57.142857142857139</c:v>
                </c:pt>
                <c:pt idx="12">
                  <c:v>57.142857142857153</c:v>
                </c:pt>
                <c:pt idx="13">
                  <c:v>57.142857142857153</c:v>
                </c:pt>
                <c:pt idx="14">
                  <c:v>71.428571428571402</c:v>
                </c:pt>
                <c:pt idx="15">
                  <c:v>28.571428571428569</c:v>
                </c:pt>
                <c:pt idx="16">
                  <c:v>57.142857142857153</c:v>
                </c:pt>
                <c:pt idx="17">
                  <c:v>57.142857142857139</c:v>
                </c:pt>
                <c:pt idx="18">
                  <c:v>42.857142857142847</c:v>
                </c:pt>
                <c:pt idx="19">
                  <c:v>71.428571428571402</c:v>
                </c:pt>
                <c:pt idx="20">
                  <c:v>57.142857142857153</c:v>
                </c:pt>
              </c:numCache>
            </c:numRef>
          </c:yVal>
          <c:smooth val="0"/>
          <c:extLst>
            <c:ext xmlns:c16="http://schemas.microsoft.com/office/drawing/2014/chart" uri="{C3380CC4-5D6E-409C-BE32-E72D297353CC}">
              <c16:uniqueId val="{00000000-6E42-4F19-BF4F-8A7DC3DA6CC5}"/>
            </c:ext>
          </c:extLst>
        </c:ser>
        <c:dLbls>
          <c:showLegendKey val="0"/>
          <c:showVal val="0"/>
          <c:showCatName val="0"/>
          <c:showSerName val="0"/>
          <c:showPercent val="0"/>
          <c:showBubbleSize val="0"/>
        </c:dLbls>
        <c:axId val="-357754192"/>
        <c:axId val="-264223376"/>
      </c:scatterChart>
      <c:valAx>
        <c:axId val="-3577541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Initial score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223376"/>
        <c:crosses val="autoZero"/>
        <c:crossBetween val="midCat"/>
      </c:valAx>
      <c:valAx>
        <c:axId val="-264223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Increase</a:t>
                </a:r>
                <a:r>
                  <a:rPr lang="en-GB" baseline="0"/>
                  <a:t> in percentage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75419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D14D1E-191A-4411-9BCA-A3BEE37C4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34</Pages>
  <Words>8216</Words>
  <Characters>44860</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52971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pgce 6</cp:lastModifiedBy>
  <cp:revision>2</cp:revision>
  <cp:lastPrinted>2014-10-10T07:42:00Z</cp:lastPrinted>
  <dcterms:created xsi:type="dcterms:W3CDTF">2018-05-14T15:31:00Z</dcterms:created>
  <dcterms:modified xsi:type="dcterms:W3CDTF">2018-05-14T15:31:00Z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