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4B9A" w:rsidRPr="000317C9" w:rsidRDefault="00736BAE" w:rsidP="00B54B9A">
      <w:pPr>
        <w:pStyle w:val="Title"/>
        <w:ind w:right="26"/>
        <w:jc w:val="left"/>
        <w:rPr>
          <w:rFonts w:ascii="Trebuchet MS" w:hAnsi="Trebuchet MS" w:cs="Arial"/>
          <w:color w:val="000000"/>
          <w:sz w:val="22"/>
          <w:szCs w:val="22"/>
        </w:rPr>
      </w:pPr>
      <w:r w:rsidRPr="000317C9">
        <w:rPr>
          <w:rFonts w:ascii="Trebuchet MS" w:hAnsi="Trebuchet MS" w:cs="Arial"/>
          <w:noProof/>
          <w:color w:val="000000"/>
          <w:sz w:val="22"/>
          <w:szCs w:val="22"/>
        </w:rPr>
        <w:drawing>
          <wp:inline distT="0" distB="0" distL="0" distR="0" wp14:anchorId="06059B4B" wp14:editId="202341F9">
            <wp:extent cx="2905125" cy="1095375"/>
            <wp:effectExtent l="0" t="0" r="9525" b="952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5125" cy="1095375"/>
                    </a:xfrm>
                    <a:prstGeom prst="rect">
                      <a:avLst/>
                    </a:prstGeom>
                    <a:noFill/>
                    <a:ln>
                      <a:noFill/>
                    </a:ln>
                  </pic:spPr>
                </pic:pic>
              </a:graphicData>
            </a:graphic>
          </wp:inline>
        </w:drawing>
      </w:r>
    </w:p>
    <w:p w:rsidR="00B54B9A" w:rsidRPr="000317C9" w:rsidRDefault="00B54B9A" w:rsidP="00B54B9A">
      <w:pPr>
        <w:pStyle w:val="Title"/>
        <w:ind w:right="26"/>
        <w:jc w:val="left"/>
        <w:rPr>
          <w:rFonts w:ascii="Trebuchet MS" w:hAnsi="Trebuchet MS" w:cs="Arial"/>
          <w:color w:val="000000"/>
          <w:sz w:val="22"/>
          <w:szCs w:val="22"/>
        </w:rPr>
      </w:pPr>
    </w:p>
    <w:p w:rsidR="00B54B9A" w:rsidRPr="000317C9" w:rsidRDefault="00B54B9A" w:rsidP="00B54B9A">
      <w:pPr>
        <w:pStyle w:val="Title"/>
        <w:ind w:right="26"/>
        <w:jc w:val="left"/>
        <w:rPr>
          <w:rFonts w:ascii="Trebuchet MS" w:hAnsi="Trebuchet MS" w:cs="Arial"/>
          <w:color w:val="000000"/>
          <w:sz w:val="22"/>
          <w:szCs w:val="22"/>
        </w:rPr>
      </w:pPr>
    </w:p>
    <w:p w:rsidR="00B54B9A" w:rsidRPr="000317C9" w:rsidRDefault="00B54B9A" w:rsidP="00B54B9A">
      <w:pPr>
        <w:pStyle w:val="Title"/>
        <w:ind w:right="26"/>
        <w:jc w:val="left"/>
        <w:rPr>
          <w:rFonts w:ascii="Trebuchet MS" w:hAnsi="Trebuchet MS" w:cs="Arial"/>
          <w:color w:val="000000"/>
          <w:sz w:val="22"/>
          <w:szCs w:val="22"/>
        </w:rPr>
      </w:pPr>
    </w:p>
    <w:p w:rsidR="000317C9" w:rsidRDefault="000317C9" w:rsidP="000317C9">
      <w:pPr>
        <w:jc w:val="center"/>
        <w:rPr>
          <w:rFonts w:ascii="Bradley Hand ITC" w:hAnsi="Bradley Hand ITC"/>
          <w:b/>
          <w:sz w:val="32"/>
          <w:szCs w:val="32"/>
        </w:rPr>
      </w:pPr>
      <w:r>
        <w:rPr>
          <w:rFonts w:ascii="Bradley Hand ITC" w:hAnsi="Bradley Hand ITC" w:cs="Arial"/>
          <w:b/>
          <w:noProof/>
          <w:sz w:val="32"/>
          <w:szCs w:val="32"/>
        </w:rPr>
        <w:t>School of Theology, Religious Studies &amp; Islamic Studies</w:t>
      </w:r>
    </w:p>
    <w:p w:rsidR="000317C9" w:rsidRPr="000317C9" w:rsidRDefault="000317C9" w:rsidP="000317C9">
      <w:pPr>
        <w:jc w:val="center"/>
        <w:rPr>
          <w:rFonts w:ascii="Bradley Hand ITC" w:hAnsi="Bradley Hand ITC"/>
          <w:b/>
          <w:sz w:val="28"/>
          <w:szCs w:val="28"/>
        </w:rPr>
      </w:pPr>
      <w:r>
        <w:rPr>
          <w:rFonts w:ascii="Bradley Hand ITC" w:hAnsi="Bradley Hand ITC"/>
          <w:b/>
          <w:sz w:val="22"/>
          <w:szCs w:val="22"/>
        </w:rPr>
        <w:br/>
      </w:r>
      <w:r>
        <w:rPr>
          <w:rFonts w:ascii="Bradley Hand ITC" w:hAnsi="Bradley Hand ITC"/>
          <w:b/>
          <w:sz w:val="28"/>
          <w:szCs w:val="28"/>
        </w:rPr>
        <w:t>HUSK4001: Study Skills</w:t>
      </w:r>
      <w:r>
        <w:rPr>
          <w:rFonts w:ascii="Bradley Hand ITC" w:hAnsi="Bradley Hand ITC"/>
          <w:b/>
          <w:sz w:val="28"/>
          <w:szCs w:val="28"/>
        </w:rPr>
        <w:br/>
      </w:r>
      <w:r>
        <w:rPr>
          <w:rFonts w:ascii="Bradley Hand ITC" w:hAnsi="Bradley Hand ITC"/>
          <w:b/>
          <w:sz w:val="28"/>
          <w:szCs w:val="28"/>
        </w:rPr>
        <w:br/>
        <w:t>The Essay Travel Guide</w:t>
      </w:r>
    </w:p>
    <w:p w:rsidR="00B54B9A" w:rsidRPr="000317C9" w:rsidRDefault="00B54B9A" w:rsidP="00B54B9A">
      <w:pPr>
        <w:pStyle w:val="Title"/>
        <w:ind w:right="26"/>
        <w:jc w:val="right"/>
        <w:rPr>
          <w:rFonts w:ascii="Trebuchet MS" w:hAnsi="Trebuchet MS" w:cs="Arial"/>
          <w:color w:val="000000"/>
          <w:sz w:val="22"/>
          <w:szCs w:val="22"/>
        </w:rPr>
      </w:pPr>
    </w:p>
    <w:p w:rsidR="00B54B9A" w:rsidRPr="000317C9" w:rsidRDefault="00B54B9A" w:rsidP="00B54B9A">
      <w:pPr>
        <w:pStyle w:val="Title"/>
        <w:ind w:right="26"/>
        <w:jc w:val="right"/>
        <w:rPr>
          <w:rFonts w:ascii="Trebuchet MS" w:hAnsi="Trebuchet MS" w:cs="Arial"/>
          <w:color w:val="000000"/>
          <w:sz w:val="22"/>
          <w:szCs w:val="22"/>
        </w:rPr>
      </w:pPr>
    </w:p>
    <w:p w:rsidR="006F0FB9" w:rsidRPr="000317C9" w:rsidRDefault="006F0FB9" w:rsidP="006F0FB9">
      <w:pPr>
        <w:jc w:val="both"/>
        <w:rPr>
          <w:rFonts w:ascii="Trebuchet MS" w:hAnsi="Trebuchet MS"/>
          <w:b/>
          <w:sz w:val="22"/>
          <w:szCs w:val="22"/>
        </w:rPr>
      </w:pPr>
      <w:r w:rsidRPr="000317C9">
        <w:rPr>
          <w:rFonts w:ascii="Trebuchet MS" w:hAnsi="Trebuchet MS"/>
          <w:b/>
          <w:sz w:val="22"/>
          <w:szCs w:val="22"/>
        </w:rPr>
        <w:t xml:space="preserve">In coming to university you have entered a new land, a place where you will face a new culture, language and customs.  On this journey you will be asked to </w:t>
      </w:r>
      <w:r w:rsidR="00736BAE" w:rsidRPr="000317C9">
        <w:rPr>
          <w:rFonts w:ascii="Trebuchet MS" w:hAnsi="Trebuchet MS"/>
          <w:b/>
          <w:sz w:val="22"/>
          <w:szCs w:val="22"/>
        </w:rPr>
        <w:t xml:space="preserve">become skilled in </w:t>
      </w:r>
      <w:r w:rsidRPr="000317C9">
        <w:rPr>
          <w:rFonts w:ascii="Trebuchet MS" w:hAnsi="Trebuchet MS"/>
          <w:b/>
          <w:sz w:val="22"/>
          <w:szCs w:val="22"/>
        </w:rPr>
        <w:t>writing an academic essay. But what is an essay? How do you begin such a task?  As someone new to the ways of university how can you achieve this goal? This “Travel Guide” has been written for you to answer these questions and to help your success on one of your most important challenges in your next 3 years: The Academic Essay.</w:t>
      </w:r>
    </w:p>
    <w:p w:rsidR="005E00B9" w:rsidRPr="000317C9" w:rsidRDefault="005E00B9" w:rsidP="006F0FB9">
      <w:pPr>
        <w:jc w:val="both"/>
        <w:rPr>
          <w:rFonts w:ascii="Trebuchet MS" w:hAnsi="Trebuchet MS"/>
          <w:sz w:val="22"/>
          <w:szCs w:val="22"/>
        </w:rPr>
      </w:pPr>
    </w:p>
    <w:p w:rsidR="006F0FB9" w:rsidRPr="000317C9" w:rsidRDefault="00736BAE" w:rsidP="006F0FB9">
      <w:pPr>
        <w:jc w:val="both"/>
        <w:rPr>
          <w:rFonts w:ascii="Trebuchet MS" w:hAnsi="Trebuchet MS"/>
          <w:sz w:val="22"/>
          <w:szCs w:val="22"/>
        </w:rPr>
      </w:pPr>
      <w:r w:rsidRPr="000317C9">
        <w:rPr>
          <w:rFonts w:ascii="Trebuchet MS" w:hAnsi="Trebuchet MS"/>
          <w:noProof/>
          <w:sz w:val="22"/>
          <w:szCs w:val="22"/>
          <w:lang w:eastAsia="en-GB"/>
        </w:rPr>
        <mc:AlternateContent>
          <mc:Choice Requires="wps">
            <w:drawing>
              <wp:anchor distT="0" distB="0" distL="114300" distR="114300" simplePos="0" relativeHeight="251657728" behindDoc="0" locked="0" layoutInCell="1" allowOverlap="1" wp14:anchorId="03A6AA01" wp14:editId="2BD492D9">
                <wp:simplePos x="0" y="0"/>
                <wp:positionH relativeFrom="column">
                  <wp:posOffset>2680335</wp:posOffset>
                </wp:positionH>
                <wp:positionV relativeFrom="paragraph">
                  <wp:posOffset>4361815</wp:posOffset>
                </wp:positionV>
                <wp:extent cx="228600" cy="228600"/>
                <wp:effectExtent l="3810" t="0"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F0FB9" w:rsidRDefault="006F0F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1.05pt;margin-top:343.45pt;width:18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" stroked="f">
                <v:textbox>
                  <w:txbxContent>
                    <w:p w:rsidR="006F0FB9" w:rsidRDefault="006F0FB9"/>
                  </w:txbxContent>
                </v:textbox>
              </v:shape>
            </w:pict>
          </mc:Fallback>
        </mc:AlternateContent>
      </w:r>
    </w:p>
    <w:p w:rsidR="006F0FB9" w:rsidRPr="000317C9" w:rsidRDefault="00573F0A" w:rsidP="006F0FB9">
      <w:pPr>
        <w:jc w:val="both"/>
        <w:rPr>
          <w:rFonts w:ascii="Trebuchet MS" w:hAnsi="Trebuchet MS"/>
          <w:b/>
          <w:sz w:val="22"/>
          <w:szCs w:val="22"/>
        </w:rPr>
      </w:pPr>
      <w:r w:rsidRPr="000317C9">
        <w:rPr>
          <w:rFonts w:ascii="Trebuchet MS" w:hAnsi="Trebuchet MS"/>
          <w:b/>
          <w:sz w:val="22"/>
          <w:szCs w:val="22"/>
        </w:rPr>
        <w:t>1. What</w:t>
      </w:r>
      <w:r w:rsidR="006F0FB9" w:rsidRPr="000317C9">
        <w:rPr>
          <w:rFonts w:ascii="Trebuchet MS" w:hAnsi="Trebuchet MS"/>
          <w:b/>
          <w:sz w:val="22"/>
          <w:szCs w:val="22"/>
        </w:rPr>
        <w:t xml:space="preserve"> is an Essay?  </w:t>
      </w:r>
    </w:p>
    <w:p w:rsidR="006F0FB9" w:rsidRPr="000317C9" w:rsidRDefault="006F0FB9" w:rsidP="006F0FB9">
      <w:pPr>
        <w:jc w:val="both"/>
        <w:rPr>
          <w:rFonts w:ascii="Trebuchet MS" w:hAnsi="Trebuchet MS"/>
          <w:b/>
          <w:sz w:val="22"/>
          <w:szCs w:val="22"/>
        </w:rPr>
      </w:pPr>
    </w:p>
    <w:p w:rsidR="006F0FB9" w:rsidRPr="000317C9" w:rsidRDefault="006F0FB9" w:rsidP="006F0FB9">
      <w:pPr>
        <w:jc w:val="both"/>
        <w:rPr>
          <w:rFonts w:ascii="Trebuchet MS" w:hAnsi="Trebuchet MS"/>
          <w:b/>
          <w:sz w:val="22"/>
          <w:szCs w:val="22"/>
        </w:rPr>
      </w:pPr>
      <w:r w:rsidRPr="000317C9">
        <w:rPr>
          <w:rFonts w:ascii="Trebuchet MS" w:hAnsi="Trebuchet MS"/>
          <w:b/>
          <w:i/>
          <w:sz w:val="22"/>
          <w:szCs w:val="22"/>
        </w:rPr>
        <w:t>Key Insight:</w:t>
      </w:r>
      <w:r w:rsidRPr="000317C9">
        <w:rPr>
          <w:rFonts w:ascii="Trebuchet MS" w:hAnsi="Trebuchet MS"/>
          <w:b/>
          <w:sz w:val="22"/>
          <w:szCs w:val="22"/>
        </w:rPr>
        <w:t xml:space="preserve"> Watch Out for Your Opinions!</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 xml:space="preserve">An essay is your chance to demonstrate to your lecturer what you know about the essay question. </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Keep in mind that demonstrating knowledge is different from sharing opinions. It seems that every</w:t>
      </w:r>
      <w:bookmarkStart w:id="0" w:name="_GoBack"/>
      <w:bookmarkEnd w:id="0"/>
      <w:r w:rsidRPr="000317C9">
        <w:rPr>
          <w:rFonts w:ascii="Trebuchet MS" w:hAnsi="Trebuchet MS"/>
          <w:sz w:val="22"/>
          <w:szCs w:val="22"/>
        </w:rPr>
        <w:t xml:space="preserve">one has an opinion on matters of religion! One of the reasons you came to this School may be because you have some strong opinions about religion and want to share these with others. However, an essay is </w:t>
      </w:r>
      <w:r w:rsidRPr="000317C9">
        <w:rPr>
          <w:rFonts w:ascii="Trebuchet MS" w:hAnsi="Trebuchet MS"/>
          <w:b/>
          <w:i/>
          <w:sz w:val="22"/>
          <w:szCs w:val="22"/>
        </w:rPr>
        <w:t>not</w:t>
      </w:r>
      <w:r w:rsidRPr="000317C9">
        <w:rPr>
          <w:rFonts w:ascii="Trebuchet MS" w:hAnsi="Trebuchet MS"/>
          <w:sz w:val="22"/>
          <w:szCs w:val="22"/>
        </w:rPr>
        <w:t xml:space="preserve"> an opportunity to share your opinions or beliefs.   When you come to university you are asked to enter a world of scholarship—to get to know the ways in which academics research and argue.  The new knowledge that you gain may strengthen your opinions and lead you to new realizations—or it may challenge your opinions. But developing these opinions is something that you do outside of the essay—in the essay you prove that you know something about scholars and their arguments. </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 xml:space="preserve">At the heart of your essay are accurate descriptions of scholars and their arguments. You will describe! Your descriptions will reflect that your knowledge rests upon solid sources and that you are aware of different viewpoints.  At higher levels (levels 5 and 6) you will spend more time evaluating the different arguments that you have </w:t>
      </w:r>
      <w:r w:rsidRPr="000317C9">
        <w:rPr>
          <w:rFonts w:ascii="Trebuchet MS" w:hAnsi="Trebuchet MS"/>
          <w:sz w:val="22"/>
          <w:szCs w:val="22"/>
        </w:rPr>
        <w:lastRenderedPageBreak/>
        <w:t xml:space="preserve">accurately described. Perhaps you can see now that the quality of your essay will depend on your reading. </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In writing an essay, you have an opportunity to do something so often impossible elsewhere in your life: to embark on a voyage of discovery, grappling with the insights of great thinkers and leaders.</w:t>
      </w:r>
    </w:p>
    <w:p w:rsidR="006F0FB9" w:rsidRPr="000317C9" w:rsidRDefault="006F0FB9" w:rsidP="006F0FB9">
      <w:pPr>
        <w:jc w:val="both"/>
        <w:rPr>
          <w:rFonts w:ascii="Trebuchet MS" w:hAnsi="Trebuchet MS"/>
          <w:sz w:val="22"/>
          <w:szCs w:val="22"/>
        </w:rPr>
      </w:pPr>
    </w:p>
    <w:p w:rsidR="00573F0A" w:rsidRPr="000317C9" w:rsidRDefault="00573F0A"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b/>
          <w:sz w:val="22"/>
          <w:szCs w:val="22"/>
        </w:rPr>
        <w:t>2. Choosing a Subject.</w:t>
      </w:r>
      <w:r w:rsidRPr="000317C9">
        <w:rPr>
          <w:rFonts w:ascii="Trebuchet MS" w:hAnsi="Trebuchet MS"/>
          <w:sz w:val="22"/>
          <w:szCs w:val="22"/>
        </w:rPr>
        <w:t xml:space="preserve">  </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b/>
          <w:sz w:val="22"/>
          <w:szCs w:val="22"/>
        </w:rPr>
      </w:pPr>
      <w:r w:rsidRPr="000317C9">
        <w:rPr>
          <w:rFonts w:ascii="Trebuchet MS" w:hAnsi="Trebuchet MS"/>
          <w:b/>
          <w:i/>
          <w:sz w:val="22"/>
          <w:szCs w:val="22"/>
        </w:rPr>
        <w:t>Key Insight:</w:t>
      </w:r>
      <w:r w:rsidRPr="000317C9">
        <w:rPr>
          <w:rFonts w:ascii="Trebuchet MS" w:hAnsi="Trebuchet MS"/>
          <w:b/>
          <w:sz w:val="22"/>
          <w:szCs w:val="22"/>
        </w:rPr>
        <w:t xml:space="preserve"> Stay Focused!</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For most modules you will be given some choices for your essay. Choose a topic that you are drawn to.  You might want to choose a topic in which you can push your existing knowledge deeper or you may want to strike out in a new area. Whatever the case, pay attention to the exact wording of the set essay question—you can sometimes save yourself much grief as the question will often specify some boundaries so that you do not need to write too widely on the subject.</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 xml:space="preserve">Be careful. Some students choose a topic they feel they know thinking that they can coast on past work—but university essay writing requires a deeper presentation of description and interpretation. </w:t>
      </w:r>
      <w:r w:rsidR="00736BAE" w:rsidRPr="000317C9">
        <w:rPr>
          <w:rFonts w:ascii="Trebuchet MS" w:hAnsi="Trebuchet MS"/>
          <w:sz w:val="22"/>
          <w:szCs w:val="22"/>
        </w:rPr>
        <w:t xml:space="preserve">Merely repeating A-level material, for example, is never sufficient.  </w:t>
      </w:r>
      <w:r w:rsidRPr="000317C9">
        <w:rPr>
          <w:rFonts w:ascii="Trebuchet MS" w:hAnsi="Trebuchet MS"/>
          <w:sz w:val="22"/>
          <w:szCs w:val="22"/>
        </w:rPr>
        <w:t xml:space="preserve">To really grasp a question will mean that you travel deeper and further than ever before.  </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 xml:space="preserve">You will need to read books from your module descriptor and the School’s e-resources before you choose your topic.  Read around each area before making your choice. One of the many reasons to attend all your lectures is that comments will be made about the essays throughout the weeks of teaching. </w:t>
      </w:r>
    </w:p>
    <w:p w:rsidR="006F0FB9" w:rsidRPr="000317C9" w:rsidRDefault="006F0FB9" w:rsidP="006F0FB9">
      <w:pPr>
        <w:jc w:val="both"/>
        <w:rPr>
          <w:rFonts w:ascii="Trebuchet MS" w:hAnsi="Trebuchet MS"/>
          <w:sz w:val="22"/>
          <w:szCs w:val="22"/>
        </w:rPr>
      </w:pPr>
    </w:p>
    <w:p w:rsidR="00B54B9A" w:rsidRPr="000317C9" w:rsidRDefault="00B54B9A" w:rsidP="006F0FB9">
      <w:pPr>
        <w:jc w:val="both"/>
        <w:rPr>
          <w:rFonts w:ascii="Trebuchet MS" w:hAnsi="Trebuchet MS"/>
          <w:sz w:val="22"/>
          <w:szCs w:val="22"/>
        </w:rPr>
      </w:pPr>
    </w:p>
    <w:p w:rsidR="006F0FB9" w:rsidRPr="000317C9" w:rsidRDefault="006F0FB9" w:rsidP="006F0FB9">
      <w:pPr>
        <w:jc w:val="both"/>
        <w:rPr>
          <w:rFonts w:ascii="Trebuchet MS" w:hAnsi="Trebuchet MS"/>
          <w:b/>
          <w:sz w:val="22"/>
          <w:szCs w:val="22"/>
        </w:rPr>
      </w:pPr>
      <w:r w:rsidRPr="000317C9">
        <w:rPr>
          <w:rFonts w:ascii="Trebuchet MS" w:hAnsi="Trebuchet MS"/>
          <w:b/>
          <w:sz w:val="22"/>
          <w:szCs w:val="22"/>
        </w:rPr>
        <w:t>3. Getting Resources</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b/>
          <w:sz w:val="22"/>
          <w:szCs w:val="22"/>
        </w:rPr>
      </w:pPr>
      <w:r w:rsidRPr="000317C9">
        <w:rPr>
          <w:rFonts w:ascii="Trebuchet MS" w:hAnsi="Trebuchet MS"/>
          <w:b/>
          <w:i/>
          <w:sz w:val="22"/>
          <w:szCs w:val="22"/>
        </w:rPr>
        <w:t>Key Insight</w:t>
      </w:r>
      <w:r w:rsidRPr="000317C9">
        <w:rPr>
          <w:rFonts w:ascii="Trebuchet MS" w:hAnsi="Trebuchet MS"/>
          <w:b/>
          <w:sz w:val="22"/>
          <w:szCs w:val="22"/>
        </w:rPr>
        <w:t>: Begin at the End!</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You can save yourself a lot of time by starting at the end—establishing your bibliography. Write this up first even though it might change later. You can always show your suggested bibliography to your module tutor to see if you are on the right track.  Of course you will want to start with books listed in your module descriptor.</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 xml:space="preserve">Where do you start? You can start small.  Read, for example, a 2 page e-article from our online Encyclopedia of Religion.  This only takes a half an hour.  Then move onto to a book.  You are a </w:t>
      </w:r>
      <w:r w:rsidR="00573F0A" w:rsidRPr="000317C9">
        <w:rPr>
          <w:rFonts w:ascii="Trebuchet MS" w:hAnsi="Trebuchet MS"/>
          <w:sz w:val="22"/>
          <w:szCs w:val="22"/>
        </w:rPr>
        <w:t>traveller</w:t>
      </w:r>
      <w:r w:rsidRPr="000317C9">
        <w:rPr>
          <w:rFonts w:ascii="Trebuchet MS" w:hAnsi="Trebuchet MS"/>
          <w:sz w:val="22"/>
          <w:szCs w:val="22"/>
        </w:rPr>
        <w:t xml:space="preserve"> in a new land.  As you read you will find areas you do not understand and therefore will have to widen your search. Or you may discover that everyone is referring to a central text that you need to get—you can move on to this.</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 xml:space="preserve">Understand the difference between primary and secondary sources—both types should be included in your essay (At levels 5 and 6 we always want to see primary texts).   A primary text gives you direct access to the key scholar or argument under investigation. In an essay on Gandhi, for example, you can read books about Gandhi </w:t>
      </w:r>
      <w:r w:rsidRPr="000317C9">
        <w:rPr>
          <w:rFonts w:ascii="Trebuchet MS" w:hAnsi="Trebuchet MS"/>
          <w:sz w:val="22"/>
          <w:szCs w:val="22"/>
        </w:rPr>
        <w:lastRenderedPageBreak/>
        <w:t>(secondary sources) but an essay about Gandhi should include works by Gandhi himself. Textbook summaries are very helpful (these are secondary sources) but it is necessary to become familiar with the main thinkers, sacred texts and ground-breaking writings primary source).</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If you cannot find sources, or have problems understanding the ones you have, see your tutor.</w:t>
      </w:r>
      <w:r w:rsidR="00366E07" w:rsidRPr="000317C9">
        <w:rPr>
          <w:rFonts w:ascii="Trebuchet MS" w:hAnsi="Trebuchet MS"/>
          <w:sz w:val="22"/>
          <w:szCs w:val="22"/>
        </w:rPr>
        <w:t xml:space="preserve">  An essay </w:t>
      </w:r>
      <w:r w:rsidR="00366E07" w:rsidRPr="000317C9">
        <w:rPr>
          <w:rFonts w:ascii="Trebuchet MS" w:hAnsi="Trebuchet MS"/>
          <w:b/>
          <w:sz w:val="22"/>
          <w:szCs w:val="22"/>
          <w:u w:val="single"/>
        </w:rPr>
        <w:t>must</w:t>
      </w:r>
      <w:r w:rsidR="00366E07" w:rsidRPr="000317C9">
        <w:rPr>
          <w:rFonts w:ascii="Trebuchet MS" w:hAnsi="Trebuchet MS"/>
          <w:sz w:val="22"/>
          <w:szCs w:val="22"/>
        </w:rPr>
        <w:t xml:space="preserve"> contain sources.  </w:t>
      </w:r>
    </w:p>
    <w:p w:rsidR="00366E07" w:rsidRPr="000317C9" w:rsidRDefault="00366E07" w:rsidP="006F0FB9">
      <w:pPr>
        <w:jc w:val="both"/>
        <w:rPr>
          <w:rFonts w:ascii="Trebuchet MS" w:hAnsi="Trebuchet MS"/>
          <w:sz w:val="22"/>
          <w:szCs w:val="22"/>
        </w:rPr>
      </w:pPr>
    </w:p>
    <w:p w:rsidR="00366E07" w:rsidRPr="000317C9" w:rsidRDefault="00366E07"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b/>
          <w:sz w:val="22"/>
          <w:szCs w:val="22"/>
        </w:rPr>
        <w:t>4. Reading, Reflecting and Making Notes</w:t>
      </w:r>
      <w:r w:rsidRPr="000317C9">
        <w:rPr>
          <w:rFonts w:ascii="Trebuchet MS" w:hAnsi="Trebuchet MS"/>
          <w:sz w:val="22"/>
          <w:szCs w:val="22"/>
        </w:rPr>
        <w:t xml:space="preserve"> </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b/>
          <w:i/>
          <w:sz w:val="22"/>
          <w:szCs w:val="22"/>
        </w:rPr>
        <w:t>Key Insight</w:t>
      </w:r>
      <w:r w:rsidRPr="000317C9">
        <w:rPr>
          <w:rFonts w:ascii="Trebuchet MS" w:hAnsi="Trebuchet MS"/>
          <w:b/>
          <w:sz w:val="22"/>
          <w:szCs w:val="22"/>
        </w:rPr>
        <w:t>: Go for a Walk!</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You are here at university to think, learn and reflect: you need to give yourself the time to write your essays.  Far too often a student waits until the end of the term, borrows some books, opens up the computer and hastily thinks and writes an essay. Not only does this never produce a</w:t>
      </w:r>
      <w:r w:rsidR="00573F0A" w:rsidRPr="000317C9">
        <w:rPr>
          <w:rFonts w:ascii="Trebuchet MS" w:hAnsi="Trebuchet MS"/>
          <w:sz w:val="22"/>
          <w:szCs w:val="22"/>
        </w:rPr>
        <w:t>n essay</w:t>
      </w:r>
      <w:r w:rsidRPr="000317C9">
        <w:rPr>
          <w:rFonts w:ascii="Trebuchet MS" w:hAnsi="Trebuchet MS"/>
          <w:sz w:val="22"/>
          <w:szCs w:val="22"/>
        </w:rPr>
        <w:t xml:space="preserve"> one can be proud of, you are actually robbing yourself of the privilege of learning. </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 xml:space="preserve">Give yourself the gift of time to read.  Then, give yourself the gift of the time to reflect. Go for a walk, climb a mountain, sit under a tree—then jot down some notes that relate to your </w:t>
      </w:r>
      <w:r w:rsidR="00573F0A" w:rsidRPr="000317C9">
        <w:rPr>
          <w:rFonts w:ascii="Trebuchet MS" w:hAnsi="Trebuchet MS"/>
          <w:sz w:val="22"/>
          <w:szCs w:val="22"/>
        </w:rPr>
        <w:t>essay</w:t>
      </w:r>
      <w:r w:rsidRPr="000317C9">
        <w:rPr>
          <w:rFonts w:ascii="Trebuchet MS" w:hAnsi="Trebuchet MS"/>
          <w:sz w:val="22"/>
          <w:szCs w:val="22"/>
        </w:rPr>
        <w:t>.</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 xml:space="preserve">You receive information on essential books over the summer; you can start reading these books even before you get to your module—these are recommended because they will relate to your essays. Your tutors recommend that ideally you purchase the books on the essential lists and get to know them before attending lectures.  Sometimes you need only read chapters within books rather than whole books.  Do not forget the title of the assignment; keep your reading focused on this. Jot down any questions or thoughts that come to mind as you are reading. People make notes in many different ways; it does not matter how you do this as long as it works for you.  Remember from where your information comes. You can meet with (or e-mail) your personal tutor or lecturer to pursue these questions as you find your way through your reading. </w:t>
      </w:r>
    </w:p>
    <w:p w:rsidR="006F0FB9" w:rsidRPr="000317C9" w:rsidRDefault="006F0FB9" w:rsidP="006F0FB9">
      <w:pPr>
        <w:jc w:val="both"/>
        <w:rPr>
          <w:rFonts w:ascii="Trebuchet MS" w:hAnsi="Trebuchet MS"/>
          <w:sz w:val="22"/>
          <w:szCs w:val="22"/>
        </w:rPr>
      </w:pPr>
    </w:p>
    <w:p w:rsidR="00366E07" w:rsidRPr="000317C9" w:rsidRDefault="00366E07" w:rsidP="006F0FB9">
      <w:pPr>
        <w:jc w:val="both"/>
        <w:rPr>
          <w:rFonts w:ascii="Trebuchet MS" w:hAnsi="Trebuchet MS"/>
          <w:sz w:val="22"/>
          <w:szCs w:val="22"/>
        </w:rPr>
      </w:pPr>
    </w:p>
    <w:p w:rsidR="006F0FB9" w:rsidRPr="000317C9" w:rsidRDefault="006F0FB9" w:rsidP="006F0FB9">
      <w:pPr>
        <w:jc w:val="both"/>
        <w:rPr>
          <w:rFonts w:ascii="Trebuchet MS" w:hAnsi="Trebuchet MS"/>
          <w:b/>
          <w:sz w:val="22"/>
          <w:szCs w:val="22"/>
        </w:rPr>
      </w:pPr>
      <w:r w:rsidRPr="000317C9">
        <w:rPr>
          <w:rFonts w:ascii="Trebuchet MS" w:hAnsi="Trebuchet MS"/>
          <w:b/>
          <w:sz w:val="22"/>
          <w:szCs w:val="22"/>
        </w:rPr>
        <w:t>5. Developing a Structure</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b/>
          <w:i/>
          <w:sz w:val="22"/>
          <w:szCs w:val="22"/>
        </w:rPr>
        <w:t>Key Insight</w:t>
      </w:r>
      <w:r w:rsidRPr="000317C9">
        <w:rPr>
          <w:rFonts w:ascii="Trebuchet MS" w:hAnsi="Trebuchet MS"/>
          <w:b/>
          <w:sz w:val="22"/>
          <w:szCs w:val="22"/>
        </w:rPr>
        <w:t>:  Stick to Your Outline!</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 xml:space="preserve">Normally essays have a three-fold structure: </w:t>
      </w:r>
      <w:r w:rsidRPr="000317C9">
        <w:rPr>
          <w:rFonts w:ascii="Trebuchet MS" w:hAnsi="Trebuchet MS"/>
          <w:b/>
          <w:sz w:val="22"/>
          <w:szCs w:val="22"/>
        </w:rPr>
        <w:t>introduction, body and conclusion</w:t>
      </w:r>
      <w:r w:rsidRPr="000317C9">
        <w:rPr>
          <w:rFonts w:ascii="Trebuchet MS" w:hAnsi="Trebuchet MS"/>
          <w:sz w:val="22"/>
          <w:szCs w:val="22"/>
        </w:rPr>
        <w:t xml:space="preserve">.  </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 xml:space="preserve">The </w:t>
      </w:r>
      <w:r w:rsidRPr="000317C9">
        <w:rPr>
          <w:rFonts w:ascii="Trebuchet MS" w:hAnsi="Trebuchet MS"/>
          <w:b/>
          <w:sz w:val="22"/>
          <w:szCs w:val="22"/>
        </w:rPr>
        <w:t>introduction</w:t>
      </w:r>
      <w:r w:rsidRPr="000317C9">
        <w:rPr>
          <w:rFonts w:ascii="Trebuchet MS" w:hAnsi="Trebuchet MS"/>
          <w:sz w:val="22"/>
          <w:szCs w:val="22"/>
        </w:rPr>
        <w:t xml:space="preserve"> (usually a paragraph or two in length) accomplishes 2 things:  (a) that you have understood the set question and (b) that you have a brief outline of how you will go about responding to the question.  You may find it helpful to write the introduction after you have written the essay, then you can reflect in the introduction what your essay actually has done.</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 xml:space="preserve">In the </w:t>
      </w:r>
      <w:r w:rsidRPr="000317C9">
        <w:rPr>
          <w:rFonts w:ascii="Trebuchet MS" w:hAnsi="Trebuchet MS"/>
          <w:b/>
          <w:sz w:val="22"/>
          <w:szCs w:val="22"/>
        </w:rPr>
        <w:t>body</w:t>
      </w:r>
      <w:r w:rsidRPr="000317C9">
        <w:rPr>
          <w:rFonts w:ascii="Trebuchet MS" w:hAnsi="Trebuchet MS"/>
          <w:sz w:val="22"/>
          <w:szCs w:val="22"/>
        </w:rPr>
        <w:t xml:space="preserve"> of the </w:t>
      </w:r>
      <w:r w:rsidR="00573F0A" w:rsidRPr="000317C9">
        <w:rPr>
          <w:rFonts w:ascii="Trebuchet MS" w:hAnsi="Trebuchet MS"/>
          <w:sz w:val="22"/>
          <w:szCs w:val="22"/>
        </w:rPr>
        <w:t>essay</w:t>
      </w:r>
      <w:r w:rsidRPr="000317C9">
        <w:rPr>
          <w:rFonts w:ascii="Trebuchet MS" w:hAnsi="Trebuchet MS"/>
          <w:sz w:val="22"/>
          <w:szCs w:val="22"/>
        </w:rPr>
        <w:t xml:space="preserve"> you will describe and interpret key academic approaches to the topics set.  You will recognize and describe conflicting views and, especially at </w:t>
      </w:r>
      <w:r w:rsidRPr="000317C9">
        <w:rPr>
          <w:rFonts w:ascii="Trebuchet MS" w:hAnsi="Trebuchet MS"/>
          <w:sz w:val="22"/>
          <w:szCs w:val="22"/>
        </w:rPr>
        <w:lastRenderedPageBreak/>
        <w:t>levels 5 and 6, reach an academic judgment on these approaches.  Even if there are several parts to the essay, ensure that each part is related to the question set.   A well-structured essay clearly follows from the outline of the introduction.</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 xml:space="preserve">The </w:t>
      </w:r>
      <w:r w:rsidRPr="000317C9">
        <w:rPr>
          <w:rFonts w:ascii="Trebuchet MS" w:hAnsi="Trebuchet MS"/>
          <w:b/>
          <w:sz w:val="22"/>
          <w:szCs w:val="22"/>
        </w:rPr>
        <w:t>conclusion</w:t>
      </w:r>
      <w:r w:rsidRPr="000317C9">
        <w:rPr>
          <w:rFonts w:ascii="Trebuchet MS" w:hAnsi="Trebuchet MS"/>
          <w:sz w:val="22"/>
          <w:szCs w:val="22"/>
        </w:rPr>
        <w:t xml:space="preserve"> seeks to summarize the conclusions already reached in the body of the essay. This is usually a paragraph or two in length.</w:t>
      </w:r>
      <w:r w:rsidRPr="000317C9">
        <w:rPr>
          <w:rFonts w:ascii="Trebuchet MS" w:hAnsi="Trebuchet MS"/>
          <w:b/>
          <w:sz w:val="22"/>
          <w:szCs w:val="22"/>
        </w:rPr>
        <w:t xml:space="preserve">  </w:t>
      </w:r>
      <w:r w:rsidRPr="000317C9">
        <w:rPr>
          <w:rFonts w:ascii="Trebuchet MS" w:hAnsi="Trebuchet MS"/>
          <w:sz w:val="22"/>
          <w:szCs w:val="22"/>
        </w:rPr>
        <w:t xml:space="preserve">The conclusion is not a place to introduce new material.  Neither is it a place to delve into your own opinions.  A conclusion summarizes your findings in response to the question in a concise form.  You may also wish to point to areas where further work could be done to more deeply respond to the essay question. </w:t>
      </w:r>
    </w:p>
    <w:p w:rsidR="006F0FB9" w:rsidRPr="000317C9" w:rsidRDefault="006F0FB9" w:rsidP="006F0FB9">
      <w:pPr>
        <w:jc w:val="both"/>
        <w:rPr>
          <w:rFonts w:ascii="Trebuchet MS" w:hAnsi="Trebuchet MS"/>
          <w:b/>
          <w:sz w:val="22"/>
          <w:szCs w:val="22"/>
        </w:rPr>
      </w:pPr>
    </w:p>
    <w:p w:rsidR="00366E07" w:rsidRPr="000317C9" w:rsidRDefault="00366E07" w:rsidP="006F0FB9">
      <w:pPr>
        <w:jc w:val="both"/>
        <w:rPr>
          <w:rFonts w:ascii="Trebuchet MS" w:hAnsi="Trebuchet MS"/>
          <w:b/>
          <w:sz w:val="22"/>
          <w:szCs w:val="22"/>
        </w:rPr>
      </w:pPr>
    </w:p>
    <w:p w:rsidR="00366E07" w:rsidRPr="000317C9" w:rsidRDefault="00366E07" w:rsidP="00366E07">
      <w:pPr>
        <w:jc w:val="both"/>
        <w:rPr>
          <w:rFonts w:ascii="Trebuchet MS" w:hAnsi="Trebuchet MS"/>
          <w:sz w:val="22"/>
          <w:szCs w:val="22"/>
        </w:rPr>
      </w:pPr>
      <w:r w:rsidRPr="000317C9">
        <w:rPr>
          <w:rFonts w:ascii="Trebuchet MS" w:hAnsi="Trebuchet MS"/>
          <w:b/>
          <w:sz w:val="22"/>
          <w:szCs w:val="22"/>
        </w:rPr>
        <w:t xml:space="preserve">6. Style </w:t>
      </w:r>
      <w:r w:rsidRPr="000317C9">
        <w:rPr>
          <w:rFonts w:ascii="Trebuchet MS" w:hAnsi="Trebuchet MS"/>
          <w:sz w:val="22"/>
          <w:szCs w:val="22"/>
        </w:rPr>
        <w:t xml:space="preserve">  </w:t>
      </w:r>
    </w:p>
    <w:p w:rsidR="00573F0A" w:rsidRPr="000317C9" w:rsidRDefault="00573F0A" w:rsidP="006F0FB9">
      <w:pPr>
        <w:jc w:val="both"/>
        <w:rPr>
          <w:rFonts w:ascii="Trebuchet MS" w:hAnsi="Trebuchet MS" w:cs="Arial"/>
          <w:bCs/>
          <w:color w:val="000000"/>
          <w:sz w:val="22"/>
          <w:szCs w:val="22"/>
        </w:rPr>
      </w:pPr>
      <w:r w:rsidRPr="000317C9">
        <w:rPr>
          <w:rFonts w:ascii="Trebuchet MS" w:hAnsi="Trebuchet MS" w:cs="Arial"/>
          <w:bCs/>
          <w:color w:val="000000"/>
          <w:sz w:val="22"/>
          <w:szCs w:val="22"/>
        </w:rPr>
        <w:t xml:space="preserve">Essays should be 1.5 or double spaced, and font size should not be smaller than point 10.  Footnote text should be 2 points smaller than the main text.  </w:t>
      </w:r>
    </w:p>
    <w:p w:rsidR="00573F0A" w:rsidRPr="000317C9" w:rsidRDefault="00573F0A" w:rsidP="006F0FB9">
      <w:pPr>
        <w:jc w:val="both"/>
        <w:rPr>
          <w:rFonts w:ascii="Trebuchet MS" w:hAnsi="Trebuchet MS" w:cs="Arial"/>
          <w:b/>
          <w:bCs/>
          <w:color w:val="000000"/>
          <w:sz w:val="22"/>
          <w:szCs w:val="22"/>
        </w:rPr>
      </w:pPr>
    </w:p>
    <w:p w:rsidR="00366E07" w:rsidRPr="000317C9" w:rsidRDefault="00573F0A" w:rsidP="006F0FB9">
      <w:pPr>
        <w:jc w:val="both"/>
        <w:rPr>
          <w:rFonts w:ascii="Trebuchet MS" w:hAnsi="Trebuchet MS" w:cs="Arial"/>
          <w:bCs/>
          <w:color w:val="000000"/>
          <w:sz w:val="22"/>
          <w:szCs w:val="22"/>
        </w:rPr>
      </w:pPr>
      <w:r w:rsidRPr="000317C9">
        <w:rPr>
          <w:rFonts w:ascii="Trebuchet MS" w:hAnsi="Trebuchet MS" w:cs="Arial"/>
          <w:b/>
          <w:bCs/>
          <w:color w:val="000000"/>
          <w:sz w:val="22"/>
          <w:szCs w:val="22"/>
        </w:rPr>
        <w:t>Short quotes</w:t>
      </w:r>
      <w:r w:rsidRPr="000317C9">
        <w:rPr>
          <w:rFonts w:ascii="Trebuchet MS" w:hAnsi="Trebuchet MS" w:cs="Arial"/>
          <w:bCs/>
          <w:color w:val="000000"/>
          <w:sz w:val="22"/>
          <w:szCs w:val="22"/>
        </w:rPr>
        <w:t xml:space="preserve"> (up to 4 lines long) are placed within the sentence or paragraph, whereas </w:t>
      </w:r>
      <w:r w:rsidRPr="000317C9">
        <w:rPr>
          <w:rFonts w:ascii="Trebuchet MS" w:hAnsi="Trebuchet MS" w:cs="Arial"/>
          <w:b/>
          <w:bCs/>
          <w:color w:val="000000"/>
          <w:sz w:val="22"/>
          <w:szCs w:val="22"/>
        </w:rPr>
        <w:t>long quotes</w:t>
      </w:r>
      <w:r w:rsidRPr="000317C9">
        <w:rPr>
          <w:rFonts w:ascii="Trebuchet MS" w:hAnsi="Trebuchet MS" w:cs="Arial"/>
          <w:bCs/>
          <w:color w:val="000000"/>
          <w:sz w:val="22"/>
          <w:szCs w:val="22"/>
        </w:rPr>
        <w:t xml:space="preserve"> (more than 4 lines long) are placed away from the main essay text and indented on each side.  Even if your essay uses 1.5 spacing, the long quote should be single spaced. Long quotes do not need quotation marks.</w:t>
      </w:r>
    </w:p>
    <w:p w:rsidR="00573F0A" w:rsidRPr="000317C9" w:rsidRDefault="00573F0A" w:rsidP="006F0FB9">
      <w:pPr>
        <w:jc w:val="both"/>
        <w:rPr>
          <w:rFonts w:ascii="Trebuchet MS" w:hAnsi="Trebuchet MS" w:cs="Arial"/>
          <w:bCs/>
          <w:color w:val="000000"/>
          <w:sz w:val="22"/>
          <w:szCs w:val="22"/>
        </w:rPr>
      </w:pPr>
    </w:p>
    <w:p w:rsidR="00573F0A" w:rsidRPr="000317C9" w:rsidRDefault="00573F0A" w:rsidP="006F0FB9">
      <w:pPr>
        <w:jc w:val="both"/>
        <w:rPr>
          <w:rFonts w:ascii="Trebuchet MS" w:hAnsi="Trebuchet MS"/>
          <w:b/>
          <w:sz w:val="22"/>
          <w:szCs w:val="22"/>
        </w:rPr>
      </w:pPr>
      <w:r w:rsidRPr="000317C9">
        <w:rPr>
          <w:rFonts w:ascii="Trebuchet MS" w:hAnsi="Trebuchet MS" w:cs="Arial"/>
          <w:bCs/>
          <w:color w:val="000000"/>
          <w:sz w:val="22"/>
          <w:szCs w:val="22"/>
        </w:rPr>
        <w:t xml:space="preserve">Each paragraph should begin on a new line with no indenting of the first sentence.  </w:t>
      </w:r>
    </w:p>
    <w:p w:rsidR="00573F0A" w:rsidRPr="000317C9" w:rsidRDefault="00573F0A" w:rsidP="006F0FB9">
      <w:pPr>
        <w:jc w:val="both"/>
        <w:rPr>
          <w:rFonts w:ascii="Trebuchet MS" w:hAnsi="Trebuchet MS"/>
          <w:b/>
          <w:sz w:val="22"/>
          <w:szCs w:val="22"/>
        </w:rPr>
      </w:pPr>
    </w:p>
    <w:p w:rsidR="00573F0A" w:rsidRPr="000317C9" w:rsidRDefault="00573F0A" w:rsidP="006F0FB9">
      <w:pPr>
        <w:jc w:val="both"/>
        <w:rPr>
          <w:rFonts w:ascii="Trebuchet MS" w:hAnsi="Trebuchet MS"/>
          <w:b/>
          <w:sz w:val="22"/>
          <w:szCs w:val="22"/>
        </w:rPr>
      </w:pPr>
    </w:p>
    <w:p w:rsidR="00366E07" w:rsidRPr="000317C9" w:rsidRDefault="00366E07" w:rsidP="006F0FB9">
      <w:pPr>
        <w:jc w:val="both"/>
        <w:rPr>
          <w:rFonts w:ascii="Trebuchet MS" w:hAnsi="Trebuchet MS"/>
          <w:b/>
          <w:sz w:val="22"/>
          <w:szCs w:val="22"/>
        </w:rPr>
      </w:pPr>
    </w:p>
    <w:p w:rsidR="006F0FB9" w:rsidRPr="000317C9" w:rsidRDefault="00366E07" w:rsidP="006F0FB9">
      <w:pPr>
        <w:jc w:val="both"/>
        <w:rPr>
          <w:rFonts w:ascii="Trebuchet MS" w:hAnsi="Trebuchet MS"/>
          <w:sz w:val="22"/>
          <w:szCs w:val="22"/>
        </w:rPr>
      </w:pPr>
      <w:r w:rsidRPr="000317C9">
        <w:rPr>
          <w:rFonts w:ascii="Trebuchet MS" w:hAnsi="Trebuchet MS"/>
          <w:b/>
          <w:sz w:val="22"/>
          <w:szCs w:val="22"/>
        </w:rPr>
        <w:t>7</w:t>
      </w:r>
      <w:r w:rsidR="006F0FB9" w:rsidRPr="000317C9">
        <w:rPr>
          <w:rFonts w:ascii="Trebuchet MS" w:hAnsi="Trebuchet MS"/>
          <w:b/>
          <w:sz w:val="22"/>
          <w:szCs w:val="22"/>
        </w:rPr>
        <w:t>. Perils and Pitfalls!</w:t>
      </w:r>
      <w:r w:rsidR="006F0FB9" w:rsidRPr="000317C9">
        <w:rPr>
          <w:rFonts w:ascii="Trebuchet MS" w:hAnsi="Trebuchet MS"/>
          <w:sz w:val="22"/>
          <w:szCs w:val="22"/>
        </w:rPr>
        <w:t xml:space="preserve">  </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On the pathway to a successful essay there are common places where students fall down.</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 xml:space="preserve">* </w:t>
      </w:r>
      <w:r w:rsidRPr="000317C9">
        <w:rPr>
          <w:rFonts w:ascii="Trebuchet MS" w:hAnsi="Trebuchet MS"/>
          <w:b/>
          <w:sz w:val="22"/>
          <w:szCs w:val="22"/>
        </w:rPr>
        <w:t>Reading the actual essay question.</w:t>
      </w:r>
      <w:r w:rsidRPr="000317C9">
        <w:rPr>
          <w:rFonts w:ascii="Trebuchet MS" w:hAnsi="Trebuchet MS"/>
          <w:sz w:val="22"/>
          <w:szCs w:val="22"/>
        </w:rPr>
        <w:t xml:space="preserve"> Sometimes students write an entire essay that doesn’t really address the question asked.  Slow down and ask yourself: What is the question asking?  What are the key words in the question?  Do you address all the aspects of the question? </w:t>
      </w:r>
      <w:r w:rsidR="00736BAE" w:rsidRPr="000317C9">
        <w:rPr>
          <w:rFonts w:ascii="Trebuchet MS" w:hAnsi="Trebuchet MS"/>
          <w:sz w:val="22"/>
          <w:szCs w:val="22"/>
        </w:rPr>
        <w:t>If you are unsure of any part of the essay writing, talk to your tutor.</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b/>
          <w:sz w:val="22"/>
          <w:szCs w:val="22"/>
        </w:rPr>
      </w:pPr>
      <w:r w:rsidRPr="000317C9">
        <w:rPr>
          <w:rFonts w:ascii="Trebuchet MS" w:hAnsi="Trebuchet MS"/>
          <w:b/>
          <w:sz w:val="22"/>
          <w:szCs w:val="22"/>
        </w:rPr>
        <w:t xml:space="preserve">*Reading. </w:t>
      </w:r>
      <w:r w:rsidRPr="000317C9">
        <w:rPr>
          <w:rFonts w:ascii="Trebuchet MS" w:hAnsi="Trebuchet MS"/>
          <w:sz w:val="22"/>
          <w:szCs w:val="22"/>
        </w:rPr>
        <w:t>The heart of your university education is your own reading.  One simply cannot write a successful essay without time struggling to understand key books and articles.</w:t>
      </w:r>
      <w:r w:rsidRPr="000317C9">
        <w:rPr>
          <w:rFonts w:ascii="Trebuchet MS" w:hAnsi="Trebuchet MS"/>
          <w:b/>
          <w:sz w:val="22"/>
          <w:szCs w:val="22"/>
        </w:rPr>
        <w:t xml:space="preserve"> </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b/>
          <w:sz w:val="22"/>
          <w:szCs w:val="22"/>
        </w:rPr>
        <w:t xml:space="preserve">*Referencing. </w:t>
      </w:r>
      <w:r w:rsidRPr="000317C9">
        <w:rPr>
          <w:rFonts w:ascii="Trebuchet MS" w:hAnsi="Trebuchet MS"/>
          <w:sz w:val="22"/>
          <w:szCs w:val="22"/>
        </w:rPr>
        <w:t>To not reference a key idea or thought that comes from someone else is a gross error. Consult the School’s Plagiarism Guide for more about this.</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b/>
          <w:sz w:val="22"/>
          <w:szCs w:val="22"/>
        </w:rPr>
        <w:t>*Overuse of quotations.</w:t>
      </w:r>
      <w:r w:rsidRPr="000317C9">
        <w:rPr>
          <w:rFonts w:ascii="Trebuchet MS" w:hAnsi="Trebuchet MS"/>
          <w:sz w:val="22"/>
          <w:szCs w:val="22"/>
        </w:rPr>
        <w:t xml:space="preserve"> Do not rely on too many quotations without using your own words.  Quotations can be very effective when they are used sparingly. They are a way to give the reader a taste of the scholar and how that scholar verbalizes ideas that relate to your essay question.</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b/>
          <w:sz w:val="22"/>
          <w:szCs w:val="22"/>
        </w:rPr>
        <w:t xml:space="preserve">*Time management. </w:t>
      </w:r>
      <w:r w:rsidRPr="000317C9">
        <w:rPr>
          <w:rFonts w:ascii="Trebuchet MS" w:hAnsi="Trebuchet MS"/>
          <w:sz w:val="22"/>
          <w:szCs w:val="22"/>
        </w:rPr>
        <w:t xml:space="preserve">Students who succeed often begin their essays in the first week of term and make steady advances as the weeks go along.  To accomplish this you </w:t>
      </w:r>
      <w:r w:rsidRPr="000317C9">
        <w:rPr>
          <w:rFonts w:ascii="Trebuchet MS" w:hAnsi="Trebuchet MS"/>
          <w:sz w:val="22"/>
          <w:szCs w:val="22"/>
        </w:rPr>
        <w:lastRenderedPageBreak/>
        <w:t>need a good time management practice, blocking out time for yourself to do your work.  This avoids the pitfall of rushed and inappropriate work submitted at the end of the semester.</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b/>
          <w:sz w:val="22"/>
          <w:szCs w:val="22"/>
        </w:rPr>
        <w:t>*Statements that are too vague.</w:t>
      </w:r>
      <w:r w:rsidRPr="000317C9">
        <w:rPr>
          <w:rFonts w:ascii="Trebuchet MS" w:hAnsi="Trebuchet MS"/>
          <w:sz w:val="22"/>
          <w:szCs w:val="22"/>
        </w:rPr>
        <w:t xml:space="preserve"> For example, </w:t>
      </w:r>
      <w:r w:rsidRPr="000317C9">
        <w:rPr>
          <w:rFonts w:ascii="Trebuchet MS" w:hAnsi="Trebuchet MS"/>
          <w:i/>
          <w:sz w:val="22"/>
          <w:szCs w:val="22"/>
        </w:rPr>
        <w:t>“people believe this”</w:t>
      </w:r>
      <w:r w:rsidRPr="000317C9">
        <w:rPr>
          <w:rFonts w:ascii="Trebuchet MS" w:hAnsi="Trebuchet MS"/>
          <w:sz w:val="22"/>
          <w:szCs w:val="22"/>
        </w:rPr>
        <w:t xml:space="preserve"> Who????  </w:t>
      </w:r>
      <w:r w:rsidRPr="000317C9">
        <w:rPr>
          <w:rFonts w:ascii="Trebuchet MS" w:hAnsi="Trebuchet MS"/>
          <w:i/>
          <w:sz w:val="22"/>
          <w:szCs w:val="22"/>
        </w:rPr>
        <w:t>“Many people think that…”</w:t>
      </w:r>
      <w:r w:rsidRPr="000317C9">
        <w:rPr>
          <w:rFonts w:ascii="Trebuchet MS" w:hAnsi="Trebuchet MS"/>
          <w:sz w:val="22"/>
          <w:szCs w:val="22"/>
        </w:rPr>
        <w:t xml:space="preserve"> Who thinks this? When did they live?   From where were they writing? And what were the main themes in the culture they were addressing?  What evidence do you have for this?   Students who follow this advice avoid the particular pitfall of a mediocre and general </w:t>
      </w:r>
      <w:r w:rsidR="00573F0A" w:rsidRPr="000317C9">
        <w:rPr>
          <w:rFonts w:ascii="Trebuchet MS" w:hAnsi="Trebuchet MS"/>
          <w:sz w:val="22"/>
          <w:szCs w:val="22"/>
        </w:rPr>
        <w:t>essay</w:t>
      </w:r>
      <w:r w:rsidRPr="000317C9">
        <w:rPr>
          <w:rFonts w:ascii="Trebuchet MS" w:hAnsi="Trebuchet MS"/>
          <w:sz w:val="22"/>
          <w:szCs w:val="22"/>
        </w:rPr>
        <w:t>.</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b/>
          <w:sz w:val="22"/>
          <w:szCs w:val="22"/>
        </w:rPr>
        <w:t xml:space="preserve">The Lecture-note/Wikipedia essay. </w:t>
      </w:r>
      <w:r w:rsidRPr="000317C9">
        <w:rPr>
          <w:rFonts w:ascii="Trebuchet MS" w:hAnsi="Trebuchet MS"/>
          <w:sz w:val="22"/>
          <w:szCs w:val="22"/>
        </w:rPr>
        <w:t xml:space="preserve">You do not get anywhere by relying on course notes or </w:t>
      </w:r>
      <w:r w:rsidR="00573F0A" w:rsidRPr="000317C9">
        <w:rPr>
          <w:rFonts w:ascii="Trebuchet MS" w:hAnsi="Trebuchet MS"/>
          <w:sz w:val="22"/>
          <w:szCs w:val="22"/>
        </w:rPr>
        <w:t>Wikipedia</w:t>
      </w:r>
      <w:r w:rsidRPr="000317C9">
        <w:rPr>
          <w:rFonts w:ascii="Trebuchet MS" w:hAnsi="Trebuchet MS"/>
          <w:sz w:val="22"/>
          <w:szCs w:val="22"/>
        </w:rPr>
        <w:t>---the lecture</w:t>
      </w:r>
      <w:r w:rsidR="00C55885" w:rsidRPr="000317C9">
        <w:rPr>
          <w:rFonts w:ascii="Trebuchet MS" w:hAnsi="Trebuchet MS"/>
          <w:sz w:val="22"/>
          <w:szCs w:val="22"/>
        </w:rPr>
        <w:t>-</w:t>
      </w:r>
      <w:r w:rsidRPr="000317C9">
        <w:rPr>
          <w:rFonts w:ascii="Trebuchet MS" w:hAnsi="Trebuchet MS"/>
          <w:sz w:val="22"/>
          <w:szCs w:val="22"/>
        </w:rPr>
        <w:t>note</w:t>
      </w:r>
      <w:r w:rsidR="00C55885" w:rsidRPr="000317C9">
        <w:rPr>
          <w:rFonts w:ascii="Trebuchet MS" w:hAnsi="Trebuchet MS"/>
          <w:sz w:val="22"/>
          <w:szCs w:val="22"/>
        </w:rPr>
        <w:t>/</w:t>
      </w:r>
      <w:r w:rsidR="00573F0A" w:rsidRPr="000317C9">
        <w:rPr>
          <w:rFonts w:ascii="Trebuchet MS" w:hAnsi="Trebuchet MS"/>
          <w:sz w:val="22"/>
          <w:szCs w:val="22"/>
        </w:rPr>
        <w:t>Wikipedia</w:t>
      </w:r>
      <w:r w:rsidRPr="000317C9">
        <w:rPr>
          <w:rFonts w:ascii="Trebuchet MS" w:hAnsi="Trebuchet MS"/>
          <w:sz w:val="22"/>
          <w:szCs w:val="22"/>
        </w:rPr>
        <w:t xml:space="preserve"> </w:t>
      </w:r>
      <w:r w:rsidR="00573F0A" w:rsidRPr="000317C9">
        <w:rPr>
          <w:rFonts w:ascii="Trebuchet MS" w:hAnsi="Trebuchet MS"/>
          <w:sz w:val="22"/>
          <w:szCs w:val="22"/>
        </w:rPr>
        <w:t>essay</w:t>
      </w:r>
      <w:r w:rsidRPr="000317C9">
        <w:rPr>
          <w:rFonts w:ascii="Trebuchet MS" w:hAnsi="Trebuchet MS"/>
          <w:sz w:val="22"/>
          <w:szCs w:val="22"/>
        </w:rPr>
        <w:t xml:space="preserve"> is usually a failed </w:t>
      </w:r>
      <w:r w:rsidR="00573F0A" w:rsidRPr="000317C9">
        <w:rPr>
          <w:rFonts w:ascii="Trebuchet MS" w:hAnsi="Trebuchet MS"/>
          <w:sz w:val="22"/>
          <w:szCs w:val="22"/>
        </w:rPr>
        <w:t>essay</w:t>
      </w:r>
      <w:r w:rsidRPr="000317C9">
        <w:rPr>
          <w:rFonts w:ascii="Trebuchet MS" w:hAnsi="Trebuchet MS"/>
          <w:sz w:val="22"/>
          <w:szCs w:val="22"/>
        </w:rPr>
        <w:t xml:space="preserve">. These are starting points to warm you up for your reading.  Use the books and articles on the module descriptor and the School’s e-resources. </w:t>
      </w:r>
      <w:r w:rsidR="00C55885" w:rsidRPr="000317C9">
        <w:rPr>
          <w:rFonts w:ascii="Trebuchet MS" w:hAnsi="Trebuchet MS"/>
          <w:sz w:val="22"/>
          <w:szCs w:val="22"/>
        </w:rPr>
        <w:t>Wikipedia should not be used as a reference in academic work.</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b/>
          <w:sz w:val="22"/>
          <w:szCs w:val="22"/>
        </w:rPr>
        <w:t xml:space="preserve">A Jumble of facts: </w:t>
      </w:r>
      <w:r w:rsidRPr="000317C9">
        <w:rPr>
          <w:rFonts w:ascii="Trebuchet MS" w:hAnsi="Trebuchet MS"/>
          <w:sz w:val="22"/>
          <w:szCs w:val="22"/>
        </w:rPr>
        <w:t>watch out that you do not merely string together a number of facts.  Ensure that along with your descriptions you can say why things are significant.  At levels 5 and 6 you have to engage more thoroughly in critical analysis which means that you look at more than one side of a question, reporting accurately on scholarly conflicts and drawing your own judgments on these arguments based on academic evidence.</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p>
    <w:p w:rsidR="006F0FB9" w:rsidRPr="000317C9" w:rsidRDefault="00366E07" w:rsidP="006F0FB9">
      <w:pPr>
        <w:jc w:val="both"/>
        <w:rPr>
          <w:rFonts w:ascii="Trebuchet MS" w:hAnsi="Trebuchet MS"/>
          <w:b/>
          <w:sz w:val="22"/>
          <w:szCs w:val="22"/>
        </w:rPr>
      </w:pPr>
      <w:r w:rsidRPr="000317C9">
        <w:rPr>
          <w:rFonts w:ascii="Trebuchet MS" w:hAnsi="Trebuchet MS"/>
          <w:b/>
          <w:sz w:val="22"/>
          <w:szCs w:val="22"/>
        </w:rPr>
        <w:t>8</w:t>
      </w:r>
      <w:r w:rsidR="006F0FB9" w:rsidRPr="000317C9">
        <w:rPr>
          <w:rFonts w:ascii="Trebuchet MS" w:hAnsi="Trebuchet MS"/>
          <w:b/>
          <w:sz w:val="22"/>
          <w:szCs w:val="22"/>
        </w:rPr>
        <w:t>. Improving Your Work.</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Your essay is an opportunity for learning not just a means of getting marks!  You and others will forget your grades in the years to come, but you may never forget the valuable things you learned.</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Students who want to improve will:</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 xml:space="preserve">* </w:t>
      </w:r>
      <w:r w:rsidRPr="000317C9">
        <w:rPr>
          <w:rFonts w:ascii="Trebuchet MS" w:hAnsi="Trebuchet MS"/>
          <w:b/>
          <w:bCs/>
          <w:sz w:val="22"/>
          <w:szCs w:val="22"/>
        </w:rPr>
        <w:t>Read more widely.</w:t>
      </w:r>
      <w:r w:rsidRPr="000317C9">
        <w:rPr>
          <w:rFonts w:ascii="Trebuchet MS" w:hAnsi="Trebuchet MS"/>
          <w:sz w:val="22"/>
          <w:szCs w:val="22"/>
        </w:rPr>
        <w:t xml:space="preserve"> Students find it helpful not only to schedule reading time but to choose the best environment for their reading. </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 xml:space="preserve">* Read </w:t>
      </w:r>
      <w:r w:rsidRPr="000317C9">
        <w:rPr>
          <w:rFonts w:ascii="Trebuchet MS" w:hAnsi="Trebuchet MS"/>
          <w:b/>
          <w:bCs/>
          <w:sz w:val="22"/>
          <w:szCs w:val="22"/>
        </w:rPr>
        <w:t>different points of view</w:t>
      </w:r>
      <w:r w:rsidRPr="000317C9">
        <w:rPr>
          <w:rFonts w:ascii="Trebuchet MS" w:hAnsi="Trebuchet MS"/>
          <w:sz w:val="22"/>
          <w:szCs w:val="22"/>
        </w:rPr>
        <w:t xml:space="preserve"> on the essay subject.</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 xml:space="preserve">* Make sure your judgment and views are based on </w:t>
      </w:r>
      <w:r w:rsidRPr="000317C9">
        <w:rPr>
          <w:rFonts w:ascii="Trebuchet MS" w:hAnsi="Trebuchet MS"/>
          <w:b/>
          <w:sz w:val="22"/>
          <w:szCs w:val="22"/>
        </w:rPr>
        <w:t>academic evidence</w:t>
      </w:r>
      <w:r w:rsidRPr="000317C9">
        <w:rPr>
          <w:rFonts w:ascii="Trebuchet MS" w:hAnsi="Trebuchet MS"/>
          <w:sz w:val="22"/>
          <w:szCs w:val="22"/>
        </w:rPr>
        <w:t>.</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 xml:space="preserve">* Make sure your </w:t>
      </w:r>
      <w:r w:rsidR="00573F0A" w:rsidRPr="000317C9">
        <w:rPr>
          <w:rFonts w:ascii="Trebuchet MS" w:hAnsi="Trebuchet MS"/>
          <w:sz w:val="22"/>
          <w:szCs w:val="22"/>
        </w:rPr>
        <w:t>work</w:t>
      </w:r>
      <w:r w:rsidRPr="000317C9">
        <w:rPr>
          <w:rFonts w:ascii="Trebuchet MS" w:hAnsi="Trebuchet MS"/>
          <w:sz w:val="22"/>
          <w:szCs w:val="22"/>
        </w:rPr>
        <w:t xml:space="preserve"> is thoroughly </w:t>
      </w:r>
      <w:r w:rsidRPr="000317C9">
        <w:rPr>
          <w:rFonts w:ascii="Trebuchet MS" w:hAnsi="Trebuchet MS"/>
          <w:b/>
          <w:sz w:val="22"/>
          <w:szCs w:val="22"/>
        </w:rPr>
        <w:t>referenced</w:t>
      </w:r>
      <w:r w:rsidRPr="000317C9">
        <w:rPr>
          <w:rFonts w:ascii="Trebuchet MS" w:hAnsi="Trebuchet MS"/>
          <w:sz w:val="22"/>
          <w:szCs w:val="22"/>
        </w:rPr>
        <w:t>.</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p>
    <w:p w:rsidR="006F0FB9" w:rsidRPr="000317C9" w:rsidRDefault="00366E07" w:rsidP="006F0FB9">
      <w:pPr>
        <w:jc w:val="both"/>
        <w:rPr>
          <w:rFonts w:ascii="Trebuchet MS" w:hAnsi="Trebuchet MS"/>
          <w:b/>
          <w:bCs/>
          <w:sz w:val="22"/>
          <w:szCs w:val="22"/>
        </w:rPr>
      </w:pPr>
      <w:r w:rsidRPr="000317C9">
        <w:rPr>
          <w:rFonts w:ascii="Trebuchet MS" w:hAnsi="Trebuchet MS"/>
          <w:b/>
          <w:bCs/>
          <w:sz w:val="22"/>
          <w:szCs w:val="22"/>
        </w:rPr>
        <w:t>9</w:t>
      </w:r>
      <w:r w:rsidR="006F0FB9" w:rsidRPr="000317C9">
        <w:rPr>
          <w:rFonts w:ascii="Trebuchet MS" w:hAnsi="Trebuchet MS"/>
          <w:b/>
          <w:bCs/>
          <w:sz w:val="22"/>
          <w:szCs w:val="22"/>
        </w:rPr>
        <w:t>. Final Check list:</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 xml:space="preserve">Look at this before you submit your </w:t>
      </w:r>
      <w:r w:rsidR="00573F0A" w:rsidRPr="000317C9">
        <w:rPr>
          <w:rFonts w:ascii="Trebuchet MS" w:hAnsi="Trebuchet MS"/>
          <w:sz w:val="22"/>
          <w:szCs w:val="22"/>
        </w:rPr>
        <w:t>work</w:t>
      </w:r>
      <w:r w:rsidRPr="000317C9">
        <w:rPr>
          <w:rFonts w:ascii="Trebuchet MS" w:hAnsi="Trebuchet MS"/>
          <w:sz w:val="22"/>
          <w:szCs w:val="22"/>
        </w:rPr>
        <w:t>!</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sym w:font="Wingdings" w:char="F072"/>
      </w:r>
      <w:r w:rsidRPr="000317C9">
        <w:rPr>
          <w:rFonts w:ascii="Trebuchet MS" w:hAnsi="Trebuchet MS"/>
          <w:sz w:val="22"/>
          <w:szCs w:val="22"/>
        </w:rPr>
        <w:t xml:space="preserve"> Look over your spelling and grammar- proofread, proofread and proofread again. There is often an advantage in having someone else read your essay.</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lastRenderedPageBreak/>
        <w:sym w:font="Wingdings" w:char="F072"/>
      </w:r>
      <w:r w:rsidRPr="000317C9">
        <w:rPr>
          <w:rFonts w:ascii="Trebuchet MS" w:hAnsi="Trebuchet MS"/>
          <w:sz w:val="22"/>
          <w:szCs w:val="22"/>
        </w:rPr>
        <w:t xml:space="preserve"> Ask yourself questions about your spelling and structure: Did you respond to the actual essay question? Do your sentences make sense? Are the paragraphs coherent?  Does your conclusion logically follow from the body of your essay?</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sym w:font="Wingdings" w:char="F072"/>
      </w:r>
      <w:r w:rsidRPr="000317C9">
        <w:rPr>
          <w:rFonts w:ascii="Trebuchet MS" w:hAnsi="Trebuchet MS"/>
          <w:sz w:val="22"/>
          <w:szCs w:val="22"/>
        </w:rPr>
        <w:t xml:space="preserve"> Ensure your title page has (a) a title—the exact one you were given (b) your student number (not your name) (c) a word count.</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sym w:font="Wingdings" w:char="F072"/>
      </w:r>
      <w:r w:rsidRPr="000317C9">
        <w:rPr>
          <w:rFonts w:ascii="Trebuchet MS" w:hAnsi="Trebuchet MS"/>
          <w:sz w:val="22"/>
          <w:szCs w:val="22"/>
        </w:rPr>
        <w:t xml:space="preserve"> Format your work: paragraphs separated by a line of space</w:t>
      </w:r>
      <w:r w:rsidR="00736BAE" w:rsidRPr="000317C9">
        <w:rPr>
          <w:rFonts w:ascii="Trebuchet MS" w:hAnsi="Trebuchet MS"/>
          <w:sz w:val="22"/>
          <w:szCs w:val="22"/>
        </w:rPr>
        <w:t xml:space="preserve"> and no indentation of the first line.  Footnote text two points smaller than the main text.</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sym w:font="Wingdings" w:char="F072"/>
      </w:r>
      <w:r w:rsidRPr="000317C9">
        <w:rPr>
          <w:rFonts w:ascii="Trebuchet MS" w:hAnsi="Trebuchet MS"/>
          <w:sz w:val="22"/>
          <w:szCs w:val="22"/>
        </w:rPr>
        <w:t xml:space="preserve"> Ensure your referenc</w:t>
      </w:r>
      <w:r w:rsidR="00FE5A6E" w:rsidRPr="000317C9">
        <w:rPr>
          <w:rFonts w:ascii="Trebuchet MS" w:hAnsi="Trebuchet MS"/>
          <w:sz w:val="22"/>
          <w:szCs w:val="22"/>
        </w:rPr>
        <w:t>ing follows the S</w:t>
      </w:r>
      <w:r w:rsidRPr="000317C9">
        <w:rPr>
          <w:rFonts w:ascii="Trebuchet MS" w:hAnsi="Trebuchet MS"/>
          <w:sz w:val="22"/>
          <w:szCs w:val="22"/>
        </w:rPr>
        <w:t>chool rules as laid out</w:t>
      </w:r>
      <w:r w:rsidR="00FE5A6E" w:rsidRPr="000317C9">
        <w:rPr>
          <w:rFonts w:ascii="Trebuchet MS" w:hAnsi="Trebuchet MS"/>
          <w:sz w:val="22"/>
          <w:szCs w:val="22"/>
        </w:rPr>
        <w:t xml:space="preserve"> in the </w:t>
      </w:r>
      <w:r w:rsidR="00FE5A6E" w:rsidRPr="000317C9">
        <w:rPr>
          <w:rFonts w:ascii="Trebuchet MS" w:hAnsi="Trebuchet MS"/>
          <w:i/>
          <w:sz w:val="22"/>
          <w:szCs w:val="22"/>
        </w:rPr>
        <w:t>Referencing Guide</w:t>
      </w:r>
      <w:r w:rsidRPr="000317C9">
        <w:rPr>
          <w:rFonts w:ascii="Trebuchet MS" w:hAnsi="Trebuchet MS"/>
          <w:sz w:val="22"/>
          <w:szCs w:val="22"/>
        </w:rPr>
        <w:t>.</w:t>
      </w:r>
    </w:p>
    <w:p w:rsidR="006F0FB9" w:rsidRPr="000317C9" w:rsidRDefault="006F0FB9" w:rsidP="006F0FB9">
      <w:pPr>
        <w:ind w:left="360"/>
        <w:jc w:val="both"/>
        <w:rPr>
          <w:rFonts w:ascii="Trebuchet MS" w:hAnsi="Trebuchet MS"/>
          <w:sz w:val="22"/>
          <w:szCs w:val="22"/>
        </w:rPr>
      </w:pPr>
    </w:p>
    <w:p w:rsidR="006F0FB9" w:rsidRPr="000317C9" w:rsidRDefault="006F0FB9" w:rsidP="006F0FB9">
      <w:pPr>
        <w:ind w:left="360"/>
        <w:jc w:val="both"/>
        <w:rPr>
          <w:rFonts w:ascii="Trebuchet MS" w:hAnsi="Trebuchet MS"/>
          <w:sz w:val="22"/>
          <w:szCs w:val="22"/>
        </w:rPr>
      </w:pPr>
    </w:p>
    <w:p w:rsidR="006F0FB9" w:rsidRPr="000317C9" w:rsidRDefault="006F0FB9" w:rsidP="006F0FB9">
      <w:pPr>
        <w:jc w:val="both"/>
        <w:rPr>
          <w:rFonts w:ascii="Trebuchet MS" w:hAnsi="Trebuchet MS"/>
          <w:b/>
          <w:sz w:val="22"/>
          <w:szCs w:val="22"/>
        </w:rPr>
      </w:pPr>
      <w:r w:rsidRPr="000317C9">
        <w:rPr>
          <w:rFonts w:ascii="Trebuchet MS" w:hAnsi="Trebuchet MS"/>
          <w:b/>
          <w:sz w:val="22"/>
          <w:szCs w:val="22"/>
        </w:rPr>
        <w:t>A Closing Word:</w:t>
      </w:r>
    </w:p>
    <w:p w:rsidR="006F0FB9" w:rsidRPr="000317C9" w:rsidRDefault="006F0FB9" w:rsidP="006F0FB9">
      <w:pPr>
        <w:jc w:val="both"/>
        <w:rPr>
          <w:rFonts w:ascii="Trebuchet MS" w:hAnsi="Trebuchet MS"/>
          <w:sz w:val="22"/>
          <w:szCs w:val="22"/>
        </w:rPr>
      </w:pPr>
    </w:p>
    <w:p w:rsidR="006F0FB9" w:rsidRPr="000317C9" w:rsidRDefault="006F0FB9" w:rsidP="006F0FB9">
      <w:pPr>
        <w:jc w:val="both"/>
        <w:rPr>
          <w:rFonts w:ascii="Trebuchet MS" w:hAnsi="Trebuchet MS"/>
          <w:sz w:val="22"/>
          <w:szCs w:val="22"/>
        </w:rPr>
      </w:pPr>
      <w:r w:rsidRPr="000317C9">
        <w:rPr>
          <w:rFonts w:ascii="Trebuchet MS" w:hAnsi="Trebuchet MS"/>
          <w:sz w:val="22"/>
          <w:szCs w:val="22"/>
        </w:rPr>
        <w:t>Have pride in your work. Follow every lead that you have to improve your work: proof read, do some more reading, make use of your personal tutor.   Ultimately, the specific mark you have achieved is not as important as the good feeling of having done your best.</w:t>
      </w:r>
    </w:p>
    <w:sectPr w:rsidR="006F0FB9" w:rsidRPr="000317C9" w:rsidSect="005E00B9">
      <w:headerReference w:type="default" r:id="rId9"/>
      <w:footerReference w:type="even" r:id="rId10"/>
      <w:footerReference w:type="default" r:id="rId11"/>
      <w:pgSz w:w="12240" w:h="15840"/>
      <w:pgMar w:top="1440" w:right="1800" w:bottom="1440" w:left="1800" w:header="72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41A9" w:rsidRDefault="007B41A9">
      <w:r>
        <w:separator/>
      </w:r>
    </w:p>
  </w:endnote>
  <w:endnote w:type="continuationSeparator" w:id="0">
    <w:p w:rsidR="007B41A9" w:rsidRDefault="007B4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FB9" w:rsidRDefault="006F0FB9" w:rsidP="005E00B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F0FB9" w:rsidRDefault="006F0F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FB9" w:rsidRPr="00B54B9A" w:rsidRDefault="006F0FB9" w:rsidP="005E00B9">
    <w:pPr>
      <w:pStyle w:val="Footer"/>
      <w:framePr w:wrap="around" w:vAnchor="text" w:hAnchor="margin" w:xAlign="center" w:y="1"/>
      <w:rPr>
        <w:rStyle w:val="PageNumber"/>
        <w:rFonts w:ascii="Verdana" w:hAnsi="Verdana"/>
        <w:sz w:val="20"/>
        <w:szCs w:val="20"/>
      </w:rPr>
    </w:pPr>
    <w:r w:rsidRPr="00B54B9A">
      <w:rPr>
        <w:rStyle w:val="PageNumber"/>
        <w:rFonts w:ascii="Verdana" w:hAnsi="Verdana"/>
        <w:sz w:val="20"/>
        <w:szCs w:val="20"/>
      </w:rPr>
      <w:fldChar w:fldCharType="begin"/>
    </w:r>
    <w:r w:rsidRPr="00B54B9A">
      <w:rPr>
        <w:rStyle w:val="PageNumber"/>
        <w:rFonts w:ascii="Verdana" w:hAnsi="Verdana"/>
        <w:sz w:val="20"/>
        <w:szCs w:val="20"/>
      </w:rPr>
      <w:instrText xml:space="preserve">PAGE  </w:instrText>
    </w:r>
    <w:r w:rsidRPr="00B54B9A">
      <w:rPr>
        <w:rStyle w:val="PageNumber"/>
        <w:rFonts w:ascii="Verdana" w:hAnsi="Verdana"/>
        <w:sz w:val="20"/>
        <w:szCs w:val="20"/>
      </w:rPr>
      <w:fldChar w:fldCharType="separate"/>
    </w:r>
    <w:r w:rsidR="000317C9">
      <w:rPr>
        <w:rStyle w:val="PageNumber"/>
        <w:rFonts w:ascii="Verdana" w:hAnsi="Verdana"/>
        <w:noProof/>
        <w:sz w:val="20"/>
        <w:szCs w:val="20"/>
      </w:rPr>
      <w:t>5</w:t>
    </w:r>
    <w:r w:rsidRPr="00B54B9A">
      <w:rPr>
        <w:rStyle w:val="PageNumber"/>
        <w:rFonts w:ascii="Verdana" w:hAnsi="Verdana"/>
        <w:sz w:val="20"/>
        <w:szCs w:val="20"/>
      </w:rPr>
      <w:fldChar w:fldCharType="end"/>
    </w:r>
  </w:p>
  <w:p w:rsidR="006F0FB9" w:rsidRPr="00B54B9A" w:rsidRDefault="006F0FB9">
    <w:pPr>
      <w:pStyle w:val="Footer"/>
      <w:rPr>
        <w:rFonts w:ascii="Verdana" w:hAnsi="Verdana"/>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41A9" w:rsidRDefault="007B41A9">
      <w:r>
        <w:separator/>
      </w:r>
    </w:p>
  </w:footnote>
  <w:footnote w:type="continuationSeparator" w:id="0">
    <w:p w:rsidR="007B41A9" w:rsidRDefault="007B41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FB9" w:rsidRPr="00BA5871" w:rsidRDefault="006F0FB9">
    <w:pPr>
      <w:rPr>
        <w:i/>
      </w:rPr>
    </w:pPr>
  </w:p>
  <w:p w:rsidR="006F0FB9" w:rsidRPr="00BA5871" w:rsidRDefault="006F0FB9">
    <w:pPr>
      <w:pStyle w:val="Header"/>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C1896"/>
    <w:multiLevelType w:val="hybridMultilevel"/>
    <w:tmpl w:val="AEDA5770"/>
    <w:lvl w:ilvl="0" w:tplc="000F0409">
      <w:start w:val="9"/>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
    <w:nsid w:val="56BB7C64"/>
    <w:multiLevelType w:val="hybridMultilevel"/>
    <w:tmpl w:val="1500FF3C"/>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
    <w:nsid w:val="5E257D34"/>
    <w:multiLevelType w:val="hybridMultilevel"/>
    <w:tmpl w:val="BA8C40D2"/>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
    <w:nsid w:val="78911B65"/>
    <w:multiLevelType w:val="hybridMultilevel"/>
    <w:tmpl w:val="24486822"/>
    <w:lvl w:ilvl="0" w:tplc="000F0409">
      <w:start w:val="4"/>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14F"/>
    <w:rsid w:val="000317C9"/>
    <w:rsid w:val="0003398C"/>
    <w:rsid w:val="00042C42"/>
    <w:rsid w:val="000A5CB7"/>
    <w:rsid w:val="002D4270"/>
    <w:rsid w:val="0031014F"/>
    <w:rsid w:val="00366E07"/>
    <w:rsid w:val="00573F0A"/>
    <w:rsid w:val="005B2D45"/>
    <w:rsid w:val="005E00B9"/>
    <w:rsid w:val="006F0FB9"/>
    <w:rsid w:val="00736624"/>
    <w:rsid w:val="00736BAE"/>
    <w:rsid w:val="007B41A9"/>
    <w:rsid w:val="00B54B9A"/>
    <w:rsid w:val="00C55885"/>
    <w:rsid w:val="00FE5A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A5871"/>
    <w:pPr>
      <w:tabs>
        <w:tab w:val="center" w:pos="4320"/>
        <w:tab w:val="right" w:pos="8640"/>
      </w:tabs>
    </w:pPr>
  </w:style>
  <w:style w:type="paragraph" w:styleId="Footer">
    <w:name w:val="footer"/>
    <w:basedOn w:val="Normal"/>
    <w:semiHidden/>
    <w:rsid w:val="00BA5871"/>
    <w:pPr>
      <w:tabs>
        <w:tab w:val="center" w:pos="4320"/>
        <w:tab w:val="right" w:pos="8640"/>
      </w:tabs>
    </w:pPr>
  </w:style>
  <w:style w:type="character" w:styleId="PageNumber">
    <w:name w:val="page number"/>
    <w:basedOn w:val="DefaultParagraphFont"/>
    <w:rsid w:val="00691E7F"/>
  </w:style>
  <w:style w:type="paragraph" w:styleId="Title">
    <w:name w:val="Title"/>
    <w:basedOn w:val="Normal"/>
    <w:qFormat/>
    <w:rsid w:val="00B54B9A"/>
    <w:pPr>
      <w:ind w:left="720" w:hanging="720"/>
      <w:jc w:val="center"/>
    </w:pPr>
    <w:rPr>
      <w:rFonts w:ascii="Arial" w:hAnsi="Arial"/>
      <w:szCs w:val="20"/>
      <w:lang w:eastAsia="en-GB"/>
    </w:rPr>
  </w:style>
  <w:style w:type="paragraph" w:styleId="BalloonText">
    <w:name w:val="Balloon Text"/>
    <w:basedOn w:val="Normal"/>
    <w:link w:val="BalloonTextChar"/>
    <w:uiPriority w:val="99"/>
    <w:semiHidden/>
    <w:unhideWhenUsed/>
    <w:rsid w:val="000317C9"/>
    <w:rPr>
      <w:rFonts w:ascii="Tahoma" w:hAnsi="Tahoma" w:cs="Tahoma"/>
      <w:sz w:val="16"/>
      <w:szCs w:val="16"/>
    </w:rPr>
  </w:style>
  <w:style w:type="character" w:customStyle="1" w:styleId="BalloonTextChar">
    <w:name w:val="Balloon Text Char"/>
    <w:basedOn w:val="DefaultParagraphFont"/>
    <w:link w:val="BalloonText"/>
    <w:uiPriority w:val="99"/>
    <w:semiHidden/>
    <w:rsid w:val="000317C9"/>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A5871"/>
    <w:pPr>
      <w:tabs>
        <w:tab w:val="center" w:pos="4320"/>
        <w:tab w:val="right" w:pos="8640"/>
      </w:tabs>
    </w:pPr>
  </w:style>
  <w:style w:type="paragraph" w:styleId="Footer">
    <w:name w:val="footer"/>
    <w:basedOn w:val="Normal"/>
    <w:semiHidden/>
    <w:rsid w:val="00BA5871"/>
    <w:pPr>
      <w:tabs>
        <w:tab w:val="center" w:pos="4320"/>
        <w:tab w:val="right" w:pos="8640"/>
      </w:tabs>
    </w:pPr>
  </w:style>
  <w:style w:type="character" w:styleId="PageNumber">
    <w:name w:val="page number"/>
    <w:basedOn w:val="DefaultParagraphFont"/>
    <w:rsid w:val="00691E7F"/>
  </w:style>
  <w:style w:type="paragraph" w:styleId="Title">
    <w:name w:val="Title"/>
    <w:basedOn w:val="Normal"/>
    <w:qFormat/>
    <w:rsid w:val="00B54B9A"/>
    <w:pPr>
      <w:ind w:left="720" w:hanging="720"/>
      <w:jc w:val="center"/>
    </w:pPr>
    <w:rPr>
      <w:rFonts w:ascii="Arial" w:hAnsi="Arial"/>
      <w:szCs w:val="20"/>
      <w:lang w:eastAsia="en-GB"/>
    </w:rPr>
  </w:style>
  <w:style w:type="paragraph" w:styleId="BalloonText">
    <w:name w:val="Balloon Text"/>
    <w:basedOn w:val="Normal"/>
    <w:link w:val="BalloonTextChar"/>
    <w:uiPriority w:val="99"/>
    <w:semiHidden/>
    <w:unhideWhenUsed/>
    <w:rsid w:val="000317C9"/>
    <w:rPr>
      <w:rFonts w:ascii="Tahoma" w:hAnsi="Tahoma" w:cs="Tahoma"/>
      <w:sz w:val="16"/>
      <w:szCs w:val="16"/>
    </w:rPr>
  </w:style>
  <w:style w:type="character" w:customStyle="1" w:styleId="BalloonTextChar">
    <w:name w:val="Balloon Text Char"/>
    <w:basedOn w:val="DefaultParagraphFont"/>
    <w:link w:val="BalloonText"/>
    <w:uiPriority w:val="99"/>
    <w:semiHidden/>
    <w:rsid w:val="000317C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55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1891</Words>
  <Characters>10780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1</vt:lpstr>
    </vt:vector>
  </TitlesOfParts>
  <Company>self</Company>
  <LinksUpToDate>false</LinksUpToDate>
  <CharactersWithSpaces>12646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Gregory A. Barker User</dc:creator>
  <cp:lastModifiedBy>Sarah</cp:lastModifiedBy>
  <cp:revision>4</cp:revision>
  <cp:lastPrinted>2008-09-18T09:05:00Z</cp:lastPrinted>
  <dcterms:created xsi:type="dcterms:W3CDTF">2012-09-18T18:06:00Z</dcterms:created>
  <dcterms:modified xsi:type="dcterms:W3CDTF">2012-09-19T10:12:00Z</dcterms:modified>
</cp:coreProperties>
</file>