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401BC6" w14:textId="77777777" w:rsidR="00E52A1D" w:rsidRPr="009A33F0" w:rsidRDefault="00E52A1D" w:rsidP="00E52A1D">
      <w:pPr>
        <w:spacing w:line="360" w:lineRule="auto"/>
        <w:jc w:val="center"/>
        <w:rPr>
          <w:rFonts w:ascii="Arial" w:hAnsi="Arial" w:cs="Arial"/>
          <w:color w:val="000000" w:themeColor="text1"/>
        </w:rPr>
      </w:pPr>
      <w:r w:rsidRPr="009A33F0">
        <w:rPr>
          <w:rFonts w:ascii="Arial" w:hAnsi="Arial" w:cs="Arial"/>
          <w:noProof/>
          <w:color w:val="000000" w:themeColor="text1"/>
        </w:rPr>
        <w:drawing>
          <wp:inline distT="0" distB="0" distL="0" distR="0" wp14:anchorId="18B7BAFE" wp14:editId="5B8D5AFE">
            <wp:extent cx="2668270" cy="1143000"/>
            <wp:effectExtent l="0" t="0" r="0" b="0"/>
            <wp:docPr id="2" name="Picture 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1276281D" w14:textId="77777777" w:rsidR="00E52A1D" w:rsidRPr="009A33F0" w:rsidRDefault="00E52A1D" w:rsidP="00E52A1D">
      <w:pPr>
        <w:spacing w:line="360" w:lineRule="auto"/>
        <w:jc w:val="both"/>
        <w:rPr>
          <w:rFonts w:ascii="Arial" w:hAnsi="Arial" w:cs="Arial"/>
          <w:color w:val="000000" w:themeColor="text1"/>
        </w:rPr>
      </w:pPr>
      <w:r w:rsidRPr="009A33F0">
        <w:rPr>
          <w:rFonts w:ascii="Arial" w:hAnsi="Arial" w:cs="Arial"/>
          <w:color w:val="000000" w:themeColor="text1"/>
        </w:rPr>
        <w:t> </w:t>
      </w:r>
    </w:p>
    <w:p w14:paraId="59EDA851" w14:textId="77777777" w:rsidR="00E52A1D" w:rsidRPr="009A33F0" w:rsidRDefault="00E52A1D" w:rsidP="00E52A1D">
      <w:pPr>
        <w:spacing w:line="360" w:lineRule="auto"/>
        <w:jc w:val="both"/>
        <w:rPr>
          <w:rFonts w:ascii="Arial" w:hAnsi="Arial" w:cs="Arial"/>
          <w:color w:val="000000" w:themeColor="text1"/>
        </w:rPr>
      </w:pPr>
      <w:r w:rsidRPr="009A33F0">
        <w:rPr>
          <w:rFonts w:ascii="Arial" w:hAnsi="Arial" w:cs="Arial"/>
          <w:color w:val="000000" w:themeColor="text1"/>
        </w:rPr>
        <w:t> </w:t>
      </w:r>
    </w:p>
    <w:p w14:paraId="0D5F05B8" w14:textId="77777777" w:rsidR="00E52A1D" w:rsidRPr="009A33F0" w:rsidRDefault="00E52A1D" w:rsidP="00E52A1D">
      <w:pPr>
        <w:spacing w:line="360" w:lineRule="auto"/>
        <w:jc w:val="both"/>
        <w:rPr>
          <w:rFonts w:ascii="Arial" w:hAnsi="Arial" w:cs="Arial"/>
          <w:color w:val="000000" w:themeColor="text1"/>
        </w:rPr>
      </w:pPr>
      <w:r w:rsidRPr="009A33F0">
        <w:rPr>
          <w:rFonts w:ascii="Arial" w:hAnsi="Arial" w:cs="Arial"/>
          <w:color w:val="000000" w:themeColor="text1"/>
        </w:rPr>
        <w:t> </w:t>
      </w:r>
    </w:p>
    <w:p w14:paraId="116B129A" w14:textId="7B5B8929" w:rsidR="00E52A1D" w:rsidRPr="009A33F0" w:rsidRDefault="00E52A1D" w:rsidP="00E52A1D">
      <w:pPr>
        <w:spacing w:line="360" w:lineRule="auto"/>
        <w:jc w:val="center"/>
        <w:rPr>
          <w:rFonts w:ascii="Arial" w:hAnsi="Arial" w:cs="Arial"/>
          <w:b/>
          <w:bCs/>
          <w:color w:val="000000" w:themeColor="text1"/>
          <w:u w:val="single"/>
        </w:rPr>
      </w:pPr>
      <w:r w:rsidRPr="009A33F0">
        <w:rPr>
          <w:rFonts w:ascii="Arial" w:hAnsi="Arial" w:cs="Arial"/>
          <w:b/>
          <w:bCs/>
          <w:color w:val="000000" w:themeColor="text1"/>
          <w:u w:val="single"/>
        </w:rPr>
        <w:t>Module:</w:t>
      </w:r>
      <w:r w:rsidRPr="009A33F0">
        <w:rPr>
          <w:rStyle w:val="apple-converted-space"/>
          <w:rFonts w:ascii="Arial" w:hAnsi="Arial" w:cs="Arial"/>
          <w:b/>
          <w:bCs/>
          <w:color w:val="000000" w:themeColor="text1"/>
          <w:u w:val="single"/>
        </w:rPr>
        <w:t> </w:t>
      </w:r>
      <w:r>
        <w:rPr>
          <w:rFonts w:ascii="Arial" w:hAnsi="Arial" w:cs="Arial"/>
          <w:b/>
          <w:bCs/>
          <w:color w:val="000000" w:themeColor="text1"/>
          <w:u w:val="single"/>
        </w:rPr>
        <w:t>UNDERSTANDING AND ENGAGING IN THE CUSTOMER EXPERIENCE</w:t>
      </w:r>
    </w:p>
    <w:p w14:paraId="53B55E9C" w14:textId="44663C7C" w:rsidR="00E52A1D" w:rsidRPr="009A33F0" w:rsidRDefault="00E52A1D" w:rsidP="00E52A1D">
      <w:pPr>
        <w:spacing w:line="360" w:lineRule="auto"/>
        <w:jc w:val="center"/>
        <w:rPr>
          <w:rFonts w:ascii="Arial" w:hAnsi="Arial" w:cs="Arial"/>
          <w:b/>
          <w:bCs/>
          <w:color w:val="000000" w:themeColor="text1"/>
        </w:rPr>
      </w:pPr>
      <w:r w:rsidRPr="009A33F0">
        <w:rPr>
          <w:rFonts w:ascii="Arial" w:hAnsi="Arial" w:cs="Arial"/>
          <w:b/>
          <w:bCs/>
          <w:color w:val="000000" w:themeColor="text1"/>
        </w:rPr>
        <w:t xml:space="preserve">Lecturer: </w:t>
      </w:r>
      <w:r>
        <w:rPr>
          <w:rFonts w:ascii="Arial" w:hAnsi="Arial" w:cs="Arial"/>
          <w:b/>
          <w:bCs/>
          <w:color w:val="000000" w:themeColor="text1"/>
        </w:rPr>
        <w:t>ZE ZOOK</w:t>
      </w:r>
    </w:p>
    <w:p w14:paraId="6FFB5724" w14:textId="14D4CD3D" w:rsidR="00E52A1D" w:rsidRPr="009A33F0" w:rsidRDefault="00E52A1D" w:rsidP="00E52A1D">
      <w:pPr>
        <w:spacing w:line="360" w:lineRule="auto"/>
        <w:jc w:val="center"/>
        <w:rPr>
          <w:rFonts w:ascii="Arial" w:hAnsi="Arial" w:cs="Arial"/>
          <w:b/>
          <w:bCs/>
          <w:color w:val="000000" w:themeColor="text1"/>
        </w:rPr>
      </w:pPr>
      <w:r w:rsidRPr="009A33F0">
        <w:rPr>
          <w:rFonts w:ascii="Arial" w:hAnsi="Arial" w:cs="Arial"/>
          <w:b/>
          <w:bCs/>
          <w:color w:val="000000" w:themeColor="text1"/>
        </w:rPr>
        <w:t>BMSW510</w:t>
      </w:r>
      <w:r>
        <w:rPr>
          <w:rFonts w:ascii="Arial" w:hAnsi="Arial" w:cs="Arial"/>
          <w:b/>
          <w:bCs/>
          <w:color w:val="000000" w:themeColor="text1"/>
        </w:rPr>
        <w:t>3</w:t>
      </w:r>
    </w:p>
    <w:p w14:paraId="184B036E" w14:textId="0E3701D0" w:rsidR="00E52A1D" w:rsidRDefault="00E52A1D" w:rsidP="00E52A1D">
      <w:pPr>
        <w:spacing w:line="360" w:lineRule="auto"/>
        <w:jc w:val="center"/>
        <w:rPr>
          <w:rFonts w:ascii="Arial" w:hAnsi="Arial" w:cs="Arial"/>
          <w:b/>
          <w:bCs/>
          <w:color w:val="000000" w:themeColor="text1"/>
        </w:rPr>
      </w:pPr>
    </w:p>
    <w:p w14:paraId="6F4D391D" w14:textId="77777777" w:rsidR="00E52A1D" w:rsidRPr="009A33F0" w:rsidRDefault="00E52A1D" w:rsidP="00E52A1D">
      <w:pPr>
        <w:spacing w:line="360" w:lineRule="auto"/>
        <w:jc w:val="center"/>
        <w:rPr>
          <w:rFonts w:ascii="Arial" w:hAnsi="Arial" w:cs="Arial"/>
          <w:b/>
          <w:bCs/>
          <w:color w:val="000000" w:themeColor="text1"/>
        </w:rPr>
      </w:pPr>
    </w:p>
    <w:p w14:paraId="10CF5679" w14:textId="26B4C626" w:rsidR="00E52A1D" w:rsidRDefault="00E52A1D" w:rsidP="00E52A1D">
      <w:pPr>
        <w:spacing w:line="360" w:lineRule="auto"/>
        <w:jc w:val="center"/>
        <w:rPr>
          <w:rFonts w:ascii="Arial" w:hAnsi="Arial" w:cs="Arial"/>
          <w:color w:val="000000" w:themeColor="text1"/>
        </w:rPr>
      </w:pPr>
      <w:r w:rsidRPr="009A33F0">
        <w:rPr>
          <w:rFonts w:ascii="Arial" w:hAnsi="Arial" w:cs="Arial"/>
          <w:color w:val="000000" w:themeColor="text1"/>
        </w:rPr>
        <w:t>Introduction for the report on:</w:t>
      </w:r>
    </w:p>
    <w:p w14:paraId="002271EE" w14:textId="20B7B28B" w:rsidR="00E52A1D" w:rsidRDefault="00E52A1D" w:rsidP="00E52A1D">
      <w:pPr>
        <w:spacing w:line="360" w:lineRule="auto"/>
        <w:jc w:val="center"/>
        <w:rPr>
          <w:rFonts w:ascii="Arial" w:hAnsi="Arial" w:cs="Arial"/>
          <w:color w:val="000000" w:themeColor="text1"/>
        </w:rPr>
      </w:pPr>
    </w:p>
    <w:p w14:paraId="424939B1" w14:textId="77777777" w:rsidR="00E52A1D" w:rsidRPr="009A33F0" w:rsidRDefault="00E52A1D" w:rsidP="00E52A1D">
      <w:pPr>
        <w:spacing w:line="360" w:lineRule="auto"/>
        <w:jc w:val="center"/>
        <w:rPr>
          <w:rFonts w:ascii="Arial" w:hAnsi="Arial" w:cs="Arial"/>
          <w:color w:val="000000" w:themeColor="text1"/>
        </w:rPr>
      </w:pPr>
    </w:p>
    <w:p w14:paraId="7C000F69" w14:textId="40200035" w:rsidR="00E52A1D" w:rsidRPr="00E52A1D" w:rsidRDefault="00E52A1D" w:rsidP="00E52A1D">
      <w:pPr>
        <w:spacing w:line="360" w:lineRule="auto"/>
        <w:jc w:val="center"/>
        <w:rPr>
          <w:rFonts w:ascii="Arial" w:hAnsi="Arial" w:cs="Arial"/>
          <w:color w:val="000000" w:themeColor="text1"/>
          <w:sz w:val="28"/>
          <w:szCs w:val="28"/>
        </w:rPr>
      </w:pPr>
      <w:r w:rsidRPr="00E52A1D">
        <w:rPr>
          <w:rFonts w:ascii="Arial" w:hAnsi="Arial" w:cs="Arial"/>
          <w:i/>
          <w:iCs/>
          <w:color w:val="000000" w:themeColor="text1"/>
          <w:sz w:val="28"/>
          <w:szCs w:val="28"/>
        </w:rPr>
        <w:t>Organisation’s quality systems and customer relationship management</w:t>
      </w:r>
    </w:p>
    <w:p w14:paraId="295C2742" w14:textId="77777777" w:rsidR="00E52A1D" w:rsidRDefault="00E52A1D" w:rsidP="00E52A1D">
      <w:pPr>
        <w:spacing w:line="360" w:lineRule="auto"/>
        <w:jc w:val="both"/>
        <w:rPr>
          <w:rFonts w:ascii="Arial" w:hAnsi="Arial" w:cs="Arial"/>
          <w:color w:val="000000" w:themeColor="text1"/>
        </w:rPr>
      </w:pPr>
      <w:r w:rsidRPr="009A33F0">
        <w:rPr>
          <w:rFonts w:ascii="Arial" w:hAnsi="Arial" w:cs="Arial"/>
          <w:color w:val="000000" w:themeColor="text1"/>
        </w:rPr>
        <w:t> </w:t>
      </w:r>
    </w:p>
    <w:p w14:paraId="4F5AC90C" w14:textId="77777777" w:rsidR="00E52A1D" w:rsidRPr="009A33F0" w:rsidRDefault="00E52A1D" w:rsidP="00E52A1D">
      <w:pPr>
        <w:spacing w:line="360" w:lineRule="auto"/>
        <w:jc w:val="both"/>
        <w:rPr>
          <w:rFonts w:ascii="Arial" w:hAnsi="Arial" w:cs="Arial"/>
          <w:color w:val="000000" w:themeColor="text1"/>
        </w:rPr>
      </w:pPr>
    </w:p>
    <w:p w14:paraId="68DFA26E" w14:textId="77777777" w:rsidR="00E52A1D" w:rsidRDefault="00E52A1D" w:rsidP="00E52A1D">
      <w:pPr>
        <w:spacing w:line="360" w:lineRule="auto"/>
        <w:jc w:val="both"/>
        <w:rPr>
          <w:rFonts w:ascii="Arial" w:hAnsi="Arial" w:cs="Arial"/>
          <w:color w:val="000000" w:themeColor="text1"/>
        </w:rPr>
      </w:pPr>
      <w:r w:rsidRPr="009A33F0">
        <w:rPr>
          <w:rFonts w:ascii="Arial" w:hAnsi="Arial" w:cs="Arial"/>
          <w:color w:val="000000" w:themeColor="text1"/>
        </w:rPr>
        <w:t> </w:t>
      </w:r>
    </w:p>
    <w:p w14:paraId="66674454" w14:textId="77777777" w:rsidR="00E52A1D" w:rsidRDefault="00E52A1D" w:rsidP="00E52A1D">
      <w:pPr>
        <w:spacing w:line="360" w:lineRule="auto"/>
        <w:jc w:val="both"/>
        <w:rPr>
          <w:rFonts w:ascii="Arial" w:hAnsi="Arial" w:cs="Arial"/>
          <w:color w:val="000000" w:themeColor="text1"/>
        </w:rPr>
      </w:pPr>
    </w:p>
    <w:p w14:paraId="22B539B6" w14:textId="1E89314E" w:rsidR="00E52A1D" w:rsidRDefault="00E52A1D" w:rsidP="00E52A1D">
      <w:pPr>
        <w:spacing w:line="360" w:lineRule="auto"/>
        <w:jc w:val="both"/>
        <w:rPr>
          <w:rFonts w:ascii="Arial" w:hAnsi="Arial" w:cs="Arial"/>
          <w:color w:val="000000" w:themeColor="text1"/>
        </w:rPr>
      </w:pPr>
    </w:p>
    <w:p w14:paraId="1035377C" w14:textId="649E4D39" w:rsidR="00E52A1D" w:rsidRDefault="00E52A1D" w:rsidP="00E52A1D">
      <w:pPr>
        <w:spacing w:line="360" w:lineRule="auto"/>
        <w:jc w:val="both"/>
        <w:rPr>
          <w:rFonts w:ascii="Arial" w:hAnsi="Arial" w:cs="Arial"/>
          <w:color w:val="000000" w:themeColor="text1"/>
        </w:rPr>
      </w:pPr>
    </w:p>
    <w:p w14:paraId="28057C9B" w14:textId="758A0FE3" w:rsidR="00E52A1D" w:rsidRDefault="00E52A1D" w:rsidP="00E52A1D">
      <w:pPr>
        <w:spacing w:line="360" w:lineRule="auto"/>
        <w:jc w:val="both"/>
        <w:rPr>
          <w:rFonts w:ascii="Arial" w:hAnsi="Arial" w:cs="Arial"/>
          <w:color w:val="000000" w:themeColor="text1"/>
        </w:rPr>
      </w:pPr>
    </w:p>
    <w:p w14:paraId="4C905F8A" w14:textId="59AE1682" w:rsidR="00E52A1D" w:rsidRDefault="00E52A1D" w:rsidP="00E52A1D">
      <w:pPr>
        <w:spacing w:line="360" w:lineRule="auto"/>
        <w:jc w:val="both"/>
        <w:rPr>
          <w:rFonts w:ascii="Arial" w:hAnsi="Arial" w:cs="Arial"/>
          <w:color w:val="000000" w:themeColor="text1"/>
        </w:rPr>
      </w:pPr>
    </w:p>
    <w:p w14:paraId="06A27037" w14:textId="77777777" w:rsidR="00E52A1D" w:rsidRDefault="00E52A1D" w:rsidP="00E52A1D">
      <w:pPr>
        <w:spacing w:line="360" w:lineRule="auto"/>
        <w:jc w:val="both"/>
        <w:rPr>
          <w:rFonts w:ascii="Arial" w:hAnsi="Arial" w:cs="Arial"/>
          <w:color w:val="000000" w:themeColor="text1"/>
        </w:rPr>
      </w:pPr>
    </w:p>
    <w:p w14:paraId="1D73C3E0" w14:textId="77777777" w:rsidR="00E52A1D" w:rsidRPr="009A33F0" w:rsidRDefault="00E52A1D" w:rsidP="00E52A1D">
      <w:pPr>
        <w:spacing w:line="360" w:lineRule="auto"/>
        <w:jc w:val="both"/>
        <w:rPr>
          <w:rFonts w:ascii="Arial" w:hAnsi="Arial" w:cs="Arial"/>
          <w:color w:val="000000" w:themeColor="text1"/>
        </w:rPr>
      </w:pPr>
    </w:p>
    <w:p w14:paraId="7D2E2A29" w14:textId="77777777" w:rsidR="00E52A1D" w:rsidRDefault="00E52A1D" w:rsidP="00E52A1D">
      <w:pPr>
        <w:spacing w:line="360" w:lineRule="auto"/>
        <w:jc w:val="center"/>
        <w:rPr>
          <w:rFonts w:ascii="Arial" w:hAnsi="Arial" w:cs="Arial"/>
          <w:color w:val="000000" w:themeColor="text1"/>
        </w:rPr>
      </w:pPr>
      <w:r w:rsidRPr="009A33F0">
        <w:rPr>
          <w:rFonts w:ascii="Arial" w:hAnsi="Arial" w:cs="Arial"/>
          <w:color w:val="000000" w:themeColor="text1"/>
        </w:rPr>
        <w:t xml:space="preserve">By: </w:t>
      </w:r>
      <w:proofErr w:type="spellStart"/>
      <w:r w:rsidRPr="009A33F0">
        <w:rPr>
          <w:rFonts w:ascii="Arial" w:hAnsi="Arial" w:cs="Arial"/>
          <w:color w:val="000000" w:themeColor="text1"/>
        </w:rPr>
        <w:t>Zlatina</w:t>
      </w:r>
      <w:proofErr w:type="spellEnd"/>
      <w:r w:rsidRPr="009A33F0">
        <w:rPr>
          <w:rFonts w:ascii="Arial" w:hAnsi="Arial" w:cs="Arial"/>
          <w:color w:val="000000" w:themeColor="text1"/>
        </w:rPr>
        <w:t xml:space="preserve"> </w:t>
      </w:r>
      <w:proofErr w:type="spellStart"/>
      <w:r w:rsidRPr="009A33F0">
        <w:rPr>
          <w:rFonts w:ascii="Arial" w:hAnsi="Arial" w:cs="Arial"/>
          <w:color w:val="000000" w:themeColor="text1"/>
        </w:rPr>
        <w:t>Tyulyusheva</w:t>
      </w:r>
      <w:proofErr w:type="spellEnd"/>
    </w:p>
    <w:p w14:paraId="6F14532A" w14:textId="77777777" w:rsidR="00E52A1D" w:rsidRDefault="00E52A1D" w:rsidP="00E52A1D">
      <w:pPr>
        <w:spacing w:line="360" w:lineRule="auto"/>
        <w:jc w:val="center"/>
        <w:rPr>
          <w:rFonts w:ascii="Arial" w:hAnsi="Arial" w:cs="Arial"/>
          <w:color w:val="000000" w:themeColor="text1"/>
        </w:rPr>
      </w:pPr>
      <w:r w:rsidRPr="009A33F0">
        <w:rPr>
          <w:rFonts w:ascii="Arial" w:hAnsi="Arial" w:cs="Arial"/>
          <w:color w:val="000000" w:themeColor="text1"/>
        </w:rPr>
        <w:t>Student ID 1919008</w:t>
      </w:r>
    </w:p>
    <w:p w14:paraId="79C75E3A" w14:textId="77777777" w:rsidR="00E52A1D" w:rsidRDefault="00E52A1D" w:rsidP="00E52A1D">
      <w:pPr>
        <w:spacing w:line="360" w:lineRule="auto"/>
        <w:jc w:val="center"/>
        <w:rPr>
          <w:rFonts w:ascii="Arial" w:hAnsi="Arial" w:cs="Arial"/>
          <w:color w:val="000000" w:themeColor="text1"/>
        </w:rPr>
      </w:pPr>
    </w:p>
    <w:p w14:paraId="7076CD88" w14:textId="44796DEF" w:rsidR="00E52A1D" w:rsidRDefault="00E52A1D" w:rsidP="00E52A1D">
      <w:pPr>
        <w:spacing w:line="360" w:lineRule="auto"/>
        <w:jc w:val="center"/>
        <w:rPr>
          <w:rFonts w:ascii="Arial" w:hAnsi="Arial" w:cs="Arial"/>
          <w:color w:val="000000" w:themeColor="text1"/>
        </w:rPr>
      </w:pPr>
    </w:p>
    <w:p w14:paraId="017B45B1" w14:textId="712D4D52" w:rsidR="00E52A1D" w:rsidRDefault="00E52A1D" w:rsidP="00E52A1D">
      <w:pPr>
        <w:spacing w:line="360" w:lineRule="auto"/>
        <w:jc w:val="center"/>
        <w:rPr>
          <w:rFonts w:ascii="Arial" w:hAnsi="Arial" w:cs="Arial"/>
          <w:color w:val="000000" w:themeColor="text1"/>
        </w:rPr>
      </w:pPr>
    </w:p>
    <w:p w14:paraId="71FC4191" w14:textId="756C49F0" w:rsidR="00E52A1D" w:rsidRDefault="00E52A1D" w:rsidP="00E52A1D">
      <w:pPr>
        <w:spacing w:line="360" w:lineRule="auto"/>
        <w:jc w:val="center"/>
        <w:rPr>
          <w:rFonts w:ascii="Arial" w:hAnsi="Arial" w:cs="Arial"/>
          <w:color w:val="000000" w:themeColor="text1"/>
        </w:rPr>
      </w:pPr>
    </w:p>
    <w:p w14:paraId="391F31D9" w14:textId="77777777" w:rsidR="00E52A1D" w:rsidRDefault="00E52A1D" w:rsidP="0046793A">
      <w:pPr>
        <w:spacing w:line="360" w:lineRule="auto"/>
        <w:jc w:val="both"/>
        <w:rPr>
          <w:rFonts w:ascii="Arial" w:hAnsi="Arial" w:cs="Arial"/>
          <w:sz w:val="22"/>
          <w:szCs w:val="22"/>
        </w:rPr>
      </w:pPr>
    </w:p>
    <w:p w14:paraId="3F5E6143" w14:textId="77777777" w:rsidR="00712CE2" w:rsidRPr="00AA43D6" w:rsidRDefault="00712CE2" w:rsidP="00712CE2">
      <w:pPr>
        <w:pStyle w:val="Heading1"/>
        <w:spacing w:line="480" w:lineRule="auto"/>
        <w:jc w:val="both"/>
        <w:rPr>
          <w:rFonts w:ascii="Arial" w:hAnsi="Arial" w:cs="Arial"/>
          <w:sz w:val="28"/>
          <w:szCs w:val="28"/>
        </w:rPr>
      </w:pPr>
      <w:bookmarkStart w:id="0" w:name="_Toc80873926"/>
      <w:r w:rsidRPr="00AA43D6">
        <w:rPr>
          <w:rFonts w:ascii="Arial" w:hAnsi="Arial" w:cs="Arial"/>
          <w:sz w:val="28"/>
          <w:szCs w:val="28"/>
        </w:rPr>
        <w:lastRenderedPageBreak/>
        <w:t>Introduction</w:t>
      </w:r>
      <w:bookmarkEnd w:id="0"/>
    </w:p>
    <w:p w14:paraId="22C6224E" w14:textId="77777777" w:rsidR="00712CE2" w:rsidRDefault="00712CE2" w:rsidP="00712CE2">
      <w:pPr>
        <w:spacing w:line="480" w:lineRule="auto"/>
        <w:jc w:val="both"/>
        <w:rPr>
          <w:rFonts w:ascii="Arial" w:hAnsi="Arial" w:cs="Arial"/>
          <w:sz w:val="22"/>
          <w:szCs w:val="22"/>
        </w:rPr>
      </w:pPr>
      <w:r>
        <w:rPr>
          <w:rFonts w:ascii="Arial" w:hAnsi="Arial" w:cs="Arial"/>
          <w:sz w:val="22"/>
          <w:szCs w:val="22"/>
        </w:rPr>
        <w:t xml:space="preserve">Hospitality has proven as one of the most stable, resourceful, and adaptable industries in the UK and worldwide. Even though the sector is highly dependent on various macro-environmental factors and extreme situations, hoteliers are no strangers to facing challenges, showing resilience, and often adjusting strategies. However, nothing can compare to the severe and enduring damaging affect the Covid-19 pandemic has on the sector nor there is an immediate solution to it (PWC, 2020). </w:t>
      </w:r>
    </w:p>
    <w:p w14:paraId="261ED172" w14:textId="77777777" w:rsidR="00712CE2" w:rsidRDefault="00712CE2" w:rsidP="00712CE2">
      <w:pPr>
        <w:spacing w:line="480" w:lineRule="auto"/>
        <w:jc w:val="both"/>
        <w:rPr>
          <w:rFonts w:ascii="Arial" w:hAnsi="Arial" w:cs="Arial"/>
          <w:sz w:val="22"/>
          <w:szCs w:val="22"/>
        </w:rPr>
      </w:pPr>
      <w:r>
        <w:rPr>
          <w:rFonts w:ascii="Arial" w:hAnsi="Arial" w:cs="Arial"/>
          <w:sz w:val="22"/>
          <w:szCs w:val="22"/>
        </w:rPr>
        <w:t xml:space="preserve">The aim of this report is to explore the influence of the Covid-19 pandemic on Grange hotels- UK private hotel group, consisting of eight 4* hotels, located in London, along with identifying the internal and external factors through </w:t>
      </w:r>
      <w:r w:rsidRPr="00C53F3A">
        <w:rPr>
          <w:rFonts w:ascii="Arial" w:hAnsi="Arial" w:cs="Arial"/>
          <w:sz w:val="22"/>
          <w:szCs w:val="22"/>
        </w:rPr>
        <w:t>Pestel and Porter’s Five analysis,</w:t>
      </w:r>
      <w:r>
        <w:rPr>
          <w:rFonts w:ascii="Arial" w:hAnsi="Arial" w:cs="Arial"/>
          <w:sz w:val="22"/>
          <w:szCs w:val="22"/>
        </w:rPr>
        <w:t xml:space="preserve"> their impact on the relationship with its customers, the level of service and the overall business objectives of the organisation; and how Grange hotels adapt to the new situation while also facing internal challenges. </w:t>
      </w:r>
    </w:p>
    <w:p w14:paraId="0948A771" w14:textId="005A848B" w:rsidR="0046793A" w:rsidRDefault="00712CE2" w:rsidP="00712CE2">
      <w:pPr>
        <w:spacing w:line="480" w:lineRule="auto"/>
        <w:jc w:val="both"/>
        <w:rPr>
          <w:rFonts w:ascii="Arial" w:hAnsi="Arial" w:cs="Arial"/>
          <w:sz w:val="22"/>
          <w:szCs w:val="22"/>
        </w:rPr>
      </w:pPr>
      <w:r>
        <w:rPr>
          <w:rFonts w:ascii="Arial" w:hAnsi="Arial" w:cs="Arial"/>
          <w:sz w:val="22"/>
          <w:szCs w:val="22"/>
        </w:rPr>
        <w:t xml:space="preserve">Various theories, methods and models are underpinned in the report: Customer service is fundamental for hospitality industry therefore Relationship marketing theory </w:t>
      </w:r>
      <w:r w:rsidRPr="00C53F3A">
        <w:rPr>
          <w:rFonts w:ascii="Arial" w:hAnsi="Arial" w:cs="Arial"/>
          <w:sz w:val="22"/>
          <w:szCs w:val="22"/>
        </w:rPr>
        <w:t>services</w:t>
      </w:r>
      <w:r>
        <w:rPr>
          <w:rFonts w:ascii="Arial" w:hAnsi="Arial" w:cs="Arial"/>
          <w:sz w:val="22"/>
          <w:szCs w:val="22"/>
        </w:rPr>
        <w:t xml:space="preserve"> help understand specific for the sector factors affecting quality of services and the challenges for Grange hotels to provide excellent customer service and gain competitive advantage. This section also reviews lifetime value, customer retention and loyalty and how Grange hotels build and maintain sustainable relationship with its customers. </w:t>
      </w:r>
      <w:r w:rsidRPr="00E72358">
        <w:rPr>
          <w:rFonts w:ascii="Arial" w:hAnsi="Arial" w:cs="Arial"/>
          <w:i/>
          <w:iCs/>
          <w:sz w:val="22"/>
          <w:szCs w:val="22"/>
        </w:rPr>
        <w:t>Loyalty effect model</w:t>
      </w:r>
      <w:r>
        <w:rPr>
          <w:rFonts w:ascii="Arial" w:hAnsi="Arial" w:cs="Arial"/>
          <w:sz w:val="22"/>
          <w:szCs w:val="22"/>
        </w:rPr>
        <w:t xml:space="preserve"> reveal how the main factors: value, price and service quality help manage customer expectations build trust and customer loyalty (Bergeron, 2002). Main focus of the report is </w:t>
      </w:r>
      <w:r w:rsidRPr="002C5BAF">
        <w:rPr>
          <w:rFonts w:ascii="Arial" w:hAnsi="Arial" w:cs="Arial"/>
          <w:i/>
          <w:iCs/>
          <w:sz w:val="22"/>
          <w:szCs w:val="22"/>
        </w:rPr>
        <w:t>Customer Relation Management</w:t>
      </w:r>
      <w:r>
        <w:rPr>
          <w:rFonts w:ascii="Arial" w:hAnsi="Arial" w:cs="Arial"/>
          <w:i/>
          <w:iCs/>
          <w:sz w:val="22"/>
          <w:szCs w:val="22"/>
        </w:rPr>
        <w:t xml:space="preserve"> (CRM)</w:t>
      </w:r>
      <w:r>
        <w:rPr>
          <w:rFonts w:ascii="Arial" w:hAnsi="Arial" w:cs="Arial"/>
          <w:sz w:val="22"/>
          <w:szCs w:val="22"/>
        </w:rPr>
        <w:t xml:space="preserve"> (Buttle and </w:t>
      </w:r>
      <w:proofErr w:type="spellStart"/>
      <w:r>
        <w:rPr>
          <w:rFonts w:ascii="Arial" w:hAnsi="Arial" w:cs="Arial"/>
          <w:sz w:val="22"/>
          <w:szCs w:val="22"/>
        </w:rPr>
        <w:t>Maklan</w:t>
      </w:r>
      <w:proofErr w:type="spellEnd"/>
      <w:r>
        <w:rPr>
          <w:rFonts w:ascii="Arial" w:hAnsi="Arial" w:cs="Arial"/>
          <w:sz w:val="22"/>
          <w:szCs w:val="22"/>
        </w:rPr>
        <w:t xml:space="preserve">, 2015) as philosophy, strategy, and how it contributes to maximising profitability and customer satisfaction at Grange hotels; The section about Customer Experience management highlights the importance of </w:t>
      </w:r>
      <w:r w:rsidRPr="00B23E66">
        <w:rPr>
          <w:rFonts w:ascii="Arial" w:hAnsi="Arial" w:cs="Arial"/>
          <w:sz w:val="22"/>
          <w:szCs w:val="22"/>
        </w:rPr>
        <w:t>Total Quality Management</w:t>
      </w:r>
      <w:r>
        <w:rPr>
          <w:rFonts w:ascii="Arial" w:hAnsi="Arial" w:cs="Arial"/>
          <w:i/>
          <w:iCs/>
          <w:sz w:val="22"/>
          <w:szCs w:val="22"/>
        </w:rPr>
        <w:t xml:space="preserve"> (</w:t>
      </w:r>
      <w:proofErr w:type="spellStart"/>
      <w:r>
        <w:rPr>
          <w:rFonts w:ascii="Arial" w:hAnsi="Arial" w:cs="Arial"/>
          <w:sz w:val="22"/>
          <w:szCs w:val="22"/>
        </w:rPr>
        <w:t>Hollensen</w:t>
      </w:r>
      <w:proofErr w:type="spellEnd"/>
      <w:r>
        <w:rPr>
          <w:rFonts w:ascii="Arial" w:hAnsi="Arial" w:cs="Arial"/>
          <w:sz w:val="22"/>
          <w:szCs w:val="22"/>
        </w:rPr>
        <w:t xml:space="preserve"> and </w:t>
      </w:r>
      <w:proofErr w:type="spellStart"/>
      <w:r>
        <w:rPr>
          <w:rFonts w:ascii="Arial" w:hAnsi="Arial" w:cs="Arial"/>
          <w:sz w:val="22"/>
          <w:szCs w:val="22"/>
        </w:rPr>
        <w:t>Opresnik</w:t>
      </w:r>
      <w:proofErr w:type="spellEnd"/>
      <w:r>
        <w:rPr>
          <w:rFonts w:ascii="Arial" w:hAnsi="Arial" w:cs="Arial"/>
          <w:sz w:val="22"/>
          <w:szCs w:val="22"/>
        </w:rPr>
        <w:t>, 2019</w:t>
      </w:r>
      <w:r>
        <w:rPr>
          <w:rFonts w:ascii="Arial" w:hAnsi="Arial" w:cs="Arial"/>
          <w:i/>
          <w:iCs/>
          <w:sz w:val="22"/>
          <w:szCs w:val="22"/>
        </w:rPr>
        <w:t xml:space="preserve">) </w:t>
      </w:r>
      <w:r>
        <w:rPr>
          <w:rFonts w:ascii="Arial" w:hAnsi="Arial" w:cs="Arial"/>
          <w:sz w:val="22"/>
          <w:szCs w:val="22"/>
        </w:rPr>
        <w:t xml:space="preserve">and its implementation in the organisation and explains its importance for customer retention and how effective TQM is for Grange hotels in meeting customer demands, building loyalty and longevity. </w:t>
      </w:r>
    </w:p>
    <w:p w14:paraId="61D99F1E" w14:textId="77777777" w:rsidR="0046793A" w:rsidRDefault="0046793A" w:rsidP="0046793A">
      <w:pPr>
        <w:spacing w:line="360" w:lineRule="auto"/>
        <w:jc w:val="both"/>
        <w:rPr>
          <w:rFonts w:ascii="Arial" w:hAnsi="Arial" w:cs="Arial"/>
          <w:sz w:val="22"/>
          <w:szCs w:val="22"/>
        </w:rPr>
      </w:pPr>
    </w:p>
    <w:p w14:paraId="2D336EBF" w14:textId="74BA2F4A" w:rsidR="0046793A" w:rsidRDefault="0046793A" w:rsidP="0046793A">
      <w:pPr>
        <w:spacing w:line="360" w:lineRule="auto"/>
        <w:jc w:val="both"/>
        <w:rPr>
          <w:rFonts w:ascii="Arial" w:hAnsi="Arial" w:cs="Arial"/>
          <w:sz w:val="22"/>
          <w:szCs w:val="22"/>
        </w:rPr>
      </w:pPr>
      <w:r>
        <w:rPr>
          <w:rFonts w:ascii="Arial" w:hAnsi="Arial" w:cs="Arial"/>
          <w:sz w:val="22"/>
          <w:szCs w:val="22"/>
        </w:rPr>
        <w:t>Reference List:</w:t>
      </w:r>
    </w:p>
    <w:p w14:paraId="25B53194" w14:textId="77777777" w:rsidR="0046793A" w:rsidRDefault="0046793A" w:rsidP="0046793A">
      <w:pPr>
        <w:spacing w:line="360" w:lineRule="auto"/>
        <w:jc w:val="both"/>
        <w:rPr>
          <w:rFonts w:ascii="Arial" w:hAnsi="Arial" w:cs="Arial"/>
          <w:sz w:val="22"/>
          <w:szCs w:val="22"/>
        </w:rPr>
      </w:pPr>
    </w:p>
    <w:p w14:paraId="3B78D9AF" w14:textId="2643D349" w:rsidR="0046793A" w:rsidRDefault="0046793A" w:rsidP="0046793A">
      <w:pPr>
        <w:spacing w:line="360" w:lineRule="auto"/>
        <w:jc w:val="both"/>
        <w:rPr>
          <w:rFonts w:ascii="Arial" w:hAnsi="Arial" w:cs="Arial"/>
          <w:sz w:val="22"/>
          <w:szCs w:val="22"/>
        </w:rPr>
      </w:pPr>
      <w:r w:rsidRPr="009C613F">
        <w:rPr>
          <w:rFonts w:ascii="Arial" w:hAnsi="Arial" w:cs="Arial"/>
          <w:sz w:val="22"/>
          <w:szCs w:val="22"/>
        </w:rPr>
        <w:t xml:space="preserve">Bergeron, B.P., 2002. </w:t>
      </w:r>
      <w:r w:rsidRPr="009C613F">
        <w:rPr>
          <w:rFonts w:ascii="Arial" w:hAnsi="Arial" w:cs="Arial"/>
          <w:i/>
          <w:iCs/>
          <w:sz w:val="22"/>
          <w:szCs w:val="22"/>
        </w:rPr>
        <w:t xml:space="preserve">Essentials of CRM a guide to customer relationship management, </w:t>
      </w:r>
      <w:r w:rsidRPr="009C613F">
        <w:rPr>
          <w:rFonts w:ascii="Arial" w:hAnsi="Arial" w:cs="Arial"/>
          <w:sz w:val="22"/>
          <w:szCs w:val="22"/>
        </w:rPr>
        <w:t>New York: Wiley</w:t>
      </w:r>
    </w:p>
    <w:p w14:paraId="118DB109" w14:textId="77777777" w:rsidR="00712CE2" w:rsidRDefault="00712CE2" w:rsidP="00712CE2">
      <w:pPr>
        <w:spacing w:line="480" w:lineRule="auto"/>
        <w:jc w:val="both"/>
        <w:rPr>
          <w:rFonts w:ascii="Arial" w:hAnsi="Arial" w:cs="Arial"/>
          <w:sz w:val="22"/>
          <w:szCs w:val="22"/>
        </w:rPr>
      </w:pPr>
      <w:r>
        <w:rPr>
          <w:rFonts w:ascii="Arial" w:hAnsi="Arial" w:cs="Arial"/>
          <w:sz w:val="22"/>
          <w:szCs w:val="22"/>
        </w:rPr>
        <w:t xml:space="preserve">Buttle, F. and </w:t>
      </w:r>
      <w:proofErr w:type="spellStart"/>
      <w:r>
        <w:rPr>
          <w:rFonts w:ascii="Arial" w:hAnsi="Arial" w:cs="Arial"/>
          <w:sz w:val="22"/>
          <w:szCs w:val="22"/>
        </w:rPr>
        <w:t>Maklan</w:t>
      </w:r>
      <w:proofErr w:type="spellEnd"/>
      <w:r>
        <w:rPr>
          <w:rFonts w:ascii="Arial" w:hAnsi="Arial" w:cs="Arial"/>
          <w:sz w:val="22"/>
          <w:szCs w:val="22"/>
        </w:rPr>
        <w:t xml:space="preserve">, S., 2015. </w:t>
      </w:r>
      <w:r w:rsidRPr="006C618A">
        <w:rPr>
          <w:rFonts w:ascii="Arial" w:hAnsi="Arial" w:cs="Arial"/>
          <w:i/>
          <w:iCs/>
          <w:sz w:val="22"/>
          <w:szCs w:val="22"/>
        </w:rPr>
        <w:t>Customer relationship management: concepts and technologies</w:t>
      </w:r>
      <w:r>
        <w:rPr>
          <w:rFonts w:ascii="Arial" w:hAnsi="Arial" w:cs="Arial"/>
          <w:sz w:val="22"/>
          <w:szCs w:val="22"/>
        </w:rPr>
        <w:t>,3rd</w:t>
      </w:r>
      <w:r w:rsidRPr="006C618A">
        <w:rPr>
          <w:rFonts w:ascii="Arial" w:hAnsi="Arial" w:cs="Arial"/>
          <w:sz w:val="22"/>
          <w:szCs w:val="22"/>
        </w:rPr>
        <w:t xml:space="preserve"> ed., London; New York: Routledge.</w:t>
      </w:r>
    </w:p>
    <w:p w14:paraId="54EC76ED" w14:textId="77777777" w:rsidR="0046793A" w:rsidRDefault="0046793A" w:rsidP="0046793A">
      <w:pPr>
        <w:spacing w:line="360" w:lineRule="auto"/>
        <w:jc w:val="both"/>
        <w:rPr>
          <w:rFonts w:ascii="Arial" w:hAnsi="Arial" w:cs="Arial"/>
          <w:sz w:val="22"/>
          <w:szCs w:val="22"/>
        </w:rPr>
      </w:pPr>
      <w:proofErr w:type="spellStart"/>
      <w:r>
        <w:rPr>
          <w:rFonts w:ascii="Arial" w:hAnsi="Arial" w:cs="Arial"/>
          <w:sz w:val="22"/>
          <w:szCs w:val="22"/>
        </w:rPr>
        <w:t>Hollensen</w:t>
      </w:r>
      <w:proofErr w:type="spellEnd"/>
      <w:r>
        <w:rPr>
          <w:rFonts w:ascii="Arial" w:hAnsi="Arial" w:cs="Arial"/>
          <w:sz w:val="22"/>
          <w:szCs w:val="22"/>
        </w:rPr>
        <w:t xml:space="preserve">, S. and </w:t>
      </w:r>
      <w:proofErr w:type="spellStart"/>
      <w:r>
        <w:rPr>
          <w:rFonts w:ascii="Arial" w:hAnsi="Arial" w:cs="Arial"/>
          <w:sz w:val="22"/>
          <w:szCs w:val="22"/>
        </w:rPr>
        <w:t>Opresnik</w:t>
      </w:r>
      <w:proofErr w:type="spellEnd"/>
      <w:r>
        <w:rPr>
          <w:rFonts w:ascii="Arial" w:hAnsi="Arial" w:cs="Arial"/>
          <w:sz w:val="22"/>
          <w:szCs w:val="22"/>
        </w:rPr>
        <w:t xml:space="preserve">, M., O., 2019. </w:t>
      </w:r>
      <w:r w:rsidRPr="009E31BC">
        <w:rPr>
          <w:rFonts w:ascii="Arial" w:hAnsi="Arial" w:cs="Arial"/>
          <w:i/>
          <w:iCs/>
          <w:sz w:val="22"/>
          <w:szCs w:val="22"/>
        </w:rPr>
        <w:t>Marketing a Relationship Perspective</w:t>
      </w:r>
      <w:r>
        <w:rPr>
          <w:rFonts w:ascii="Arial" w:hAnsi="Arial" w:cs="Arial"/>
          <w:i/>
          <w:iCs/>
          <w:sz w:val="22"/>
          <w:szCs w:val="22"/>
        </w:rPr>
        <w:t xml:space="preserve">, </w:t>
      </w:r>
      <w:r>
        <w:rPr>
          <w:rFonts w:ascii="Arial" w:hAnsi="Arial" w:cs="Arial"/>
          <w:sz w:val="22"/>
          <w:szCs w:val="22"/>
        </w:rPr>
        <w:t xml:space="preserve">2nd </w:t>
      </w:r>
      <w:proofErr w:type="spellStart"/>
      <w:r>
        <w:rPr>
          <w:rFonts w:ascii="Arial" w:hAnsi="Arial" w:cs="Arial"/>
          <w:sz w:val="22"/>
          <w:szCs w:val="22"/>
        </w:rPr>
        <w:t>edn</w:t>
      </w:r>
      <w:proofErr w:type="spellEnd"/>
      <w:r>
        <w:rPr>
          <w:rFonts w:ascii="Arial" w:hAnsi="Arial" w:cs="Arial"/>
          <w:sz w:val="22"/>
          <w:szCs w:val="22"/>
        </w:rPr>
        <w:t>., London: World Scientific Publishing Co. Inc.</w:t>
      </w:r>
    </w:p>
    <w:p w14:paraId="07AFC7BC" w14:textId="77777777" w:rsidR="0046793A" w:rsidRPr="00E95585" w:rsidRDefault="0046793A" w:rsidP="0046793A">
      <w:pPr>
        <w:spacing w:line="360" w:lineRule="auto"/>
        <w:jc w:val="both"/>
        <w:rPr>
          <w:rFonts w:ascii="Arial" w:hAnsi="Arial" w:cs="Arial"/>
          <w:sz w:val="22"/>
          <w:szCs w:val="22"/>
        </w:rPr>
      </w:pPr>
      <w:r>
        <w:rPr>
          <w:rFonts w:ascii="Arial" w:hAnsi="Arial" w:cs="Arial"/>
          <w:sz w:val="22"/>
          <w:szCs w:val="22"/>
        </w:rPr>
        <w:t xml:space="preserve">Price Waterhouse Coopers, 2020. </w:t>
      </w:r>
      <w:r w:rsidRPr="00E95585">
        <w:rPr>
          <w:rFonts w:ascii="Arial" w:hAnsi="Arial" w:cs="Arial"/>
          <w:i/>
          <w:iCs/>
          <w:sz w:val="22"/>
          <w:szCs w:val="22"/>
        </w:rPr>
        <w:t>From endurance to recovery</w:t>
      </w:r>
      <w:r>
        <w:rPr>
          <w:rFonts w:ascii="Arial" w:hAnsi="Arial" w:cs="Arial"/>
          <w:i/>
          <w:iCs/>
          <w:sz w:val="22"/>
          <w:szCs w:val="22"/>
        </w:rPr>
        <w:t xml:space="preserve">. </w:t>
      </w:r>
      <w:r>
        <w:rPr>
          <w:rFonts w:ascii="Arial" w:hAnsi="Arial" w:cs="Arial"/>
          <w:sz w:val="22"/>
          <w:szCs w:val="22"/>
        </w:rPr>
        <w:t xml:space="preserve">(Online) Available at: </w:t>
      </w:r>
      <w:hyperlink r:id="rId5" w:history="1">
        <w:r w:rsidRPr="00354ACA">
          <w:rPr>
            <w:rStyle w:val="Hyperlink"/>
            <w:rFonts w:ascii="Arial" w:hAnsi="Arial" w:cs="Arial"/>
            <w:sz w:val="22"/>
            <w:szCs w:val="22"/>
          </w:rPr>
          <w:t>https://image.uk.info.pwc.com/lib/fe31117075640475701c74/m/2/487fcd4b-516c-4679-8844-cef76bfd1e3c.pdf</w:t>
        </w:r>
      </w:hyperlink>
      <w:r>
        <w:rPr>
          <w:rFonts w:ascii="Arial" w:hAnsi="Arial" w:cs="Arial"/>
          <w:sz w:val="22"/>
          <w:szCs w:val="22"/>
        </w:rPr>
        <w:t xml:space="preserve"> (Accessed: 25</w:t>
      </w:r>
      <w:r w:rsidRPr="00E95585">
        <w:rPr>
          <w:rFonts w:ascii="Arial" w:hAnsi="Arial" w:cs="Arial"/>
          <w:sz w:val="22"/>
          <w:szCs w:val="22"/>
          <w:vertAlign w:val="superscript"/>
        </w:rPr>
        <w:t>th</w:t>
      </w:r>
      <w:r>
        <w:rPr>
          <w:rFonts w:ascii="Arial" w:hAnsi="Arial" w:cs="Arial"/>
          <w:sz w:val="22"/>
          <w:szCs w:val="22"/>
        </w:rPr>
        <w:t xml:space="preserve"> of July 2021)</w:t>
      </w:r>
    </w:p>
    <w:p w14:paraId="21B6E6A5" w14:textId="77777777" w:rsidR="0046793A" w:rsidRPr="00E17756" w:rsidRDefault="0046793A" w:rsidP="0046793A">
      <w:pPr>
        <w:spacing w:line="360" w:lineRule="auto"/>
        <w:jc w:val="both"/>
        <w:rPr>
          <w:rFonts w:ascii="Arial" w:hAnsi="Arial" w:cs="Arial"/>
          <w:sz w:val="22"/>
          <w:szCs w:val="22"/>
        </w:rPr>
      </w:pPr>
    </w:p>
    <w:sectPr w:rsidR="0046793A" w:rsidRPr="00E17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7B4"/>
    <w:rsid w:val="000147B4"/>
    <w:rsid w:val="00196AC6"/>
    <w:rsid w:val="0046793A"/>
    <w:rsid w:val="00712CE2"/>
    <w:rsid w:val="00880B96"/>
    <w:rsid w:val="00A40297"/>
    <w:rsid w:val="00A9047C"/>
    <w:rsid w:val="00B425CD"/>
    <w:rsid w:val="00C7280F"/>
    <w:rsid w:val="00E17756"/>
    <w:rsid w:val="00E52A1D"/>
    <w:rsid w:val="00E72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E7EE37"/>
  <w15:chartTrackingRefBased/>
  <w15:docId w15:val="{6D73AF25-395A-E842-B117-64527720C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358"/>
  </w:style>
  <w:style w:type="paragraph" w:styleId="Heading1">
    <w:name w:val="heading 1"/>
    <w:basedOn w:val="Normal"/>
    <w:next w:val="Normal"/>
    <w:link w:val="Heading1Char"/>
    <w:uiPriority w:val="9"/>
    <w:qFormat/>
    <w:rsid w:val="00712CE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793A"/>
    <w:rPr>
      <w:color w:val="0563C1" w:themeColor="hyperlink"/>
      <w:u w:val="single"/>
    </w:rPr>
  </w:style>
  <w:style w:type="character" w:customStyle="1" w:styleId="apple-converted-space">
    <w:name w:val="apple-converted-space"/>
    <w:basedOn w:val="DefaultParagraphFont"/>
    <w:rsid w:val="00E52A1D"/>
  </w:style>
  <w:style w:type="character" w:customStyle="1" w:styleId="Heading1Char">
    <w:name w:val="Heading 1 Char"/>
    <w:basedOn w:val="DefaultParagraphFont"/>
    <w:link w:val="Heading1"/>
    <w:uiPriority w:val="9"/>
    <w:rsid w:val="00712CE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image.uk.info.pwc.com/lib/fe31117075640475701c74/m/2/487fcd4b-516c-4679-8844-cef76bfd1e3c.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3</Pages>
  <Words>477</Words>
  <Characters>2719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Kirilova Tyulyusheva (1919008)</dc:creator>
  <cp:keywords/>
  <dc:description/>
  <cp:lastModifiedBy>Zlatina Kirilova Tyulyusheva (1919008)</cp:lastModifiedBy>
  <cp:revision>3</cp:revision>
  <dcterms:created xsi:type="dcterms:W3CDTF">2021-07-25T14:34:00Z</dcterms:created>
  <dcterms:modified xsi:type="dcterms:W3CDTF">2021-08-26T12:26:00Z</dcterms:modified>
</cp:coreProperties>
</file>