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lang w:eastAsia="ja-JP"/>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AB8211F" w14:textId="77777777" w:rsidR="00803241" w:rsidRPr="0058764F" w:rsidRDefault="00803241" w:rsidP="00803241">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Learner’s name: Tanya Gammon</w:t>
            </w:r>
          </w:p>
          <w:p w14:paraId="74DB6086" w14:textId="77777777" w:rsidR="00803241" w:rsidRPr="0058764F" w:rsidRDefault="00803241" w:rsidP="00803241">
            <w:pPr>
              <w:overflowPunct/>
              <w:autoSpaceDE/>
              <w:autoSpaceDN/>
              <w:adjustRightInd/>
              <w:ind w:right="-957"/>
              <w:textAlignment w:val="auto"/>
              <w:rPr>
                <w:rFonts w:ascii="Times New Roman" w:hAnsi="Times New Roman" w:cs="Times New Roman"/>
                <w:b/>
                <w:color w:val="auto"/>
                <w:sz w:val="40"/>
                <w:szCs w:val="40"/>
              </w:rPr>
            </w:pPr>
          </w:p>
          <w:p w14:paraId="1F12F2B6" w14:textId="77777777" w:rsidR="00803241" w:rsidRPr="0058764F" w:rsidRDefault="00803241" w:rsidP="00803241">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Email address: Tanyawilliams25@aol.com</w:t>
            </w:r>
          </w:p>
          <w:p w14:paraId="34F5F7AD" w14:textId="77777777" w:rsidR="00803241" w:rsidRPr="0058764F" w:rsidRDefault="00803241" w:rsidP="00803241">
            <w:pPr>
              <w:overflowPunct/>
              <w:autoSpaceDE/>
              <w:autoSpaceDN/>
              <w:adjustRightInd/>
              <w:ind w:right="-957"/>
              <w:textAlignment w:val="auto"/>
              <w:rPr>
                <w:rFonts w:ascii="Times New Roman" w:hAnsi="Times New Roman" w:cs="Times New Roman"/>
                <w:b/>
                <w:color w:val="auto"/>
                <w:sz w:val="40"/>
                <w:szCs w:val="40"/>
              </w:rPr>
            </w:pPr>
          </w:p>
          <w:p w14:paraId="5B2B6D3B" w14:textId="77777777" w:rsidR="00803241" w:rsidRPr="0058764F" w:rsidRDefault="00803241" w:rsidP="00803241">
            <w:pPr>
              <w:overflowPunct/>
              <w:autoSpaceDE/>
              <w:autoSpaceDN/>
              <w:adjustRightInd/>
              <w:ind w:right="-957"/>
              <w:textAlignment w:val="auto"/>
              <w:rPr>
                <w:rFonts w:ascii="Times New Roman" w:hAnsi="Times New Roman" w:cs="Times New Roman"/>
                <w:b/>
                <w:color w:val="auto"/>
                <w:sz w:val="40"/>
                <w:szCs w:val="40"/>
              </w:rPr>
            </w:pPr>
            <w:r w:rsidRPr="0058764F">
              <w:rPr>
                <w:rFonts w:ascii="Times New Roman" w:hAnsi="Times New Roman" w:cs="Times New Roman"/>
                <w:b/>
                <w:color w:val="auto"/>
                <w:sz w:val="40"/>
                <w:szCs w:val="40"/>
              </w:rPr>
              <w:t>Learner’s University Registration Number:2219668</w:t>
            </w:r>
          </w:p>
          <w:p w14:paraId="2C0A51EB" w14:textId="77777777" w:rsidR="00803241" w:rsidRPr="0058764F" w:rsidRDefault="00803241" w:rsidP="00803241">
            <w:pPr>
              <w:overflowPunct/>
              <w:autoSpaceDE/>
              <w:autoSpaceDN/>
              <w:adjustRightInd/>
              <w:ind w:right="-957"/>
              <w:textAlignment w:val="auto"/>
              <w:rPr>
                <w:rFonts w:ascii="Times New Roman" w:hAnsi="Times New Roman" w:cs="Times New Roman"/>
                <w:b/>
                <w:color w:val="auto"/>
                <w:sz w:val="40"/>
                <w:szCs w:val="40"/>
              </w:rPr>
            </w:pPr>
          </w:p>
          <w:p w14:paraId="5F84129B" w14:textId="22F563EA" w:rsidR="0085230E" w:rsidRPr="005D3F07" w:rsidRDefault="00803241" w:rsidP="0080324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0"/>
                <w:szCs w:val="40"/>
              </w:rPr>
              <w:t>Cohort: 21</w:t>
            </w:r>
            <w:r w:rsidRPr="0058764F">
              <w:rPr>
                <w:rFonts w:ascii="Times New Roman" w:hAnsi="Times New Roman" w:cs="Times New Roman"/>
                <w:b/>
                <w:color w:val="auto"/>
                <w:sz w:val="40"/>
                <w:szCs w:val="40"/>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786B2646" w14:textId="77777777" w:rsidR="00803241" w:rsidRPr="00EE5BC3" w:rsidRDefault="00803241" w:rsidP="00803241">
      <w:pPr>
        <w:jc w:val="center"/>
        <w:rPr>
          <w:b/>
          <w:sz w:val="28"/>
          <w:szCs w:val="28"/>
        </w:rPr>
      </w:pPr>
      <w:r w:rsidRPr="00EE5BC3">
        <w:rPr>
          <w:b/>
          <w:sz w:val="28"/>
          <w:szCs w:val="28"/>
        </w:rPr>
        <w:t>Task 4</w:t>
      </w:r>
    </w:p>
    <w:p w14:paraId="41A84124" w14:textId="77777777" w:rsidR="00803241" w:rsidRPr="00EE5BC3" w:rsidRDefault="00803241" w:rsidP="00803241">
      <w:pPr>
        <w:jc w:val="center"/>
        <w:rPr>
          <w:b/>
          <w:sz w:val="28"/>
          <w:szCs w:val="28"/>
        </w:rPr>
      </w:pPr>
    </w:p>
    <w:p w14:paraId="6ED7E9B4" w14:textId="77777777" w:rsidR="00803241" w:rsidRPr="00EE5BC3" w:rsidRDefault="00803241" w:rsidP="00803241">
      <w:pPr>
        <w:jc w:val="center"/>
        <w:rPr>
          <w:b/>
          <w:sz w:val="28"/>
          <w:szCs w:val="28"/>
        </w:rPr>
      </w:pPr>
      <w:r w:rsidRPr="00EE5BC3">
        <w:rPr>
          <w:b/>
          <w:sz w:val="28"/>
          <w:szCs w:val="28"/>
        </w:rPr>
        <w:t>Safeguarding</w:t>
      </w:r>
      <w:r>
        <w:rPr>
          <w:b/>
          <w:sz w:val="28"/>
          <w:szCs w:val="28"/>
        </w:rPr>
        <w:t xml:space="preserve"> in an area which is not your main area of work</w:t>
      </w:r>
    </w:p>
    <w:p w14:paraId="6C2D803F" w14:textId="77777777" w:rsidR="00803241" w:rsidRPr="008B28E7" w:rsidRDefault="00803241" w:rsidP="00803241">
      <w:pPr>
        <w:jc w:val="both"/>
        <w:rPr>
          <w:b/>
          <w:sz w:val="24"/>
          <w:szCs w:val="24"/>
        </w:rPr>
      </w:pPr>
    </w:p>
    <w:p w14:paraId="289DD36B" w14:textId="77777777" w:rsidR="00803241" w:rsidRPr="00EE5BC3" w:rsidRDefault="00803241" w:rsidP="00803241">
      <w:pPr>
        <w:ind w:left="-90"/>
        <w:jc w:val="both"/>
        <w:rPr>
          <w:b/>
          <w:i/>
          <w:sz w:val="24"/>
          <w:szCs w:val="24"/>
        </w:rPr>
      </w:pPr>
      <w:r w:rsidRPr="00EE5BC3">
        <w:rPr>
          <w:b/>
          <w:i/>
          <w:sz w:val="24"/>
          <w:szCs w:val="24"/>
        </w:rPr>
        <w:t xml:space="preserve">Guidance: </w:t>
      </w:r>
    </w:p>
    <w:p w14:paraId="49C48451" w14:textId="77777777" w:rsidR="00803241" w:rsidRPr="00706BB5" w:rsidRDefault="00803241" w:rsidP="00803241">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1314E61B" w14:textId="77777777" w:rsidR="00803241" w:rsidRPr="008B28E7" w:rsidRDefault="00803241" w:rsidP="00803241">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03241" w:rsidRPr="008B28E7" w14:paraId="06FE4CF4" w14:textId="77777777" w:rsidTr="0077144C">
        <w:tc>
          <w:tcPr>
            <w:tcW w:w="10188" w:type="dxa"/>
            <w:shd w:val="clear" w:color="auto" w:fill="auto"/>
          </w:tcPr>
          <w:p w14:paraId="23CC42A6" w14:textId="77777777" w:rsidR="00803241" w:rsidRPr="00EB695F" w:rsidRDefault="00803241" w:rsidP="0077144C">
            <w:pPr>
              <w:jc w:val="both"/>
              <w:rPr>
                <w:b/>
                <w:sz w:val="24"/>
                <w:szCs w:val="24"/>
              </w:rPr>
            </w:pPr>
            <w:r w:rsidRPr="00EB695F">
              <w:rPr>
                <w:b/>
                <w:sz w:val="24"/>
                <w:szCs w:val="24"/>
              </w:rPr>
              <w:t>Question</w:t>
            </w:r>
            <w:r>
              <w:rPr>
                <w:b/>
                <w:sz w:val="24"/>
                <w:szCs w:val="24"/>
              </w:rPr>
              <w:t xml:space="preserve"> a:</w:t>
            </w:r>
          </w:p>
          <w:p w14:paraId="6E258D8E" w14:textId="77777777" w:rsidR="00803241" w:rsidRDefault="00803241" w:rsidP="0077144C">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31B463B8" w14:textId="77777777" w:rsidR="00803241" w:rsidRDefault="00803241" w:rsidP="0077144C">
            <w:pPr>
              <w:jc w:val="both"/>
              <w:rPr>
                <w:sz w:val="24"/>
                <w:szCs w:val="24"/>
              </w:rPr>
            </w:pPr>
          </w:p>
          <w:p w14:paraId="7062494E" w14:textId="77777777" w:rsidR="00803241" w:rsidRDefault="00803241" w:rsidP="0077144C">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5A32FC6" w14:textId="77777777" w:rsidR="00803241" w:rsidRDefault="00803241" w:rsidP="0077144C">
            <w:pPr>
              <w:jc w:val="both"/>
              <w:rPr>
                <w:sz w:val="24"/>
                <w:szCs w:val="24"/>
              </w:rPr>
            </w:pPr>
          </w:p>
          <w:p w14:paraId="606C6AE9" w14:textId="77777777" w:rsidR="00803241" w:rsidRDefault="00803241" w:rsidP="0077144C">
            <w:pPr>
              <w:jc w:val="both"/>
              <w:rPr>
                <w:sz w:val="24"/>
                <w:szCs w:val="24"/>
              </w:rPr>
            </w:pPr>
          </w:p>
          <w:p w14:paraId="3A4E5E63" w14:textId="77777777" w:rsidR="00803241" w:rsidRDefault="00803241" w:rsidP="0077144C">
            <w:pPr>
              <w:spacing w:line="360" w:lineRule="auto"/>
              <w:jc w:val="both"/>
              <w:rPr>
                <w:sz w:val="24"/>
                <w:szCs w:val="24"/>
              </w:rPr>
            </w:pPr>
            <w:r>
              <w:rPr>
                <w:sz w:val="24"/>
                <w:szCs w:val="24"/>
              </w:rPr>
              <w:t xml:space="preserve">Legislation in terms of adult safeguarding is covered by a range of Government Act’s, policy and procedures which are reviewed by commissioning bodies. The Social Services and Wellbeing Act (Wales) 2014 (SSWBA, 2014) is the overarching legislation which ensures adults and children are safeguarded and their wellbeing supported. This is done by promoting wellbeing through prevention and early intervention, inclusive interaction and ensuring the voice of the citizen is heard. Part 7 of the SSWBA 2014 relates to safeguarding those at risk of harm or whom have a support and care need. Under this Act there is a duty for the Local Authority or its partner to report concerns if an adult is at risk of harm. A support order can be gained which can ensure a person is spoken to alone and not under duress. National safeguarding boards are in place to ensure compliance and provide guidance to local safeguarding boards. Safeguarding boards are made up of multidisciplinary professionals including chief of police, local health board and probation, in order to ensure policy is followed and provide guidance. </w:t>
            </w:r>
          </w:p>
          <w:p w14:paraId="6B87CB76" w14:textId="77777777" w:rsidR="00803241" w:rsidRDefault="00803241" w:rsidP="0077144C">
            <w:pPr>
              <w:spacing w:line="360" w:lineRule="auto"/>
              <w:jc w:val="both"/>
              <w:rPr>
                <w:sz w:val="24"/>
                <w:szCs w:val="24"/>
              </w:rPr>
            </w:pPr>
          </w:p>
          <w:p w14:paraId="5395635B" w14:textId="77777777" w:rsidR="00803241" w:rsidRDefault="00803241" w:rsidP="0077144C">
            <w:pPr>
              <w:spacing w:line="360" w:lineRule="auto"/>
              <w:jc w:val="both"/>
              <w:rPr>
                <w:sz w:val="24"/>
                <w:szCs w:val="24"/>
              </w:rPr>
            </w:pPr>
            <w:r>
              <w:rPr>
                <w:sz w:val="24"/>
                <w:szCs w:val="24"/>
              </w:rPr>
              <w:t>The Welsh safeguarding procedures 2019 identifies five categories where there is potential for an adult to be at risk of harm, these are emotional or psychological, financial, sexual and neglect</w:t>
            </w:r>
            <w:r w:rsidRPr="00F8411C">
              <w:rPr>
                <w:sz w:val="24"/>
                <w:szCs w:val="24"/>
              </w:rPr>
              <w:t>.</w:t>
            </w:r>
            <w:r>
              <w:rPr>
                <w:sz w:val="24"/>
                <w:szCs w:val="24"/>
              </w:rPr>
              <w:t xml:space="preserve"> When identifying indicators of harm, the person’s environment and behaviour, </w:t>
            </w:r>
            <w:r>
              <w:rPr>
                <w:sz w:val="24"/>
                <w:szCs w:val="24"/>
              </w:rPr>
              <w:lastRenderedPageBreak/>
              <w:t xml:space="preserve">wellbeing and provision for need should be assessed. Information and evidence of concerns should be justified, the concerns should be hypothesised to provide insight into the cause of potential risk of harm and the likely impact on the person. It is important that the person’s wishes are gained in order to work with a co-productive approach to intervention. By doing this the person feels empowered and is able to meaningfully engage in interventions. </w:t>
            </w:r>
          </w:p>
          <w:p w14:paraId="25116CB5" w14:textId="77777777" w:rsidR="00803241" w:rsidRDefault="00803241" w:rsidP="0077144C">
            <w:pPr>
              <w:spacing w:line="360" w:lineRule="auto"/>
              <w:jc w:val="both"/>
              <w:rPr>
                <w:sz w:val="24"/>
                <w:szCs w:val="24"/>
              </w:rPr>
            </w:pPr>
          </w:p>
          <w:p w14:paraId="28841CA5" w14:textId="77777777" w:rsidR="00803241" w:rsidRPr="000277FF" w:rsidRDefault="00803241" w:rsidP="0077144C">
            <w:pPr>
              <w:spacing w:line="360" w:lineRule="auto"/>
              <w:jc w:val="both"/>
              <w:rPr>
                <w:color w:val="auto"/>
                <w:sz w:val="24"/>
                <w:szCs w:val="24"/>
              </w:rPr>
            </w:pPr>
            <w:r w:rsidRPr="000A362B">
              <w:rPr>
                <w:sz w:val="24"/>
                <w:szCs w:val="24"/>
              </w:rPr>
              <w:t>In addition to the SSWBA 2014, there are a set of “rights” based Acts with together help form the structure of safeguarding measures. The Human rights 2010 incorporates the European convention on rights to ensure that everyone has the right to core societal values such as</w:t>
            </w:r>
            <w:r w:rsidRPr="000A362B">
              <w:rPr>
                <w:color w:val="4D5156"/>
                <w:sz w:val="24"/>
                <w:szCs w:val="24"/>
                <w:shd w:val="clear" w:color="auto" w:fill="FFFFFF"/>
              </w:rPr>
              <w:t xml:space="preserve"> </w:t>
            </w:r>
            <w:r w:rsidRPr="000A362B">
              <w:rPr>
                <w:color w:val="auto"/>
                <w:sz w:val="24"/>
                <w:szCs w:val="24"/>
                <w:shd w:val="clear" w:color="auto" w:fill="FFFFFF"/>
              </w:rPr>
              <w:t>dignity, fairness, equality, respect and independence</w:t>
            </w:r>
            <w:r w:rsidRPr="000A362B">
              <w:rPr>
                <w:sz w:val="24"/>
                <w:szCs w:val="24"/>
                <w:shd w:val="clear" w:color="auto" w:fill="FFFFFF"/>
              </w:rPr>
              <w:t xml:space="preserve">. The equality Act 2010 </w:t>
            </w:r>
            <w:r w:rsidRPr="000A362B">
              <w:rPr>
                <w:color w:val="202124"/>
                <w:sz w:val="24"/>
                <w:szCs w:val="24"/>
                <w:shd w:val="clear" w:color="auto" w:fill="FFFFFF"/>
              </w:rPr>
              <w:t xml:space="preserve">protection of against direct and indirect discrimination, harassment and victimisation, providing equality to protected characteristics. The UN Principles for older people 1991 incorporates the right for older people to have independence, participation, care and </w:t>
            </w:r>
            <w:r>
              <w:rPr>
                <w:color w:val="202124"/>
                <w:sz w:val="24"/>
                <w:szCs w:val="24"/>
                <w:shd w:val="clear" w:color="auto" w:fill="FFFFFF"/>
              </w:rPr>
              <w:t>s</w:t>
            </w:r>
            <w:r w:rsidRPr="000A362B">
              <w:rPr>
                <w:color w:val="202124"/>
                <w:sz w:val="24"/>
                <w:szCs w:val="24"/>
                <w:shd w:val="clear" w:color="auto" w:fill="FFFFFF"/>
              </w:rPr>
              <w:t>elf-fulfilment</w:t>
            </w:r>
            <w:r>
              <w:rPr>
                <w:color w:val="202124"/>
                <w:sz w:val="24"/>
                <w:szCs w:val="24"/>
                <w:shd w:val="clear" w:color="auto" w:fill="FFFFFF"/>
              </w:rPr>
              <w:t xml:space="preserve">. </w:t>
            </w:r>
            <w:r w:rsidRPr="000A362B">
              <w:rPr>
                <w:sz w:val="24"/>
                <w:szCs w:val="24"/>
              </w:rPr>
              <w:t>United Nations convention of rights of persons with disabilities</w:t>
            </w:r>
            <w:r w:rsidRPr="000A362B">
              <w:rPr>
                <w:color w:val="202124"/>
                <w:sz w:val="24"/>
                <w:szCs w:val="24"/>
                <w:shd w:val="clear" w:color="auto" w:fill="FFFFFF"/>
              </w:rPr>
              <w:t xml:space="preserve"> </w:t>
            </w:r>
            <w:r w:rsidRPr="000A362B">
              <w:rPr>
                <w:sz w:val="24"/>
                <w:szCs w:val="24"/>
              </w:rPr>
              <w:t>United Nations convention of rights of persons with disabilities</w:t>
            </w:r>
            <w:r w:rsidRPr="000A362B">
              <w:rPr>
                <w:color w:val="202124"/>
                <w:sz w:val="24"/>
                <w:szCs w:val="24"/>
                <w:shd w:val="clear" w:color="auto" w:fill="FFFFFF"/>
              </w:rPr>
              <w:t xml:space="preserve"> </w:t>
            </w:r>
            <w:r>
              <w:rPr>
                <w:color w:val="202124"/>
                <w:sz w:val="24"/>
                <w:szCs w:val="24"/>
                <w:shd w:val="clear" w:color="auto" w:fill="FFFFFF"/>
              </w:rPr>
              <w:t xml:space="preserve">supports the rights of adults with disabilities. </w:t>
            </w:r>
            <w:r w:rsidRPr="000A362B">
              <w:rPr>
                <w:color w:val="202124"/>
                <w:sz w:val="24"/>
                <w:szCs w:val="24"/>
                <w:shd w:val="clear" w:color="auto" w:fill="FFFFFF"/>
              </w:rPr>
              <w:t>The Data protection act ensure an adult’s details are not given without consent unless it the information is used to safeguard against harm.</w:t>
            </w:r>
          </w:p>
          <w:p w14:paraId="6F4BA4F4" w14:textId="77777777" w:rsidR="00803241" w:rsidRDefault="00803241" w:rsidP="0077144C">
            <w:pPr>
              <w:spacing w:line="360" w:lineRule="auto"/>
              <w:jc w:val="both"/>
              <w:rPr>
                <w:sz w:val="24"/>
                <w:szCs w:val="24"/>
              </w:rPr>
            </w:pPr>
          </w:p>
          <w:p w14:paraId="44041BA0" w14:textId="77777777" w:rsidR="00803241" w:rsidRDefault="00803241" w:rsidP="0077144C">
            <w:pPr>
              <w:spacing w:line="360" w:lineRule="auto"/>
              <w:jc w:val="both"/>
              <w:rPr>
                <w:sz w:val="24"/>
                <w:szCs w:val="24"/>
              </w:rPr>
            </w:pPr>
            <w:r>
              <w:rPr>
                <w:sz w:val="24"/>
                <w:szCs w:val="24"/>
              </w:rPr>
              <w:t>In terms of a systems theory approach to safeguarding the interrelationship between wider legislation should be recognised. The Mental Health Act 2007, the codes of practice, the Mental Health measures (Wales) 2010 and the Mental Capacity Act 2005 form a set of legislation around mental health and capacity in adults. These provide legal duties and guidance to inform practice in terms of the assessment and treatment of mental health problems. The Mental capacity Act 2005 directs decision making in those who are unable to do so themselves. The Welsh language measures 2011 promotes the “Active offer” which improves person centred practice.</w:t>
            </w:r>
          </w:p>
          <w:p w14:paraId="6CA4B40C" w14:textId="77777777" w:rsidR="00803241" w:rsidRDefault="00803241" w:rsidP="0077144C">
            <w:pPr>
              <w:jc w:val="both"/>
              <w:rPr>
                <w:sz w:val="24"/>
                <w:szCs w:val="24"/>
              </w:rPr>
            </w:pPr>
          </w:p>
          <w:p w14:paraId="059C11EB" w14:textId="77777777" w:rsidR="00803241" w:rsidRDefault="00803241" w:rsidP="0077144C">
            <w:pPr>
              <w:jc w:val="both"/>
              <w:rPr>
                <w:b/>
                <w:sz w:val="24"/>
                <w:szCs w:val="24"/>
              </w:rPr>
            </w:pPr>
            <w:r>
              <w:rPr>
                <w:b/>
                <w:sz w:val="24"/>
                <w:szCs w:val="24"/>
              </w:rPr>
              <w:t>Word count 532</w:t>
            </w:r>
          </w:p>
          <w:p w14:paraId="4F682B07" w14:textId="77777777" w:rsidR="00803241" w:rsidRDefault="00803241" w:rsidP="0077144C">
            <w:pPr>
              <w:jc w:val="both"/>
              <w:rPr>
                <w:b/>
                <w:sz w:val="24"/>
                <w:szCs w:val="24"/>
              </w:rPr>
            </w:pPr>
          </w:p>
          <w:p w14:paraId="6A479065" w14:textId="77777777" w:rsidR="00803241" w:rsidRDefault="00803241" w:rsidP="0077144C">
            <w:pPr>
              <w:jc w:val="both"/>
              <w:rPr>
                <w:b/>
                <w:sz w:val="24"/>
                <w:szCs w:val="24"/>
              </w:rPr>
            </w:pPr>
          </w:p>
          <w:p w14:paraId="567B5F43" w14:textId="77777777" w:rsidR="00803241" w:rsidRDefault="00803241" w:rsidP="0077144C">
            <w:pPr>
              <w:jc w:val="both"/>
              <w:rPr>
                <w:b/>
                <w:sz w:val="24"/>
                <w:szCs w:val="24"/>
              </w:rPr>
            </w:pPr>
          </w:p>
          <w:p w14:paraId="56026EBF" w14:textId="77777777" w:rsidR="00803241" w:rsidRDefault="00803241" w:rsidP="0077144C">
            <w:pPr>
              <w:jc w:val="both"/>
              <w:rPr>
                <w:b/>
                <w:sz w:val="24"/>
                <w:szCs w:val="24"/>
              </w:rPr>
            </w:pPr>
          </w:p>
          <w:p w14:paraId="365F7452" w14:textId="77777777" w:rsidR="00803241" w:rsidRPr="008B28E7" w:rsidRDefault="00803241" w:rsidP="0077144C">
            <w:pPr>
              <w:jc w:val="both"/>
              <w:rPr>
                <w:b/>
                <w:sz w:val="24"/>
                <w:szCs w:val="24"/>
              </w:rPr>
            </w:pPr>
          </w:p>
        </w:tc>
      </w:tr>
    </w:tbl>
    <w:p w14:paraId="64DAD3FA" w14:textId="77777777" w:rsidR="00803241" w:rsidRPr="008B28E7" w:rsidRDefault="00803241" w:rsidP="00803241">
      <w:pPr>
        <w:jc w:val="both"/>
        <w:rPr>
          <w:sz w:val="24"/>
          <w:szCs w:val="24"/>
        </w:rPr>
      </w:pPr>
    </w:p>
    <w:p w14:paraId="3A030586" w14:textId="77777777" w:rsidR="00803241" w:rsidRPr="008B28E7" w:rsidRDefault="00803241" w:rsidP="00803241">
      <w:pPr>
        <w:jc w:val="both"/>
        <w:rPr>
          <w:sz w:val="24"/>
          <w:szCs w:val="24"/>
        </w:rPr>
      </w:pPr>
    </w:p>
    <w:p w14:paraId="20F7A825" w14:textId="77777777" w:rsidR="00803241" w:rsidRDefault="00803241" w:rsidP="00803241">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03241" w:rsidRPr="008B28E7" w14:paraId="016A1A94" w14:textId="77777777" w:rsidTr="0077144C">
        <w:tc>
          <w:tcPr>
            <w:tcW w:w="10278" w:type="dxa"/>
            <w:shd w:val="clear" w:color="auto" w:fill="auto"/>
          </w:tcPr>
          <w:p w14:paraId="57FA4B56" w14:textId="77777777" w:rsidR="00803241" w:rsidRPr="00EB695F" w:rsidRDefault="00803241" w:rsidP="0077144C">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38290F6A" w14:textId="77777777" w:rsidR="00803241" w:rsidRDefault="00803241" w:rsidP="0077144C">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1A4121F0" w14:textId="77777777" w:rsidR="00803241" w:rsidRDefault="00803241" w:rsidP="0077144C">
            <w:pPr>
              <w:jc w:val="both"/>
              <w:rPr>
                <w:i/>
                <w:sz w:val="24"/>
                <w:szCs w:val="24"/>
              </w:rPr>
            </w:pPr>
          </w:p>
          <w:p w14:paraId="4FBFB227" w14:textId="77777777" w:rsidR="00803241" w:rsidRDefault="00803241" w:rsidP="0077144C">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8226454" w14:textId="77777777" w:rsidR="00803241" w:rsidRDefault="00803241" w:rsidP="0077144C">
            <w:pPr>
              <w:jc w:val="both"/>
              <w:rPr>
                <w:sz w:val="24"/>
                <w:szCs w:val="24"/>
              </w:rPr>
            </w:pPr>
          </w:p>
          <w:p w14:paraId="2A6F9C0B" w14:textId="5A37FBB7" w:rsidR="00803241" w:rsidRDefault="00803241" w:rsidP="0077144C">
            <w:pPr>
              <w:spacing w:line="360" w:lineRule="auto"/>
              <w:jc w:val="both"/>
              <w:rPr>
                <w:sz w:val="24"/>
                <w:szCs w:val="24"/>
              </w:rPr>
            </w:pPr>
            <w:r>
              <w:rPr>
                <w:sz w:val="24"/>
                <w:szCs w:val="24"/>
              </w:rPr>
              <w:t xml:space="preserve"> The differences in child and adult services, legislation in terms of safeguarding can be seen in the autonomy an adult holds as opposed to a child. In both adult and child services the practitioner will work in a person centred way to gain a safe outcome. In child services the wishes of the child will be </w:t>
            </w:r>
            <w:r w:rsidR="0026299F">
              <w:rPr>
                <w:sz w:val="24"/>
                <w:szCs w:val="24"/>
              </w:rPr>
              <w:t>considered</w:t>
            </w:r>
            <w:r>
              <w:rPr>
                <w:sz w:val="24"/>
                <w:szCs w:val="24"/>
              </w:rPr>
              <w:t xml:space="preserve"> however decisions and intervention will be ultimately based on risk. As an example, a child’s wishes may to be to live with a parent however this may not be possible due to the risk to the child in parents care. The reasoning behind this is due to a child’s capacity to make appropriate risk adverse decisions, it is considered that a child will not have the maturity in cognitive thinking to judge appropriate safety of care. The person who makes these adult decisions is the person who holds parental responsibility and there are occasions where the Local authority will hold or share parental responsibility for the child under a care order if deemed by the court to be the safety option</w:t>
            </w:r>
            <w:sdt>
              <w:sdtPr>
                <w:rPr>
                  <w:sz w:val="24"/>
                  <w:szCs w:val="24"/>
                </w:rPr>
                <w:id w:val="2059285542"/>
                <w:citation/>
              </w:sdtPr>
              <w:sdtEndPr/>
              <w:sdtContent>
                <w:r>
                  <w:rPr>
                    <w:sz w:val="24"/>
                    <w:szCs w:val="24"/>
                  </w:rPr>
                  <w:fldChar w:fldCharType="begin"/>
                </w:r>
                <w:r>
                  <w:rPr>
                    <w:sz w:val="24"/>
                    <w:szCs w:val="24"/>
                  </w:rPr>
                  <w:instrText xml:space="preserve"> CITATION NSP22 \l 2057 </w:instrText>
                </w:r>
                <w:r>
                  <w:rPr>
                    <w:sz w:val="24"/>
                    <w:szCs w:val="24"/>
                  </w:rPr>
                  <w:fldChar w:fldCharType="separate"/>
                </w:r>
                <w:r>
                  <w:rPr>
                    <w:noProof/>
                    <w:sz w:val="24"/>
                    <w:szCs w:val="24"/>
                  </w:rPr>
                  <w:t xml:space="preserve"> </w:t>
                </w:r>
                <w:r w:rsidRPr="00682701">
                  <w:rPr>
                    <w:noProof/>
                    <w:sz w:val="24"/>
                    <w:szCs w:val="24"/>
                  </w:rPr>
                  <w:t>(NSPCC, 2022)</w:t>
                </w:r>
                <w:r>
                  <w:rPr>
                    <w:sz w:val="24"/>
                    <w:szCs w:val="24"/>
                  </w:rPr>
                  <w:fldChar w:fldCharType="end"/>
                </w:r>
              </w:sdtContent>
            </w:sdt>
            <w:r>
              <w:rPr>
                <w:sz w:val="24"/>
                <w:szCs w:val="24"/>
              </w:rPr>
              <w:t xml:space="preserve">. </w:t>
            </w:r>
          </w:p>
          <w:p w14:paraId="16C22E50" w14:textId="77777777" w:rsidR="00803241" w:rsidRDefault="00803241" w:rsidP="0077144C">
            <w:pPr>
              <w:spacing w:line="360" w:lineRule="auto"/>
              <w:jc w:val="both"/>
              <w:rPr>
                <w:sz w:val="24"/>
                <w:szCs w:val="24"/>
              </w:rPr>
            </w:pPr>
          </w:p>
          <w:p w14:paraId="32775E26" w14:textId="77777777" w:rsidR="00803241" w:rsidRDefault="00803241" w:rsidP="0077144C">
            <w:pPr>
              <w:spacing w:line="360" w:lineRule="auto"/>
              <w:jc w:val="both"/>
              <w:rPr>
                <w:sz w:val="24"/>
                <w:szCs w:val="24"/>
              </w:rPr>
            </w:pPr>
            <w:r>
              <w:rPr>
                <w:sz w:val="24"/>
                <w:szCs w:val="24"/>
              </w:rPr>
              <w:t>All children develop cognitive maturity at different times regardless of chronological age. In terms of consent “Gillick competence” is a test used to assess if a child has the intelligence to give consent or refuse medical treatment or therapeutic services including substance and alcohol, and also if the child has strong views of living and contact arrangements. The child will need a full understanding and ability to process the situation, and proposed outcome. There is no lowered age, however as a child is not able to legally consent sexual activity under the age of 13, this would be a safeguarding concern if advise is required. Frasier guidelines is specifically regarding consent for contraception and sexual health advice</w:t>
            </w:r>
            <w:sdt>
              <w:sdtPr>
                <w:rPr>
                  <w:sz w:val="24"/>
                  <w:szCs w:val="24"/>
                </w:rPr>
                <w:id w:val="2070144896"/>
                <w:citation/>
              </w:sdtPr>
              <w:sdtEndPr/>
              <w:sdtContent>
                <w:r>
                  <w:rPr>
                    <w:sz w:val="24"/>
                    <w:szCs w:val="24"/>
                  </w:rPr>
                  <w:fldChar w:fldCharType="begin"/>
                </w:r>
                <w:r>
                  <w:rPr>
                    <w:sz w:val="24"/>
                    <w:szCs w:val="24"/>
                  </w:rPr>
                  <w:instrText xml:space="preserve"> CITATION NSP22 \l 2057 </w:instrText>
                </w:r>
                <w:r>
                  <w:rPr>
                    <w:sz w:val="24"/>
                    <w:szCs w:val="24"/>
                  </w:rPr>
                  <w:fldChar w:fldCharType="separate"/>
                </w:r>
                <w:r>
                  <w:rPr>
                    <w:noProof/>
                    <w:sz w:val="24"/>
                    <w:szCs w:val="24"/>
                  </w:rPr>
                  <w:t xml:space="preserve"> </w:t>
                </w:r>
                <w:r w:rsidRPr="008416BC">
                  <w:rPr>
                    <w:noProof/>
                    <w:sz w:val="24"/>
                    <w:szCs w:val="24"/>
                  </w:rPr>
                  <w:t>(NSPCC, 2022)</w:t>
                </w:r>
                <w:r>
                  <w:rPr>
                    <w:sz w:val="24"/>
                    <w:szCs w:val="24"/>
                  </w:rPr>
                  <w:fldChar w:fldCharType="end"/>
                </w:r>
              </w:sdtContent>
            </w:sdt>
            <w:r>
              <w:rPr>
                <w:sz w:val="24"/>
                <w:szCs w:val="24"/>
              </w:rPr>
              <w:t xml:space="preserve">. </w:t>
            </w:r>
          </w:p>
          <w:p w14:paraId="28639C4A" w14:textId="77777777" w:rsidR="00803241" w:rsidRDefault="00803241" w:rsidP="0077144C">
            <w:pPr>
              <w:spacing w:line="360" w:lineRule="auto"/>
              <w:jc w:val="both"/>
              <w:rPr>
                <w:sz w:val="24"/>
                <w:szCs w:val="24"/>
              </w:rPr>
            </w:pPr>
          </w:p>
          <w:p w14:paraId="106F9D79" w14:textId="77777777" w:rsidR="00803241" w:rsidRDefault="00803241" w:rsidP="0077144C">
            <w:pPr>
              <w:spacing w:line="360" w:lineRule="auto"/>
              <w:jc w:val="both"/>
              <w:rPr>
                <w:sz w:val="24"/>
                <w:szCs w:val="24"/>
              </w:rPr>
            </w:pPr>
            <w:r>
              <w:rPr>
                <w:sz w:val="24"/>
                <w:szCs w:val="24"/>
              </w:rPr>
              <w:t xml:space="preserve">In terms of decision making and engagement with services, if an adult maintains capacity the wishes, feelings and self-determination will be upheld as an adult is able to make their own choices regardless of risk. Capacity must be assumed however if there are concerns a capacity an assessment will be carried out under the Mental Capacity Act 2005. </w:t>
            </w:r>
          </w:p>
          <w:p w14:paraId="24F8F596" w14:textId="77777777" w:rsidR="00803241" w:rsidRDefault="00803241" w:rsidP="0077144C">
            <w:pPr>
              <w:spacing w:line="360" w:lineRule="auto"/>
              <w:jc w:val="both"/>
              <w:rPr>
                <w:sz w:val="24"/>
                <w:szCs w:val="24"/>
              </w:rPr>
            </w:pPr>
          </w:p>
          <w:p w14:paraId="7DF25208" w14:textId="77777777" w:rsidR="00803241" w:rsidRDefault="00803241" w:rsidP="0077144C">
            <w:pPr>
              <w:spacing w:line="360" w:lineRule="auto"/>
              <w:jc w:val="both"/>
            </w:pPr>
            <w:r w:rsidRPr="008416BC">
              <w:rPr>
                <w:sz w:val="24"/>
                <w:szCs w:val="24"/>
              </w:rPr>
              <w:t xml:space="preserve">The </w:t>
            </w:r>
            <w:r w:rsidRPr="008416BC">
              <w:rPr>
                <w:color w:val="1E1E1E"/>
                <w:sz w:val="24"/>
                <w:szCs w:val="24"/>
                <w:shd w:val="clear" w:color="auto" w:fill="FFFFFF"/>
              </w:rPr>
              <w:t>Section 47 of the National Assistance Act 1948 enabled the Local authority t</w:t>
            </w:r>
            <w:r>
              <w:rPr>
                <w:color w:val="1E1E1E"/>
                <w:sz w:val="24"/>
                <w:szCs w:val="24"/>
                <w:shd w:val="clear" w:color="auto" w:fill="FFFFFF"/>
              </w:rPr>
              <w:t>o apply for an order to move an</w:t>
            </w:r>
            <w:r w:rsidRPr="008416BC">
              <w:rPr>
                <w:color w:val="1E1E1E"/>
                <w:sz w:val="24"/>
                <w:szCs w:val="24"/>
                <w:shd w:val="clear" w:color="auto" w:fill="FFFFFF"/>
              </w:rPr>
              <w:t xml:space="preserve"> adult in need of care and support to hospital or other places</w:t>
            </w:r>
            <w:r>
              <w:rPr>
                <w:color w:val="1E1E1E"/>
                <w:sz w:val="24"/>
                <w:szCs w:val="24"/>
                <w:shd w:val="clear" w:color="auto" w:fill="FFFFFF"/>
              </w:rPr>
              <w:t>,</w:t>
            </w:r>
            <w:r w:rsidRPr="008416BC">
              <w:rPr>
                <w:color w:val="1E1E1E"/>
                <w:sz w:val="24"/>
                <w:szCs w:val="24"/>
                <w:shd w:val="clear" w:color="auto" w:fill="FFFFFF"/>
              </w:rPr>
              <w:t xml:space="preserve"> </w:t>
            </w:r>
            <w:r>
              <w:rPr>
                <w:color w:val="1E1E1E"/>
                <w:sz w:val="24"/>
                <w:szCs w:val="24"/>
                <w:shd w:val="clear" w:color="auto" w:fill="FFFFFF"/>
              </w:rPr>
              <w:t>is</w:t>
            </w:r>
            <w:r w:rsidRPr="008416BC">
              <w:rPr>
                <w:color w:val="1E1E1E"/>
                <w:sz w:val="24"/>
                <w:szCs w:val="24"/>
                <w:shd w:val="clear" w:color="auto" w:fill="FFFFFF"/>
              </w:rPr>
              <w:t xml:space="preserve"> abolished in Wales.</w:t>
            </w:r>
            <w:r w:rsidRPr="008416BC">
              <w:t xml:space="preserve">  </w:t>
            </w:r>
            <w:r w:rsidRPr="008416BC">
              <w:rPr>
                <w:sz w:val="24"/>
                <w:szCs w:val="24"/>
              </w:rPr>
              <w:t>In regard to children, if the threshold for harm is reached and the court have granted corporate parental responsibility to the Local authority a child can be removed from home, this can also be carried out under a police protection order</w:t>
            </w:r>
            <w:sdt>
              <w:sdtPr>
                <w:rPr>
                  <w:sz w:val="24"/>
                  <w:szCs w:val="24"/>
                </w:rPr>
                <w:id w:val="-443549527"/>
                <w:citation/>
              </w:sdtPr>
              <w:sdtEndPr/>
              <w:sdtContent>
                <w:r>
                  <w:rPr>
                    <w:sz w:val="24"/>
                    <w:szCs w:val="24"/>
                  </w:rPr>
                  <w:fldChar w:fldCharType="begin"/>
                </w:r>
                <w:r>
                  <w:rPr>
                    <w:sz w:val="24"/>
                    <w:szCs w:val="24"/>
                  </w:rPr>
                  <w:instrText xml:space="preserve"> CITATION Wel181 \l 2057 </w:instrText>
                </w:r>
                <w:r>
                  <w:rPr>
                    <w:sz w:val="24"/>
                    <w:szCs w:val="24"/>
                  </w:rPr>
                  <w:fldChar w:fldCharType="separate"/>
                </w:r>
                <w:r>
                  <w:rPr>
                    <w:noProof/>
                    <w:sz w:val="24"/>
                    <w:szCs w:val="24"/>
                  </w:rPr>
                  <w:t xml:space="preserve"> </w:t>
                </w:r>
                <w:r w:rsidRPr="00682701">
                  <w:rPr>
                    <w:noProof/>
                    <w:sz w:val="24"/>
                    <w:szCs w:val="24"/>
                  </w:rPr>
                  <w:t>(Welsh Government, 2018)</w:t>
                </w:r>
                <w:r>
                  <w:rPr>
                    <w:sz w:val="24"/>
                    <w:szCs w:val="24"/>
                  </w:rPr>
                  <w:fldChar w:fldCharType="end"/>
                </w:r>
              </w:sdtContent>
            </w:sdt>
            <w:r>
              <w:rPr>
                <w:sz w:val="24"/>
                <w:szCs w:val="24"/>
              </w:rPr>
              <w:t>.</w:t>
            </w:r>
          </w:p>
          <w:p w14:paraId="6275BB8E" w14:textId="77777777" w:rsidR="00803241" w:rsidRDefault="00803241" w:rsidP="0077144C">
            <w:pPr>
              <w:jc w:val="both"/>
              <w:rPr>
                <w:sz w:val="24"/>
                <w:szCs w:val="24"/>
              </w:rPr>
            </w:pPr>
            <w:r>
              <w:rPr>
                <w:sz w:val="24"/>
                <w:szCs w:val="24"/>
              </w:rPr>
              <w:t xml:space="preserve"> </w:t>
            </w:r>
          </w:p>
          <w:p w14:paraId="5441F53D" w14:textId="2C796606" w:rsidR="0026299F" w:rsidRPr="006108C9" w:rsidRDefault="0026299F" w:rsidP="0077144C">
            <w:pPr>
              <w:jc w:val="both"/>
              <w:rPr>
                <w:sz w:val="24"/>
                <w:szCs w:val="24"/>
              </w:rPr>
            </w:pPr>
            <w:r>
              <w:rPr>
                <w:sz w:val="24"/>
                <w:szCs w:val="24"/>
              </w:rPr>
              <w:t>Word count 438</w:t>
            </w: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450623B7" w:rsidR="00A5656A" w:rsidRDefault="00A5656A">
    <w:pPr>
      <w:pStyle w:val="Footer"/>
      <w:jc w:val="right"/>
    </w:pPr>
    <w:r>
      <w:fldChar w:fldCharType="begin"/>
    </w:r>
    <w:r>
      <w:instrText xml:space="preserve"> PAGE   \* MERGEFORMAT </w:instrText>
    </w:r>
    <w:r>
      <w:fldChar w:fldCharType="separate"/>
    </w:r>
    <w:r w:rsidR="00803241">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00801488">
    <w:abstractNumId w:val="1"/>
    <w:lvlOverride w:ilvl="0">
      <w:lvl w:ilvl="0">
        <w:start w:val="1"/>
        <w:numFmt w:val="bullet"/>
        <w:lvlText w:val=""/>
        <w:lvlJc w:val="left"/>
        <w:pPr>
          <w:ind w:left="720" w:hanging="360"/>
        </w:pPr>
        <w:rPr>
          <w:rFonts w:ascii="Symbol" w:hAnsi="Symbol" w:hint="default"/>
        </w:rPr>
      </w:lvl>
    </w:lvlOverride>
  </w:num>
  <w:num w:numId="2" w16cid:durableId="923143959">
    <w:abstractNumId w:val="22"/>
  </w:num>
  <w:num w:numId="3" w16cid:durableId="28338817">
    <w:abstractNumId w:val="45"/>
  </w:num>
  <w:num w:numId="4" w16cid:durableId="1264460304">
    <w:abstractNumId w:val="47"/>
  </w:num>
  <w:num w:numId="5" w16cid:durableId="507908959">
    <w:abstractNumId w:val="34"/>
  </w:num>
  <w:num w:numId="6" w16cid:durableId="457114640">
    <w:abstractNumId w:val="32"/>
  </w:num>
  <w:num w:numId="7" w16cid:durableId="926695302">
    <w:abstractNumId w:val="29"/>
  </w:num>
  <w:num w:numId="8" w16cid:durableId="996807424">
    <w:abstractNumId w:val="30"/>
  </w:num>
  <w:num w:numId="9" w16cid:durableId="683749344">
    <w:abstractNumId w:val="10"/>
  </w:num>
  <w:num w:numId="10" w16cid:durableId="711926147">
    <w:abstractNumId w:val="33"/>
  </w:num>
  <w:num w:numId="11" w16cid:durableId="1844709877">
    <w:abstractNumId w:val="17"/>
  </w:num>
  <w:num w:numId="12" w16cid:durableId="1735927450">
    <w:abstractNumId w:val="16"/>
  </w:num>
  <w:num w:numId="13" w16cid:durableId="1484812572">
    <w:abstractNumId w:val="27"/>
  </w:num>
  <w:num w:numId="14" w16cid:durableId="2115981719">
    <w:abstractNumId w:val="8"/>
  </w:num>
  <w:num w:numId="15" w16cid:durableId="1019157368">
    <w:abstractNumId w:val="26"/>
  </w:num>
  <w:num w:numId="16" w16cid:durableId="1911232158">
    <w:abstractNumId w:val="15"/>
  </w:num>
  <w:num w:numId="17" w16cid:durableId="27878128">
    <w:abstractNumId w:val="13"/>
  </w:num>
  <w:num w:numId="18" w16cid:durableId="147109541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38161020">
    <w:abstractNumId w:val="23"/>
  </w:num>
  <w:num w:numId="20" w16cid:durableId="1514107731">
    <w:abstractNumId w:val="18"/>
  </w:num>
  <w:num w:numId="21" w16cid:durableId="984050562">
    <w:abstractNumId w:val="14"/>
  </w:num>
  <w:num w:numId="22" w16cid:durableId="901989121">
    <w:abstractNumId w:val="11"/>
  </w:num>
  <w:num w:numId="23" w16cid:durableId="267349649">
    <w:abstractNumId w:val="28"/>
  </w:num>
  <w:num w:numId="24" w16cid:durableId="637808295">
    <w:abstractNumId w:val="19"/>
  </w:num>
  <w:num w:numId="25" w16cid:durableId="607155947">
    <w:abstractNumId w:val="41"/>
  </w:num>
  <w:num w:numId="26" w16cid:durableId="466777185">
    <w:abstractNumId w:val="35"/>
  </w:num>
  <w:num w:numId="27" w16cid:durableId="224607733">
    <w:abstractNumId w:val="40"/>
  </w:num>
  <w:num w:numId="28" w16cid:durableId="775639300">
    <w:abstractNumId w:val="20"/>
  </w:num>
  <w:num w:numId="29" w16cid:durableId="2114088694">
    <w:abstractNumId w:val="43"/>
  </w:num>
  <w:num w:numId="30" w16cid:durableId="1198351800">
    <w:abstractNumId w:val="31"/>
  </w:num>
  <w:num w:numId="31" w16cid:durableId="807862664">
    <w:abstractNumId w:val="12"/>
  </w:num>
  <w:num w:numId="32" w16cid:durableId="459349960">
    <w:abstractNumId w:val="44"/>
  </w:num>
  <w:num w:numId="33" w16cid:durableId="2113939427">
    <w:abstractNumId w:val="39"/>
  </w:num>
  <w:num w:numId="34" w16cid:durableId="709040562">
    <w:abstractNumId w:val="5"/>
  </w:num>
  <w:num w:numId="35" w16cid:durableId="1143304987">
    <w:abstractNumId w:val="46"/>
  </w:num>
  <w:num w:numId="36" w16cid:durableId="1686513757">
    <w:abstractNumId w:val="42"/>
  </w:num>
  <w:num w:numId="37" w16cid:durableId="1464810770">
    <w:abstractNumId w:val="36"/>
  </w:num>
  <w:num w:numId="38" w16cid:durableId="1683236909">
    <w:abstractNumId w:val="37"/>
  </w:num>
  <w:num w:numId="39" w16cid:durableId="1876573026">
    <w:abstractNumId w:val="4"/>
  </w:num>
  <w:num w:numId="40" w16cid:durableId="1295521249">
    <w:abstractNumId w:val="6"/>
  </w:num>
  <w:num w:numId="41" w16cid:durableId="602342087">
    <w:abstractNumId w:val="25"/>
  </w:num>
  <w:num w:numId="42" w16cid:durableId="420487862">
    <w:abstractNumId w:val="7"/>
  </w:num>
  <w:num w:numId="43" w16cid:durableId="768965010">
    <w:abstractNumId w:val="3"/>
  </w:num>
  <w:num w:numId="44" w16cid:durableId="407926689">
    <w:abstractNumId w:val="38"/>
  </w:num>
  <w:num w:numId="45" w16cid:durableId="142351957">
    <w:abstractNumId w:val="0"/>
  </w:num>
  <w:num w:numId="46" w16cid:durableId="1846046719">
    <w:abstractNumId w:val="14"/>
  </w:num>
  <w:num w:numId="47" w16cid:durableId="1443258102">
    <w:abstractNumId w:val="48"/>
  </w:num>
  <w:num w:numId="48" w16cid:durableId="163567410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87187840">
    <w:abstractNumId w:val="11"/>
  </w:num>
  <w:num w:numId="50" w16cid:durableId="174996575">
    <w:abstractNumId w:val="28"/>
  </w:num>
  <w:num w:numId="51" w16cid:durableId="1922257414">
    <w:abstractNumId w:val="24"/>
  </w:num>
  <w:num w:numId="52" w16cid:durableId="1385445360">
    <w:abstractNumId w:val="21"/>
  </w:num>
  <w:num w:numId="53" w16cid:durableId="16633466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299F"/>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24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68735504d2897bf74351faad3e5bb17d">
  <xsd:schema xmlns:xsd="http://www.w3.org/2001/XMLSchema" xmlns:xs="http://www.w3.org/2001/XMLSchema" xmlns:p="http://schemas.microsoft.com/office/2006/metadata/properties" xmlns:ns3="7e1765a9-267c-45f0-bc43-a40bd2a61e3f" xmlns:ns4="1454201e-381a-402a-94ee-089c22ee2f1c" targetNamespace="http://schemas.microsoft.com/office/2006/metadata/properties" ma:root="true" ma:fieldsID="0cad2bce8276fc066e70b1712c46e19b" ns3:_="" ns4:_="">
    <xsd:import namespace="7e1765a9-267c-45f0-bc43-a40bd2a61e3f"/>
    <xsd:import namespace="1454201e-381a-402a-94ee-089c22ee2f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NSP22</b:Tag>
    <b:SourceType>InternetSite</b:SourceType>
    <b:Guid>{417BABE8-6C46-497E-9DE7-59EB49D72D7C}</b:Guid>
    <b:Author>
      <b:Author>
        <b:Corporate>NSPCC</b:Corporate>
      </b:Author>
    </b:Author>
    <b:Title>Gillick competency and Fraser guidelines</b:Title>
    <b:InternetSiteTitle>NSPCC Learning</b:InternetSiteTitle>
    <b:Year>2022</b:Year>
    <b:Month>08</b:Month>
    <b:Day>05</b:Day>
    <b:URL>https://learning.nspcc.org.uk/child-protection-system/gillick-competence-fraser-guidelines/#skip-to-content</b:URL>
    <b:RefOrder>40</b:RefOrder>
  </b:Source>
  <b:Source>
    <b:Tag>Wel181</b:Tag>
    <b:SourceType>Report</b:SourceType>
    <b:Guid>{B3AE69AD-D078-4EDF-AE60-8110D047AADA}</b:Guid>
    <b:Author>
      <b:Author>
        <b:Corporate>Welsh Government</b:Corporate>
      </b:Author>
    </b:Author>
    <b:Title>Social Services and Well-being (Wales) Act 2014 Working together to safeguard people volume 5 – handling individual cases to protect children at risk. </b:Title>
    <b:Year>2018</b:Year>
    <b:Publisher>Welsh Government</b:Publisher>
    <b:City>Cardiff</b:City>
    <b:RefOrder>11</b:RefOrder>
  </b:Source>
</b:Sources>
</file>

<file path=customXml/itemProps1.xml><?xml version="1.0" encoding="utf-8"?>
<ds:datastoreItem xmlns:ds="http://schemas.openxmlformats.org/officeDocument/2006/customXml" ds:itemID="{A7736A8E-B851-44CB-AB3D-F6215B1534AF}">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7e1765a9-267c-45f0-bc43-a40bd2a61e3f"/>
    <ds:schemaRef ds:uri="http://schemas.openxmlformats.org/package/2006/metadata/core-properties"/>
    <ds:schemaRef ds:uri="1454201e-381a-402a-94ee-089c22ee2f1c"/>
    <ds:schemaRef ds:uri="http://www.w3.org/XML/1998/namespace"/>
    <ds:schemaRef ds:uri="http://purl.org/dc/dcmitype/"/>
  </ds:schemaRefs>
</ds:datastoreItem>
</file>

<file path=customXml/itemProps2.xml><?xml version="1.0" encoding="utf-8"?>
<ds:datastoreItem xmlns:ds="http://schemas.openxmlformats.org/officeDocument/2006/customXml" ds:itemID="{8D300E81-3488-4A98-B112-349C74856D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1765a9-267c-45f0-bc43-a40bd2a61e3f"/>
    <ds:schemaRef ds:uri="1454201e-381a-402a-94ee-089c22ee2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7ECDC03D-12D9-49FA-8732-440172F38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1175</Words>
  <Characters>6296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Tanya Gammon</cp:lastModifiedBy>
  <cp:revision>3</cp:revision>
  <cp:lastPrinted>2020-02-11T19:20:00Z</cp:lastPrinted>
  <dcterms:created xsi:type="dcterms:W3CDTF">2024-02-14T17:51:00Z</dcterms:created>
  <dcterms:modified xsi:type="dcterms:W3CDTF">2024-02-14T18:13:00Z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