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20173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A24422" wp14:editId="041CD7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F277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28752423" w14:textId="77777777" w:rsidTr="00A406E5">
        <w:tc>
          <w:tcPr>
            <w:tcW w:w="9922" w:type="dxa"/>
            <w:shd w:val="clear" w:color="auto" w:fill="C0C0C0"/>
          </w:tcPr>
          <w:p w14:paraId="1869A89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F81B8C" w14:textId="77777777" w:rsidR="003A3CE5" w:rsidRPr="00A406E5" w:rsidRDefault="003A3CE5" w:rsidP="002D5B3F">
      <w:pPr>
        <w:jc w:val="center"/>
        <w:rPr>
          <w:rFonts w:ascii="Arial" w:hAnsi="Arial" w:cs="Arial"/>
          <w:b/>
          <w:i/>
          <w:sz w:val="32"/>
        </w:rPr>
      </w:pPr>
    </w:p>
    <w:tbl>
      <w:tblPr>
        <w:tblW w:w="9922" w:type="dxa"/>
        <w:tblInd w:w="-4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AC28B5" w14:textId="77777777" w:rsidTr="008065A2">
        <w:tc>
          <w:tcPr>
            <w:tcW w:w="2093" w:type="dxa"/>
            <w:shd w:val="pct15" w:color="auto" w:fill="auto"/>
          </w:tcPr>
          <w:p w14:paraId="394592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167930" w14:textId="3B0A2FDB" w:rsidR="003B3F9D" w:rsidRPr="00A406E5" w:rsidRDefault="004E146C" w:rsidP="001E57C1">
            <w:pPr>
              <w:spacing w:before="120" w:after="120"/>
              <w:jc w:val="both"/>
              <w:rPr>
                <w:rFonts w:ascii="Arial" w:hAnsi="Arial" w:cs="Arial"/>
                <w:b/>
                <w:sz w:val="22"/>
                <w:szCs w:val="22"/>
              </w:rPr>
            </w:pPr>
            <w:r>
              <w:rPr>
                <w:rFonts w:ascii="Arial" w:hAnsi="Arial" w:cs="Arial"/>
                <w:b/>
                <w:sz w:val="22"/>
                <w:szCs w:val="22"/>
              </w:rPr>
              <w:t>Kirsten Leary</w:t>
            </w:r>
          </w:p>
        </w:tc>
        <w:tc>
          <w:tcPr>
            <w:tcW w:w="2268" w:type="dxa"/>
            <w:shd w:val="clear" w:color="auto" w:fill="D9D9D9"/>
          </w:tcPr>
          <w:p w14:paraId="2233E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ED7DE" w14:textId="319C3194" w:rsidR="003B3F9D" w:rsidRPr="00A406E5" w:rsidRDefault="004E146C" w:rsidP="001E57C1">
            <w:pPr>
              <w:spacing w:before="120" w:after="120"/>
              <w:jc w:val="both"/>
              <w:rPr>
                <w:rFonts w:ascii="Arial" w:hAnsi="Arial" w:cs="Arial"/>
                <w:b/>
                <w:sz w:val="22"/>
                <w:szCs w:val="22"/>
              </w:rPr>
            </w:pPr>
            <w:r>
              <w:rPr>
                <w:rFonts w:ascii="Arial" w:hAnsi="Arial" w:cs="Arial"/>
                <w:b/>
                <w:sz w:val="22"/>
                <w:szCs w:val="22"/>
              </w:rPr>
              <w:t>1805400</w:t>
            </w:r>
          </w:p>
        </w:tc>
      </w:tr>
      <w:tr w:rsidR="00DB116D" w:rsidRPr="00A406E5" w14:paraId="34B4D59F" w14:textId="77777777" w:rsidTr="008065A2">
        <w:tc>
          <w:tcPr>
            <w:tcW w:w="2093" w:type="dxa"/>
            <w:shd w:val="pct15" w:color="auto" w:fill="auto"/>
          </w:tcPr>
          <w:p w14:paraId="42A25F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55182"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14:paraId="069728E3" w14:textId="77777777" w:rsidTr="008065A2">
        <w:tc>
          <w:tcPr>
            <w:tcW w:w="2093" w:type="dxa"/>
            <w:shd w:val="pct15" w:color="auto" w:fill="auto"/>
          </w:tcPr>
          <w:p w14:paraId="187416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806EAF" w14:textId="77777777" w:rsidR="00F63C8B" w:rsidRPr="00F63C8B" w:rsidRDefault="00F63C8B" w:rsidP="00F63C8B">
            <w:pPr>
              <w:pStyle w:val="NormalWeb"/>
              <w:rPr>
                <w:sz w:val="22"/>
                <w:szCs w:val="22"/>
              </w:rPr>
            </w:pPr>
            <w:r w:rsidRPr="00F63C8B">
              <w:rPr>
                <w:rFonts w:ascii="Arial" w:hAnsi="Arial" w:cs="Arial"/>
                <w:b/>
                <w:bCs/>
                <w:sz w:val="22"/>
                <w:szCs w:val="22"/>
              </w:rPr>
              <w:t xml:space="preserve">Curriculum Development and Enhancement </w:t>
            </w:r>
          </w:p>
          <w:p w14:paraId="322312DB" w14:textId="77777777" w:rsidR="008F1308" w:rsidRPr="00F63C8B" w:rsidRDefault="008F1308" w:rsidP="00E51AAC">
            <w:pPr>
              <w:spacing w:before="120" w:after="120"/>
              <w:jc w:val="both"/>
              <w:rPr>
                <w:rFonts w:ascii="Arial" w:hAnsi="Arial" w:cs="Arial"/>
                <w:b/>
                <w:sz w:val="22"/>
                <w:szCs w:val="22"/>
              </w:rPr>
            </w:pPr>
          </w:p>
        </w:tc>
      </w:tr>
      <w:tr w:rsidR="00B84B5B" w:rsidRPr="00A406E5" w14:paraId="55BA7AD7" w14:textId="77777777" w:rsidTr="008065A2">
        <w:tc>
          <w:tcPr>
            <w:tcW w:w="2093" w:type="dxa"/>
            <w:shd w:val="pct15" w:color="auto" w:fill="auto"/>
          </w:tcPr>
          <w:p w14:paraId="700851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24B439"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3D22A4E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1C3216"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12924DD" w14:textId="77777777" w:rsidTr="008065A2">
        <w:tc>
          <w:tcPr>
            <w:tcW w:w="2093" w:type="dxa"/>
            <w:shd w:val="pct15" w:color="auto" w:fill="auto"/>
          </w:tcPr>
          <w:p w14:paraId="6E0765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DCC93A"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2071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9D6499" w14:textId="77777777" w:rsidR="00DB116D" w:rsidRPr="00A406E5" w:rsidRDefault="00DB116D" w:rsidP="00E51AAC">
            <w:pPr>
              <w:spacing w:before="120" w:after="120"/>
              <w:jc w:val="both"/>
              <w:rPr>
                <w:rFonts w:ascii="Arial" w:hAnsi="Arial" w:cs="Arial"/>
                <w:b/>
                <w:sz w:val="22"/>
                <w:szCs w:val="22"/>
              </w:rPr>
            </w:pPr>
          </w:p>
        </w:tc>
      </w:tr>
      <w:tr w:rsidR="00DB116D" w:rsidRPr="00A406E5" w14:paraId="58EF55DF" w14:textId="77777777" w:rsidTr="008065A2">
        <w:tc>
          <w:tcPr>
            <w:tcW w:w="2093" w:type="dxa"/>
            <w:shd w:val="pct15" w:color="auto" w:fill="auto"/>
          </w:tcPr>
          <w:p w14:paraId="6277FF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95EEE5" w14:textId="77777777" w:rsidR="00F63C8B" w:rsidRDefault="00F63C8B" w:rsidP="00F63C8B">
            <w:pPr>
              <w:pStyle w:val="NormalWeb"/>
            </w:pPr>
            <w:r>
              <w:rPr>
                <w:rFonts w:ascii="Arial" w:hAnsi="Arial" w:cs="Arial"/>
                <w:b/>
                <w:bCs/>
                <w:sz w:val="22"/>
                <w:szCs w:val="22"/>
              </w:rPr>
              <w:t xml:space="preserve">Research Study including Ethics Form </w:t>
            </w:r>
          </w:p>
          <w:p w14:paraId="02FA9E4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39626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4A9635" w14:textId="77777777" w:rsidR="00F63C8B" w:rsidRDefault="00F63C8B" w:rsidP="00F63C8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2712042" w14:textId="77777777" w:rsidR="00DB116D" w:rsidRPr="00A406E5" w:rsidRDefault="00DB116D" w:rsidP="00E51AAC">
            <w:pPr>
              <w:spacing w:before="120" w:after="120"/>
              <w:jc w:val="both"/>
              <w:rPr>
                <w:rFonts w:ascii="Arial" w:hAnsi="Arial" w:cs="Arial"/>
                <w:b/>
                <w:sz w:val="22"/>
                <w:szCs w:val="22"/>
              </w:rPr>
            </w:pPr>
          </w:p>
        </w:tc>
      </w:tr>
      <w:tr w:rsidR="00B84B5B" w:rsidRPr="00A406E5" w14:paraId="57299C12" w14:textId="77777777" w:rsidTr="008065A2">
        <w:tc>
          <w:tcPr>
            <w:tcW w:w="2093" w:type="dxa"/>
            <w:shd w:val="pct15" w:color="auto" w:fill="auto"/>
          </w:tcPr>
          <w:p w14:paraId="70BE3A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CFAA90" w14:textId="77777777" w:rsidR="00F63C8B" w:rsidRDefault="00F63C8B" w:rsidP="00F63C8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5CF23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688B0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8014D" w14:textId="77777777" w:rsidR="00F63C8B" w:rsidRDefault="00F63C8B" w:rsidP="00F63C8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DB6C17D" w14:textId="77777777" w:rsidR="00B84B5B" w:rsidRPr="00A406E5" w:rsidRDefault="00B84B5B" w:rsidP="005F0579">
            <w:pPr>
              <w:spacing w:before="120" w:after="120"/>
              <w:jc w:val="both"/>
              <w:rPr>
                <w:rFonts w:ascii="Arial" w:hAnsi="Arial" w:cs="Arial"/>
                <w:b/>
                <w:sz w:val="22"/>
                <w:szCs w:val="22"/>
              </w:rPr>
            </w:pPr>
          </w:p>
        </w:tc>
      </w:tr>
      <w:tr w:rsidR="00152E9D" w:rsidRPr="00A406E5" w14:paraId="4D6607D7" w14:textId="77777777" w:rsidTr="008065A2">
        <w:tc>
          <w:tcPr>
            <w:tcW w:w="2093" w:type="dxa"/>
            <w:shd w:val="pct15" w:color="auto" w:fill="auto"/>
          </w:tcPr>
          <w:p w14:paraId="725539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8051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C2F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206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2E66D6C" w14:textId="77777777" w:rsidTr="008065A2">
        <w:tc>
          <w:tcPr>
            <w:tcW w:w="2093" w:type="dxa"/>
            <w:shd w:val="pct15" w:color="auto" w:fill="auto"/>
          </w:tcPr>
          <w:p w14:paraId="5E4792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DE72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00B15C" w14:textId="77777777" w:rsidR="0028204E" w:rsidRPr="00A406E5" w:rsidRDefault="0028204E" w:rsidP="00DB116D">
      <w:pPr>
        <w:rPr>
          <w:rFonts w:ascii="Arial" w:hAnsi="Arial" w:cs="Arial"/>
          <w:sz w:val="32"/>
        </w:rPr>
      </w:pPr>
    </w:p>
    <w:p w14:paraId="3EA0EA31" w14:textId="77777777" w:rsidR="00152E9D" w:rsidRPr="00A406E5" w:rsidRDefault="00152E9D" w:rsidP="00DB116D">
      <w:pPr>
        <w:rPr>
          <w:rFonts w:ascii="Arial" w:hAnsi="Arial" w:cs="Arial"/>
          <w:sz w:val="32"/>
        </w:rPr>
      </w:pPr>
    </w:p>
    <w:p w14:paraId="5643D128" w14:textId="77777777" w:rsidR="004053B4" w:rsidRPr="004053B4" w:rsidRDefault="004053B4" w:rsidP="004053B4">
      <w:pPr>
        <w:spacing w:after="160" w:line="256" w:lineRule="auto"/>
        <w:rPr>
          <w:rFonts w:ascii="Calibri" w:eastAsia="Calibri" w:hAnsi="Calibri"/>
          <w:sz w:val="22"/>
          <w:szCs w:val="22"/>
          <w:lang w:eastAsia="en-US"/>
        </w:rPr>
      </w:pPr>
    </w:p>
    <w:p w14:paraId="02BBC560" w14:textId="77777777" w:rsidR="004053B4" w:rsidRPr="004053B4" w:rsidRDefault="004053B4" w:rsidP="000B0924">
      <w:pPr>
        <w:spacing w:after="160" w:line="360" w:lineRule="auto"/>
        <w:rPr>
          <w:rFonts w:ascii="Calibri" w:eastAsia="Calibri" w:hAnsi="Calibri"/>
          <w:b/>
          <w:sz w:val="22"/>
          <w:szCs w:val="22"/>
          <w:lang w:eastAsia="en-US"/>
        </w:rPr>
      </w:pPr>
      <w:r w:rsidRPr="004053B4">
        <w:rPr>
          <w:rFonts w:ascii="Calibri" w:eastAsia="Calibri" w:hAnsi="Calibri"/>
          <w:b/>
          <w:sz w:val="22"/>
          <w:szCs w:val="22"/>
          <w:lang w:eastAsia="en-US"/>
        </w:rPr>
        <w:lastRenderedPageBreak/>
        <w:t>Introduction</w:t>
      </w:r>
    </w:p>
    <w:p w14:paraId="788F9F2E" w14:textId="4716F455"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Action Research within education is considered a key aspect of curriculum development and enhancement</w:t>
      </w:r>
      <w:r w:rsidR="00A228FC">
        <w:rPr>
          <w:rFonts w:ascii="Calibri" w:eastAsia="Calibri" w:hAnsi="Calibri"/>
          <w:sz w:val="22"/>
          <w:szCs w:val="22"/>
          <w:lang w:eastAsia="en-US"/>
        </w:rPr>
        <w:t xml:space="preserve"> (</w:t>
      </w:r>
      <w:r w:rsidR="00C56E19">
        <w:rPr>
          <w:rFonts w:ascii="Calibri" w:eastAsia="Calibri" w:hAnsi="Calibri"/>
          <w:sz w:val="22"/>
          <w:szCs w:val="22"/>
          <w:lang w:eastAsia="en-US"/>
        </w:rPr>
        <w:t xml:space="preserve">Burton &amp; Bartlett, </w:t>
      </w:r>
      <w:r w:rsidR="00142A9C">
        <w:rPr>
          <w:rFonts w:ascii="Calibri" w:eastAsia="Calibri" w:hAnsi="Calibri"/>
          <w:sz w:val="22"/>
          <w:szCs w:val="22"/>
          <w:lang w:eastAsia="en-US"/>
        </w:rPr>
        <w:t>2009</w:t>
      </w:r>
      <w:r w:rsidR="00A228FC">
        <w:rPr>
          <w:rFonts w:ascii="Calibri" w:eastAsia="Calibri" w:hAnsi="Calibri"/>
          <w:sz w:val="22"/>
          <w:szCs w:val="22"/>
          <w:lang w:eastAsia="en-US"/>
        </w:rPr>
        <w:t>)</w:t>
      </w:r>
      <w:r w:rsidRPr="004053B4">
        <w:rPr>
          <w:rFonts w:ascii="Calibri" w:eastAsia="Calibri" w:hAnsi="Calibri"/>
          <w:sz w:val="22"/>
          <w:szCs w:val="22"/>
          <w:lang w:eastAsia="en-US"/>
        </w:rPr>
        <w:t xml:space="preserve">. For this research project I decided to investigate the impact of cognitive strategies on language acquisition; </w:t>
      </w:r>
      <w:r w:rsidR="00130B20" w:rsidRPr="004053B4">
        <w:rPr>
          <w:rFonts w:ascii="Calibri" w:eastAsia="Calibri" w:hAnsi="Calibri"/>
          <w:sz w:val="22"/>
          <w:szCs w:val="22"/>
          <w:lang w:eastAsia="en-US"/>
        </w:rPr>
        <w:t>specifically,</w:t>
      </w:r>
      <w:r w:rsidRPr="004053B4">
        <w:rPr>
          <w:rFonts w:ascii="Calibri" w:eastAsia="Calibri" w:hAnsi="Calibri"/>
          <w:sz w:val="22"/>
          <w:szCs w:val="22"/>
          <w:lang w:eastAsia="en-US"/>
        </w:rPr>
        <w:t xml:space="preserve"> how dual coding can be used to facilitate foreign-language acquisition and retrieval in the secondary school context. Dual-coding theory hypothesises that we have two separate cognitive processing systems, one that processes language and another that processes images</w:t>
      </w:r>
      <w:r w:rsidR="00130B20">
        <w:rPr>
          <w:rFonts w:ascii="Calibri" w:eastAsia="Calibri" w:hAnsi="Calibri"/>
          <w:sz w:val="22"/>
          <w:szCs w:val="22"/>
          <w:lang w:eastAsia="en-US"/>
        </w:rPr>
        <w:t xml:space="preserve"> (</w:t>
      </w:r>
      <w:r w:rsidR="0090657E">
        <w:rPr>
          <w:rFonts w:ascii="Calibri" w:eastAsia="Calibri" w:hAnsi="Calibri"/>
          <w:sz w:val="22"/>
          <w:szCs w:val="22"/>
          <w:lang w:eastAsia="en-US"/>
        </w:rPr>
        <w:t>Lin</w:t>
      </w:r>
      <w:r w:rsidR="006167B7">
        <w:rPr>
          <w:rFonts w:ascii="Calibri" w:eastAsia="Calibri" w:hAnsi="Calibri"/>
          <w:sz w:val="22"/>
          <w:szCs w:val="22"/>
          <w:lang w:eastAsia="en-US"/>
        </w:rPr>
        <w:t>, 2017</w:t>
      </w:r>
      <w:r w:rsidR="00130B20">
        <w:rPr>
          <w:rFonts w:ascii="Calibri" w:eastAsia="Calibri" w:hAnsi="Calibri"/>
          <w:sz w:val="22"/>
          <w:szCs w:val="22"/>
          <w:lang w:eastAsia="en-US"/>
        </w:rPr>
        <w:t>)</w:t>
      </w:r>
      <w:r w:rsidRPr="004053B4">
        <w:rPr>
          <w:rFonts w:ascii="Calibri" w:eastAsia="Calibri" w:hAnsi="Calibri"/>
          <w:sz w:val="22"/>
          <w:szCs w:val="22"/>
          <w:lang w:eastAsia="en-US"/>
        </w:rPr>
        <w:t>. Research has suggested that by combining words and images when presenting new vocabulary to students, teachers are able to present the student with greater information and create a stronger link that could improve vocabulary recall</w:t>
      </w:r>
      <w:r w:rsidR="00130B20">
        <w:rPr>
          <w:rFonts w:ascii="Calibri" w:eastAsia="Calibri" w:hAnsi="Calibri"/>
          <w:sz w:val="22"/>
          <w:szCs w:val="22"/>
          <w:lang w:eastAsia="en-US"/>
        </w:rPr>
        <w:t xml:space="preserve"> (</w:t>
      </w:r>
      <w:r w:rsidR="005153BF">
        <w:rPr>
          <w:rFonts w:ascii="Calibri" w:eastAsia="Calibri" w:hAnsi="Calibri"/>
          <w:sz w:val="22"/>
          <w:szCs w:val="22"/>
          <w:lang w:eastAsia="en-US"/>
        </w:rPr>
        <w:t>Rosen et al, 2012</w:t>
      </w:r>
      <w:r w:rsidR="00130B20">
        <w:rPr>
          <w:rFonts w:ascii="Calibri" w:eastAsia="Calibri" w:hAnsi="Calibri"/>
          <w:sz w:val="22"/>
          <w:szCs w:val="22"/>
          <w:lang w:eastAsia="en-US"/>
        </w:rPr>
        <w:t>)</w:t>
      </w:r>
      <w:r w:rsidRPr="004053B4">
        <w:rPr>
          <w:rFonts w:ascii="Calibri" w:eastAsia="Calibri" w:hAnsi="Calibri"/>
          <w:sz w:val="22"/>
          <w:szCs w:val="22"/>
          <w:lang w:eastAsia="en-US"/>
        </w:rPr>
        <w:t>. Given the importance of recall as well as recognition in foreign language learning, I believed this topic to be a good point of exploration both for my own teaching practice and the broader context of</w:t>
      </w:r>
      <w:r w:rsidR="00BD0526">
        <w:rPr>
          <w:rFonts w:ascii="Calibri" w:eastAsia="Calibri" w:hAnsi="Calibri"/>
          <w:sz w:val="22"/>
          <w:szCs w:val="22"/>
          <w:lang w:eastAsia="en-US"/>
        </w:rPr>
        <w:t xml:space="preserve"> Modern Foreign Language</w:t>
      </w:r>
      <w:r w:rsidRPr="004053B4">
        <w:rPr>
          <w:rFonts w:ascii="Calibri" w:eastAsia="Calibri" w:hAnsi="Calibri"/>
          <w:sz w:val="22"/>
          <w:szCs w:val="22"/>
          <w:lang w:eastAsia="en-US"/>
        </w:rPr>
        <w:t xml:space="preserve"> pedagogy.</w:t>
      </w:r>
    </w:p>
    <w:p w14:paraId="70BEC5DB" w14:textId="464C2E17" w:rsidR="008601A0"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In the interest of meeting the ethical guidelines as set out by BERA</w:t>
      </w:r>
      <w:r w:rsidR="00D24E08">
        <w:rPr>
          <w:rFonts w:ascii="Calibri" w:eastAsia="Calibri" w:hAnsi="Calibri"/>
          <w:sz w:val="22"/>
          <w:szCs w:val="22"/>
          <w:lang w:eastAsia="en-US"/>
        </w:rPr>
        <w:t xml:space="preserve"> (2018)</w:t>
      </w:r>
      <w:r w:rsidRPr="004053B4">
        <w:rPr>
          <w:rFonts w:ascii="Calibri" w:eastAsia="Calibri" w:hAnsi="Calibri"/>
          <w:sz w:val="22"/>
          <w:szCs w:val="22"/>
          <w:lang w:eastAsia="en-US"/>
        </w:rPr>
        <w:t>, I will refer to my research school as “School X”</w:t>
      </w:r>
      <w:r w:rsidR="00BD0526">
        <w:rPr>
          <w:rFonts w:ascii="Calibri" w:eastAsia="Calibri" w:hAnsi="Calibri"/>
          <w:sz w:val="22"/>
          <w:szCs w:val="22"/>
          <w:lang w:eastAsia="en-US"/>
        </w:rPr>
        <w:t xml:space="preserve"> throughout this essay</w:t>
      </w:r>
      <w:r w:rsidRPr="004053B4">
        <w:rPr>
          <w:rFonts w:ascii="Calibri" w:eastAsia="Calibri" w:hAnsi="Calibri"/>
          <w:sz w:val="22"/>
          <w:szCs w:val="22"/>
          <w:lang w:eastAsia="en-US"/>
        </w:rPr>
        <w:t xml:space="preserve">. School X is an 11-16 Comprehensive School in South Wales. The class I used to conduct my research will be referred to as class “Y”. Class Y is a middle set Year 8 group where some pupils underperform due </w:t>
      </w:r>
      <w:r w:rsidR="008601A0">
        <w:rPr>
          <w:rFonts w:ascii="Calibri" w:eastAsia="Calibri" w:hAnsi="Calibri"/>
          <w:sz w:val="22"/>
          <w:szCs w:val="22"/>
          <w:lang w:eastAsia="en-US"/>
        </w:rPr>
        <w:t>to a lack of engagement with the subject delivery</w:t>
      </w:r>
      <w:r w:rsidRPr="004053B4">
        <w:rPr>
          <w:rFonts w:ascii="Calibri" w:eastAsia="Calibri" w:hAnsi="Calibri"/>
          <w:sz w:val="22"/>
          <w:szCs w:val="22"/>
          <w:lang w:eastAsia="en-US"/>
        </w:rPr>
        <w:t xml:space="preserve">. </w:t>
      </w:r>
    </w:p>
    <w:p w14:paraId="73910C15" w14:textId="77777777" w:rsidR="005A7611" w:rsidRPr="004053B4" w:rsidRDefault="005A7611" w:rsidP="000B0924">
      <w:pPr>
        <w:spacing w:after="160" w:line="360" w:lineRule="auto"/>
        <w:rPr>
          <w:rFonts w:ascii="Calibri" w:eastAsia="Calibri" w:hAnsi="Calibri"/>
          <w:sz w:val="22"/>
          <w:szCs w:val="22"/>
          <w:lang w:eastAsia="en-US"/>
        </w:rPr>
      </w:pPr>
    </w:p>
    <w:p w14:paraId="2EDC228E" w14:textId="77777777" w:rsidR="004053B4" w:rsidRPr="004053B4" w:rsidRDefault="004053B4" w:rsidP="000B0924">
      <w:pPr>
        <w:spacing w:after="160" w:line="360" w:lineRule="auto"/>
        <w:rPr>
          <w:rFonts w:ascii="Calibri" w:eastAsia="Calibri" w:hAnsi="Calibri"/>
          <w:b/>
          <w:sz w:val="22"/>
          <w:szCs w:val="22"/>
          <w:lang w:eastAsia="en-US"/>
        </w:rPr>
      </w:pPr>
      <w:r w:rsidRPr="004053B4">
        <w:rPr>
          <w:rFonts w:ascii="Calibri" w:eastAsia="Calibri" w:hAnsi="Calibri"/>
          <w:b/>
          <w:sz w:val="22"/>
          <w:szCs w:val="22"/>
          <w:lang w:eastAsia="en-US"/>
        </w:rPr>
        <w:t xml:space="preserve">School Policy </w:t>
      </w:r>
    </w:p>
    <w:p w14:paraId="4E266E63" w14:textId="77777777"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As dual coding is specific to language acquisition, it is not mentioned in the School Improvement Plan. Whilst a valuable tool in foreign language acquisition, dual coding is also not referenced in the Departmental Improvement Plan. However, the improvement plan does highlight the pupils’ difficulty with the new GCSE specification and the need to better equip them for all four examination elements, so the relevance of dual coding in the classroom can be seen. </w:t>
      </w:r>
    </w:p>
    <w:p w14:paraId="3365ACC6" w14:textId="6429289E"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New vocabulary is regularly introduced, especially when working on themes and topics, and acquiring this language at a swift pace can be difficult for students. Whilst vocabulary lists are usually included in student’s booklets at the stage at which they need to be introduced, this practice only allows them a page to refer to rather than the ability to actively recall the specified words. </w:t>
      </w:r>
      <w:r w:rsidR="00A45111">
        <w:rPr>
          <w:rFonts w:ascii="Calibri" w:eastAsia="Calibri" w:hAnsi="Calibri"/>
          <w:sz w:val="22"/>
          <w:szCs w:val="22"/>
          <w:lang w:eastAsia="en-US"/>
        </w:rPr>
        <w:t>Smith and C</w:t>
      </w:r>
      <w:r w:rsidRPr="004053B4">
        <w:rPr>
          <w:rFonts w:ascii="Calibri" w:eastAsia="Calibri" w:hAnsi="Calibri"/>
          <w:sz w:val="22"/>
          <w:szCs w:val="22"/>
          <w:lang w:eastAsia="en-US"/>
        </w:rPr>
        <w:t>onti (</w:t>
      </w:r>
      <w:r w:rsidR="00A45111">
        <w:rPr>
          <w:rFonts w:ascii="Calibri" w:eastAsia="Calibri" w:hAnsi="Calibri"/>
          <w:sz w:val="22"/>
          <w:szCs w:val="22"/>
          <w:lang w:eastAsia="en-US"/>
        </w:rPr>
        <w:t>2016</w:t>
      </w:r>
      <w:r w:rsidRPr="004053B4">
        <w:rPr>
          <w:rFonts w:ascii="Calibri" w:eastAsia="Calibri" w:hAnsi="Calibri"/>
          <w:sz w:val="22"/>
          <w:szCs w:val="22"/>
          <w:lang w:eastAsia="en-US"/>
        </w:rPr>
        <w:t xml:space="preserve">) point out that language lists often leave learners unstimulated and suggest we find more engaging ways to teach vocabulary. In theory, more engaging methods for teaching vocabulary should lead to be a better grasp of required GCSE elements and thus contribute towards the department’s aim of improved examination performance. </w:t>
      </w:r>
    </w:p>
    <w:p w14:paraId="5EA1F57B" w14:textId="1B6E1E84"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lastRenderedPageBreak/>
        <w:t xml:space="preserve">In addition to incorporating more engaging methods, the department has also started to consider how the aims of </w:t>
      </w:r>
      <w:r w:rsidR="00343710">
        <w:rPr>
          <w:rFonts w:ascii="Calibri" w:eastAsia="Calibri" w:hAnsi="Calibri"/>
          <w:sz w:val="22"/>
          <w:szCs w:val="22"/>
          <w:lang w:eastAsia="en-US"/>
        </w:rPr>
        <w:t>‘</w:t>
      </w:r>
      <w:r w:rsidRPr="004053B4">
        <w:rPr>
          <w:rFonts w:ascii="Calibri" w:eastAsia="Calibri" w:hAnsi="Calibri"/>
          <w:sz w:val="22"/>
          <w:szCs w:val="22"/>
          <w:lang w:eastAsia="en-US"/>
        </w:rPr>
        <w:t>Successful Futures</w:t>
      </w:r>
      <w:r w:rsidR="00343710">
        <w:rPr>
          <w:rFonts w:ascii="Calibri" w:eastAsia="Calibri" w:hAnsi="Calibri"/>
          <w:sz w:val="22"/>
          <w:szCs w:val="22"/>
          <w:lang w:eastAsia="en-US"/>
        </w:rPr>
        <w:t>’</w:t>
      </w:r>
      <w:r w:rsidRPr="004053B4">
        <w:rPr>
          <w:rFonts w:ascii="Calibri" w:eastAsia="Calibri" w:hAnsi="Calibri"/>
          <w:sz w:val="22"/>
          <w:szCs w:val="22"/>
          <w:lang w:eastAsia="en-US"/>
        </w:rPr>
        <w:t xml:space="preserve"> can be </w:t>
      </w:r>
      <w:r w:rsidR="00815D4D">
        <w:rPr>
          <w:rFonts w:ascii="Calibri" w:eastAsia="Calibri" w:hAnsi="Calibri"/>
          <w:sz w:val="22"/>
          <w:szCs w:val="22"/>
          <w:lang w:eastAsia="en-US"/>
        </w:rPr>
        <w:t>effectively</w:t>
      </w:r>
      <w:r w:rsidRPr="004053B4">
        <w:rPr>
          <w:rFonts w:ascii="Calibri" w:eastAsia="Calibri" w:hAnsi="Calibri"/>
          <w:sz w:val="22"/>
          <w:szCs w:val="22"/>
          <w:lang w:eastAsia="en-US"/>
        </w:rPr>
        <w:t xml:space="preserve"> built in to the existing schemes of work. Donaldson (</w:t>
      </w:r>
      <w:r w:rsidR="00604DE0">
        <w:rPr>
          <w:rFonts w:ascii="Calibri" w:eastAsia="Calibri" w:hAnsi="Calibri"/>
          <w:sz w:val="22"/>
          <w:szCs w:val="22"/>
          <w:lang w:eastAsia="en-US"/>
        </w:rPr>
        <w:t>2015</w:t>
      </w:r>
      <w:r w:rsidRPr="004053B4">
        <w:rPr>
          <w:rFonts w:ascii="Calibri" w:eastAsia="Calibri" w:hAnsi="Calibri"/>
          <w:sz w:val="22"/>
          <w:szCs w:val="22"/>
          <w:lang w:eastAsia="en-US"/>
        </w:rPr>
        <w:t xml:space="preserve">) wants teachers to help their students to become </w:t>
      </w:r>
      <w:r w:rsidR="00604DE0">
        <w:rPr>
          <w:rFonts w:ascii="Calibri" w:eastAsia="Calibri" w:hAnsi="Calibri"/>
          <w:sz w:val="22"/>
          <w:szCs w:val="22"/>
          <w:lang w:eastAsia="en-US"/>
        </w:rPr>
        <w:t>“ambitious, capable</w:t>
      </w:r>
      <w:r w:rsidRPr="004053B4">
        <w:rPr>
          <w:rFonts w:ascii="Calibri" w:eastAsia="Calibri" w:hAnsi="Calibri"/>
          <w:sz w:val="22"/>
          <w:szCs w:val="22"/>
          <w:lang w:eastAsia="en-US"/>
        </w:rPr>
        <w:t xml:space="preserve"> learners” and in order to do this they need to experience stretch and challenge rather than having the answers handed to them. This has led to students working to infer meaning when new vocabulary is introduced. Inference is a skill that easily lends itself to dual coding as you can ask students to deduce a word’s meaning based on its accompanying image. This process pushes learners to actively make cognitive links not only between word and image, but also between the target language and the student’s native tongue. </w:t>
      </w:r>
    </w:p>
    <w:p w14:paraId="06534974" w14:textId="3F8B59A2"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The ESTYN 2016 thematic report also highlights that students suffer due to focusing on written words rather than speaking and practising meaningful communication, which is something that the MFL department at School X is working to counter. The department are emphasising a more communicative approach in their teaching, promoting greater use of target language, using oral repetition when introducing new vocabulary, and working towards </w:t>
      </w:r>
      <w:r w:rsidR="00131581">
        <w:rPr>
          <w:rFonts w:ascii="Calibri" w:eastAsia="Calibri" w:hAnsi="Calibri"/>
          <w:sz w:val="22"/>
          <w:szCs w:val="22"/>
          <w:lang w:eastAsia="en-US"/>
        </w:rPr>
        <w:t>improved</w:t>
      </w:r>
      <w:r w:rsidRPr="004053B4">
        <w:rPr>
          <w:rFonts w:ascii="Calibri" w:eastAsia="Calibri" w:hAnsi="Calibri"/>
          <w:sz w:val="22"/>
          <w:szCs w:val="22"/>
          <w:lang w:eastAsia="en-US"/>
        </w:rPr>
        <w:t xml:space="preserve"> levels of linguistic recall. The report </w:t>
      </w:r>
      <w:r w:rsidR="00BB498F">
        <w:rPr>
          <w:rFonts w:ascii="Calibri" w:eastAsia="Calibri" w:hAnsi="Calibri"/>
          <w:sz w:val="22"/>
          <w:szCs w:val="22"/>
          <w:lang w:eastAsia="en-US"/>
        </w:rPr>
        <w:t xml:space="preserve">(2016) also </w:t>
      </w:r>
      <w:r w:rsidRPr="004053B4">
        <w:rPr>
          <w:rFonts w:ascii="Calibri" w:eastAsia="Calibri" w:hAnsi="Calibri"/>
          <w:sz w:val="22"/>
          <w:szCs w:val="22"/>
          <w:lang w:eastAsia="en-US"/>
        </w:rPr>
        <w:t xml:space="preserve">found that mistakes with intonation and pronunciation were hindering students’ abilities to effectively communicate in the target language, so strengthening the link between the written word and its pronunciation is of the utmost importance.  </w:t>
      </w:r>
    </w:p>
    <w:p w14:paraId="44358B7B" w14:textId="79570B6A"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The aims</w:t>
      </w:r>
      <w:r w:rsidR="00730BBF">
        <w:rPr>
          <w:rFonts w:ascii="Calibri" w:eastAsia="Calibri" w:hAnsi="Calibri"/>
          <w:sz w:val="22"/>
          <w:szCs w:val="22"/>
          <w:lang w:eastAsia="en-US"/>
        </w:rPr>
        <w:t xml:space="preserve"> of</w:t>
      </w:r>
      <w:r w:rsidRPr="004053B4">
        <w:rPr>
          <w:rFonts w:ascii="Calibri" w:eastAsia="Calibri" w:hAnsi="Calibri"/>
          <w:sz w:val="22"/>
          <w:szCs w:val="22"/>
          <w:lang w:eastAsia="en-US"/>
        </w:rPr>
        <w:t xml:space="preserve"> </w:t>
      </w:r>
      <w:r w:rsidR="00BB498F">
        <w:rPr>
          <w:rFonts w:ascii="Calibri" w:eastAsia="Calibri" w:hAnsi="Calibri"/>
          <w:sz w:val="22"/>
          <w:szCs w:val="22"/>
          <w:lang w:eastAsia="en-US"/>
        </w:rPr>
        <w:t>‘Successful Futures’</w:t>
      </w:r>
      <w:r w:rsidR="0059396C">
        <w:rPr>
          <w:rFonts w:ascii="Calibri" w:eastAsia="Calibri" w:hAnsi="Calibri"/>
          <w:sz w:val="22"/>
          <w:szCs w:val="22"/>
          <w:lang w:eastAsia="en-US"/>
        </w:rPr>
        <w:t xml:space="preserve"> (Donaldson, </w:t>
      </w:r>
      <w:r w:rsidR="000E6A66">
        <w:rPr>
          <w:rFonts w:ascii="Calibri" w:eastAsia="Calibri" w:hAnsi="Calibri"/>
          <w:sz w:val="22"/>
          <w:szCs w:val="22"/>
          <w:lang w:eastAsia="en-US"/>
        </w:rPr>
        <w:t>2015)</w:t>
      </w:r>
      <w:r w:rsidR="00BB498F">
        <w:rPr>
          <w:rFonts w:ascii="Calibri" w:eastAsia="Calibri" w:hAnsi="Calibri"/>
          <w:sz w:val="22"/>
          <w:szCs w:val="22"/>
          <w:lang w:eastAsia="en-US"/>
        </w:rPr>
        <w:t xml:space="preserve"> </w:t>
      </w:r>
      <w:r w:rsidRPr="004053B4">
        <w:rPr>
          <w:rFonts w:ascii="Calibri" w:eastAsia="Calibri" w:hAnsi="Calibri"/>
          <w:sz w:val="22"/>
          <w:szCs w:val="22"/>
          <w:lang w:eastAsia="en-US"/>
        </w:rPr>
        <w:t xml:space="preserve">towards creating an international generation of Welsh learners promotes a bilingual plus one approach to education, meaning that students should be learning English and Welsh and an international language. If we are to attain these </w:t>
      </w:r>
      <w:r w:rsidR="00507CFC" w:rsidRPr="004053B4">
        <w:rPr>
          <w:rFonts w:ascii="Calibri" w:eastAsia="Calibri" w:hAnsi="Calibri"/>
          <w:sz w:val="22"/>
          <w:szCs w:val="22"/>
          <w:lang w:eastAsia="en-US"/>
        </w:rPr>
        <w:t>targets,</w:t>
      </w:r>
      <w:r w:rsidRPr="004053B4">
        <w:rPr>
          <w:rFonts w:ascii="Calibri" w:eastAsia="Calibri" w:hAnsi="Calibri"/>
          <w:sz w:val="22"/>
          <w:szCs w:val="22"/>
          <w:lang w:eastAsia="en-US"/>
        </w:rPr>
        <w:t xml:space="preserve"> we need to work toward improving the learning experience in the MFL classroom, whilst simultaneously improving subject performance. ESTYN (2016) found that the majority of MFL teachers were adequate rather than good or excellent, due to teachers not having a solid grasp of effective teaching methods for second</w:t>
      </w:r>
      <w:r w:rsidR="00CD60DE">
        <w:rPr>
          <w:rFonts w:ascii="Calibri" w:eastAsia="Calibri" w:hAnsi="Calibri"/>
          <w:sz w:val="22"/>
          <w:szCs w:val="22"/>
          <w:lang w:eastAsia="en-US"/>
        </w:rPr>
        <w:t xml:space="preserve"> language</w:t>
      </w:r>
      <w:r w:rsidRPr="004053B4">
        <w:rPr>
          <w:rFonts w:ascii="Calibri" w:eastAsia="Calibri" w:hAnsi="Calibri"/>
          <w:sz w:val="22"/>
          <w:szCs w:val="22"/>
          <w:lang w:eastAsia="en-US"/>
        </w:rPr>
        <w:t xml:space="preserve"> acquisition. </w:t>
      </w:r>
      <w:r w:rsidR="00507CFC">
        <w:rPr>
          <w:rFonts w:ascii="Calibri" w:eastAsia="Calibri" w:hAnsi="Calibri"/>
          <w:sz w:val="22"/>
          <w:szCs w:val="22"/>
          <w:lang w:eastAsia="en-US"/>
        </w:rPr>
        <w:t xml:space="preserve">The MFL department at School X are </w:t>
      </w:r>
      <w:r w:rsidR="003F34AB">
        <w:rPr>
          <w:rFonts w:ascii="Calibri" w:eastAsia="Calibri" w:hAnsi="Calibri"/>
          <w:sz w:val="22"/>
          <w:szCs w:val="22"/>
          <w:lang w:eastAsia="en-US"/>
        </w:rPr>
        <w:t xml:space="preserve">trying </w:t>
      </w:r>
      <w:r w:rsidR="00DC440F">
        <w:rPr>
          <w:rFonts w:ascii="Calibri" w:eastAsia="Calibri" w:hAnsi="Calibri"/>
          <w:sz w:val="22"/>
          <w:szCs w:val="22"/>
          <w:lang w:eastAsia="en-US"/>
        </w:rPr>
        <w:t xml:space="preserve">to </w:t>
      </w:r>
      <w:r w:rsidR="003F34AB">
        <w:rPr>
          <w:rFonts w:ascii="Calibri" w:eastAsia="Calibri" w:hAnsi="Calibri"/>
          <w:sz w:val="22"/>
          <w:szCs w:val="22"/>
          <w:lang w:eastAsia="en-US"/>
        </w:rPr>
        <w:t xml:space="preserve">explore engaging </w:t>
      </w:r>
      <w:r w:rsidR="0051093B">
        <w:rPr>
          <w:rFonts w:ascii="Calibri" w:eastAsia="Calibri" w:hAnsi="Calibri"/>
          <w:sz w:val="22"/>
          <w:szCs w:val="22"/>
          <w:lang w:eastAsia="en-US"/>
        </w:rPr>
        <w:t>methods of instruction in order to improve the modern foreign language learning experience and hopefully encourage higher numbers at GCSE</w:t>
      </w:r>
      <w:r w:rsidR="005D7FA8">
        <w:rPr>
          <w:rFonts w:ascii="Calibri" w:eastAsia="Calibri" w:hAnsi="Calibri"/>
          <w:sz w:val="22"/>
          <w:szCs w:val="22"/>
          <w:lang w:eastAsia="en-US"/>
        </w:rPr>
        <w:t xml:space="preserve">, as GCSE uptake is dwindling </w:t>
      </w:r>
      <w:r w:rsidR="00C9095E">
        <w:rPr>
          <w:rFonts w:ascii="Calibri" w:eastAsia="Calibri" w:hAnsi="Calibri"/>
          <w:sz w:val="22"/>
          <w:szCs w:val="22"/>
          <w:lang w:eastAsia="en-US"/>
        </w:rPr>
        <w:t xml:space="preserve">not only at School X but </w:t>
      </w:r>
      <w:r w:rsidR="005D7FA8">
        <w:rPr>
          <w:rFonts w:ascii="Calibri" w:eastAsia="Calibri" w:hAnsi="Calibri"/>
          <w:sz w:val="22"/>
          <w:szCs w:val="22"/>
          <w:lang w:eastAsia="en-US"/>
        </w:rPr>
        <w:t>countrywide (British Council, 2018)</w:t>
      </w:r>
      <w:r w:rsidR="0051093B">
        <w:rPr>
          <w:rFonts w:ascii="Calibri" w:eastAsia="Calibri" w:hAnsi="Calibri"/>
          <w:sz w:val="22"/>
          <w:szCs w:val="22"/>
          <w:lang w:eastAsia="en-US"/>
        </w:rPr>
        <w:t>. Dual-coding, d</w:t>
      </w:r>
      <w:r w:rsidR="00DC440F">
        <w:rPr>
          <w:rFonts w:ascii="Calibri" w:eastAsia="Calibri" w:hAnsi="Calibri"/>
          <w:sz w:val="22"/>
          <w:szCs w:val="22"/>
          <w:lang w:eastAsia="en-US"/>
        </w:rPr>
        <w:t xml:space="preserve">ue to its use of engaging imagery, could be a teaching method that will contribute to the department’s aim for future progression. </w:t>
      </w:r>
    </w:p>
    <w:p w14:paraId="5534CB31"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b/>
          <w:bCs/>
          <w:vanish/>
          <w:sz w:val="12"/>
          <w:szCs w:val="12"/>
        </w:rPr>
        <w:t xml:space="preserve">School Policy </w:t>
      </w:r>
    </w:p>
    <w:p w14:paraId="65640B03"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As dual coding is specific to language acquisition, it is not mentioned in the School Improvement Plan. Whilst a valuable tool in foreign language acquisition, dual coding is also not referenced in the Departmental Improvement Plan. However, the improvement plan does highlight the pupils’ difficulty with the new GCSE specification and the need to better equip them for all four examination elements, so the relevance of dual coding in the classroom can be seen. </w:t>
      </w:r>
    </w:p>
    <w:p w14:paraId="4A0767BA"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New vocabulary is regularly introduced, especially when working on themes and topics, and acquiring this language at a swift pace can be difficult for students. Whilst vocabulary lists are usually included in student’s booklets at the stage at which they need to be introduced, that only allows them a page to refer to rather than the ability to actively recall the specified words. Gianfranco Conti (REF) points out that language lists often leave learners unstimulated and suggest we find more engaging ways to teach vocabulary. In theory, more engaging methods for teaching vocabulary should lead to be a better grasp of required GCSE elements and thus contribute towards the department’s aim of improved examination performance. </w:t>
      </w:r>
    </w:p>
    <w:p w14:paraId="19232B28"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In addition to incorporating more engaging methods, the department has also started to consider how the aims of Successful Futures can be successfully built in to the existing schemes of work. Donaldson wants teacher to help their students to become “capable, ambitious learners” and in order to do this they need to experience stretch and challenge rather than having the answers handed to them. This has led to students working to infer meaning when new vocabulary is introduced. Inference is a skill that easily lends itself to dual coding as you can ask students to deduce a word’s meaning based on its accompanying image. This process pushes learners to actively make cognitive links not only between word and image but also between the target language and the student’s native tongue. </w:t>
      </w:r>
    </w:p>
    <w:p w14:paraId="753B562D"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ESTYN 2016 thematic report also highlights that students suffer due to focusing on written words rather than speaking and practising meaningful communication, which is something that the MFL department is working to counter at School X. The department are emphasising a more communicative approach in their teaching, promoting greater use of target language, using oral repetition when introducing new vocabulary, and working towards higher levels of linguistic recall. The report found that mistakes with intonation and pronunciation were hindering students’ ability to effectively communicate in the target language so strengthening the link between the written word and its pronunciation is of the utmost importance. </w:t>
      </w:r>
    </w:p>
    <w:p w14:paraId="0065E27B"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aims of Global Future towards creating an international generation of Welsh learners promotes a bilingual plus one approach to education, meaning that students should be learning English and Welsh and an international language. If we are to attain these targets we need to work toward improve the learning experience in the MFL classroom whilst simultaneously improve subject performance. ESTYN (2016) found that the majority of MFL teachers were adequate rather than good or excellent, due to teachers not having a good grasp of effective teaching method for second acquisition. </w:t>
      </w:r>
    </w:p>
    <w:p w14:paraId="5FAE2BF9"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b/>
          <w:bCs/>
          <w:vanish/>
          <w:sz w:val="12"/>
          <w:szCs w:val="12"/>
        </w:rPr>
        <w:t xml:space="preserve">School Policy </w:t>
      </w:r>
    </w:p>
    <w:p w14:paraId="37D9DE81"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As dual coding is specific to language acquisition, it is not mentioned in the School Improvement Plan. Whilst a valuable tool in foreign language acquisition, dual coding is also not referenced in the Departmental Improvement Plan. However, the improvement plan does highlight the pupils’ difficulty with the new GCSE specification and the need to better equip them for all four examination elements, so the relevance of dual coding in the classroom can be seen. </w:t>
      </w:r>
    </w:p>
    <w:p w14:paraId="3C39C412"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New vocabulary is regularly introduced, especially when working on themes and topics, and acquiring this language at a swift pace can be difficult for students. Whilst vocabulary lists are usually included in student’s booklets at the stage at which they need to be introduced, that only allows them a page to refer to rather than the ability to actively recall the specified words. Gianfranco Conti (REF) points out that language lists often leave learners unstimulated and suggest we find more engaging ways to teach vocabulary. In theory, more engaging methods for teaching vocabulary should lead to be a better grasp of required GCSE elements and thus contribute towards the department’s aim of improved examination performance. </w:t>
      </w:r>
    </w:p>
    <w:p w14:paraId="0F23ABC7"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In addition to incorporating more engaging methods, the department has also started to consider how the aims of Successful Futures can be successfully built in to the existing schemes of work. Donaldson wants teacher to help their students to become “capable, ambitious learners” and in order to do this they need to experience stretch and challenge rather than having the answers handed to them. This has led to students working to infer meaning when new vocabulary is introduced. Inference is a skill that easily lends itself to dual coding as you can ask students to deduce a word’s meaning based on its accompanying image. This process pushes learners to actively make cognitive links not only between word and image but also between the target language and the student’s native tongue. </w:t>
      </w:r>
    </w:p>
    <w:p w14:paraId="66819E79"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ESTYN 2016 thematic report also highlights that students suffer due to focusing on written words rather than speaking and practising meaningful communication, which is something that the MFL department is working to counter at School X. The department are emphasising a more communicative approach in their teaching, promoting greater use of target language, using oral repetition when introducing new vocabulary, and working towards higher levels of linguistic recall. The report found that mistakes with intonation and pronunciation were hindering students’ ability to effectively communicate in the target language so strengthening the link between the written word and its pronunciation is of the utmost importance. </w:t>
      </w:r>
    </w:p>
    <w:p w14:paraId="15A9761B"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aims of Global Future towards creating an international generation of Welsh learners promotes a bilingual plus one approach to education, meaning that students should be learning English and Welsh and an international language. If we are to attain these targets we need to work toward improve the learning experience in the MFL classroom whilst simultaneously improve subject performance. ESTYN (2016) found that the majority of MFL teachers were adequate rather than good or excellent, due to teachers not having a good grasp of effective teaching method for second acquisition. </w:t>
      </w:r>
    </w:p>
    <w:p w14:paraId="21249DBC"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b/>
          <w:bCs/>
          <w:vanish/>
          <w:sz w:val="12"/>
          <w:szCs w:val="12"/>
        </w:rPr>
        <w:t xml:space="preserve">School Policy </w:t>
      </w:r>
    </w:p>
    <w:p w14:paraId="14C40A6B"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As dual coding is specific to language acquisition, it is not mentioned in the School Improvement Plan. Whilst a valuable tool in foreign language acquisition, dual coding is also not referenced in the Departmental Improvement Plan. However, the improvement plan does highlight the pupils’ difficulty with the new GCSE specification and the need to better equip them for all four examination elements, so the relevance of dual coding in the classroom can be seen. </w:t>
      </w:r>
    </w:p>
    <w:p w14:paraId="3FD06B89"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New vocabulary is regularly introduced, especially when working on themes and topics, and acquiring this language at a swift pace can be difficult for students. Whilst vocabulary lists are usually included in student’s booklets at the stage at which they need to be introduced, that only allows them a page to refer to rather than the ability to actively recall the specified words. Gianfranco Conti (REF) points out that language lists often leave learners unstimulated and suggest we find more engaging ways to teach vocabulary. In theory, more engaging methods for teaching vocabulary should lead to be a better grasp of required GCSE elements and thus contribute towards the department’s aim of improved examination performance. </w:t>
      </w:r>
    </w:p>
    <w:p w14:paraId="39BA373E"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In addition to incorporating more engaging methods, the department has also started to consider how the aims of Successful Futures can be successfully built in to the existing schemes of work. Donaldson wants teacher to help their students to become “capable, ambitious learners” and in order to do this they need to experience stretch and challenge rather than having the answers handed to them. This has led to students working to infer meaning when new vocabulary is introduced. Inference is a skill that easily lends itself to dual coding as you can ask students to deduce a word’s meaning based on its accompanying image. This process pushes learners to actively make cognitive links not only between word and image but also between the target language and the student’s native tongue. </w:t>
      </w:r>
    </w:p>
    <w:p w14:paraId="37E62283"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ESTYN 2016 thematic report also highlights that students suffer due to focusing on written words rather than speaking and practising meaningful communication, which is something that the MFL department is working to counter at School X. The department are emphasising a more communicative approach in their teaching, promoting greater use of target language, using oral repetition when introducing new vocabulary, and working towards higher levels of linguistic recall. The report found that mistakes with intonation and pronunciation were hindering students’ ability to effectively communicate in the target language so strengthening the link between the written word and its pronunciation is of the utmost importance. </w:t>
      </w:r>
    </w:p>
    <w:p w14:paraId="12C6BF07"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aims of Global Future towards creating an international generation of Welsh learners promotes a bilingual plus one approach to education, meaning that students should be learning English and Welsh and an international language. If we are to attain these targets we need to work toward improve the learning experience in the MFL classroom whilst simultaneously improve subject performance. ESTYN (2016) found that the majority of MFL teachers were adequate rather than good or excellent, due to teachers not having a good grasp of effective teaching method for second acquisition. </w:t>
      </w:r>
    </w:p>
    <w:p w14:paraId="7658A8EE"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b/>
          <w:bCs/>
          <w:vanish/>
          <w:sz w:val="12"/>
          <w:szCs w:val="12"/>
        </w:rPr>
        <w:t xml:space="preserve">School Policy </w:t>
      </w:r>
    </w:p>
    <w:p w14:paraId="4255AA45"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As dual coding is specific to language acquisition, it is not mentioned in the School Improvement Plan. Whilst a valuable tool in foreign language acquisition, dual coding is also not referenced in the Departmental Improvement Plan. However, the improvement plan does highlight the pupils’ difficulty with the new GCSE specification and the need to better equip them for all four examination elements, so the relevance of dual coding in the classroom can be seen. </w:t>
      </w:r>
    </w:p>
    <w:p w14:paraId="6B7203FD"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New vocabulary is regularly introduced, especially when working on themes and topics, and acquiring this language at a swift pace can be difficult for students. Whilst vocabulary lists are usually included in student’s booklets at the stage at which they need to be introduced, that only allows them a page to refer to rather than the ability to actively recall the specified words. Gianfranco Conti (REF) points out that language lists often leave learners unstimulated and suggest we find more engaging ways to teach vocabulary. In theory, more engaging methods for teaching vocabulary should lead to be a better grasp of required GCSE elements and thus contribute towards the department’s aim of improved examination performance. </w:t>
      </w:r>
    </w:p>
    <w:p w14:paraId="100FE278"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In addition to incorporating more engaging methods, the department has also started to consider how the aims of Successful Futures can be successfully built in to the existing schemes of work. Donaldson wants teacher to help their students to become “capable, ambitious learners” and in order to do this they need to experience stretch and challenge rather than having the answers handed to them. This has led to students working to infer meaning when new vocabulary is introduced. Inference is a skill that easily lends itself to dual coding as you can ask students to deduce a word’s meaning based on its accompanying image. This process pushes learners to actively make cognitive links not only between word and image but also between the target language and the student’s native tongue. </w:t>
      </w:r>
    </w:p>
    <w:p w14:paraId="4C6FDC40"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ESTYN 2016 thematic report also highlights that students suffer due to focusing on written words rather than speaking and practising meaningful communication, which is something that the MFL department is working to counter at School X. The department are emphasising a more communicative approach in their teaching, promoting greater use of target language, using oral repetition when introducing new vocabulary, and working towards higher levels of linguistic recall. The report found that mistakes with intonation and pronunciation were hindering students’ ability to effectively communicate in the target language so strengthening the link between the written word and its pronunciation is of the utmost importance. </w:t>
      </w:r>
    </w:p>
    <w:p w14:paraId="7A61681A" w14:textId="77777777" w:rsidR="004053B4" w:rsidRPr="004053B4" w:rsidRDefault="004053B4" w:rsidP="000B0924">
      <w:pPr>
        <w:spacing w:before="100" w:beforeAutospacing="1" w:after="160" w:line="360" w:lineRule="auto"/>
        <w:rPr>
          <w:rFonts w:ascii="Tahoma" w:hAnsi="Tahoma" w:cs="Tahoma"/>
          <w:vanish/>
          <w:sz w:val="12"/>
          <w:szCs w:val="12"/>
        </w:rPr>
      </w:pPr>
      <w:r w:rsidRPr="004053B4">
        <w:rPr>
          <w:rFonts w:ascii="Tahoma" w:hAnsi="Tahoma" w:cs="Tahoma"/>
          <w:vanish/>
          <w:sz w:val="12"/>
          <w:szCs w:val="12"/>
        </w:rPr>
        <w:t xml:space="preserve">The aims of Global Future towards creating an international generation of Welsh learners promotes a bilingual plus one approach to education, meaning that students should be learning English and Welsh and an international language. If we are to attain these targets we need to work toward improve the learning experience in the MFL classroom whilst simultaneously improve subject performance. ESTYN (2016) found that the majority of MFL teachers were adequate rather than good or excellent, due to teachers not having a good grasp of effective teaching method for second acquisition. </w:t>
      </w:r>
    </w:p>
    <w:p w14:paraId="05E39A05" w14:textId="77777777" w:rsidR="004053B4" w:rsidRPr="004053B4" w:rsidRDefault="004053B4" w:rsidP="000B0924">
      <w:pPr>
        <w:spacing w:after="160" w:line="360" w:lineRule="auto"/>
        <w:rPr>
          <w:rFonts w:ascii="Calibri" w:eastAsia="Calibri" w:hAnsi="Calibri"/>
          <w:b/>
          <w:vanish/>
          <w:sz w:val="22"/>
          <w:szCs w:val="22"/>
          <w:lang w:eastAsia="en-US"/>
        </w:rPr>
      </w:pPr>
      <w:r w:rsidRPr="004053B4">
        <w:rPr>
          <w:rFonts w:ascii="Calibri" w:eastAsia="Calibri" w:hAnsi="Calibri"/>
          <w:b/>
          <w:bCs/>
          <w:vanish/>
          <w:sz w:val="22"/>
          <w:szCs w:val="22"/>
          <w:lang w:eastAsia="en-US"/>
        </w:rPr>
        <w:t xml:space="preserve">School Policy </w:t>
      </w:r>
    </w:p>
    <w:p w14:paraId="07986CF0" w14:textId="77777777" w:rsidR="004053B4" w:rsidRPr="004053B4" w:rsidRDefault="004053B4" w:rsidP="000B0924">
      <w:pPr>
        <w:spacing w:after="160" w:line="360" w:lineRule="auto"/>
        <w:rPr>
          <w:rFonts w:ascii="Calibri" w:eastAsia="Calibri" w:hAnsi="Calibri"/>
          <w:b/>
          <w:vanish/>
          <w:sz w:val="22"/>
          <w:szCs w:val="22"/>
          <w:lang w:eastAsia="en-US"/>
        </w:rPr>
      </w:pPr>
      <w:r w:rsidRPr="004053B4">
        <w:rPr>
          <w:rFonts w:ascii="Calibri" w:eastAsia="Calibri" w:hAnsi="Calibri"/>
          <w:b/>
          <w:vanish/>
          <w:sz w:val="22"/>
          <w:szCs w:val="22"/>
          <w:lang w:eastAsia="en-US"/>
        </w:rPr>
        <w:t xml:space="preserve">As dual coding is specific to language acquisition, it is not mentioned in the School Improvement Plan. Whilst a valuable tool in foreign language acquisition, dual coding is also not referenced in the Departmental Improvement Plan. However, the improvement plan does highlight the pupils’ difficulty with the new GCSE specification and the need to better equip them for all four examination elements, so the relevance of dual coding in the classroom can be seen. </w:t>
      </w:r>
    </w:p>
    <w:p w14:paraId="7D97F2B9" w14:textId="77777777" w:rsidR="004053B4" w:rsidRPr="004053B4" w:rsidRDefault="004053B4" w:rsidP="000B0924">
      <w:pPr>
        <w:spacing w:after="160" w:line="360" w:lineRule="auto"/>
        <w:rPr>
          <w:rFonts w:ascii="Calibri" w:eastAsia="Calibri" w:hAnsi="Calibri"/>
          <w:b/>
          <w:vanish/>
          <w:sz w:val="22"/>
          <w:szCs w:val="22"/>
          <w:lang w:eastAsia="en-US"/>
        </w:rPr>
      </w:pPr>
      <w:r w:rsidRPr="004053B4">
        <w:rPr>
          <w:rFonts w:ascii="Calibri" w:eastAsia="Calibri" w:hAnsi="Calibri"/>
          <w:b/>
          <w:vanish/>
          <w:sz w:val="22"/>
          <w:szCs w:val="22"/>
          <w:lang w:eastAsia="en-US"/>
        </w:rPr>
        <w:t xml:space="preserve">New vocabulary is regularly introduced, especially when working on themes and topics, and acquiring this language at a swift pace can be difficult for students. Whilst vocabulary lists are usually included in student’s booklets at the stage at which they need to be introduced, that only allows them a page to refer to rather than the ability to actively recall the specified words. Gianfranco Conti (REF) points out that language lists often leave learners unstimulated and suggest we find more engaging ways to teach vocabulary. In theory, more engaging methods for teaching vocabulary should lead to be a better grasp of required GCSE elements and thus contribute towards the department’s aim of improved examination performance. </w:t>
      </w:r>
    </w:p>
    <w:p w14:paraId="4947A49C" w14:textId="77777777" w:rsidR="004053B4" w:rsidRPr="004053B4" w:rsidRDefault="004053B4" w:rsidP="000B0924">
      <w:pPr>
        <w:spacing w:after="160" w:line="360" w:lineRule="auto"/>
        <w:rPr>
          <w:rFonts w:ascii="Calibri" w:eastAsia="Calibri" w:hAnsi="Calibri"/>
          <w:b/>
          <w:vanish/>
          <w:sz w:val="22"/>
          <w:szCs w:val="22"/>
          <w:lang w:eastAsia="en-US"/>
        </w:rPr>
      </w:pPr>
      <w:r w:rsidRPr="004053B4">
        <w:rPr>
          <w:rFonts w:ascii="Calibri" w:eastAsia="Calibri" w:hAnsi="Calibri"/>
          <w:b/>
          <w:vanish/>
          <w:sz w:val="22"/>
          <w:szCs w:val="22"/>
          <w:lang w:eastAsia="en-US"/>
        </w:rPr>
        <w:t xml:space="preserve">In addition to incorporating more engaging methods, the department has also started to consider how the aims of Successful Futures can be successfully built in to the existing schemes of work. Donaldson wants teacher to help their students to become “capable, ambitious learners” and in order to do this they need to experience stretch and challenge rather than having the answers handed to them. This has led to students working to infer meaning when new vocabulary is introduced. Inference is a skill that easily lends itself to dual coding as you can ask students to deduce a word’s meaning based on its accompanying image. This process pushes learners to actively make cognitive links not only between word and image but also between the target language and the student’s native tongue. </w:t>
      </w:r>
    </w:p>
    <w:p w14:paraId="5C82C2D2" w14:textId="77777777" w:rsidR="004053B4" w:rsidRPr="004053B4" w:rsidRDefault="004053B4" w:rsidP="000B0924">
      <w:pPr>
        <w:spacing w:after="160" w:line="360" w:lineRule="auto"/>
        <w:rPr>
          <w:rFonts w:ascii="Calibri" w:eastAsia="Calibri" w:hAnsi="Calibri"/>
          <w:b/>
          <w:vanish/>
          <w:sz w:val="22"/>
          <w:szCs w:val="22"/>
          <w:lang w:eastAsia="en-US"/>
        </w:rPr>
      </w:pPr>
      <w:r w:rsidRPr="004053B4">
        <w:rPr>
          <w:rFonts w:ascii="Calibri" w:eastAsia="Calibri" w:hAnsi="Calibri"/>
          <w:b/>
          <w:vanish/>
          <w:sz w:val="22"/>
          <w:szCs w:val="22"/>
          <w:lang w:eastAsia="en-US"/>
        </w:rPr>
        <w:t xml:space="preserve">The ESTYN 2016 thematic report also highlights that students suffer due to focusing on written words rather than speaking and practising meaningful communication, which is something that the MFL department is working to counter at School X. The department are emphasising a more communicative approach in their teaching, promoting greater use of target language, using oral repetition when introducing new vocabulary, and working towards higher levels of linguistic recall. The report found that mistakes with intonation and pronunciation were hindering students’ ability to effectively communicate in the target language so strengthening the link between the written word and its pronunciation is of the utmost importance. </w:t>
      </w:r>
    </w:p>
    <w:p w14:paraId="1F78DD70" w14:textId="77777777" w:rsidR="004053B4" w:rsidRPr="004053B4" w:rsidRDefault="004053B4" w:rsidP="000B0924">
      <w:pPr>
        <w:spacing w:after="160" w:line="360" w:lineRule="auto"/>
        <w:rPr>
          <w:rFonts w:ascii="Calibri" w:eastAsia="Calibri" w:hAnsi="Calibri"/>
          <w:b/>
          <w:vanish/>
          <w:sz w:val="22"/>
          <w:szCs w:val="22"/>
          <w:lang w:eastAsia="en-US"/>
        </w:rPr>
      </w:pPr>
      <w:r w:rsidRPr="004053B4">
        <w:rPr>
          <w:rFonts w:ascii="Calibri" w:eastAsia="Calibri" w:hAnsi="Calibri"/>
          <w:b/>
          <w:vanish/>
          <w:sz w:val="22"/>
          <w:szCs w:val="22"/>
          <w:lang w:eastAsia="en-US"/>
        </w:rPr>
        <w:t xml:space="preserve">The aims of Global Future towards creating an international generation of Welsh learners promotes a bilingual plus one approach to education, meaning that students should be learning English and Welsh and an international language. If we are to attain these targets we need to work toward improve the learning experience in the MFL classroom whilst simultaneously improve subject performance. ESTYN (2016) found that the majority of MFL teachers were adequate rather than good or excellent, due to teachers not having a good grasp of effective teaching method for second acquisition. </w:t>
      </w:r>
    </w:p>
    <w:p w14:paraId="18125F16" w14:textId="77777777" w:rsidR="004053B4" w:rsidRPr="004053B4" w:rsidRDefault="004053B4" w:rsidP="000B0924">
      <w:pPr>
        <w:spacing w:after="160" w:line="360" w:lineRule="auto"/>
        <w:rPr>
          <w:rFonts w:ascii="Calibri" w:eastAsia="Calibri" w:hAnsi="Calibri"/>
          <w:sz w:val="22"/>
          <w:szCs w:val="22"/>
          <w:lang w:eastAsia="en-US"/>
        </w:rPr>
      </w:pPr>
    </w:p>
    <w:p w14:paraId="13D692E1" w14:textId="77777777" w:rsidR="004053B4" w:rsidRPr="004053B4" w:rsidRDefault="004053B4" w:rsidP="000B0924">
      <w:pPr>
        <w:spacing w:after="160" w:line="360" w:lineRule="auto"/>
        <w:rPr>
          <w:rFonts w:ascii="Calibri" w:eastAsia="Calibri" w:hAnsi="Calibri"/>
          <w:b/>
          <w:sz w:val="22"/>
          <w:szCs w:val="22"/>
          <w:lang w:eastAsia="en-US"/>
        </w:rPr>
      </w:pPr>
      <w:r w:rsidRPr="004053B4">
        <w:rPr>
          <w:rFonts w:ascii="Calibri" w:eastAsia="Calibri" w:hAnsi="Calibri"/>
          <w:b/>
          <w:sz w:val="22"/>
          <w:szCs w:val="22"/>
          <w:lang w:eastAsia="en-US"/>
        </w:rPr>
        <w:t>Literature Review</w:t>
      </w:r>
    </w:p>
    <w:p w14:paraId="29CD8AF2" w14:textId="7E70FFFD"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The concept of dual-coding theory was by developed by Allan </w:t>
      </w:r>
      <w:proofErr w:type="spellStart"/>
      <w:r w:rsidRPr="004053B4">
        <w:rPr>
          <w:rFonts w:ascii="Calibri" w:eastAsia="Calibri" w:hAnsi="Calibri"/>
          <w:sz w:val="22"/>
          <w:szCs w:val="22"/>
          <w:lang w:eastAsia="en-US"/>
        </w:rPr>
        <w:t>Paivio</w:t>
      </w:r>
      <w:proofErr w:type="spellEnd"/>
      <w:r w:rsidRPr="004053B4">
        <w:rPr>
          <w:rFonts w:ascii="Calibri" w:eastAsia="Calibri" w:hAnsi="Calibri"/>
          <w:sz w:val="22"/>
          <w:szCs w:val="22"/>
          <w:lang w:eastAsia="en-US"/>
        </w:rPr>
        <w:t xml:space="preserve"> in 1971 and hypothesised that a person could build upon their knowledge in two ways; through verbal associations and through </w:t>
      </w:r>
      <w:r w:rsidRPr="004053B4">
        <w:rPr>
          <w:rFonts w:ascii="Calibri" w:eastAsia="Calibri" w:hAnsi="Calibri"/>
          <w:sz w:val="22"/>
          <w:szCs w:val="22"/>
          <w:lang w:eastAsia="en-US"/>
        </w:rPr>
        <w:lastRenderedPageBreak/>
        <w:t>visual imagery.</w:t>
      </w:r>
      <w:r w:rsidR="00EA0346">
        <w:rPr>
          <w:rFonts w:ascii="Calibri" w:eastAsia="Calibri" w:hAnsi="Calibri"/>
          <w:sz w:val="22"/>
          <w:szCs w:val="22"/>
          <w:lang w:eastAsia="en-US"/>
        </w:rPr>
        <w:t xml:space="preserve"> </w:t>
      </w:r>
      <w:r w:rsidRPr="004053B4">
        <w:rPr>
          <w:rFonts w:ascii="Calibri" w:eastAsia="Calibri" w:hAnsi="Calibri"/>
          <w:sz w:val="22"/>
          <w:szCs w:val="22"/>
          <w:lang w:eastAsia="en-US"/>
        </w:rPr>
        <w:t>The theory suggests that these two functionally independent information pathways are also interconnected (Cuevas and Dawson</w:t>
      </w:r>
      <w:r w:rsidR="00941F42">
        <w:rPr>
          <w:rFonts w:ascii="Calibri" w:eastAsia="Calibri" w:hAnsi="Calibri"/>
          <w:sz w:val="22"/>
          <w:szCs w:val="22"/>
          <w:lang w:eastAsia="en-US"/>
        </w:rPr>
        <w:t>, 2018</w:t>
      </w:r>
      <w:r w:rsidRPr="004053B4">
        <w:rPr>
          <w:rFonts w:ascii="Calibri" w:eastAsia="Calibri" w:hAnsi="Calibri"/>
          <w:sz w:val="22"/>
          <w:szCs w:val="22"/>
          <w:lang w:eastAsia="en-US"/>
        </w:rPr>
        <w:t xml:space="preserve">) and as such the stimulation of both pathways at once could be a means of providing greater information without cognitive </w:t>
      </w:r>
      <w:r w:rsidRPr="004A1639">
        <w:rPr>
          <w:rFonts w:ascii="Calibri" w:eastAsia="Calibri" w:hAnsi="Calibri"/>
          <w:sz w:val="22"/>
          <w:szCs w:val="22"/>
          <w:lang w:eastAsia="en-US"/>
        </w:rPr>
        <w:t>overload (</w:t>
      </w:r>
      <w:r w:rsidR="00E7407E" w:rsidRPr="004A1639">
        <w:rPr>
          <w:rFonts w:ascii="Calibri" w:eastAsia="Calibri" w:hAnsi="Calibri"/>
          <w:sz w:val="22"/>
          <w:szCs w:val="22"/>
          <w:lang w:eastAsia="en-US"/>
        </w:rPr>
        <w:t>Mousavi et al, 1995)</w:t>
      </w:r>
      <w:r w:rsidRPr="004A1639">
        <w:rPr>
          <w:rFonts w:ascii="Calibri" w:eastAsia="Calibri" w:hAnsi="Calibri"/>
          <w:b/>
          <w:sz w:val="22"/>
          <w:szCs w:val="22"/>
          <w:lang w:eastAsia="en-US"/>
        </w:rPr>
        <w:t xml:space="preserve">. </w:t>
      </w:r>
      <w:proofErr w:type="spellStart"/>
      <w:r w:rsidRPr="004A1639">
        <w:rPr>
          <w:rFonts w:ascii="Calibri" w:eastAsia="Calibri" w:hAnsi="Calibri"/>
          <w:sz w:val="22"/>
          <w:szCs w:val="22"/>
          <w:lang w:eastAsia="en-US"/>
        </w:rPr>
        <w:t>Paivio</w:t>
      </w:r>
      <w:proofErr w:type="spellEnd"/>
      <w:r w:rsidRPr="004A1639">
        <w:rPr>
          <w:rFonts w:ascii="Calibri" w:eastAsia="Calibri" w:hAnsi="Calibri"/>
          <w:sz w:val="22"/>
          <w:szCs w:val="22"/>
          <w:lang w:eastAsia="en-US"/>
        </w:rPr>
        <w:t xml:space="preserve"> (1986) also hypothesised that due to the subsystems being interconnected; activity in one system had the potential to stimulate activity in the other, during both the encodi</w:t>
      </w:r>
      <w:r w:rsidRPr="004053B4">
        <w:rPr>
          <w:rFonts w:ascii="Calibri" w:eastAsia="Calibri" w:hAnsi="Calibri"/>
          <w:sz w:val="22"/>
          <w:szCs w:val="22"/>
          <w:lang w:eastAsia="en-US"/>
        </w:rPr>
        <w:t>ng and recoding phase. This supported the theory that alternative retrieval cues could still lead to vocabulary recall.</w:t>
      </w:r>
    </w:p>
    <w:p w14:paraId="178B587B" w14:textId="60E021E5" w:rsidR="004053B4" w:rsidRPr="004053B4" w:rsidRDefault="004053B4" w:rsidP="000B0924">
      <w:pPr>
        <w:spacing w:after="160" w:line="360" w:lineRule="auto"/>
        <w:rPr>
          <w:rFonts w:ascii="Calibri" w:eastAsia="Calibri" w:hAnsi="Calibri"/>
          <w:b/>
          <w:sz w:val="22"/>
          <w:szCs w:val="22"/>
          <w:lang w:eastAsia="en-US"/>
        </w:rPr>
      </w:pPr>
      <w:r w:rsidRPr="004053B4">
        <w:rPr>
          <w:rFonts w:ascii="Calibri" w:eastAsia="Calibri" w:hAnsi="Calibri"/>
          <w:sz w:val="22"/>
          <w:szCs w:val="22"/>
          <w:lang w:eastAsia="en-US"/>
        </w:rPr>
        <w:t xml:space="preserve">Research into dual-coding theory has largely supported </w:t>
      </w:r>
      <w:proofErr w:type="spellStart"/>
      <w:r w:rsidRPr="004053B4">
        <w:rPr>
          <w:rFonts w:ascii="Calibri" w:eastAsia="Calibri" w:hAnsi="Calibri"/>
          <w:sz w:val="22"/>
          <w:szCs w:val="22"/>
          <w:lang w:eastAsia="en-US"/>
        </w:rPr>
        <w:t>Paivio’s</w:t>
      </w:r>
      <w:proofErr w:type="spellEnd"/>
      <w:r w:rsidRPr="004053B4">
        <w:rPr>
          <w:rFonts w:ascii="Calibri" w:eastAsia="Calibri" w:hAnsi="Calibri"/>
          <w:sz w:val="22"/>
          <w:szCs w:val="22"/>
          <w:lang w:eastAsia="en-US"/>
        </w:rPr>
        <w:t xml:space="preserve"> theory</w:t>
      </w:r>
      <w:r w:rsidR="00112970">
        <w:rPr>
          <w:rFonts w:ascii="Calibri" w:eastAsia="Calibri" w:hAnsi="Calibri"/>
          <w:sz w:val="22"/>
          <w:szCs w:val="22"/>
          <w:lang w:eastAsia="en-US"/>
        </w:rPr>
        <w:t xml:space="preserve"> (</w:t>
      </w:r>
      <w:r w:rsidR="000F6CB3">
        <w:rPr>
          <w:rFonts w:ascii="Calibri" w:eastAsia="Calibri" w:hAnsi="Calibri"/>
          <w:sz w:val="22"/>
          <w:szCs w:val="22"/>
          <w:lang w:eastAsia="en-US"/>
        </w:rPr>
        <w:t>Jessen et al, 2000</w:t>
      </w:r>
      <w:r w:rsidR="00A4771C">
        <w:rPr>
          <w:rFonts w:ascii="Calibri" w:eastAsia="Calibri" w:hAnsi="Calibri"/>
          <w:sz w:val="22"/>
          <w:szCs w:val="22"/>
          <w:lang w:eastAsia="en-US"/>
        </w:rPr>
        <w:t xml:space="preserve">; </w:t>
      </w:r>
      <w:r w:rsidR="00112970">
        <w:rPr>
          <w:rFonts w:ascii="Calibri" w:eastAsia="Calibri" w:hAnsi="Calibri"/>
          <w:sz w:val="22"/>
          <w:szCs w:val="22"/>
          <w:lang w:eastAsia="en-US"/>
        </w:rPr>
        <w:t>Welcome et al, 2011</w:t>
      </w:r>
      <w:r w:rsidR="0047055B">
        <w:rPr>
          <w:rFonts w:ascii="Calibri" w:eastAsia="Calibri" w:hAnsi="Calibri"/>
          <w:sz w:val="22"/>
          <w:szCs w:val="22"/>
          <w:lang w:eastAsia="en-US"/>
        </w:rPr>
        <w:t xml:space="preserve">; </w:t>
      </w:r>
      <w:r w:rsidR="00AD3843">
        <w:rPr>
          <w:rFonts w:ascii="Calibri" w:eastAsia="Calibri" w:hAnsi="Calibri"/>
          <w:sz w:val="22"/>
          <w:szCs w:val="22"/>
          <w:lang w:eastAsia="en-US"/>
        </w:rPr>
        <w:t>Rosen, 2012</w:t>
      </w:r>
      <w:r w:rsidRPr="004053B4">
        <w:rPr>
          <w:rFonts w:ascii="Calibri" w:eastAsia="Calibri" w:hAnsi="Calibri"/>
          <w:sz w:val="22"/>
          <w:szCs w:val="22"/>
          <w:lang w:eastAsia="en-US"/>
        </w:rPr>
        <w:t>) and it has been suggested that all learners could benefit from a teaching approach that layers linguistic information with visual information (Cuevas and Dawson</w:t>
      </w:r>
      <w:r w:rsidR="00941F42">
        <w:rPr>
          <w:rFonts w:ascii="Calibri" w:eastAsia="Calibri" w:hAnsi="Calibri"/>
          <w:sz w:val="22"/>
          <w:szCs w:val="22"/>
          <w:lang w:eastAsia="en-US"/>
        </w:rPr>
        <w:t>, 2018</w:t>
      </w:r>
      <w:r w:rsidRPr="004053B4">
        <w:rPr>
          <w:rFonts w:ascii="Calibri" w:eastAsia="Calibri" w:hAnsi="Calibri"/>
          <w:sz w:val="22"/>
          <w:szCs w:val="22"/>
          <w:lang w:eastAsia="en-US"/>
        </w:rPr>
        <w:t>). This has been shown to lead to better linguistic retention as visual prompts that engage dual coding allow two representations, one visual and one linguistic, to be stored in the long-term memory (</w:t>
      </w:r>
      <w:r w:rsidR="008F5EE9">
        <w:rPr>
          <w:rFonts w:ascii="Calibri" w:eastAsia="Calibri" w:hAnsi="Calibri"/>
          <w:sz w:val="22"/>
          <w:szCs w:val="22"/>
          <w:lang w:eastAsia="en-US"/>
        </w:rPr>
        <w:t>Hodes</w:t>
      </w:r>
      <w:r w:rsidR="00B534DB">
        <w:rPr>
          <w:rFonts w:ascii="Calibri" w:eastAsia="Calibri" w:hAnsi="Calibri"/>
          <w:sz w:val="22"/>
          <w:szCs w:val="22"/>
          <w:lang w:eastAsia="en-US"/>
        </w:rPr>
        <w:t xml:space="preserve">, </w:t>
      </w:r>
      <w:r w:rsidR="008F5EE9">
        <w:rPr>
          <w:rFonts w:ascii="Calibri" w:eastAsia="Calibri" w:hAnsi="Calibri"/>
          <w:sz w:val="22"/>
          <w:szCs w:val="22"/>
          <w:lang w:eastAsia="en-US"/>
        </w:rPr>
        <w:t>199</w:t>
      </w:r>
      <w:r w:rsidR="00B534DB">
        <w:rPr>
          <w:rFonts w:ascii="Calibri" w:eastAsia="Calibri" w:hAnsi="Calibri"/>
          <w:sz w:val="22"/>
          <w:szCs w:val="22"/>
          <w:lang w:eastAsia="en-US"/>
        </w:rPr>
        <w:t>8</w:t>
      </w:r>
      <w:r w:rsidRPr="004053B4">
        <w:rPr>
          <w:rFonts w:ascii="Calibri" w:eastAsia="Calibri" w:hAnsi="Calibri"/>
          <w:sz w:val="22"/>
          <w:szCs w:val="22"/>
          <w:lang w:eastAsia="en-US"/>
        </w:rPr>
        <w:t>)</w:t>
      </w:r>
      <w:r w:rsidR="008F5EE9">
        <w:rPr>
          <w:rFonts w:ascii="Calibri" w:eastAsia="Calibri" w:hAnsi="Calibri"/>
          <w:sz w:val="22"/>
          <w:szCs w:val="22"/>
          <w:lang w:eastAsia="en-US"/>
        </w:rPr>
        <w:t>.</w:t>
      </w:r>
      <w:r w:rsidRPr="004053B4">
        <w:rPr>
          <w:rFonts w:ascii="Calibri" w:eastAsia="Calibri" w:hAnsi="Calibri"/>
          <w:b/>
          <w:sz w:val="22"/>
          <w:szCs w:val="22"/>
          <w:lang w:eastAsia="en-US"/>
        </w:rPr>
        <w:t xml:space="preserve"> </w:t>
      </w:r>
    </w:p>
    <w:p w14:paraId="57CE1A9C" w14:textId="15EB0159"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Whilst dual-coding theory hypothesises improved word retention when engaging both the visual and linguistic cognitive subsystems, not all words are made equal. Many studies on dual-coding theory have examined the difference in the retention of concrete words and abstract words (</w:t>
      </w:r>
      <w:r w:rsidR="009C55AE">
        <w:rPr>
          <w:rFonts w:ascii="Calibri" w:eastAsia="Calibri" w:hAnsi="Calibri"/>
          <w:sz w:val="22"/>
          <w:szCs w:val="22"/>
          <w:lang w:eastAsia="en-US"/>
        </w:rPr>
        <w:t xml:space="preserve">Clark, J. M. 1984; </w:t>
      </w:r>
      <w:proofErr w:type="spellStart"/>
      <w:r w:rsidR="001C4E57">
        <w:rPr>
          <w:rFonts w:ascii="Calibri" w:eastAsia="Calibri" w:hAnsi="Calibri"/>
          <w:sz w:val="22"/>
          <w:szCs w:val="22"/>
          <w:lang w:eastAsia="en-US"/>
        </w:rPr>
        <w:t>Jesson</w:t>
      </w:r>
      <w:proofErr w:type="spellEnd"/>
      <w:r w:rsidR="001C4E57">
        <w:rPr>
          <w:rFonts w:ascii="Calibri" w:eastAsia="Calibri" w:hAnsi="Calibri"/>
          <w:sz w:val="22"/>
          <w:szCs w:val="22"/>
          <w:lang w:eastAsia="en-US"/>
        </w:rPr>
        <w:t xml:space="preserve"> et al, 2000; </w:t>
      </w:r>
      <w:r w:rsidR="00CD4CD2">
        <w:rPr>
          <w:rFonts w:ascii="Calibri" w:eastAsia="Calibri" w:hAnsi="Calibri"/>
          <w:sz w:val="22"/>
          <w:szCs w:val="22"/>
          <w:lang w:eastAsia="en-US"/>
        </w:rPr>
        <w:t xml:space="preserve">Lin et al; 2017). </w:t>
      </w:r>
      <w:proofErr w:type="gramStart"/>
      <w:r w:rsidRPr="004053B4">
        <w:rPr>
          <w:rFonts w:ascii="Calibri" w:eastAsia="Calibri" w:hAnsi="Calibri"/>
          <w:sz w:val="22"/>
          <w:szCs w:val="22"/>
          <w:lang w:eastAsia="en-US"/>
        </w:rPr>
        <w:t>The majority of</w:t>
      </w:r>
      <w:proofErr w:type="gramEnd"/>
      <w:r w:rsidRPr="004053B4">
        <w:rPr>
          <w:rFonts w:ascii="Calibri" w:eastAsia="Calibri" w:hAnsi="Calibri"/>
          <w:sz w:val="22"/>
          <w:szCs w:val="22"/>
          <w:lang w:eastAsia="en-US"/>
        </w:rPr>
        <w:t xml:space="preserve"> these studies have found that abstract words are less easily linked to visual stimuli and that the encoding of abstract words is largely linguistic not visual (</w:t>
      </w:r>
      <w:r w:rsidR="003F0985">
        <w:rPr>
          <w:rFonts w:ascii="Calibri" w:eastAsia="Calibri" w:hAnsi="Calibri"/>
          <w:sz w:val="22"/>
          <w:szCs w:val="22"/>
          <w:lang w:eastAsia="en-US"/>
        </w:rPr>
        <w:t>Lin et al, 2017</w:t>
      </w:r>
      <w:r w:rsidR="0004447B">
        <w:rPr>
          <w:rFonts w:ascii="Calibri" w:eastAsia="Calibri" w:hAnsi="Calibri"/>
          <w:sz w:val="22"/>
          <w:szCs w:val="22"/>
          <w:lang w:eastAsia="en-US"/>
        </w:rPr>
        <w:t>; Clark</w:t>
      </w:r>
      <w:r w:rsidR="003D644D">
        <w:rPr>
          <w:rFonts w:ascii="Calibri" w:eastAsia="Calibri" w:hAnsi="Calibri"/>
          <w:sz w:val="22"/>
          <w:szCs w:val="22"/>
          <w:lang w:eastAsia="en-US"/>
        </w:rPr>
        <w:t>, 1984</w:t>
      </w:r>
      <w:r w:rsidRPr="004053B4">
        <w:rPr>
          <w:rFonts w:ascii="Calibri" w:eastAsia="Calibri" w:hAnsi="Calibri"/>
          <w:sz w:val="22"/>
          <w:szCs w:val="22"/>
          <w:lang w:eastAsia="en-US"/>
        </w:rPr>
        <w:t>). Some researchers have even suggested that this phenomenon may be due to abstract terms being processed solely in the linguistic subsystem (Cuevas and Dawson</w:t>
      </w:r>
      <w:r w:rsidR="003F0985">
        <w:rPr>
          <w:rFonts w:ascii="Calibri" w:eastAsia="Calibri" w:hAnsi="Calibri"/>
          <w:sz w:val="22"/>
          <w:szCs w:val="22"/>
          <w:lang w:eastAsia="en-US"/>
        </w:rPr>
        <w:t>, 2018</w:t>
      </w:r>
      <w:r w:rsidRPr="004053B4">
        <w:rPr>
          <w:rFonts w:ascii="Calibri" w:eastAsia="Calibri" w:hAnsi="Calibri"/>
          <w:sz w:val="22"/>
          <w:szCs w:val="22"/>
          <w:lang w:eastAsia="en-US"/>
        </w:rPr>
        <w:t xml:space="preserve">). This is not to say, however, that a dual-coding approach cannot be used to aid retention of abstract words, but that it may be less successful than with concrete words. </w:t>
      </w:r>
    </w:p>
    <w:p w14:paraId="5734D768" w14:textId="7B806058"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The greater recall for concrete words over abstract words is referred to as the “concreteness effect” (</w:t>
      </w:r>
      <w:proofErr w:type="spellStart"/>
      <w:r w:rsidRPr="004053B4">
        <w:rPr>
          <w:rFonts w:ascii="Calibri" w:eastAsia="Calibri" w:hAnsi="Calibri"/>
          <w:sz w:val="22"/>
          <w:szCs w:val="22"/>
          <w:lang w:eastAsia="en-US"/>
        </w:rPr>
        <w:t>Jesson</w:t>
      </w:r>
      <w:proofErr w:type="spellEnd"/>
      <w:r w:rsidRPr="004053B4">
        <w:rPr>
          <w:rFonts w:ascii="Calibri" w:eastAsia="Calibri" w:hAnsi="Calibri"/>
          <w:sz w:val="22"/>
          <w:szCs w:val="22"/>
          <w:lang w:eastAsia="en-US"/>
        </w:rPr>
        <w:t xml:space="preserve"> et al</w:t>
      </w:r>
      <w:r w:rsidR="006B6BA4">
        <w:rPr>
          <w:rFonts w:ascii="Calibri" w:eastAsia="Calibri" w:hAnsi="Calibri"/>
          <w:sz w:val="22"/>
          <w:szCs w:val="22"/>
          <w:lang w:eastAsia="en-US"/>
        </w:rPr>
        <w:t>, 2000</w:t>
      </w:r>
      <w:r w:rsidRPr="004053B4">
        <w:rPr>
          <w:rFonts w:ascii="Calibri" w:eastAsia="Calibri" w:hAnsi="Calibri"/>
          <w:sz w:val="22"/>
          <w:szCs w:val="22"/>
          <w:lang w:eastAsia="en-US"/>
        </w:rPr>
        <w:t>). It references the fact that researchers have observed in a variety of cognitive tasks that concrete nouns are processed more quickly and accurately than abstract nouns (</w:t>
      </w:r>
      <w:r w:rsidR="005A2C00">
        <w:rPr>
          <w:rFonts w:ascii="Calibri" w:eastAsia="Calibri" w:hAnsi="Calibri"/>
          <w:sz w:val="22"/>
          <w:szCs w:val="22"/>
          <w:lang w:eastAsia="en-US"/>
        </w:rPr>
        <w:t xml:space="preserve">Rosen et al, 2012; </w:t>
      </w:r>
      <w:proofErr w:type="spellStart"/>
      <w:r w:rsidR="005A2C00">
        <w:rPr>
          <w:rFonts w:ascii="Calibri" w:eastAsia="Calibri" w:hAnsi="Calibri"/>
          <w:sz w:val="22"/>
          <w:szCs w:val="22"/>
          <w:lang w:eastAsia="en-US"/>
        </w:rPr>
        <w:t>Jesson</w:t>
      </w:r>
      <w:proofErr w:type="spellEnd"/>
      <w:r w:rsidR="005A2C00">
        <w:rPr>
          <w:rFonts w:ascii="Calibri" w:eastAsia="Calibri" w:hAnsi="Calibri"/>
          <w:sz w:val="22"/>
          <w:szCs w:val="22"/>
          <w:lang w:eastAsia="en-US"/>
        </w:rPr>
        <w:t xml:space="preserve"> et al, 2000</w:t>
      </w:r>
      <w:r w:rsidRPr="004053B4">
        <w:rPr>
          <w:rFonts w:ascii="Calibri" w:eastAsia="Calibri" w:hAnsi="Calibri"/>
          <w:sz w:val="22"/>
          <w:szCs w:val="22"/>
          <w:lang w:eastAsia="en-US"/>
        </w:rPr>
        <w:t xml:space="preserve">). In the case of dual coding, context availability theory also comes into play as concrete words “activate a broader contextual verbal support which results in faster processing” </w:t>
      </w:r>
      <w:r w:rsidR="00E479AC">
        <w:rPr>
          <w:rFonts w:ascii="Calibri" w:eastAsia="Calibri" w:hAnsi="Calibri"/>
          <w:sz w:val="22"/>
          <w:szCs w:val="22"/>
          <w:lang w:eastAsia="en-US"/>
        </w:rPr>
        <w:t>(</w:t>
      </w:r>
      <w:proofErr w:type="spellStart"/>
      <w:r w:rsidR="00E479AC">
        <w:rPr>
          <w:rFonts w:ascii="Calibri" w:eastAsia="Calibri" w:hAnsi="Calibri"/>
          <w:sz w:val="22"/>
          <w:szCs w:val="22"/>
          <w:lang w:eastAsia="en-US"/>
        </w:rPr>
        <w:t>Jesson</w:t>
      </w:r>
      <w:proofErr w:type="spellEnd"/>
      <w:r w:rsidR="00E479AC">
        <w:rPr>
          <w:rFonts w:ascii="Calibri" w:eastAsia="Calibri" w:hAnsi="Calibri"/>
          <w:sz w:val="22"/>
          <w:szCs w:val="22"/>
          <w:lang w:eastAsia="en-US"/>
        </w:rPr>
        <w:t xml:space="preserve"> et al, 2000: p103).</w:t>
      </w:r>
      <w:r w:rsidRPr="004053B4">
        <w:rPr>
          <w:rFonts w:ascii="Calibri" w:eastAsia="Calibri" w:hAnsi="Calibri"/>
          <w:sz w:val="22"/>
          <w:szCs w:val="22"/>
          <w:lang w:eastAsia="en-US"/>
        </w:rPr>
        <w:t xml:space="preserve"> Whilst this ultimately plays an important role in vocabulary acquisition and retrieval, it does not suggest that it is impossible to do the same with abstract concepts. In theory, broadening the available context when presenting abstract words and imagery could still result in effectively activating the two neural subsystems leading to successful vocabulary acquisition and strong links between word and image. </w:t>
      </w:r>
      <w:r w:rsidR="00F862DF">
        <w:rPr>
          <w:rFonts w:ascii="Calibri" w:eastAsia="Calibri" w:hAnsi="Calibri"/>
          <w:sz w:val="22"/>
          <w:szCs w:val="22"/>
          <w:lang w:eastAsia="en-US"/>
        </w:rPr>
        <w:t>Choosing appropriate images t</w:t>
      </w:r>
      <w:r w:rsidR="004A6B3B">
        <w:rPr>
          <w:rFonts w:ascii="Calibri" w:eastAsia="Calibri" w:hAnsi="Calibri"/>
          <w:sz w:val="22"/>
          <w:szCs w:val="22"/>
          <w:lang w:eastAsia="en-US"/>
        </w:rPr>
        <w:t xml:space="preserve">o represent these abstract properties and asking students to infer meaning between the image, the French </w:t>
      </w:r>
      <w:r w:rsidR="004A6B3B">
        <w:rPr>
          <w:rFonts w:ascii="Calibri" w:eastAsia="Calibri" w:hAnsi="Calibri"/>
          <w:sz w:val="22"/>
          <w:szCs w:val="22"/>
          <w:lang w:eastAsia="en-US"/>
        </w:rPr>
        <w:lastRenderedPageBreak/>
        <w:t>word, and</w:t>
      </w:r>
      <w:r w:rsidR="00FC78FC">
        <w:rPr>
          <w:rFonts w:ascii="Calibri" w:eastAsia="Calibri" w:hAnsi="Calibri"/>
          <w:sz w:val="22"/>
          <w:szCs w:val="22"/>
          <w:lang w:eastAsia="en-US"/>
        </w:rPr>
        <w:t xml:space="preserve"> </w:t>
      </w:r>
      <w:r w:rsidR="004A6B3B">
        <w:rPr>
          <w:rFonts w:ascii="Calibri" w:eastAsia="Calibri" w:hAnsi="Calibri"/>
          <w:sz w:val="22"/>
          <w:szCs w:val="22"/>
          <w:lang w:eastAsia="en-US"/>
        </w:rPr>
        <w:t>consequently the</w:t>
      </w:r>
      <w:r w:rsidR="00BF7B2A">
        <w:rPr>
          <w:rFonts w:ascii="Calibri" w:eastAsia="Calibri" w:hAnsi="Calibri"/>
          <w:sz w:val="22"/>
          <w:szCs w:val="22"/>
          <w:lang w:eastAsia="en-US"/>
        </w:rPr>
        <w:t xml:space="preserve"> English translation</w:t>
      </w:r>
      <w:r w:rsidR="00FC78FC">
        <w:rPr>
          <w:rFonts w:ascii="Calibri" w:eastAsia="Calibri" w:hAnsi="Calibri"/>
          <w:sz w:val="22"/>
          <w:szCs w:val="22"/>
          <w:lang w:eastAsia="en-US"/>
        </w:rPr>
        <w:t>,</w:t>
      </w:r>
      <w:r w:rsidR="00BF7B2A">
        <w:rPr>
          <w:rFonts w:ascii="Calibri" w:eastAsia="Calibri" w:hAnsi="Calibri"/>
          <w:sz w:val="22"/>
          <w:szCs w:val="22"/>
          <w:lang w:eastAsia="en-US"/>
        </w:rPr>
        <w:t xml:space="preserve"> could create a sufficiently strong word-image association.</w:t>
      </w:r>
      <w:r w:rsidR="004A6B3B">
        <w:rPr>
          <w:rFonts w:ascii="Calibri" w:eastAsia="Calibri" w:hAnsi="Calibri"/>
          <w:sz w:val="22"/>
          <w:szCs w:val="22"/>
          <w:lang w:eastAsia="en-US"/>
        </w:rPr>
        <w:t xml:space="preserve"> </w:t>
      </w:r>
      <w:r w:rsidRPr="004053B4">
        <w:rPr>
          <w:rFonts w:ascii="Calibri" w:eastAsia="Calibri" w:hAnsi="Calibri"/>
          <w:sz w:val="22"/>
          <w:szCs w:val="22"/>
          <w:lang w:eastAsia="en-US"/>
        </w:rPr>
        <w:t xml:space="preserve"> </w:t>
      </w:r>
    </w:p>
    <w:p w14:paraId="2138A79F" w14:textId="390905E3"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When considering the use of images with words, it ha</w:t>
      </w:r>
      <w:r w:rsidR="00242F7A">
        <w:rPr>
          <w:rFonts w:ascii="Calibri" w:eastAsia="Calibri" w:hAnsi="Calibri"/>
          <w:sz w:val="22"/>
          <w:szCs w:val="22"/>
          <w:lang w:eastAsia="en-US"/>
        </w:rPr>
        <w:t xml:space="preserve">s long been accepted </w:t>
      </w:r>
      <w:r w:rsidRPr="004053B4">
        <w:rPr>
          <w:rFonts w:ascii="Calibri" w:eastAsia="Calibri" w:hAnsi="Calibri"/>
          <w:sz w:val="22"/>
          <w:szCs w:val="22"/>
          <w:lang w:eastAsia="en-US"/>
        </w:rPr>
        <w:t>that seeing the written word alongside the image is more effective than hearing the word whilst looking at the image (Arlin et al, 19</w:t>
      </w:r>
      <w:r w:rsidR="00E87A30">
        <w:rPr>
          <w:rFonts w:ascii="Calibri" w:eastAsia="Calibri" w:hAnsi="Calibri"/>
          <w:sz w:val="22"/>
          <w:szCs w:val="22"/>
          <w:lang w:eastAsia="en-US"/>
        </w:rPr>
        <w:t>78</w:t>
      </w:r>
      <w:r w:rsidRPr="004053B4">
        <w:rPr>
          <w:rFonts w:ascii="Calibri" w:eastAsia="Calibri" w:hAnsi="Calibri"/>
          <w:sz w:val="22"/>
          <w:szCs w:val="22"/>
          <w:lang w:eastAsia="en-US"/>
        </w:rPr>
        <w:t xml:space="preserve">). This is </w:t>
      </w:r>
      <w:proofErr w:type="gramStart"/>
      <w:r w:rsidRPr="004053B4">
        <w:rPr>
          <w:rFonts w:ascii="Calibri" w:eastAsia="Calibri" w:hAnsi="Calibri"/>
          <w:sz w:val="22"/>
          <w:szCs w:val="22"/>
          <w:lang w:eastAsia="en-US"/>
        </w:rPr>
        <w:t>due to the fact that</w:t>
      </w:r>
      <w:proofErr w:type="gramEnd"/>
      <w:r w:rsidRPr="004053B4">
        <w:rPr>
          <w:rFonts w:ascii="Calibri" w:eastAsia="Calibri" w:hAnsi="Calibri"/>
          <w:sz w:val="22"/>
          <w:szCs w:val="22"/>
          <w:lang w:eastAsia="en-US"/>
        </w:rPr>
        <w:t xml:space="preserve"> seeing the written word is</w:t>
      </w:r>
      <w:r w:rsidR="00242F7A">
        <w:rPr>
          <w:rFonts w:ascii="Calibri" w:eastAsia="Calibri" w:hAnsi="Calibri"/>
          <w:sz w:val="22"/>
          <w:szCs w:val="22"/>
          <w:lang w:eastAsia="en-US"/>
        </w:rPr>
        <w:t>,</w:t>
      </w:r>
      <w:r w:rsidRPr="004053B4">
        <w:rPr>
          <w:rFonts w:ascii="Calibri" w:eastAsia="Calibri" w:hAnsi="Calibri"/>
          <w:sz w:val="22"/>
          <w:szCs w:val="22"/>
          <w:lang w:eastAsia="en-US"/>
        </w:rPr>
        <w:t xml:space="preserve"> in essence</w:t>
      </w:r>
      <w:r w:rsidR="00242F7A">
        <w:rPr>
          <w:rFonts w:ascii="Calibri" w:eastAsia="Calibri" w:hAnsi="Calibri"/>
          <w:sz w:val="22"/>
          <w:szCs w:val="22"/>
          <w:lang w:eastAsia="en-US"/>
        </w:rPr>
        <w:t>,</w:t>
      </w:r>
      <w:r w:rsidRPr="004053B4">
        <w:rPr>
          <w:rFonts w:ascii="Calibri" w:eastAsia="Calibri" w:hAnsi="Calibri"/>
          <w:sz w:val="22"/>
          <w:szCs w:val="22"/>
          <w:lang w:eastAsia="en-US"/>
        </w:rPr>
        <w:t xml:space="preserve"> both a linguistic and a visual cue to a certain extent. Whilst the double visual of word and image has been shown to be more effective than the image with a verbal cue, some researchers, such as Mousavi et al (1995)</w:t>
      </w:r>
      <w:r w:rsidR="00D47AA7">
        <w:rPr>
          <w:rFonts w:ascii="Calibri" w:eastAsia="Calibri" w:hAnsi="Calibri"/>
          <w:sz w:val="22"/>
          <w:szCs w:val="22"/>
          <w:lang w:eastAsia="en-US"/>
        </w:rPr>
        <w:t>,</w:t>
      </w:r>
      <w:r w:rsidRPr="004053B4">
        <w:rPr>
          <w:rFonts w:ascii="Calibri" w:eastAsia="Calibri" w:hAnsi="Calibri"/>
          <w:sz w:val="22"/>
          <w:szCs w:val="22"/>
          <w:lang w:eastAsia="en-US"/>
        </w:rPr>
        <w:t xml:space="preserve"> have tried to explore the combination of verbal and nonverbal stimuli to examine whether this could enhance working memory.</w:t>
      </w:r>
    </w:p>
    <w:p w14:paraId="65A3DA66" w14:textId="684A6EAE"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Dual-coding theory works on the premise that as visual and linguistic information is encoding via two separate neurological pathways, the two separate pieces of information are not in competition with each other. Schwartz (2005) took this a step further by introducing a verbal </w:t>
      </w:r>
      <w:r w:rsidR="008022F1" w:rsidRPr="0094694C">
        <w:rPr>
          <w:rFonts w:ascii="Calibri" w:eastAsia="Calibri" w:hAnsi="Calibri"/>
          <w:sz w:val="22"/>
          <w:szCs w:val="22"/>
          <w:lang w:eastAsia="en-US"/>
        </w:rPr>
        <w:t>aspect</w:t>
      </w:r>
      <w:r w:rsidRPr="004053B4">
        <w:rPr>
          <w:rFonts w:ascii="Calibri" w:eastAsia="Calibri" w:hAnsi="Calibri"/>
          <w:sz w:val="22"/>
          <w:szCs w:val="22"/>
          <w:lang w:eastAsia="en-US"/>
        </w:rPr>
        <w:t xml:space="preserve"> which acted as a third non-competing element</w:t>
      </w:r>
      <w:r w:rsidR="0094694C">
        <w:rPr>
          <w:rFonts w:ascii="Calibri" w:eastAsia="Calibri" w:hAnsi="Calibri"/>
          <w:sz w:val="22"/>
          <w:szCs w:val="22"/>
          <w:lang w:eastAsia="en-US"/>
        </w:rPr>
        <w:t>. S</w:t>
      </w:r>
      <w:r w:rsidRPr="004053B4">
        <w:rPr>
          <w:rFonts w:ascii="Calibri" w:eastAsia="Calibri" w:hAnsi="Calibri"/>
          <w:sz w:val="22"/>
          <w:szCs w:val="22"/>
          <w:lang w:eastAsia="en-US"/>
        </w:rPr>
        <w:t xml:space="preserve">uccess </w:t>
      </w:r>
      <w:r w:rsidR="0094694C">
        <w:rPr>
          <w:rFonts w:ascii="Calibri" w:eastAsia="Calibri" w:hAnsi="Calibri"/>
          <w:sz w:val="22"/>
          <w:szCs w:val="22"/>
          <w:lang w:eastAsia="en-US"/>
        </w:rPr>
        <w:t xml:space="preserve">was found </w:t>
      </w:r>
      <w:r w:rsidRPr="004053B4">
        <w:rPr>
          <w:rFonts w:ascii="Calibri" w:eastAsia="Calibri" w:hAnsi="Calibri"/>
          <w:sz w:val="22"/>
          <w:szCs w:val="22"/>
          <w:lang w:eastAsia="en-US"/>
        </w:rPr>
        <w:t xml:space="preserve">in using two elements in the visual mode (word and image) and a third auditory element designed to enhance learning and recall. This approach would appear to be an effective method for foreign language teaching </w:t>
      </w:r>
      <w:r w:rsidR="00263334" w:rsidRPr="004053B4">
        <w:rPr>
          <w:rFonts w:ascii="Calibri" w:eastAsia="Calibri" w:hAnsi="Calibri"/>
          <w:sz w:val="22"/>
          <w:szCs w:val="22"/>
          <w:lang w:eastAsia="en-US"/>
        </w:rPr>
        <w:t>because</w:t>
      </w:r>
      <w:r w:rsidRPr="004053B4">
        <w:rPr>
          <w:rFonts w:ascii="Calibri" w:eastAsia="Calibri" w:hAnsi="Calibri"/>
          <w:sz w:val="22"/>
          <w:szCs w:val="22"/>
          <w:lang w:eastAsia="en-US"/>
        </w:rPr>
        <w:t xml:space="preserve"> a </w:t>
      </w:r>
      <w:r w:rsidR="00973BEE">
        <w:rPr>
          <w:rFonts w:ascii="Calibri" w:eastAsia="Calibri" w:hAnsi="Calibri"/>
          <w:sz w:val="22"/>
          <w:szCs w:val="22"/>
          <w:lang w:eastAsia="en-US"/>
        </w:rPr>
        <w:t xml:space="preserve">secondary </w:t>
      </w:r>
      <w:r w:rsidRPr="004053B4">
        <w:rPr>
          <w:rFonts w:ascii="Calibri" w:eastAsia="Calibri" w:hAnsi="Calibri"/>
          <w:sz w:val="22"/>
          <w:szCs w:val="22"/>
          <w:lang w:eastAsia="en-US"/>
        </w:rPr>
        <w:t xml:space="preserve">language differs </w:t>
      </w:r>
      <w:r w:rsidR="00973BEE">
        <w:rPr>
          <w:rFonts w:ascii="Calibri" w:eastAsia="Calibri" w:hAnsi="Calibri"/>
          <w:sz w:val="22"/>
          <w:szCs w:val="22"/>
          <w:lang w:eastAsia="en-US"/>
        </w:rPr>
        <w:t>to</w:t>
      </w:r>
      <w:r w:rsidRPr="004053B4">
        <w:rPr>
          <w:rFonts w:ascii="Calibri" w:eastAsia="Calibri" w:hAnsi="Calibri"/>
          <w:sz w:val="22"/>
          <w:szCs w:val="22"/>
          <w:lang w:eastAsia="en-US"/>
        </w:rPr>
        <w:t xml:space="preserve"> the mother tongue</w:t>
      </w:r>
      <w:r w:rsidR="00973BEE">
        <w:rPr>
          <w:rFonts w:ascii="Calibri" w:eastAsia="Calibri" w:hAnsi="Calibri"/>
          <w:sz w:val="22"/>
          <w:szCs w:val="22"/>
          <w:lang w:eastAsia="en-US"/>
        </w:rPr>
        <w:t xml:space="preserve"> of the student</w:t>
      </w:r>
      <w:r w:rsidR="00E6578C">
        <w:rPr>
          <w:rFonts w:ascii="Calibri" w:eastAsia="Calibri" w:hAnsi="Calibri"/>
          <w:sz w:val="22"/>
          <w:szCs w:val="22"/>
          <w:lang w:eastAsia="en-US"/>
        </w:rPr>
        <w:t>;</w:t>
      </w:r>
      <w:r w:rsidR="0077444A">
        <w:rPr>
          <w:rFonts w:ascii="Calibri" w:eastAsia="Calibri" w:hAnsi="Calibri"/>
          <w:sz w:val="22"/>
          <w:szCs w:val="22"/>
          <w:lang w:eastAsia="en-US"/>
        </w:rPr>
        <w:t xml:space="preserve"> </w:t>
      </w:r>
      <w:proofErr w:type="gramStart"/>
      <w:r w:rsidR="00E6578C">
        <w:rPr>
          <w:rFonts w:ascii="Calibri" w:eastAsia="Calibri" w:hAnsi="Calibri"/>
          <w:sz w:val="22"/>
          <w:szCs w:val="22"/>
          <w:lang w:eastAsia="en-US"/>
        </w:rPr>
        <w:t>t</w:t>
      </w:r>
      <w:r w:rsidR="00973BEE">
        <w:rPr>
          <w:rFonts w:ascii="Calibri" w:eastAsia="Calibri" w:hAnsi="Calibri"/>
          <w:sz w:val="22"/>
          <w:szCs w:val="22"/>
          <w:lang w:eastAsia="en-US"/>
        </w:rPr>
        <w:t>hus</w:t>
      </w:r>
      <w:proofErr w:type="gramEnd"/>
      <w:r w:rsidRPr="004053B4">
        <w:rPr>
          <w:rFonts w:ascii="Calibri" w:eastAsia="Calibri" w:hAnsi="Calibri"/>
          <w:sz w:val="22"/>
          <w:szCs w:val="22"/>
          <w:lang w:eastAsia="en-US"/>
        </w:rPr>
        <w:t xml:space="preserve"> linking the sound of a new word to its visual representations</w:t>
      </w:r>
      <w:r w:rsidR="0077444A">
        <w:rPr>
          <w:rFonts w:ascii="Calibri" w:eastAsia="Calibri" w:hAnsi="Calibri"/>
          <w:sz w:val="22"/>
          <w:szCs w:val="22"/>
          <w:lang w:eastAsia="en-US"/>
        </w:rPr>
        <w:t xml:space="preserve"> and its written form</w:t>
      </w:r>
      <w:r w:rsidR="00263334">
        <w:rPr>
          <w:rFonts w:ascii="Calibri" w:eastAsia="Calibri" w:hAnsi="Calibri"/>
          <w:sz w:val="22"/>
          <w:szCs w:val="22"/>
          <w:lang w:eastAsia="en-US"/>
        </w:rPr>
        <w:t xml:space="preserve"> could provide a broader</w:t>
      </w:r>
      <w:r w:rsidRPr="004053B4">
        <w:rPr>
          <w:rFonts w:ascii="Calibri" w:eastAsia="Calibri" w:hAnsi="Calibri"/>
          <w:sz w:val="22"/>
          <w:szCs w:val="22"/>
          <w:lang w:eastAsia="en-US"/>
        </w:rPr>
        <w:t xml:space="preserve"> context </w:t>
      </w:r>
      <w:r w:rsidR="00E8070C">
        <w:rPr>
          <w:rFonts w:ascii="Calibri" w:eastAsia="Calibri" w:hAnsi="Calibri"/>
          <w:sz w:val="22"/>
          <w:szCs w:val="22"/>
          <w:lang w:eastAsia="en-US"/>
        </w:rPr>
        <w:t xml:space="preserve">for </w:t>
      </w:r>
      <w:r w:rsidRPr="004053B4">
        <w:rPr>
          <w:rFonts w:ascii="Calibri" w:eastAsia="Calibri" w:hAnsi="Calibri"/>
          <w:sz w:val="22"/>
          <w:szCs w:val="22"/>
          <w:lang w:eastAsia="en-US"/>
        </w:rPr>
        <w:t>that word. With French it is important to not only emphasise a word image link, but also a sound word link in order to aid</w:t>
      </w:r>
      <w:r w:rsidR="00E8070C">
        <w:rPr>
          <w:rFonts w:ascii="Calibri" w:eastAsia="Calibri" w:hAnsi="Calibri"/>
          <w:sz w:val="22"/>
          <w:szCs w:val="22"/>
          <w:lang w:eastAsia="en-US"/>
        </w:rPr>
        <w:t xml:space="preserve"> effective</w:t>
      </w:r>
      <w:r w:rsidRPr="004053B4">
        <w:rPr>
          <w:rFonts w:ascii="Calibri" w:eastAsia="Calibri" w:hAnsi="Calibri"/>
          <w:sz w:val="22"/>
          <w:szCs w:val="22"/>
          <w:lang w:eastAsia="en-US"/>
        </w:rPr>
        <w:t xml:space="preserve"> communication as well as </w:t>
      </w:r>
      <w:r w:rsidR="00E8070C">
        <w:rPr>
          <w:rFonts w:ascii="Calibri" w:eastAsia="Calibri" w:hAnsi="Calibri"/>
          <w:sz w:val="22"/>
          <w:szCs w:val="22"/>
          <w:lang w:eastAsia="en-US"/>
        </w:rPr>
        <w:t xml:space="preserve">independent </w:t>
      </w:r>
      <w:r w:rsidRPr="004053B4">
        <w:rPr>
          <w:rFonts w:ascii="Calibri" w:eastAsia="Calibri" w:hAnsi="Calibri"/>
          <w:sz w:val="22"/>
          <w:szCs w:val="22"/>
          <w:lang w:eastAsia="en-US"/>
        </w:rPr>
        <w:t>recall. Research shows that the ability to recall abstract adjectives and apply them to new contexts is more effective when these three elements are presented; which indicates that presenting three non-competing elements enables better encoding of new language (Schwartz</w:t>
      </w:r>
      <w:r w:rsidR="001B7311">
        <w:rPr>
          <w:rFonts w:ascii="Calibri" w:eastAsia="Calibri" w:hAnsi="Calibri"/>
          <w:sz w:val="22"/>
          <w:szCs w:val="22"/>
          <w:lang w:eastAsia="en-US"/>
        </w:rPr>
        <w:t>, 2005</w:t>
      </w:r>
      <w:r w:rsidRPr="004053B4">
        <w:rPr>
          <w:rFonts w:ascii="Calibri" w:eastAsia="Calibri" w:hAnsi="Calibri"/>
          <w:sz w:val="22"/>
          <w:szCs w:val="22"/>
          <w:lang w:eastAsia="en-US"/>
        </w:rPr>
        <w:t>). Further research by</w:t>
      </w:r>
      <w:r w:rsidR="003147AB">
        <w:rPr>
          <w:rFonts w:ascii="Calibri" w:eastAsia="Calibri" w:hAnsi="Calibri"/>
          <w:sz w:val="22"/>
          <w:szCs w:val="22"/>
          <w:lang w:eastAsia="en-US"/>
        </w:rPr>
        <w:t xml:space="preserve"> </w:t>
      </w:r>
      <w:r w:rsidR="003B0121">
        <w:rPr>
          <w:rFonts w:ascii="Calibri" w:eastAsia="Calibri" w:hAnsi="Calibri"/>
          <w:sz w:val="22"/>
          <w:szCs w:val="22"/>
          <w:lang w:eastAsia="en-US"/>
        </w:rPr>
        <w:t>Lin</w:t>
      </w:r>
      <w:r w:rsidR="003147AB">
        <w:rPr>
          <w:rFonts w:ascii="Calibri" w:eastAsia="Calibri" w:hAnsi="Calibri"/>
          <w:sz w:val="22"/>
          <w:szCs w:val="22"/>
          <w:lang w:eastAsia="en-US"/>
        </w:rPr>
        <w:t xml:space="preserve"> et al</w:t>
      </w:r>
      <w:r w:rsidRPr="004053B4">
        <w:rPr>
          <w:rFonts w:ascii="Calibri" w:eastAsia="Calibri" w:hAnsi="Calibri"/>
          <w:sz w:val="22"/>
          <w:szCs w:val="22"/>
          <w:lang w:eastAsia="en-US"/>
        </w:rPr>
        <w:t xml:space="preserve"> (</w:t>
      </w:r>
      <w:r w:rsidR="00413561">
        <w:rPr>
          <w:rFonts w:ascii="Calibri" w:eastAsia="Calibri" w:hAnsi="Calibri"/>
          <w:sz w:val="22"/>
          <w:szCs w:val="22"/>
          <w:lang w:eastAsia="en-US"/>
        </w:rPr>
        <w:t>2017</w:t>
      </w:r>
      <w:r w:rsidRPr="004053B4">
        <w:rPr>
          <w:rFonts w:ascii="Calibri" w:eastAsia="Calibri" w:hAnsi="Calibri"/>
          <w:sz w:val="22"/>
          <w:szCs w:val="22"/>
          <w:lang w:eastAsia="en-US"/>
        </w:rPr>
        <w:t xml:space="preserve">) emphasises the necessity of strong verbal associations for the recall of abstract words. This suggests that the addition of a verbal element to a traditional dual-coding approach can facilitate improved processing and encoding and support a strengthened link between word and image. </w:t>
      </w:r>
    </w:p>
    <w:p w14:paraId="4E467E2E" w14:textId="1E48BECF"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When considering the use of dual-coding for language acquisition and recall, it is also important to consider the wider context of cognitive strategies in MFL pedagogy. Cognitive strategies involve engaging with language materials or tasks in order to further develop understanding and improve learning (Grenfell and Harries</w:t>
      </w:r>
      <w:r w:rsidR="006B26D5">
        <w:rPr>
          <w:rFonts w:ascii="Calibri" w:eastAsia="Calibri" w:hAnsi="Calibri"/>
          <w:sz w:val="22"/>
          <w:szCs w:val="22"/>
          <w:lang w:eastAsia="en-US"/>
        </w:rPr>
        <w:t>, 1999</w:t>
      </w:r>
      <w:r w:rsidRPr="004053B4">
        <w:rPr>
          <w:rFonts w:ascii="Calibri" w:eastAsia="Calibri" w:hAnsi="Calibri"/>
          <w:sz w:val="22"/>
          <w:szCs w:val="22"/>
          <w:lang w:eastAsia="en-US"/>
        </w:rPr>
        <w:t>). As cognitive strategies are intrinsically linked with processing language (Harries</w:t>
      </w:r>
      <w:r w:rsidR="00644B75">
        <w:rPr>
          <w:rFonts w:ascii="Calibri" w:eastAsia="Calibri" w:hAnsi="Calibri"/>
          <w:sz w:val="22"/>
          <w:szCs w:val="22"/>
          <w:lang w:eastAsia="en-US"/>
        </w:rPr>
        <w:t>, 2000</w:t>
      </w:r>
      <w:r w:rsidRPr="004053B4">
        <w:rPr>
          <w:rFonts w:ascii="Calibri" w:eastAsia="Calibri" w:hAnsi="Calibri"/>
          <w:sz w:val="22"/>
          <w:szCs w:val="22"/>
          <w:lang w:eastAsia="en-US"/>
        </w:rPr>
        <w:t>), there is considerable overlap across strategies. This means that dual coding applied within the classroom does not stand alone but contains elements of other important strategies such as inference and using available context (</w:t>
      </w:r>
      <w:proofErr w:type="spellStart"/>
      <w:r w:rsidRPr="004053B4">
        <w:rPr>
          <w:rFonts w:ascii="Calibri" w:eastAsia="Calibri" w:hAnsi="Calibri"/>
          <w:sz w:val="22"/>
          <w:szCs w:val="22"/>
          <w:lang w:eastAsia="en-US"/>
        </w:rPr>
        <w:t>Macaro</w:t>
      </w:r>
      <w:proofErr w:type="spellEnd"/>
      <w:r w:rsidR="00925AA9">
        <w:rPr>
          <w:rFonts w:ascii="Calibri" w:eastAsia="Calibri" w:hAnsi="Calibri"/>
          <w:sz w:val="22"/>
          <w:szCs w:val="22"/>
          <w:lang w:eastAsia="en-US"/>
        </w:rPr>
        <w:t>, 2001</w:t>
      </w:r>
      <w:r w:rsidRPr="004053B4">
        <w:rPr>
          <w:rFonts w:ascii="Calibri" w:eastAsia="Calibri" w:hAnsi="Calibri"/>
          <w:sz w:val="22"/>
          <w:szCs w:val="22"/>
          <w:lang w:eastAsia="en-US"/>
        </w:rPr>
        <w:t xml:space="preserve">). </w:t>
      </w:r>
      <w:proofErr w:type="spellStart"/>
      <w:r w:rsidR="00A67D48">
        <w:rPr>
          <w:rFonts w:ascii="Calibri" w:eastAsia="Calibri" w:hAnsi="Calibri"/>
          <w:sz w:val="22"/>
          <w:szCs w:val="22"/>
          <w:lang w:eastAsia="en-US"/>
        </w:rPr>
        <w:t>Macaro</w:t>
      </w:r>
      <w:proofErr w:type="spellEnd"/>
      <w:r w:rsidR="00A67D48">
        <w:rPr>
          <w:rFonts w:ascii="Calibri" w:eastAsia="Calibri" w:hAnsi="Calibri"/>
          <w:sz w:val="22"/>
          <w:szCs w:val="22"/>
          <w:lang w:eastAsia="en-US"/>
        </w:rPr>
        <w:t xml:space="preserve"> (2001) also suggest</w:t>
      </w:r>
      <w:r w:rsidR="002D2EEE">
        <w:rPr>
          <w:rFonts w:ascii="Calibri" w:eastAsia="Calibri" w:hAnsi="Calibri"/>
          <w:sz w:val="22"/>
          <w:szCs w:val="22"/>
          <w:lang w:eastAsia="en-US"/>
        </w:rPr>
        <w:t>s</w:t>
      </w:r>
      <w:r w:rsidR="00A67D48">
        <w:rPr>
          <w:rFonts w:ascii="Calibri" w:eastAsia="Calibri" w:hAnsi="Calibri"/>
          <w:sz w:val="22"/>
          <w:szCs w:val="22"/>
          <w:lang w:eastAsia="en-US"/>
        </w:rPr>
        <w:t xml:space="preserve"> that the strategies and systems used to retrieve language could be identical t</w:t>
      </w:r>
      <w:r w:rsidR="002D2EEE">
        <w:rPr>
          <w:rFonts w:ascii="Calibri" w:eastAsia="Calibri" w:hAnsi="Calibri"/>
          <w:sz w:val="22"/>
          <w:szCs w:val="22"/>
          <w:lang w:eastAsia="en-US"/>
        </w:rPr>
        <w:t xml:space="preserve">o the strategies used to </w:t>
      </w:r>
      <w:r w:rsidR="002D2EEE">
        <w:rPr>
          <w:rFonts w:ascii="Calibri" w:eastAsia="Calibri" w:hAnsi="Calibri"/>
          <w:sz w:val="22"/>
          <w:szCs w:val="22"/>
          <w:lang w:eastAsia="en-US"/>
        </w:rPr>
        <w:lastRenderedPageBreak/>
        <w:t>store it, so if overlapping strategies are used to encode the information upon initial instruction it is plausible that</w:t>
      </w:r>
      <w:r w:rsidR="00FD548E">
        <w:rPr>
          <w:rFonts w:ascii="Calibri" w:eastAsia="Calibri" w:hAnsi="Calibri"/>
          <w:sz w:val="22"/>
          <w:szCs w:val="22"/>
          <w:lang w:eastAsia="en-US"/>
        </w:rPr>
        <w:t xml:space="preserve"> this creates multiple cues and systems for </w:t>
      </w:r>
      <w:r w:rsidR="00122B08">
        <w:rPr>
          <w:rFonts w:ascii="Calibri" w:eastAsia="Calibri" w:hAnsi="Calibri"/>
          <w:sz w:val="22"/>
          <w:szCs w:val="22"/>
          <w:lang w:eastAsia="en-US"/>
        </w:rPr>
        <w:t xml:space="preserve">future </w:t>
      </w:r>
      <w:r w:rsidR="00FD548E">
        <w:rPr>
          <w:rFonts w:ascii="Calibri" w:eastAsia="Calibri" w:hAnsi="Calibri"/>
          <w:sz w:val="22"/>
          <w:szCs w:val="22"/>
          <w:lang w:eastAsia="en-US"/>
        </w:rPr>
        <w:t xml:space="preserve">information retrieval. </w:t>
      </w:r>
    </w:p>
    <w:p w14:paraId="0163884D" w14:textId="40A8F629"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When considering cognitive strategies</w:t>
      </w:r>
      <w:r w:rsidR="00A76F05">
        <w:rPr>
          <w:rFonts w:ascii="Calibri" w:eastAsia="Calibri" w:hAnsi="Calibri"/>
          <w:sz w:val="22"/>
          <w:szCs w:val="22"/>
          <w:lang w:eastAsia="en-US"/>
        </w:rPr>
        <w:t>,</w:t>
      </w:r>
      <w:r w:rsidRPr="004053B4">
        <w:rPr>
          <w:rFonts w:ascii="Calibri" w:eastAsia="Calibri" w:hAnsi="Calibri"/>
          <w:sz w:val="22"/>
          <w:szCs w:val="22"/>
          <w:lang w:eastAsia="en-US"/>
        </w:rPr>
        <w:t xml:space="preserve"> it is important to </w:t>
      </w:r>
      <w:proofErr w:type="gramStart"/>
      <w:r w:rsidRPr="004053B4">
        <w:rPr>
          <w:rFonts w:ascii="Calibri" w:eastAsia="Calibri" w:hAnsi="Calibri"/>
          <w:sz w:val="22"/>
          <w:szCs w:val="22"/>
          <w:lang w:eastAsia="en-US"/>
        </w:rPr>
        <w:t>take into account</w:t>
      </w:r>
      <w:proofErr w:type="gramEnd"/>
      <w:r w:rsidRPr="004053B4">
        <w:rPr>
          <w:rFonts w:ascii="Calibri" w:eastAsia="Calibri" w:hAnsi="Calibri"/>
          <w:sz w:val="22"/>
          <w:szCs w:val="22"/>
          <w:lang w:eastAsia="en-US"/>
        </w:rPr>
        <w:t xml:space="preserve"> the desired outcome, such as retention of acquired knowledge. The basic elements of memory retention are recognition and recall. Recognition operates on partial or incomplete knowledge, whilst recall requires active production and is thus more difficult (Hattie </w:t>
      </w:r>
      <w:r w:rsidR="00E10FC2">
        <w:rPr>
          <w:rFonts w:ascii="Calibri" w:eastAsia="Calibri" w:hAnsi="Calibri"/>
          <w:sz w:val="22"/>
          <w:szCs w:val="22"/>
          <w:lang w:eastAsia="en-US"/>
        </w:rPr>
        <w:t xml:space="preserve">&amp; </w:t>
      </w:r>
      <w:r w:rsidRPr="004053B4">
        <w:rPr>
          <w:rFonts w:ascii="Calibri" w:eastAsia="Calibri" w:hAnsi="Calibri"/>
          <w:sz w:val="22"/>
          <w:szCs w:val="22"/>
          <w:lang w:eastAsia="en-US"/>
        </w:rPr>
        <w:t>Yates</w:t>
      </w:r>
      <w:r w:rsidR="00E10FC2">
        <w:rPr>
          <w:rFonts w:ascii="Calibri" w:eastAsia="Calibri" w:hAnsi="Calibri"/>
          <w:sz w:val="22"/>
          <w:szCs w:val="22"/>
          <w:lang w:eastAsia="en-US"/>
        </w:rPr>
        <w:t>, 2014</w:t>
      </w:r>
      <w:r w:rsidRPr="004053B4">
        <w:rPr>
          <w:rFonts w:ascii="Calibri" w:eastAsia="Calibri" w:hAnsi="Calibri"/>
          <w:sz w:val="22"/>
          <w:szCs w:val="22"/>
          <w:lang w:eastAsia="en-US"/>
        </w:rPr>
        <w:t xml:space="preserve">). If the desired result of dual-coding or other cognitive strategies is that of independent vocabulary production, then test results are likely to be lower than if it were a recognition test (Hattie </w:t>
      </w:r>
      <w:r w:rsidR="00EB4639">
        <w:rPr>
          <w:rFonts w:ascii="Calibri" w:eastAsia="Calibri" w:hAnsi="Calibri"/>
          <w:sz w:val="22"/>
          <w:szCs w:val="22"/>
          <w:lang w:eastAsia="en-US"/>
        </w:rPr>
        <w:t xml:space="preserve">&amp; </w:t>
      </w:r>
      <w:r w:rsidRPr="004053B4">
        <w:rPr>
          <w:rFonts w:ascii="Calibri" w:eastAsia="Calibri" w:hAnsi="Calibri"/>
          <w:sz w:val="22"/>
          <w:szCs w:val="22"/>
          <w:lang w:eastAsia="en-US"/>
        </w:rPr>
        <w:t>Yates</w:t>
      </w:r>
      <w:r w:rsidR="00E10FC2">
        <w:rPr>
          <w:rFonts w:ascii="Calibri" w:eastAsia="Calibri" w:hAnsi="Calibri"/>
          <w:sz w:val="22"/>
          <w:szCs w:val="22"/>
          <w:lang w:eastAsia="en-US"/>
        </w:rPr>
        <w:t>, 2014</w:t>
      </w:r>
      <w:r w:rsidRPr="004053B4">
        <w:rPr>
          <w:rFonts w:ascii="Calibri" w:eastAsia="Calibri" w:hAnsi="Calibri"/>
          <w:sz w:val="22"/>
          <w:szCs w:val="22"/>
          <w:lang w:eastAsia="en-US"/>
        </w:rPr>
        <w:t>).</w:t>
      </w:r>
      <w:r w:rsidR="00816368">
        <w:rPr>
          <w:rFonts w:ascii="Calibri" w:eastAsia="Calibri" w:hAnsi="Calibri"/>
          <w:sz w:val="22"/>
          <w:szCs w:val="22"/>
          <w:lang w:eastAsia="en-US"/>
        </w:rPr>
        <w:t xml:space="preserve"> </w:t>
      </w:r>
    </w:p>
    <w:p w14:paraId="15C7671E" w14:textId="33C2EFE3"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As recall requires a deeper level of processing, we must be aware of the risk of information overload affecting learning and thus negatively impacting on results. Hattie and Yates (</w:t>
      </w:r>
      <w:r w:rsidR="00E10FC2">
        <w:rPr>
          <w:rFonts w:ascii="Calibri" w:eastAsia="Calibri" w:hAnsi="Calibri"/>
          <w:sz w:val="22"/>
          <w:szCs w:val="22"/>
          <w:lang w:eastAsia="en-US"/>
        </w:rPr>
        <w:t>2014</w:t>
      </w:r>
      <w:r w:rsidRPr="004053B4">
        <w:rPr>
          <w:rFonts w:ascii="Calibri" w:eastAsia="Calibri" w:hAnsi="Calibri"/>
          <w:sz w:val="22"/>
          <w:szCs w:val="22"/>
          <w:lang w:eastAsia="en-US"/>
        </w:rPr>
        <w:t>) highlight how easily the working memory can be overwhelmed by new or disorganised information when learning is already an inherently difficult task that leaves the learner vulnerable. Awareness of the risk of cognitive overload during the teaching process can therefore encourage educators to reconsider how they present new information to their students in order to improve learning and retention (H</w:t>
      </w:r>
      <w:r w:rsidR="00EB4639">
        <w:rPr>
          <w:rFonts w:ascii="Calibri" w:eastAsia="Calibri" w:hAnsi="Calibri"/>
          <w:sz w:val="22"/>
          <w:szCs w:val="22"/>
          <w:lang w:eastAsia="en-US"/>
        </w:rPr>
        <w:t>attie &amp; Yates, 2014</w:t>
      </w:r>
      <w:r w:rsidR="00082427">
        <w:rPr>
          <w:rFonts w:ascii="Calibri" w:eastAsia="Calibri" w:hAnsi="Calibri"/>
          <w:sz w:val="22"/>
          <w:szCs w:val="22"/>
          <w:lang w:eastAsia="en-US"/>
        </w:rPr>
        <w:t>)</w:t>
      </w:r>
      <w:r w:rsidRPr="004053B4">
        <w:rPr>
          <w:rFonts w:ascii="Calibri" w:eastAsia="Calibri" w:hAnsi="Calibri"/>
          <w:sz w:val="22"/>
          <w:szCs w:val="22"/>
          <w:lang w:eastAsia="en-US"/>
        </w:rPr>
        <w:t>.</w:t>
      </w:r>
      <w:r w:rsidR="00F507E5" w:rsidRPr="00EB4639">
        <w:rPr>
          <w:rFonts w:ascii="Calibri" w:eastAsia="Calibri" w:hAnsi="Calibri"/>
          <w:sz w:val="22"/>
          <w:szCs w:val="22"/>
          <w:lang w:eastAsia="en-US"/>
        </w:rPr>
        <w:t xml:space="preserve"> </w:t>
      </w:r>
      <w:r w:rsidR="00F507E5" w:rsidRPr="004053B4">
        <w:rPr>
          <w:rFonts w:ascii="Calibri" w:eastAsia="Calibri" w:hAnsi="Calibri"/>
          <w:sz w:val="22"/>
          <w:szCs w:val="22"/>
          <w:lang w:eastAsia="en-US"/>
        </w:rPr>
        <w:t xml:space="preserve">Studies have shown that students learn better when the input they experience is multi-modal and that effective learning occurs when combining different media (Hattie </w:t>
      </w:r>
      <w:r w:rsidR="00EB4639">
        <w:rPr>
          <w:rFonts w:ascii="Calibri" w:eastAsia="Calibri" w:hAnsi="Calibri"/>
          <w:sz w:val="22"/>
          <w:szCs w:val="22"/>
          <w:lang w:eastAsia="en-US"/>
        </w:rPr>
        <w:t>&amp;</w:t>
      </w:r>
      <w:r w:rsidR="00F507E5" w:rsidRPr="004053B4">
        <w:rPr>
          <w:rFonts w:ascii="Calibri" w:eastAsia="Calibri" w:hAnsi="Calibri"/>
          <w:sz w:val="22"/>
          <w:szCs w:val="22"/>
          <w:lang w:eastAsia="en-US"/>
        </w:rPr>
        <w:t xml:space="preserve"> Yates</w:t>
      </w:r>
      <w:r w:rsidR="00F507E5" w:rsidRPr="00EB4639">
        <w:rPr>
          <w:rFonts w:ascii="Calibri" w:eastAsia="Calibri" w:hAnsi="Calibri"/>
          <w:sz w:val="22"/>
          <w:szCs w:val="22"/>
          <w:lang w:eastAsia="en-US"/>
        </w:rPr>
        <w:t>, 2014</w:t>
      </w:r>
      <w:r w:rsidR="00F507E5" w:rsidRPr="004053B4">
        <w:rPr>
          <w:rFonts w:ascii="Calibri" w:eastAsia="Calibri" w:hAnsi="Calibri"/>
          <w:sz w:val="22"/>
          <w:szCs w:val="22"/>
          <w:lang w:eastAsia="en-US"/>
        </w:rPr>
        <w:t>)</w:t>
      </w:r>
      <w:r w:rsidR="00F507E5" w:rsidRPr="00EB4639">
        <w:rPr>
          <w:rFonts w:ascii="Calibri" w:eastAsia="Calibri" w:hAnsi="Calibri"/>
          <w:sz w:val="22"/>
          <w:szCs w:val="22"/>
          <w:lang w:eastAsia="en-US"/>
        </w:rPr>
        <w:t xml:space="preserve">, </w:t>
      </w:r>
      <w:r w:rsidR="000C12A0" w:rsidRPr="00EB4639">
        <w:rPr>
          <w:rFonts w:ascii="Calibri" w:eastAsia="Calibri" w:hAnsi="Calibri"/>
          <w:sz w:val="22"/>
          <w:szCs w:val="22"/>
          <w:lang w:eastAsia="en-US"/>
        </w:rPr>
        <w:t>meaning that</w:t>
      </w:r>
      <w:r w:rsidR="00F507E5" w:rsidRPr="00EB4639">
        <w:rPr>
          <w:rFonts w:ascii="Calibri" w:eastAsia="Calibri" w:hAnsi="Calibri"/>
          <w:sz w:val="22"/>
          <w:szCs w:val="22"/>
          <w:lang w:eastAsia="en-US"/>
        </w:rPr>
        <w:t xml:space="preserve"> dual-coding </w:t>
      </w:r>
      <w:r w:rsidR="00D7420B" w:rsidRPr="00EB4639">
        <w:rPr>
          <w:rFonts w:ascii="Calibri" w:eastAsia="Calibri" w:hAnsi="Calibri"/>
          <w:sz w:val="22"/>
          <w:szCs w:val="22"/>
          <w:lang w:eastAsia="en-US"/>
        </w:rPr>
        <w:t xml:space="preserve">can be used </w:t>
      </w:r>
      <w:r w:rsidR="000C12A0" w:rsidRPr="00EB4639">
        <w:rPr>
          <w:rFonts w:ascii="Calibri" w:eastAsia="Calibri" w:hAnsi="Calibri"/>
          <w:sz w:val="22"/>
          <w:szCs w:val="22"/>
          <w:lang w:eastAsia="en-US"/>
        </w:rPr>
        <w:t xml:space="preserve">to enhance the learning experience without </w:t>
      </w:r>
      <w:r w:rsidR="00EB4639" w:rsidRPr="00EB4639">
        <w:rPr>
          <w:rFonts w:ascii="Calibri" w:eastAsia="Calibri" w:hAnsi="Calibri"/>
          <w:sz w:val="22"/>
          <w:szCs w:val="22"/>
          <w:lang w:eastAsia="en-US"/>
        </w:rPr>
        <w:t>overloading students’ cognitive capabilities</w:t>
      </w:r>
      <w:r w:rsidR="00F507E5" w:rsidRPr="004053B4">
        <w:rPr>
          <w:rFonts w:ascii="Calibri" w:eastAsia="Calibri" w:hAnsi="Calibri"/>
          <w:sz w:val="22"/>
          <w:szCs w:val="22"/>
          <w:lang w:eastAsia="en-US"/>
        </w:rPr>
        <w:t xml:space="preserve">. </w:t>
      </w:r>
    </w:p>
    <w:p w14:paraId="2A2A1D7A" w14:textId="02208C50"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It has been suggested that the difficulty of effective dual coding with abstract words is due to a lack of what is termed referential meaning (Clark</w:t>
      </w:r>
      <w:r w:rsidR="00451F23">
        <w:rPr>
          <w:rFonts w:ascii="Calibri" w:eastAsia="Calibri" w:hAnsi="Calibri"/>
          <w:sz w:val="22"/>
          <w:szCs w:val="22"/>
          <w:lang w:eastAsia="en-US"/>
        </w:rPr>
        <w:t>, 1984</w:t>
      </w:r>
      <w:r w:rsidRPr="004053B4">
        <w:rPr>
          <w:rFonts w:ascii="Calibri" w:eastAsia="Calibri" w:hAnsi="Calibri"/>
          <w:sz w:val="22"/>
          <w:szCs w:val="22"/>
          <w:lang w:eastAsia="en-US"/>
        </w:rPr>
        <w:t>). All words are thought to have a larger network of verbal associations that give shared meaning, which helps to put single words in a larger context of equivalent words and meanings. Concrete words, however, also have referential connections meaning that they elicit common images and these pictorial representations provide additional nonverbal meaning and widen the context of the word in question. It is harder eliciting images with abstract words and thus recall is largely dependent on verbal representation with their associative meanings, rather than the additional benefit of referential connections (Clark</w:t>
      </w:r>
      <w:r w:rsidR="00451F23">
        <w:rPr>
          <w:rFonts w:ascii="Calibri" w:eastAsia="Calibri" w:hAnsi="Calibri"/>
          <w:sz w:val="22"/>
          <w:szCs w:val="22"/>
          <w:lang w:eastAsia="en-US"/>
        </w:rPr>
        <w:t>, 1984</w:t>
      </w:r>
      <w:r w:rsidRPr="004053B4">
        <w:rPr>
          <w:rFonts w:ascii="Calibri" w:eastAsia="Calibri" w:hAnsi="Calibri"/>
          <w:sz w:val="22"/>
          <w:szCs w:val="22"/>
          <w:lang w:eastAsia="en-US"/>
        </w:rPr>
        <w:t>).</w:t>
      </w:r>
    </w:p>
    <w:p w14:paraId="662800C2" w14:textId="794AC0A0"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When we approach dual-coding in the foreign language learning context, we might consider it as a bilingual model as it requires both the use of the mother tongue and the target language. As two different languages are brought into play, two different sets of verbal representations are used in order to engage both languages (</w:t>
      </w:r>
      <w:proofErr w:type="spellStart"/>
      <w:r w:rsidRPr="004053B4">
        <w:rPr>
          <w:rFonts w:ascii="Calibri" w:eastAsia="Calibri" w:hAnsi="Calibri"/>
          <w:sz w:val="22"/>
          <w:szCs w:val="22"/>
          <w:lang w:eastAsia="en-US"/>
        </w:rPr>
        <w:t>Paivio</w:t>
      </w:r>
      <w:proofErr w:type="spellEnd"/>
      <w:r w:rsidR="00676F2D">
        <w:rPr>
          <w:rFonts w:ascii="Calibri" w:eastAsia="Calibri" w:hAnsi="Calibri"/>
          <w:sz w:val="22"/>
          <w:szCs w:val="22"/>
          <w:lang w:eastAsia="en-US"/>
        </w:rPr>
        <w:t xml:space="preserve"> et al, 1988</w:t>
      </w:r>
      <w:r w:rsidRPr="004053B4">
        <w:rPr>
          <w:rFonts w:ascii="Calibri" w:eastAsia="Calibri" w:hAnsi="Calibri"/>
          <w:sz w:val="22"/>
          <w:szCs w:val="22"/>
          <w:lang w:eastAsia="en-US"/>
        </w:rPr>
        <w:t xml:space="preserve">). The learner draws associative meanings from the word in their own language </w:t>
      </w:r>
      <w:proofErr w:type="gramStart"/>
      <w:r w:rsidRPr="004053B4">
        <w:rPr>
          <w:rFonts w:ascii="Calibri" w:eastAsia="Calibri" w:hAnsi="Calibri"/>
          <w:sz w:val="22"/>
          <w:szCs w:val="22"/>
          <w:lang w:eastAsia="en-US"/>
        </w:rPr>
        <w:t>and also</w:t>
      </w:r>
      <w:proofErr w:type="gramEnd"/>
      <w:r w:rsidRPr="004053B4">
        <w:rPr>
          <w:rFonts w:ascii="Calibri" w:eastAsia="Calibri" w:hAnsi="Calibri"/>
          <w:sz w:val="22"/>
          <w:szCs w:val="22"/>
          <w:lang w:eastAsia="en-US"/>
        </w:rPr>
        <w:t xml:space="preserve"> translates the word into the target language, drawing on the associative meanings of that language. Whilst this requires the use of two corresponding </w:t>
      </w:r>
      <w:r w:rsidRPr="004053B4">
        <w:rPr>
          <w:rFonts w:ascii="Calibri" w:eastAsia="Calibri" w:hAnsi="Calibri"/>
          <w:sz w:val="22"/>
          <w:szCs w:val="22"/>
          <w:lang w:eastAsia="en-US"/>
        </w:rPr>
        <w:lastRenderedPageBreak/>
        <w:t>language systems, both languages will share the same referential representation in the case of concrete words.</w:t>
      </w:r>
    </w:p>
    <w:p w14:paraId="27B20D96" w14:textId="74650A98"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Dual-coding can be considered a form of multimedia presentation as information is presented through different modes – visual and verbal. Research has shown that when the working memory is divided across multiple presentation modes, the learner receives a more flexible learning experience which allows for deeper processing of information as well as less cognitive overload (</w:t>
      </w:r>
      <w:proofErr w:type="spellStart"/>
      <w:r w:rsidR="004B172A">
        <w:rPr>
          <w:rFonts w:ascii="Calibri" w:eastAsia="Calibri" w:hAnsi="Calibri"/>
          <w:sz w:val="22"/>
          <w:szCs w:val="22"/>
          <w:lang w:eastAsia="en-US"/>
        </w:rPr>
        <w:t>Paas</w:t>
      </w:r>
      <w:proofErr w:type="spellEnd"/>
      <w:r w:rsidR="004B172A">
        <w:rPr>
          <w:rFonts w:ascii="Calibri" w:eastAsia="Calibri" w:hAnsi="Calibri"/>
          <w:sz w:val="22"/>
          <w:szCs w:val="22"/>
          <w:lang w:eastAsia="en-US"/>
        </w:rPr>
        <w:t xml:space="preserve"> et al, 2003; </w:t>
      </w:r>
      <w:proofErr w:type="spellStart"/>
      <w:r w:rsidR="004B172A">
        <w:rPr>
          <w:rFonts w:ascii="Calibri" w:eastAsia="Calibri" w:hAnsi="Calibri"/>
          <w:sz w:val="22"/>
          <w:szCs w:val="22"/>
          <w:lang w:eastAsia="en-US"/>
        </w:rPr>
        <w:t>Merrienboer</w:t>
      </w:r>
      <w:proofErr w:type="spellEnd"/>
      <w:r w:rsidR="004B172A">
        <w:rPr>
          <w:rFonts w:ascii="Calibri" w:eastAsia="Calibri" w:hAnsi="Calibri"/>
          <w:sz w:val="22"/>
          <w:szCs w:val="22"/>
          <w:lang w:eastAsia="en-US"/>
        </w:rPr>
        <w:t xml:space="preserve"> et al, 2003). </w:t>
      </w:r>
      <w:r w:rsidRPr="004053B4">
        <w:rPr>
          <w:rFonts w:ascii="Calibri" w:eastAsia="Calibri" w:hAnsi="Calibri"/>
          <w:sz w:val="22"/>
          <w:szCs w:val="22"/>
          <w:lang w:eastAsia="en-US"/>
        </w:rPr>
        <w:t>Whilst presenting more information could lead to cognitive overload, the fact that words and images are processed by separate subsystems means that the complementary information can be actively processed and integrated through good working memory (</w:t>
      </w:r>
      <w:proofErr w:type="spellStart"/>
      <w:r w:rsidRPr="004053B4">
        <w:rPr>
          <w:rFonts w:ascii="Calibri" w:eastAsia="Calibri" w:hAnsi="Calibri"/>
          <w:sz w:val="22"/>
          <w:szCs w:val="22"/>
          <w:lang w:eastAsia="en-US"/>
        </w:rPr>
        <w:t>B</w:t>
      </w:r>
      <w:r w:rsidR="0038760E">
        <w:rPr>
          <w:rFonts w:ascii="Calibri" w:eastAsia="Calibri" w:hAnsi="Calibri"/>
          <w:sz w:val="22"/>
          <w:szCs w:val="22"/>
          <w:lang w:eastAsia="en-US"/>
        </w:rPr>
        <w:t>r</w:t>
      </w:r>
      <w:r w:rsidRPr="004053B4">
        <w:rPr>
          <w:rFonts w:ascii="Calibri" w:eastAsia="Calibri" w:hAnsi="Calibri"/>
          <w:sz w:val="22"/>
          <w:szCs w:val="22"/>
          <w:lang w:eastAsia="en-US"/>
        </w:rPr>
        <w:t>uny</w:t>
      </w:r>
      <w:r w:rsidR="00011A06">
        <w:rPr>
          <w:rFonts w:ascii="Calibri" w:eastAsia="Calibri" w:hAnsi="Calibri"/>
          <w:sz w:val="22"/>
          <w:szCs w:val="22"/>
          <w:lang w:eastAsia="en-US"/>
        </w:rPr>
        <w:t>é</w:t>
      </w:r>
      <w:proofErr w:type="spellEnd"/>
      <w:r w:rsidR="00BE23A9">
        <w:rPr>
          <w:rFonts w:ascii="Calibri" w:eastAsia="Calibri" w:hAnsi="Calibri"/>
          <w:sz w:val="22"/>
          <w:szCs w:val="22"/>
          <w:lang w:eastAsia="en-US"/>
        </w:rPr>
        <w:t xml:space="preserve"> et al</w:t>
      </w:r>
      <w:r w:rsidR="00011A06">
        <w:rPr>
          <w:rFonts w:ascii="Calibri" w:eastAsia="Calibri" w:hAnsi="Calibri"/>
          <w:sz w:val="22"/>
          <w:szCs w:val="22"/>
          <w:lang w:eastAsia="en-US"/>
        </w:rPr>
        <w:t>, 2008</w:t>
      </w:r>
      <w:r w:rsidRPr="004053B4">
        <w:rPr>
          <w:rFonts w:ascii="Calibri" w:eastAsia="Calibri" w:hAnsi="Calibri"/>
          <w:sz w:val="22"/>
          <w:szCs w:val="22"/>
          <w:lang w:eastAsia="en-US"/>
        </w:rPr>
        <w:t>). This integration involves the learner making associative and referential links for linguistic and visual information presented to them (</w:t>
      </w:r>
      <w:proofErr w:type="spellStart"/>
      <w:r w:rsidRPr="004053B4">
        <w:rPr>
          <w:rFonts w:ascii="Calibri" w:eastAsia="Calibri" w:hAnsi="Calibri"/>
          <w:sz w:val="22"/>
          <w:szCs w:val="22"/>
          <w:lang w:eastAsia="en-US"/>
        </w:rPr>
        <w:t>Paivio</w:t>
      </w:r>
      <w:proofErr w:type="spellEnd"/>
      <w:r w:rsidRPr="004053B4">
        <w:rPr>
          <w:rFonts w:ascii="Calibri" w:eastAsia="Calibri" w:hAnsi="Calibri"/>
          <w:sz w:val="22"/>
          <w:szCs w:val="22"/>
          <w:lang w:eastAsia="en-US"/>
        </w:rPr>
        <w:t xml:space="preserve"> 1886). For this to apply for abstract nouns, learners need to actively make connections between the words in front of them and the images they are presented with, in order to reap the advantages of dual-coding. If these links are not made, presentation across different media might have little effect on student learning (</w:t>
      </w:r>
      <w:proofErr w:type="spellStart"/>
      <w:r w:rsidRPr="004053B4">
        <w:rPr>
          <w:rFonts w:ascii="Calibri" w:eastAsia="Calibri" w:hAnsi="Calibri"/>
          <w:sz w:val="22"/>
          <w:szCs w:val="22"/>
          <w:lang w:eastAsia="en-US"/>
        </w:rPr>
        <w:t>Bruny</w:t>
      </w:r>
      <w:r w:rsidR="00011A06">
        <w:rPr>
          <w:rFonts w:ascii="Calibri" w:eastAsia="Calibri" w:hAnsi="Calibri"/>
          <w:sz w:val="22"/>
          <w:szCs w:val="22"/>
          <w:lang w:eastAsia="en-US"/>
        </w:rPr>
        <w:t>é</w:t>
      </w:r>
      <w:proofErr w:type="spellEnd"/>
      <w:r w:rsidR="00BE23A9">
        <w:rPr>
          <w:rFonts w:ascii="Calibri" w:eastAsia="Calibri" w:hAnsi="Calibri"/>
          <w:sz w:val="22"/>
          <w:szCs w:val="22"/>
          <w:lang w:eastAsia="en-US"/>
        </w:rPr>
        <w:t xml:space="preserve"> et al</w:t>
      </w:r>
      <w:r w:rsidR="00011A06">
        <w:rPr>
          <w:rFonts w:ascii="Calibri" w:eastAsia="Calibri" w:hAnsi="Calibri"/>
          <w:sz w:val="22"/>
          <w:szCs w:val="22"/>
          <w:lang w:eastAsia="en-US"/>
        </w:rPr>
        <w:t>, 2008</w:t>
      </w:r>
      <w:r w:rsidRPr="004053B4">
        <w:rPr>
          <w:rFonts w:ascii="Calibri" w:eastAsia="Calibri" w:hAnsi="Calibri"/>
          <w:sz w:val="22"/>
          <w:szCs w:val="22"/>
          <w:lang w:eastAsia="en-US"/>
        </w:rPr>
        <w:t xml:space="preserve">). </w:t>
      </w:r>
    </w:p>
    <w:p w14:paraId="74BFF7AD" w14:textId="27B5A886"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Repetition may be a key factor in establishing an advantage when using dual coding to teach abstract words</w:t>
      </w:r>
      <w:r w:rsidR="00887E32">
        <w:rPr>
          <w:rFonts w:ascii="Calibri" w:eastAsia="Calibri" w:hAnsi="Calibri"/>
          <w:sz w:val="22"/>
          <w:szCs w:val="22"/>
          <w:lang w:eastAsia="en-US"/>
        </w:rPr>
        <w:t xml:space="preserve"> (</w:t>
      </w:r>
      <w:proofErr w:type="spellStart"/>
      <w:r w:rsidR="00887E32">
        <w:rPr>
          <w:rFonts w:ascii="Calibri" w:eastAsia="Calibri" w:hAnsi="Calibri"/>
          <w:sz w:val="22"/>
          <w:szCs w:val="22"/>
          <w:lang w:eastAsia="en-US"/>
        </w:rPr>
        <w:t>Paivio</w:t>
      </w:r>
      <w:proofErr w:type="spellEnd"/>
      <w:r w:rsidR="00887E32">
        <w:rPr>
          <w:rFonts w:ascii="Calibri" w:eastAsia="Calibri" w:hAnsi="Calibri"/>
          <w:sz w:val="22"/>
          <w:szCs w:val="22"/>
          <w:lang w:eastAsia="en-US"/>
        </w:rPr>
        <w:t xml:space="preserve"> et al, 1988)</w:t>
      </w:r>
      <w:r w:rsidRPr="004053B4">
        <w:rPr>
          <w:rFonts w:ascii="Calibri" w:eastAsia="Calibri" w:hAnsi="Calibri"/>
          <w:sz w:val="22"/>
          <w:szCs w:val="22"/>
          <w:lang w:eastAsia="en-US"/>
        </w:rPr>
        <w:t>. Whilst this could create difficulty when attempting to separate the effects of dual-coding from the outcomes of using repetition during instruction, this complementary pairing of two approaches could help teachers to achieve their desired results despite the use of abstract words over concrete nouns.</w:t>
      </w:r>
    </w:p>
    <w:p w14:paraId="68643B49" w14:textId="6DD81FFA"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Whilst dual-coding can be used as a method of instruction, it can also be considered an educational scaffold as the intent when using it is to support a student’s learning (</w:t>
      </w:r>
      <w:proofErr w:type="spellStart"/>
      <w:r w:rsidRPr="004053B4">
        <w:rPr>
          <w:rFonts w:ascii="Calibri" w:eastAsia="Calibri" w:hAnsi="Calibri"/>
          <w:sz w:val="22"/>
          <w:szCs w:val="22"/>
          <w:lang w:eastAsia="en-US"/>
        </w:rPr>
        <w:t>Merrienboer</w:t>
      </w:r>
      <w:proofErr w:type="spellEnd"/>
      <w:r w:rsidR="00B16695">
        <w:rPr>
          <w:rFonts w:ascii="Calibri" w:eastAsia="Calibri" w:hAnsi="Calibri"/>
          <w:sz w:val="22"/>
          <w:szCs w:val="22"/>
          <w:lang w:eastAsia="en-US"/>
        </w:rPr>
        <w:t xml:space="preserve"> et al, 2003)</w:t>
      </w:r>
      <w:r w:rsidRPr="004053B4">
        <w:rPr>
          <w:rFonts w:ascii="Calibri" w:eastAsia="Calibri" w:hAnsi="Calibri"/>
          <w:sz w:val="22"/>
          <w:szCs w:val="22"/>
          <w:lang w:eastAsia="en-US"/>
        </w:rPr>
        <w:t xml:space="preserve"> When dual-coding is viewed in this way we become aware of further possibilities to use it within our teaching beyond initial instruction; such as using it as a revision aid or providing previously used images as visual cues during independent work. If multimedia learning is successful because the information is presented in more than one mode (Mayer</w:t>
      </w:r>
      <w:r w:rsidR="00D71046">
        <w:rPr>
          <w:rFonts w:ascii="Calibri" w:eastAsia="Calibri" w:hAnsi="Calibri"/>
          <w:sz w:val="22"/>
          <w:szCs w:val="22"/>
          <w:lang w:eastAsia="en-US"/>
        </w:rPr>
        <w:t>, 1997</w:t>
      </w:r>
      <w:r w:rsidRPr="004053B4">
        <w:rPr>
          <w:rFonts w:ascii="Calibri" w:eastAsia="Calibri" w:hAnsi="Calibri"/>
          <w:sz w:val="22"/>
          <w:szCs w:val="22"/>
          <w:lang w:eastAsia="en-US"/>
        </w:rPr>
        <w:t>), it follows that repeated interaction with this multimodal information might increase the effects of dual-coding, especially when using abstract words. Research has shown that meaningful learning comes from learners constructing and coordinating various representations of the same material. If the difficulty with abstract words is making meaningful connections between verbal and visual representations, then actively and repeatedly making those links is more likely to facilitate meaningful learning.</w:t>
      </w:r>
    </w:p>
    <w:p w14:paraId="699380EF" w14:textId="327C1964"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Mayer (</w:t>
      </w:r>
      <w:r w:rsidR="009962B1">
        <w:rPr>
          <w:rFonts w:ascii="Calibri" w:eastAsia="Calibri" w:hAnsi="Calibri"/>
          <w:sz w:val="22"/>
          <w:szCs w:val="22"/>
          <w:lang w:eastAsia="en-US"/>
        </w:rPr>
        <w:t>1997</w:t>
      </w:r>
      <w:r w:rsidRPr="004053B4">
        <w:rPr>
          <w:rFonts w:ascii="Calibri" w:eastAsia="Calibri" w:hAnsi="Calibri"/>
          <w:sz w:val="22"/>
          <w:szCs w:val="22"/>
          <w:lang w:eastAsia="en-US"/>
        </w:rPr>
        <w:t xml:space="preserve">) suggests that after establishing independent and visual representations, the learner needs to focus on the connection between the two. This process, which </w:t>
      </w:r>
      <w:proofErr w:type="spellStart"/>
      <w:r w:rsidRPr="004053B4">
        <w:rPr>
          <w:rFonts w:ascii="Calibri" w:eastAsia="Calibri" w:hAnsi="Calibri"/>
          <w:sz w:val="22"/>
          <w:szCs w:val="22"/>
          <w:lang w:eastAsia="en-US"/>
        </w:rPr>
        <w:t>Paivio</w:t>
      </w:r>
      <w:proofErr w:type="spellEnd"/>
      <w:r w:rsidRPr="004053B4">
        <w:rPr>
          <w:rFonts w:ascii="Calibri" w:eastAsia="Calibri" w:hAnsi="Calibri"/>
          <w:sz w:val="22"/>
          <w:szCs w:val="22"/>
          <w:lang w:eastAsia="en-US"/>
        </w:rPr>
        <w:t xml:space="preserve"> (1986) termed </w:t>
      </w:r>
      <w:r w:rsidRPr="004053B4">
        <w:rPr>
          <w:rFonts w:ascii="Calibri" w:eastAsia="Calibri" w:hAnsi="Calibri"/>
          <w:sz w:val="22"/>
          <w:szCs w:val="22"/>
          <w:lang w:eastAsia="en-US"/>
        </w:rPr>
        <w:lastRenderedPageBreak/>
        <w:t xml:space="preserve">“building referential connections”, is a generative process due to the fact learners have to actively connect the verbal and visual information, due to abstract terms requiring a wider context to be constructed by the learner rather than being a pre-existing network that they can readily draw upon (as with concrete terms). </w:t>
      </w:r>
    </w:p>
    <w:p w14:paraId="5AC6506D" w14:textId="77777777" w:rsidR="004053B4" w:rsidRPr="004053B4" w:rsidRDefault="004053B4" w:rsidP="000B0924">
      <w:pPr>
        <w:spacing w:after="160" w:line="360" w:lineRule="auto"/>
        <w:rPr>
          <w:rFonts w:ascii="Calibri" w:eastAsia="Calibri" w:hAnsi="Calibri"/>
          <w:sz w:val="22"/>
          <w:szCs w:val="22"/>
          <w:lang w:eastAsia="en-US"/>
        </w:rPr>
      </w:pPr>
    </w:p>
    <w:p w14:paraId="05084C41" w14:textId="77777777" w:rsidR="004053B4" w:rsidRPr="004053B4" w:rsidRDefault="004053B4" w:rsidP="000B0924">
      <w:pPr>
        <w:spacing w:after="160" w:line="360" w:lineRule="auto"/>
        <w:rPr>
          <w:rFonts w:ascii="Calibri" w:eastAsia="Calibri" w:hAnsi="Calibri"/>
          <w:b/>
          <w:sz w:val="22"/>
          <w:szCs w:val="22"/>
          <w:lang w:eastAsia="en-US"/>
        </w:rPr>
      </w:pPr>
      <w:r w:rsidRPr="004053B4">
        <w:rPr>
          <w:rFonts w:ascii="Calibri" w:eastAsia="Calibri" w:hAnsi="Calibri"/>
          <w:b/>
          <w:sz w:val="22"/>
          <w:szCs w:val="22"/>
          <w:lang w:eastAsia="en-US"/>
        </w:rPr>
        <w:t>Methodology</w:t>
      </w:r>
    </w:p>
    <w:p w14:paraId="0DBCC71E" w14:textId="706E318E"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For this research project I followed the four-stage cycle for Action Research as outlined by Zuber-Skerrit (1992); planning, acting, observing, and reflecting. An Action Research approach is the natural choice for educational research as it allows pedagogical enquiry to be carried out in a setting that is not artificial. It should also be noted that the four stages are already an integral aspect of continued professional practice, thus it should not be difficult for an educator to conduct their research. As one of the </w:t>
      </w:r>
      <w:proofErr w:type="gramStart"/>
      <w:r w:rsidRPr="004053B4">
        <w:rPr>
          <w:rFonts w:ascii="Calibri" w:eastAsia="Calibri" w:hAnsi="Calibri"/>
          <w:sz w:val="22"/>
          <w:szCs w:val="22"/>
          <w:lang w:eastAsia="en-US"/>
        </w:rPr>
        <w:t>principal</w:t>
      </w:r>
      <w:proofErr w:type="gramEnd"/>
      <w:r w:rsidRPr="004053B4">
        <w:rPr>
          <w:rFonts w:ascii="Calibri" w:eastAsia="Calibri" w:hAnsi="Calibri"/>
          <w:sz w:val="22"/>
          <w:szCs w:val="22"/>
          <w:lang w:eastAsia="en-US"/>
        </w:rPr>
        <w:t xml:space="preserve"> aims of action research is to improve professional practice within the field of education (Elliott</w:t>
      </w:r>
      <w:r w:rsidR="00106CA8">
        <w:rPr>
          <w:rFonts w:ascii="Calibri" w:eastAsia="Calibri" w:hAnsi="Calibri"/>
          <w:sz w:val="22"/>
          <w:szCs w:val="22"/>
          <w:lang w:eastAsia="en-US"/>
        </w:rPr>
        <w:t>, 1991</w:t>
      </w:r>
      <w:r w:rsidRPr="004053B4">
        <w:rPr>
          <w:rFonts w:ascii="Calibri" w:eastAsia="Calibri" w:hAnsi="Calibri"/>
          <w:sz w:val="22"/>
          <w:szCs w:val="22"/>
          <w:lang w:eastAsia="en-US"/>
        </w:rPr>
        <w:t xml:space="preserve">), ethical considerations and the methodology selected are of the utmost importance as analysing the processes as well as the outcomes are an integral element of reflective teaching practice. When planning my </w:t>
      </w:r>
      <w:r w:rsidR="00106CA8" w:rsidRPr="004053B4">
        <w:rPr>
          <w:rFonts w:ascii="Calibri" w:eastAsia="Calibri" w:hAnsi="Calibri"/>
          <w:sz w:val="22"/>
          <w:szCs w:val="22"/>
          <w:lang w:eastAsia="en-US"/>
        </w:rPr>
        <w:t>research,</w:t>
      </w:r>
      <w:r w:rsidRPr="004053B4">
        <w:rPr>
          <w:rFonts w:ascii="Calibri" w:eastAsia="Calibri" w:hAnsi="Calibri"/>
          <w:sz w:val="22"/>
          <w:szCs w:val="22"/>
          <w:lang w:eastAsia="en-US"/>
        </w:rPr>
        <w:t xml:space="preserve"> I made informed choices to ensure my chosen research methods were conducive to efficiently investigating the impact of implementing dual-coding theory within the modern foreign language classroom. I chose an empirical research method as it is grounded in observation (Arthur</w:t>
      </w:r>
      <w:r w:rsidR="0018047F">
        <w:rPr>
          <w:rFonts w:ascii="Calibri" w:eastAsia="Calibri" w:hAnsi="Calibri"/>
          <w:sz w:val="22"/>
          <w:szCs w:val="22"/>
          <w:lang w:eastAsia="en-US"/>
        </w:rPr>
        <w:t>, 2012</w:t>
      </w:r>
      <w:r w:rsidRPr="004053B4">
        <w:rPr>
          <w:rFonts w:ascii="Calibri" w:eastAsia="Calibri" w:hAnsi="Calibri"/>
          <w:sz w:val="22"/>
          <w:szCs w:val="22"/>
          <w:lang w:eastAsia="en-US"/>
        </w:rPr>
        <w:t xml:space="preserve">), and the use of data in order to support hypothesis through logical conclusions based on quantitative information. </w:t>
      </w:r>
    </w:p>
    <w:p w14:paraId="2106053C" w14:textId="558D383B"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My research took the form of an educational intervention where I actively introduced a change into my classroom (Arthur</w:t>
      </w:r>
      <w:r w:rsidR="0018047F">
        <w:rPr>
          <w:rFonts w:ascii="Calibri" w:eastAsia="Calibri" w:hAnsi="Calibri"/>
          <w:sz w:val="22"/>
          <w:szCs w:val="22"/>
          <w:lang w:eastAsia="en-US"/>
        </w:rPr>
        <w:t>, 2012</w:t>
      </w:r>
      <w:r w:rsidRPr="004053B4">
        <w:rPr>
          <w:rFonts w:ascii="Calibri" w:eastAsia="Calibri" w:hAnsi="Calibri"/>
          <w:sz w:val="22"/>
          <w:szCs w:val="22"/>
          <w:lang w:eastAsia="en-US"/>
        </w:rPr>
        <w:t xml:space="preserve">). This involved a heightened use of dual-coding during instruction, whilst observing and recording the outcomes related to this change. As educational research seeks to improve professional practice, observable and recordable evidence that can be represented as hard data is essential. Without this data, research questions cannot be answered and clear links between predictions and outcomes cannot be made. It is for this reason that I focused on quantitative data rather than qualitative methods. In addition, quantitative data also reduces ethical considerations as data is purely numerical with no way to identify participants on opinions they’ve expressed or references they’ve made; which is possible with qualitative methods such as interviews or questionnaires. </w:t>
      </w:r>
    </w:p>
    <w:p w14:paraId="49389498" w14:textId="0462E3F5"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To obtain my data I used a convenience sample of Year 8 pupils who were ready to move onto new vocabulary. This allowed my intervention to be easily incorporated into the existing scheme of work and created a more natural research scenario.  I only used one sample group rather than conducting </w:t>
      </w:r>
      <w:r w:rsidRPr="004053B4">
        <w:rPr>
          <w:rFonts w:ascii="Calibri" w:eastAsia="Calibri" w:hAnsi="Calibri"/>
          <w:sz w:val="22"/>
          <w:szCs w:val="22"/>
          <w:lang w:eastAsia="en-US"/>
        </w:rPr>
        <w:lastRenderedPageBreak/>
        <w:t>a comparative study as this could have put one group at a disadvantage. Due to the ethical issues that arise with comparative research (Cohen et al</w:t>
      </w:r>
      <w:r w:rsidR="00D71BEC">
        <w:rPr>
          <w:rFonts w:ascii="Calibri" w:eastAsia="Calibri" w:hAnsi="Calibri"/>
          <w:sz w:val="22"/>
          <w:szCs w:val="22"/>
          <w:lang w:eastAsia="en-US"/>
        </w:rPr>
        <w:t>, 2011</w:t>
      </w:r>
      <w:r w:rsidRPr="004053B4">
        <w:rPr>
          <w:rFonts w:ascii="Calibri" w:eastAsia="Calibri" w:hAnsi="Calibri"/>
          <w:sz w:val="22"/>
          <w:szCs w:val="22"/>
          <w:lang w:eastAsia="en-US"/>
        </w:rPr>
        <w:t>), I employed a pre-test/post-test method with my one sample group to gauge their knowledge both before and following my intervention. Both tests took the form of a simple vocabulary quiz which required participants to translate an English word into French. I chose this testing method as I required a data collection tool that would give valid results as the answers could only be right or wrong.</w:t>
      </w:r>
    </w:p>
    <w:p w14:paraId="71BEA94A" w14:textId="7CFA961E"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Ethical considerations arise when conducting educational research, especially as this often involves working with young people who are considered more vulnerable than adult participants (Brooks et al</w:t>
      </w:r>
      <w:r w:rsidR="00D71BEC">
        <w:rPr>
          <w:rFonts w:ascii="Calibri" w:eastAsia="Calibri" w:hAnsi="Calibri"/>
          <w:sz w:val="22"/>
          <w:szCs w:val="22"/>
          <w:lang w:eastAsia="en-US"/>
        </w:rPr>
        <w:t>, 2014</w:t>
      </w:r>
      <w:r w:rsidRPr="004053B4">
        <w:rPr>
          <w:rFonts w:ascii="Calibri" w:eastAsia="Calibri" w:hAnsi="Calibri"/>
          <w:sz w:val="22"/>
          <w:szCs w:val="22"/>
          <w:lang w:eastAsia="en-US"/>
        </w:rPr>
        <w:t xml:space="preserve">). The main ethical considerations to arise </w:t>
      </w:r>
      <w:proofErr w:type="gramStart"/>
      <w:r w:rsidRPr="004053B4">
        <w:rPr>
          <w:rFonts w:ascii="Calibri" w:eastAsia="Calibri" w:hAnsi="Calibri"/>
          <w:sz w:val="22"/>
          <w:szCs w:val="22"/>
          <w:lang w:eastAsia="en-US"/>
        </w:rPr>
        <w:t>during the course of</w:t>
      </w:r>
      <w:proofErr w:type="gramEnd"/>
      <w:r w:rsidRPr="004053B4">
        <w:rPr>
          <w:rFonts w:ascii="Calibri" w:eastAsia="Calibri" w:hAnsi="Calibri"/>
          <w:sz w:val="22"/>
          <w:szCs w:val="22"/>
          <w:lang w:eastAsia="en-US"/>
        </w:rPr>
        <w:t xml:space="preserve"> my research were informed consent, confidentiality, honesty with participants and openness throughout my research.</w:t>
      </w:r>
    </w:p>
    <w:p w14:paraId="2C901FD2" w14:textId="565A00FC"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In order to obtain informed consent from participants it was necessary to explain the purpose of my research, the methodology I would use, and to emphasise that whilst the whole class would follow the same scheme of work, those who wished to not be part of the research would not have the test results used in my research. I also emphasised that their test results would be confidential and that no one would be able to identify a </w:t>
      </w:r>
      <w:proofErr w:type="gramStart"/>
      <w:r w:rsidRPr="004053B4">
        <w:rPr>
          <w:rFonts w:ascii="Calibri" w:eastAsia="Calibri" w:hAnsi="Calibri"/>
          <w:sz w:val="22"/>
          <w:szCs w:val="22"/>
          <w:lang w:eastAsia="en-US"/>
        </w:rPr>
        <w:t>particular person</w:t>
      </w:r>
      <w:proofErr w:type="gramEnd"/>
      <w:r w:rsidRPr="004053B4">
        <w:rPr>
          <w:rFonts w:ascii="Calibri" w:eastAsia="Calibri" w:hAnsi="Calibri"/>
          <w:sz w:val="22"/>
          <w:szCs w:val="22"/>
          <w:lang w:eastAsia="en-US"/>
        </w:rPr>
        <w:t xml:space="preserve"> due to the fact results would not be shared and their name would be removed and replaced with “Student” and a letter. Burton and </w:t>
      </w:r>
      <w:proofErr w:type="spellStart"/>
      <w:r w:rsidRPr="004053B4">
        <w:rPr>
          <w:rFonts w:ascii="Calibri" w:eastAsia="Calibri" w:hAnsi="Calibri"/>
          <w:sz w:val="22"/>
          <w:szCs w:val="22"/>
          <w:lang w:eastAsia="en-US"/>
        </w:rPr>
        <w:t>Barlett</w:t>
      </w:r>
      <w:proofErr w:type="spellEnd"/>
      <w:r w:rsidRPr="004053B4">
        <w:rPr>
          <w:rFonts w:ascii="Calibri" w:eastAsia="Calibri" w:hAnsi="Calibri"/>
          <w:sz w:val="22"/>
          <w:szCs w:val="22"/>
          <w:lang w:eastAsia="en-US"/>
        </w:rPr>
        <w:t xml:space="preserve"> (</w:t>
      </w:r>
      <w:r w:rsidR="001B349A">
        <w:rPr>
          <w:rFonts w:ascii="Calibri" w:eastAsia="Calibri" w:hAnsi="Calibri"/>
          <w:sz w:val="22"/>
          <w:szCs w:val="22"/>
          <w:lang w:eastAsia="en-US"/>
        </w:rPr>
        <w:t>2009</w:t>
      </w:r>
      <w:r w:rsidRPr="004053B4">
        <w:rPr>
          <w:rFonts w:ascii="Calibri" w:eastAsia="Calibri" w:hAnsi="Calibri"/>
          <w:sz w:val="22"/>
          <w:szCs w:val="22"/>
          <w:lang w:eastAsia="en-US"/>
        </w:rPr>
        <w:t>) stress the importance of assuring participants that their data is confidential and that their anonymity will be upheld unless they state otherwise. The safeguarding of data is an important aspect of maintaining participant confidentiality (Brooks et al</w:t>
      </w:r>
      <w:r w:rsidR="003C4214">
        <w:rPr>
          <w:rFonts w:ascii="Calibri" w:eastAsia="Calibri" w:hAnsi="Calibri"/>
          <w:sz w:val="22"/>
          <w:szCs w:val="22"/>
          <w:lang w:eastAsia="en-US"/>
        </w:rPr>
        <w:t>, 2014</w:t>
      </w:r>
      <w:r w:rsidRPr="004053B4">
        <w:rPr>
          <w:rFonts w:ascii="Calibri" w:eastAsia="Calibri" w:hAnsi="Calibri"/>
          <w:sz w:val="22"/>
          <w:szCs w:val="22"/>
          <w:lang w:eastAsia="en-US"/>
        </w:rPr>
        <w:t xml:space="preserve">), so I took measures to safeguard the data during and after my research by keeping original paper tests in a locked draw, using a password protected database for the results, and shredding the test papers after results we put into a spreadsheet.  </w:t>
      </w:r>
    </w:p>
    <w:p w14:paraId="20A8B06F" w14:textId="113068A5" w:rsidR="004053B4" w:rsidRPr="004053B4"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t xml:space="preserve">Honesty is an essential aspect in action research, not only due to the fact you are working with children, but also </w:t>
      </w:r>
      <w:proofErr w:type="gramStart"/>
      <w:r w:rsidRPr="004053B4">
        <w:rPr>
          <w:rFonts w:ascii="Calibri" w:eastAsia="Calibri" w:hAnsi="Calibri"/>
          <w:sz w:val="22"/>
          <w:szCs w:val="22"/>
          <w:lang w:eastAsia="en-US"/>
        </w:rPr>
        <w:t>due to the fact that</w:t>
      </w:r>
      <w:proofErr w:type="gramEnd"/>
      <w:r w:rsidRPr="004053B4">
        <w:rPr>
          <w:rFonts w:ascii="Calibri" w:eastAsia="Calibri" w:hAnsi="Calibri"/>
          <w:sz w:val="22"/>
          <w:szCs w:val="22"/>
          <w:lang w:eastAsia="en-US"/>
        </w:rPr>
        <w:t xml:space="preserve"> misinformation and deception of participants can have an adverse effect on the outcome of the research (Burton and </w:t>
      </w:r>
      <w:proofErr w:type="spellStart"/>
      <w:r w:rsidRPr="004053B4">
        <w:rPr>
          <w:rFonts w:ascii="Calibri" w:eastAsia="Calibri" w:hAnsi="Calibri"/>
          <w:sz w:val="22"/>
          <w:szCs w:val="22"/>
          <w:lang w:eastAsia="en-US"/>
        </w:rPr>
        <w:t>Barlett</w:t>
      </w:r>
      <w:proofErr w:type="spellEnd"/>
      <w:r w:rsidR="003C4214">
        <w:rPr>
          <w:rFonts w:ascii="Calibri" w:eastAsia="Calibri" w:hAnsi="Calibri"/>
          <w:sz w:val="22"/>
          <w:szCs w:val="22"/>
          <w:lang w:eastAsia="en-US"/>
        </w:rPr>
        <w:t>, 2009</w:t>
      </w:r>
      <w:r w:rsidRPr="004053B4">
        <w:rPr>
          <w:rFonts w:ascii="Calibri" w:eastAsia="Calibri" w:hAnsi="Calibri"/>
          <w:sz w:val="22"/>
          <w:szCs w:val="22"/>
          <w:lang w:eastAsia="en-US"/>
        </w:rPr>
        <w:t xml:space="preserve">). For this reason, I clearly explained the purpose of my research and how it would be conducted to the participants before asking for their informed consent. The fact that my research involved each child to sit a pre and post-test was a source of concern for students involved as they feared their marks could suffer (Nolen and </w:t>
      </w:r>
      <w:proofErr w:type="spellStart"/>
      <w:r w:rsidRPr="004053B4">
        <w:rPr>
          <w:rFonts w:ascii="Calibri" w:eastAsia="Calibri" w:hAnsi="Calibri"/>
          <w:sz w:val="22"/>
          <w:szCs w:val="22"/>
          <w:lang w:eastAsia="en-US"/>
        </w:rPr>
        <w:t>Putten</w:t>
      </w:r>
      <w:proofErr w:type="spellEnd"/>
      <w:r w:rsidRPr="004053B4">
        <w:rPr>
          <w:rFonts w:ascii="Calibri" w:eastAsia="Calibri" w:hAnsi="Calibri"/>
          <w:sz w:val="22"/>
          <w:szCs w:val="22"/>
          <w:lang w:eastAsia="en-US"/>
        </w:rPr>
        <w:t>, 2007). To reduce the stress this would put my students under, I needed to emphasise that my results were purely for research and thus would have no effect on their pre-existing grades.</w:t>
      </w:r>
      <w:r w:rsidR="00F425E2">
        <w:rPr>
          <w:rFonts w:ascii="Calibri" w:eastAsia="Calibri" w:hAnsi="Calibri"/>
          <w:sz w:val="22"/>
          <w:szCs w:val="22"/>
          <w:lang w:eastAsia="en-US"/>
        </w:rPr>
        <w:t xml:space="preserve"> Avoiding harm is essential in any educational research, so minimising the stress it would cause participants </w:t>
      </w:r>
      <w:r w:rsidR="009D5A9A">
        <w:rPr>
          <w:rFonts w:ascii="Calibri" w:eastAsia="Calibri" w:hAnsi="Calibri"/>
          <w:sz w:val="22"/>
          <w:szCs w:val="22"/>
          <w:lang w:eastAsia="en-US"/>
        </w:rPr>
        <w:t xml:space="preserve">was of high priority. </w:t>
      </w:r>
    </w:p>
    <w:p w14:paraId="1C80671D" w14:textId="0DEAED00" w:rsidR="00F502F2" w:rsidRDefault="004053B4" w:rsidP="000B0924">
      <w:pPr>
        <w:spacing w:after="160" w:line="360" w:lineRule="auto"/>
        <w:rPr>
          <w:rFonts w:ascii="Calibri" w:eastAsia="Calibri" w:hAnsi="Calibri"/>
          <w:sz w:val="22"/>
          <w:szCs w:val="22"/>
          <w:lang w:eastAsia="en-US"/>
        </w:rPr>
      </w:pPr>
      <w:r w:rsidRPr="004053B4">
        <w:rPr>
          <w:rFonts w:ascii="Calibri" w:eastAsia="Calibri" w:hAnsi="Calibri"/>
          <w:sz w:val="22"/>
          <w:szCs w:val="22"/>
          <w:lang w:eastAsia="en-US"/>
        </w:rPr>
        <w:lastRenderedPageBreak/>
        <w:t xml:space="preserve">Further difficulties arise during Action Research as the researcher fulfils a dual role of teacher/researcher (Brooks et </w:t>
      </w:r>
      <w:r w:rsidR="007525B1">
        <w:rPr>
          <w:rFonts w:ascii="Calibri" w:eastAsia="Calibri" w:hAnsi="Calibri"/>
          <w:sz w:val="22"/>
          <w:szCs w:val="22"/>
          <w:lang w:eastAsia="en-US"/>
        </w:rPr>
        <w:t>a</w:t>
      </w:r>
      <w:r w:rsidRPr="004053B4">
        <w:rPr>
          <w:rFonts w:ascii="Calibri" w:eastAsia="Calibri" w:hAnsi="Calibri"/>
          <w:sz w:val="22"/>
          <w:szCs w:val="22"/>
          <w:lang w:eastAsia="en-US"/>
        </w:rPr>
        <w:t>l</w:t>
      </w:r>
      <w:r w:rsidR="007525B1">
        <w:rPr>
          <w:rFonts w:ascii="Calibri" w:eastAsia="Calibri" w:hAnsi="Calibri"/>
          <w:sz w:val="22"/>
          <w:szCs w:val="22"/>
          <w:lang w:eastAsia="en-US"/>
        </w:rPr>
        <w:t>, 2014</w:t>
      </w:r>
      <w:r w:rsidRPr="004053B4">
        <w:rPr>
          <w:rFonts w:ascii="Calibri" w:eastAsia="Calibri" w:hAnsi="Calibri"/>
          <w:sz w:val="22"/>
          <w:szCs w:val="22"/>
          <w:lang w:eastAsia="en-US"/>
        </w:rPr>
        <w:t xml:space="preserve">). Working in two separate yet interconnected roles leads to greater responsibility for an educator and can generate additional ethical concerns. For example, gaining informed consent is more problematic as even those who agree could be doing so </w:t>
      </w:r>
      <w:proofErr w:type="gramStart"/>
      <w:r w:rsidRPr="004053B4">
        <w:rPr>
          <w:rFonts w:ascii="Calibri" w:eastAsia="Calibri" w:hAnsi="Calibri"/>
          <w:sz w:val="22"/>
          <w:szCs w:val="22"/>
          <w:lang w:eastAsia="en-US"/>
        </w:rPr>
        <w:t>due to the effect</w:t>
      </w:r>
      <w:proofErr w:type="gramEnd"/>
      <w:r w:rsidRPr="004053B4">
        <w:rPr>
          <w:rFonts w:ascii="Calibri" w:eastAsia="Calibri" w:hAnsi="Calibri"/>
          <w:sz w:val="22"/>
          <w:szCs w:val="22"/>
          <w:lang w:eastAsia="en-US"/>
        </w:rPr>
        <w:t xml:space="preserve"> of the student/teacher power relationship rather than a genuine willingness to participate (Brooks et al</w:t>
      </w:r>
      <w:r w:rsidR="001D20BA">
        <w:rPr>
          <w:rFonts w:ascii="Calibri" w:eastAsia="Calibri" w:hAnsi="Calibri"/>
          <w:sz w:val="22"/>
          <w:szCs w:val="22"/>
          <w:lang w:eastAsia="en-US"/>
        </w:rPr>
        <w:t>, 2014</w:t>
      </w:r>
      <w:r w:rsidRPr="004053B4">
        <w:rPr>
          <w:rFonts w:ascii="Calibri" w:eastAsia="Calibri" w:hAnsi="Calibri"/>
          <w:sz w:val="22"/>
          <w:szCs w:val="22"/>
          <w:lang w:eastAsia="en-US"/>
        </w:rPr>
        <w:t>). However, the teacher/researcher role does come with advantages such as convenient samples and extensive knowledge of your participants, making it easier to judge the impact of your education intervention on these students</w:t>
      </w:r>
      <w:r w:rsidR="003725DC">
        <w:rPr>
          <w:rFonts w:ascii="Calibri" w:eastAsia="Calibri" w:hAnsi="Calibri"/>
          <w:sz w:val="22"/>
          <w:szCs w:val="22"/>
          <w:lang w:eastAsia="en-US"/>
        </w:rPr>
        <w:t xml:space="preserve"> (Punch, </w:t>
      </w:r>
      <w:r w:rsidR="00D37C9D">
        <w:rPr>
          <w:rFonts w:ascii="Calibri" w:eastAsia="Calibri" w:hAnsi="Calibri"/>
          <w:sz w:val="22"/>
          <w:szCs w:val="22"/>
          <w:lang w:eastAsia="en-US"/>
        </w:rPr>
        <w:t>2014).</w:t>
      </w:r>
    </w:p>
    <w:p w14:paraId="00B3FF4E" w14:textId="77777777" w:rsidR="00F502F2" w:rsidRDefault="00F502F2" w:rsidP="000B0924">
      <w:pPr>
        <w:spacing w:after="160" w:line="360" w:lineRule="auto"/>
        <w:rPr>
          <w:rFonts w:ascii="Calibri" w:eastAsia="Calibri" w:hAnsi="Calibri"/>
          <w:sz w:val="22"/>
          <w:szCs w:val="22"/>
          <w:lang w:eastAsia="en-US"/>
        </w:rPr>
      </w:pPr>
    </w:p>
    <w:p w14:paraId="3FFC40EC" w14:textId="050089D2"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b/>
          <w:sz w:val="22"/>
          <w:szCs w:val="22"/>
          <w:lang w:eastAsia="en-US"/>
        </w:rPr>
        <w:t>Evaluation</w:t>
      </w:r>
    </w:p>
    <w:p w14:paraId="4B537A6C" w14:textId="4375898E"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I carefully planned my sequence of lessons and resources to capitalise on the use of dual-coding in the classroom, in order to maximise any potential benefits. Finding additional ways to incorporate word and image combinations was particularly important in my intervention </w:t>
      </w:r>
      <w:r w:rsidR="00F502F2" w:rsidRPr="00FA36F2">
        <w:rPr>
          <w:rFonts w:ascii="Calibri" w:eastAsia="Calibri" w:hAnsi="Calibri"/>
          <w:sz w:val="22"/>
          <w:szCs w:val="22"/>
          <w:lang w:eastAsia="en-US"/>
        </w:rPr>
        <w:t>since</w:t>
      </w:r>
      <w:r w:rsidRPr="00FA36F2">
        <w:rPr>
          <w:rFonts w:ascii="Calibri" w:eastAsia="Calibri" w:hAnsi="Calibri"/>
          <w:sz w:val="22"/>
          <w:szCs w:val="22"/>
          <w:lang w:eastAsia="en-US"/>
        </w:rPr>
        <w:t xml:space="preserve"> I was mostly working with abstract vocabulary. Existing research, as discussed in my literature review, shows that the impact of abstract words with dual-coding is less than with concrete words that readily evoke imagery.</w:t>
      </w:r>
    </w:p>
    <w:p w14:paraId="5C8C4F29" w14:textId="7777777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At the start of the first lesson in my scheme of work, I clearly explained the research I was conducting and the role the class would play. I have already discussed my methodology and the issue of informed consent, but at this point I also worked hard to put students at ease before we officially started. I needed the learners to understand that the research was to analyse the efficacity of my teaching methods and not to judge their academic performance with tests they were not prepared for.</w:t>
      </w:r>
    </w:p>
    <w:p w14:paraId="0DC5AE24" w14:textId="0E2A30BC"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The first lesson did not start immediately on the intervention work and we still had some work to complete from the previous lesson. The first half of the lesson focused on recapping the verb “</w:t>
      </w:r>
      <w:proofErr w:type="spellStart"/>
      <w:r w:rsidR="00F6476F">
        <w:rPr>
          <w:rFonts w:ascii="Calibri" w:eastAsia="Calibri" w:hAnsi="Calibri" w:cs="Calibri"/>
          <w:sz w:val="22"/>
          <w:szCs w:val="22"/>
          <w:lang w:eastAsia="en-US"/>
        </w:rPr>
        <w:t>ê</w:t>
      </w:r>
      <w:r w:rsidR="00F6476F" w:rsidRPr="00FA36F2">
        <w:rPr>
          <w:rFonts w:ascii="Calibri" w:eastAsia="Calibri" w:hAnsi="Calibri"/>
          <w:sz w:val="22"/>
          <w:szCs w:val="22"/>
          <w:lang w:eastAsia="en-US"/>
        </w:rPr>
        <w:t>t</w:t>
      </w:r>
      <w:r w:rsidR="00F6476F">
        <w:rPr>
          <w:rFonts w:ascii="Calibri" w:eastAsia="Calibri" w:hAnsi="Calibri"/>
          <w:sz w:val="22"/>
          <w:szCs w:val="22"/>
          <w:lang w:eastAsia="en-US"/>
        </w:rPr>
        <w:t>r</w:t>
      </w:r>
      <w:r w:rsidRPr="00FA36F2">
        <w:rPr>
          <w:rFonts w:ascii="Calibri" w:eastAsia="Calibri" w:hAnsi="Calibri"/>
          <w:sz w:val="22"/>
          <w:szCs w:val="22"/>
          <w:lang w:eastAsia="en-US"/>
        </w:rPr>
        <w:t>e</w:t>
      </w:r>
      <w:proofErr w:type="spellEnd"/>
      <w:r w:rsidRPr="00FA36F2">
        <w:rPr>
          <w:rFonts w:ascii="Calibri" w:eastAsia="Calibri" w:hAnsi="Calibri"/>
          <w:sz w:val="22"/>
          <w:szCs w:val="22"/>
          <w:lang w:eastAsia="en-US"/>
        </w:rPr>
        <w:t>” and using “</w:t>
      </w:r>
      <w:proofErr w:type="spellStart"/>
      <w:r w:rsidR="008E69A8">
        <w:rPr>
          <w:rFonts w:ascii="Calibri" w:eastAsia="Calibri" w:hAnsi="Calibri" w:cs="Calibri"/>
          <w:sz w:val="22"/>
          <w:szCs w:val="22"/>
          <w:lang w:eastAsia="en-US"/>
        </w:rPr>
        <w:t>ê</w:t>
      </w:r>
      <w:r w:rsidRPr="00FA36F2">
        <w:rPr>
          <w:rFonts w:ascii="Calibri" w:eastAsia="Calibri" w:hAnsi="Calibri"/>
          <w:sz w:val="22"/>
          <w:szCs w:val="22"/>
          <w:lang w:eastAsia="en-US"/>
        </w:rPr>
        <w:t>tre</w:t>
      </w:r>
      <w:proofErr w:type="spellEnd"/>
      <w:r w:rsidRPr="00FA36F2">
        <w:rPr>
          <w:rFonts w:ascii="Calibri" w:eastAsia="Calibri" w:hAnsi="Calibri"/>
          <w:sz w:val="22"/>
          <w:szCs w:val="22"/>
          <w:lang w:eastAsia="en-US"/>
        </w:rPr>
        <w:t xml:space="preserve">” to talk about height. The students then sat the pre-test, which is </w:t>
      </w:r>
      <w:proofErr w:type="gramStart"/>
      <w:r w:rsidRPr="00FA36F2">
        <w:rPr>
          <w:rFonts w:ascii="Calibri" w:eastAsia="Calibri" w:hAnsi="Calibri"/>
          <w:sz w:val="22"/>
          <w:szCs w:val="22"/>
          <w:lang w:eastAsia="en-US"/>
        </w:rPr>
        <w:t>exactly the same</w:t>
      </w:r>
      <w:proofErr w:type="gramEnd"/>
      <w:r w:rsidRPr="00FA36F2">
        <w:rPr>
          <w:rFonts w:ascii="Calibri" w:eastAsia="Calibri" w:hAnsi="Calibri"/>
          <w:sz w:val="22"/>
          <w:szCs w:val="22"/>
          <w:lang w:eastAsia="en-US"/>
        </w:rPr>
        <w:t xml:space="preserve"> as the post-test and consists of 14 English words used to describe personality traits</w:t>
      </w:r>
      <w:r w:rsidR="00DC1081">
        <w:rPr>
          <w:rFonts w:ascii="Calibri" w:eastAsia="Calibri" w:hAnsi="Calibri"/>
          <w:sz w:val="22"/>
          <w:szCs w:val="22"/>
          <w:lang w:eastAsia="en-US"/>
        </w:rPr>
        <w:t>. The students</w:t>
      </w:r>
      <w:r w:rsidRPr="00FA36F2">
        <w:rPr>
          <w:rFonts w:ascii="Calibri" w:eastAsia="Calibri" w:hAnsi="Calibri"/>
          <w:sz w:val="22"/>
          <w:szCs w:val="22"/>
          <w:lang w:eastAsia="en-US"/>
        </w:rPr>
        <w:t xml:space="preserve"> were</w:t>
      </w:r>
      <w:r w:rsidR="00DC1081">
        <w:rPr>
          <w:rFonts w:ascii="Calibri" w:eastAsia="Calibri" w:hAnsi="Calibri"/>
          <w:sz w:val="22"/>
          <w:szCs w:val="22"/>
          <w:lang w:eastAsia="en-US"/>
        </w:rPr>
        <w:t xml:space="preserve"> simply</w:t>
      </w:r>
      <w:r w:rsidRPr="00FA36F2">
        <w:rPr>
          <w:rFonts w:ascii="Calibri" w:eastAsia="Calibri" w:hAnsi="Calibri"/>
          <w:sz w:val="22"/>
          <w:szCs w:val="22"/>
          <w:lang w:eastAsia="en-US"/>
        </w:rPr>
        <w:t xml:space="preserve"> asked to write the French word next to the English. In the pre-test I expected all the students to know one word, “intelligent”, because we had already used this when we talked about pets. However, results ranged from 0 for those who could not remember, to 2 for those who realised if they copied every word in English again, some </w:t>
      </w:r>
      <w:r w:rsidR="00D90A16">
        <w:rPr>
          <w:rFonts w:ascii="Calibri" w:eastAsia="Calibri" w:hAnsi="Calibri"/>
          <w:sz w:val="22"/>
          <w:szCs w:val="22"/>
          <w:lang w:eastAsia="en-US"/>
        </w:rPr>
        <w:t xml:space="preserve">words might </w:t>
      </w:r>
      <w:r w:rsidRPr="00FA36F2">
        <w:rPr>
          <w:rFonts w:ascii="Calibri" w:eastAsia="Calibri" w:hAnsi="Calibri"/>
          <w:sz w:val="22"/>
          <w:szCs w:val="22"/>
          <w:lang w:eastAsia="en-US"/>
        </w:rPr>
        <w:t xml:space="preserve">be </w:t>
      </w:r>
      <w:proofErr w:type="gramStart"/>
      <w:r w:rsidRPr="00FA36F2">
        <w:rPr>
          <w:rFonts w:ascii="Calibri" w:eastAsia="Calibri" w:hAnsi="Calibri"/>
          <w:sz w:val="22"/>
          <w:szCs w:val="22"/>
          <w:lang w:eastAsia="en-US"/>
        </w:rPr>
        <w:t>exactly the same</w:t>
      </w:r>
      <w:proofErr w:type="gramEnd"/>
      <w:r w:rsidRPr="00FA36F2">
        <w:rPr>
          <w:rFonts w:ascii="Calibri" w:eastAsia="Calibri" w:hAnsi="Calibri"/>
          <w:sz w:val="22"/>
          <w:szCs w:val="22"/>
          <w:lang w:eastAsia="en-US"/>
        </w:rPr>
        <w:t>.</w:t>
      </w:r>
    </w:p>
    <w:p w14:paraId="73B6512C" w14:textId="2CB9C538"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Once this work was </w:t>
      </w:r>
      <w:r w:rsidR="00D90A16" w:rsidRPr="00FA36F2">
        <w:rPr>
          <w:rFonts w:ascii="Calibri" w:eastAsia="Calibri" w:hAnsi="Calibri"/>
          <w:sz w:val="22"/>
          <w:szCs w:val="22"/>
          <w:lang w:eastAsia="en-US"/>
        </w:rPr>
        <w:t>completed,</w:t>
      </w:r>
      <w:r w:rsidRPr="00FA36F2">
        <w:rPr>
          <w:rFonts w:ascii="Calibri" w:eastAsia="Calibri" w:hAnsi="Calibri"/>
          <w:sz w:val="22"/>
          <w:szCs w:val="22"/>
          <w:lang w:eastAsia="en-US"/>
        </w:rPr>
        <w:t xml:space="preserve"> we moved onto </w:t>
      </w:r>
      <w:proofErr w:type="gramStart"/>
      <w:r w:rsidRPr="00FA36F2">
        <w:rPr>
          <w:rFonts w:ascii="Calibri" w:eastAsia="Calibri" w:hAnsi="Calibri"/>
          <w:sz w:val="22"/>
          <w:szCs w:val="22"/>
          <w:lang w:eastAsia="en-US"/>
        </w:rPr>
        <w:t>actually learning</w:t>
      </w:r>
      <w:proofErr w:type="gramEnd"/>
      <w:r w:rsidRPr="00FA36F2">
        <w:rPr>
          <w:rFonts w:ascii="Calibri" w:eastAsia="Calibri" w:hAnsi="Calibri"/>
          <w:sz w:val="22"/>
          <w:szCs w:val="22"/>
          <w:lang w:eastAsia="en-US"/>
        </w:rPr>
        <w:t xml:space="preserve"> the new vocabulary for the intervention. The vocabulary was chosen from the list already provided in their booklet as part of </w:t>
      </w:r>
      <w:r w:rsidRPr="00FA36F2">
        <w:rPr>
          <w:rFonts w:ascii="Calibri" w:eastAsia="Calibri" w:hAnsi="Calibri"/>
          <w:sz w:val="22"/>
          <w:szCs w:val="22"/>
          <w:lang w:eastAsia="en-US"/>
        </w:rPr>
        <w:lastRenderedPageBreak/>
        <w:t>the pre-existing scheme of work. Whilst this resulted in more difficult words to remember, it meant that the work we were completing was relevant to what had come before and would be applicable to their upcoming writing assessment. The vocabulary listed in their book consisted of</w:t>
      </w:r>
      <w:r w:rsidR="002569DC">
        <w:rPr>
          <w:rFonts w:ascii="Calibri" w:eastAsia="Calibri" w:hAnsi="Calibri"/>
          <w:sz w:val="22"/>
          <w:szCs w:val="22"/>
          <w:lang w:eastAsia="en-US"/>
        </w:rPr>
        <w:t xml:space="preserve"> 19 </w:t>
      </w:r>
      <w:r w:rsidRPr="00FA36F2">
        <w:rPr>
          <w:rFonts w:ascii="Calibri" w:eastAsia="Calibri" w:hAnsi="Calibri"/>
          <w:sz w:val="22"/>
          <w:szCs w:val="22"/>
          <w:lang w:eastAsia="en-US"/>
        </w:rPr>
        <w:t>words, however I decided to only focus on</w:t>
      </w:r>
      <w:r w:rsidR="009A2AB9">
        <w:rPr>
          <w:rFonts w:ascii="Calibri" w:eastAsia="Calibri" w:hAnsi="Calibri"/>
          <w:sz w:val="22"/>
          <w:szCs w:val="22"/>
          <w:lang w:eastAsia="en-US"/>
        </w:rPr>
        <w:t xml:space="preserve"> 14 of them.</w:t>
      </w:r>
      <w:r w:rsidR="00CA5FB8">
        <w:rPr>
          <w:rFonts w:ascii="Calibri" w:eastAsia="Calibri" w:hAnsi="Calibri"/>
          <w:sz w:val="22"/>
          <w:szCs w:val="22"/>
          <w:lang w:eastAsia="en-US"/>
        </w:rPr>
        <w:t xml:space="preserve"> Whilst it is possible to aim for 20-25 words with </w:t>
      </w:r>
      <w:proofErr w:type="gramStart"/>
      <w:r w:rsidR="00CA5FB8">
        <w:rPr>
          <w:rFonts w:ascii="Calibri" w:eastAsia="Calibri" w:hAnsi="Calibri"/>
          <w:sz w:val="22"/>
          <w:szCs w:val="22"/>
          <w:lang w:eastAsia="en-US"/>
        </w:rPr>
        <w:t>a</w:t>
      </w:r>
      <w:proofErr w:type="gramEnd"/>
      <w:r w:rsidR="00CA5FB8">
        <w:rPr>
          <w:rFonts w:ascii="Calibri" w:eastAsia="Calibri" w:hAnsi="Calibri"/>
          <w:sz w:val="22"/>
          <w:szCs w:val="22"/>
          <w:lang w:eastAsia="en-US"/>
        </w:rPr>
        <w:t xml:space="preserve"> </w:t>
      </w:r>
      <w:r w:rsidR="003072F2">
        <w:rPr>
          <w:rFonts w:ascii="Calibri" w:eastAsia="Calibri" w:hAnsi="Calibri"/>
          <w:sz w:val="22"/>
          <w:szCs w:val="22"/>
          <w:lang w:eastAsia="en-US"/>
        </w:rPr>
        <w:t xml:space="preserve">able </w:t>
      </w:r>
      <w:r w:rsidR="00CA5FB8">
        <w:rPr>
          <w:rFonts w:ascii="Calibri" w:eastAsia="Calibri" w:hAnsi="Calibri"/>
          <w:sz w:val="22"/>
          <w:szCs w:val="22"/>
          <w:lang w:eastAsia="en-US"/>
        </w:rPr>
        <w:t>group that ha</w:t>
      </w:r>
      <w:r w:rsidR="003072F2">
        <w:rPr>
          <w:rFonts w:ascii="Calibri" w:eastAsia="Calibri" w:hAnsi="Calibri"/>
          <w:sz w:val="22"/>
          <w:szCs w:val="22"/>
          <w:lang w:eastAsia="en-US"/>
        </w:rPr>
        <w:t>ve efficient working memories</w:t>
      </w:r>
      <w:r w:rsidR="00990F71">
        <w:rPr>
          <w:rFonts w:ascii="Calibri" w:eastAsia="Calibri" w:hAnsi="Calibri"/>
          <w:sz w:val="22"/>
          <w:szCs w:val="22"/>
          <w:lang w:eastAsia="en-US"/>
        </w:rPr>
        <w:t xml:space="preserve"> (Smith &amp; Conti, </w:t>
      </w:r>
      <w:r w:rsidR="00E70D6D">
        <w:rPr>
          <w:rFonts w:ascii="Calibri" w:eastAsia="Calibri" w:hAnsi="Calibri"/>
          <w:sz w:val="22"/>
          <w:szCs w:val="22"/>
          <w:lang w:eastAsia="en-US"/>
        </w:rPr>
        <w:t>2016)</w:t>
      </w:r>
      <w:r w:rsidR="003072F2">
        <w:rPr>
          <w:rFonts w:ascii="Calibri" w:eastAsia="Calibri" w:hAnsi="Calibri"/>
          <w:sz w:val="22"/>
          <w:szCs w:val="22"/>
          <w:lang w:eastAsia="en-US"/>
        </w:rPr>
        <w:t>, I felt that a lower number</w:t>
      </w:r>
      <w:r w:rsidR="00524359">
        <w:rPr>
          <w:rFonts w:ascii="Calibri" w:eastAsia="Calibri" w:hAnsi="Calibri"/>
          <w:sz w:val="22"/>
          <w:szCs w:val="22"/>
          <w:lang w:eastAsia="en-US"/>
        </w:rPr>
        <w:t xml:space="preserve"> better suited the</w:t>
      </w:r>
      <w:r w:rsidR="003072F2">
        <w:rPr>
          <w:rFonts w:ascii="Calibri" w:eastAsia="Calibri" w:hAnsi="Calibri"/>
          <w:sz w:val="22"/>
          <w:szCs w:val="22"/>
          <w:lang w:eastAsia="en-US"/>
        </w:rPr>
        <w:t xml:space="preserve"> </w:t>
      </w:r>
      <w:r w:rsidR="00990F71">
        <w:rPr>
          <w:rFonts w:ascii="Calibri" w:eastAsia="Calibri" w:hAnsi="Calibri"/>
          <w:sz w:val="22"/>
          <w:szCs w:val="22"/>
          <w:lang w:eastAsia="en-US"/>
        </w:rPr>
        <w:t>class in terms of their concentration levels and previous academic performance.</w:t>
      </w:r>
    </w:p>
    <w:p w14:paraId="34550ABB" w14:textId="3747BD7A"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To introduce the </w:t>
      </w:r>
      <w:r w:rsidR="005E5A9A" w:rsidRPr="00FA36F2">
        <w:rPr>
          <w:rFonts w:ascii="Calibri" w:eastAsia="Calibri" w:hAnsi="Calibri"/>
          <w:sz w:val="22"/>
          <w:szCs w:val="22"/>
          <w:lang w:eastAsia="en-US"/>
        </w:rPr>
        <w:t>words,</w:t>
      </w:r>
      <w:r w:rsidRPr="00FA36F2">
        <w:rPr>
          <w:rFonts w:ascii="Calibri" w:eastAsia="Calibri" w:hAnsi="Calibri"/>
          <w:sz w:val="22"/>
          <w:szCs w:val="22"/>
          <w:lang w:eastAsia="en-US"/>
        </w:rPr>
        <w:t xml:space="preserve"> I created a PowerPoint slide for each item of vocabulary (see A</w:t>
      </w:r>
      <w:r w:rsidR="005E5A9A">
        <w:rPr>
          <w:rFonts w:ascii="Calibri" w:eastAsia="Calibri" w:hAnsi="Calibri"/>
          <w:sz w:val="22"/>
          <w:szCs w:val="22"/>
          <w:lang w:eastAsia="en-US"/>
        </w:rPr>
        <w:t>ppendix</w:t>
      </w:r>
      <w:r w:rsidRPr="00FA36F2">
        <w:rPr>
          <w:rFonts w:ascii="Calibri" w:eastAsia="Calibri" w:hAnsi="Calibri"/>
          <w:sz w:val="22"/>
          <w:szCs w:val="22"/>
          <w:lang w:eastAsia="en-US"/>
        </w:rPr>
        <w:br/>
      </w:r>
      <w:r w:rsidR="005E5A9A">
        <w:rPr>
          <w:rFonts w:ascii="Calibri" w:eastAsia="Calibri" w:hAnsi="Calibri"/>
          <w:sz w:val="22"/>
          <w:szCs w:val="22"/>
          <w:lang w:eastAsia="en-US"/>
        </w:rPr>
        <w:t>C</w:t>
      </w:r>
      <w:r w:rsidRPr="00FA36F2">
        <w:rPr>
          <w:rFonts w:ascii="Calibri" w:eastAsia="Calibri" w:hAnsi="Calibri"/>
          <w:sz w:val="22"/>
          <w:szCs w:val="22"/>
          <w:lang w:eastAsia="en-US"/>
        </w:rPr>
        <w:t xml:space="preserve"> for an example</w:t>
      </w:r>
      <w:r w:rsidR="005E5A9A">
        <w:rPr>
          <w:rFonts w:ascii="Calibri" w:eastAsia="Calibri" w:hAnsi="Calibri"/>
          <w:sz w:val="22"/>
          <w:szCs w:val="22"/>
          <w:lang w:eastAsia="en-US"/>
        </w:rPr>
        <w:t>s</w:t>
      </w:r>
      <w:r w:rsidRPr="00FA36F2">
        <w:rPr>
          <w:rFonts w:ascii="Calibri" w:eastAsia="Calibri" w:hAnsi="Calibri"/>
          <w:sz w:val="22"/>
          <w:szCs w:val="22"/>
          <w:lang w:eastAsia="en-US"/>
        </w:rPr>
        <w:t>) and displayed the French word alongside an image I felt well represented that adjective. Choosing the images was not an easy task, as adjectives to describe personality traits do not immediately evoke a common image (</w:t>
      </w:r>
      <w:r w:rsidR="005A70A7">
        <w:rPr>
          <w:rFonts w:ascii="Calibri" w:eastAsia="Calibri" w:hAnsi="Calibri"/>
          <w:sz w:val="22"/>
          <w:szCs w:val="22"/>
          <w:lang w:eastAsia="en-US"/>
        </w:rPr>
        <w:t>Clark,</w:t>
      </w:r>
      <w:r w:rsidR="00EB5CB2">
        <w:rPr>
          <w:rFonts w:ascii="Calibri" w:eastAsia="Calibri" w:hAnsi="Calibri"/>
          <w:sz w:val="22"/>
          <w:szCs w:val="22"/>
          <w:lang w:eastAsia="en-US"/>
        </w:rPr>
        <w:t xml:space="preserve"> 1984</w:t>
      </w:r>
      <w:r w:rsidRPr="00FA36F2">
        <w:rPr>
          <w:rFonts w:ascii="Calibri" w:eastAsia="Calibri" w:hAnsi="Calibri"/>
          <w:sz w:val="22"/>
          <w:szCs w:val="22"/>
          <w:lang w:eastAsia="en-US"/>
        </w:rPr>
        <w:t>). Another factor I had to consider is that I wanted students to work out the English translation from the French word and the image alone. Inference is an important tool in learning and can be particularly effective in the MFL classroom (</w:t>
      </w:r>
      <w:r w:rsidR="00AC165A">
        <w:rPr>
          <w:rFonts w:ascii="Calibri" w:eastAsia="Calibri" w:hAnsi="Calibri"/>
          <w:sz w:val="22"/>
          <w:szCs w:val="22"/>
          <w:lang w:eastAsia="en-US"/>
        </w:rPr>
        <w:t xml:space="preserve">Harries, </w:t>
      </w:r>
      <w:r w:rsidR="009B3D0A">
        <w:rPr>
          <w:rFonts w:ascii="Calibri" w:eastAsia="Calibri" w:hAnsi="Calibri"/>
          <w:sz w:val="22"/>
          <w:szCs w:val="22"/>
          <w:lang w:eastAsia="en-US"/>
        </w:rPr>
        <w:t>2000</w:t>
      </w:r>
      <w:r w:rsidRPr="00FA36F2">
        <w:rPr>
          <w:rFonts w:ascii="Calibri" w:eastAsia="Calibri" w:hAnsi="Calibri"/>
          <w:sz w:val="22"/>
          <w:szCs w:val="22"/>
          <w:lang w:eastAsia="en-US"/>
        </w:rPr>
        <w:t>). The first time I showed the slides</w:t>
      </w:r>
      <w:r w:rsidR="00C36E28" w:rsidRPr="00A45E23">
        <w:rPr>
          <w:rFonts w:ascii="Calibri" w:eastAsia="Calibri" w:hAnsi="Calibri"/>
          <w:sz w:val="22"/>
          <w:szCs w:val="22"/>
          <w:lang w:eastAsia="en-US"/>
        </w:rPr>
        <w:t xml:space="preserve"> to </w:t>
      </w:r>
      <w:r w:rsidR="00BC5672" w:rsidRPr="00A45E23">
        <w:rPr>
          <w:rFonts w:ascii="Calibri" w:eastAsia="Calibri" w:hAnsi="Calibri"/>
          <w:sz w:val="22"/>
          <w:szCs w:val="22"/>
          <w:lang w:eastAsia="en-US"/>
        </w:rPr>
        <w:t>the class</w:t>
      </w:r>
      <w:r w:rsidRPr="00FA36F2">
        <w:rPr>
          <w:rFonts w:ascii="Calibri" w:eastAsia="Calibri" w:hAnsi="Calibri"/>
          <w:sz w:val="22"/>
          <w:szCs w:val="22"/>
          <w:lang w:eastAsia="en-US"/>
        </w:rPr>
        <w:t xml:space="preserve"> I discussed </w:t>
      </w:r>
      <w:r w:rsidR="00BC5672" w:rsidRPr="00A45E23">
        <w:rPr>
          <w:rFonts w:ascii="Calibri" w:eastAsia="Calibri" w:hAnsi="Calibri"/>
          <w:sz w:val="22"/>
          <w:szCs w:val="22"/>
          <w:lang w:eastAsia="en-US"/>
        </w:rPr>
        <w:t xml:space="preserve">the word and image with </w:t>
      </w:r>
      <w:r w:rsidR="00A45E23" w:rsidRPr="00A45E23">
        <w:rPr>
          <w:rFonts w:ascii="Calibri" w:eastAsia="Calibri" w:hAnsi="Calibri"/>
          <w:sz w:val="22"/>
          <w:szCs w:val="22"/>
          <w:lang w:eastAsia="en-US"/>
        </w:rPr>
        <w:t>them and</w:t>
      </w:r>
      <w:r w:rsidRPr="00FA36F2">
        <w:rPr>
          <w:rFonts w:ascii="Calibri" w:eastAsia="Calibri" w:hAnsi="Calibri"/>
          <w:sz w:val="22"/>
          <w:szCs w:val="22"/>
          <w:lang w:eastAsia="en-US"/>
        </w:rPr>
        <w:t xml:space="preserve"> guided </w:t>
      </w:r>
      <w:r w:rsidR="00BC5672" w:rsidRPr="00A45E23">
        <w:rPr>
          <w:rFonts w:ascii="Calibri" w:eastAsia="Calibri" w:hAnsi="Calibri"/>
          <w:sz w:val="22"/>
          <w:szCs w:val="22"/>
          <w:lang w:eastAsia="en-US"/>
        </w:rPr>
        <w:t>them in working out the English when</w:t>
      </w:r>
      <w:r w:rsidRPr="00FA36F2">
        <w:rPr>
          <w:rFonts w:ascii="Calibri" w:eastAsia="Calibri" w:hAnsi="Calibri"/>
          <w:sz w:val="22"/>
          <w:szCs w:val="22"/>
          <w:lang w:eastAsia="en-US"/>
        </w:rPr>
        <w:t xml:space="preserve"> they had difficulty inferring from the </w:t>
      </w:r>
      <w:r w:rsidR="00BC5672" w:rsidRPr="00A45E23">
        <w:rPr>
          <w:rFonts w:ascii="Calibri" w:eastAsia="Calibri" w:hAnsi="Calibri"/>
          <w:sz w:val="22"/>
          <w:szCs w:val="22"/>
          <w:lang w:eastAsia="en-US"/>
        </w:rPr>
        <w:t>information</w:t>
      </w:r>
      <w:r w:rsidRPr="00FA36F2">
        <w:rPr>
          <w:rFonts w:ascii="Calibri" w:eastAsia="Calibri" w:hAnsi="Calibri"/>
          <w:sz w:val="22"/>
          <w:szCs w:val="22"/>
          <w:lang w:eastAsia="en-US"/>
        </w:rPr>
        <w:t xml:space="preserve"> on the board. I then showed the English word to reinforce the link between the image and the French word, meaning that everyone both saw and heard the word in English and in French. In pushing the students to use their thinking skills to work out unfamiliar words, you can create strong cognitive links (</w:t>
      </w:r>
      <w:r w:rsidR="009B3D0A">
        <w:rPr>
          <w:rFonts w:ascii="Calibri" w:eastAsia="Calibri" w:hAnsi="Calibri"/>
          <w:sz w:val="22"/>
          <w:szCs w:val="22"/>
          <w:lang w:eastAsia="en-US"/>
        </w:rPr>
        <w:t>Harries, 2000</w:t>
      </w:r>
      <w:r w:rsidRPr="00FA36F2">
        <w:rPr>
          <w:rFonts w:ascii="Calibri" w:eastAsia="Calibri" w:hAnsi="Calibri"/>
          <w:sz w:val="22"/>
          <w:szCs w:val="22"/>
          <w:lang w:eastAsia="en-US"/>
        </w:rPr>
        <w:t>) and this was important to me due to the difficulties that arise when using dual-coding with abstract terms.</w:t>
      </w:r>
    </w:p>
    <w:p w14:paraId="3D898A9D" w14:textId="58CE1330"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After getting students to work out the English one word at a time, I then drilled the vocabulary using PowerPoint slides with only the French word and the image; occasionally asking the for the meaning of more difficult words in English. </w:t>
      </w:r>
      <w:proofErr w:type="spellStart"/>
      <w:r w:rsidRPr="00FA36F2">
        <w:rPr>
          <w:rFonts w:ascii="Calibri" w:eastAsia="Calibri" w:hAnsi="Calibri"/>
          <w:sz w:val="22"/>
          <w:szCs w:val="22"/>
          <w:lang w:eastAsia="en-US"/>
        </w:rPr>
        <w:t>Bruny</w:t>
      </w:r>
      <w:r w:rsidR="00A65308">
        <w:rPr>
          <w:rFonts w:ascii="Calibri" w:eastAsia="Calibri" w:hAnsi="Calibri"/>
          <w:sz w:val="22"/>
          <w:szCs w:val="22"/>
          <w:lang w:eastAsia="en-US"/>
        </w:rPr>
        <w:t>é</w:t>
      </w:r>
      <w:proofErr w:type="spellEnd"/>
      <w:r w:rsidR="008F3BB7">
        <w:rPr>
          <w:rFonts w:ascii="Calibri" w:eastAsia="Calibri" w:hAnsi="Calibri"/>
          <w:sz w:val="22"/>
          <w:szCs w:val="22"/>
          <w:lang w:eastAsia="en-US"/>
        </w:rPr>
        <w:t xml:space="preserve"> et al</w:t>
      </w:r>
      <w:r w:rsidRPr="00FA36F2">
        <w:rPr>
          <w:rFonts w:ascii="Calibri" w:eastAsia="Calibri" w:hAnsi="Calibri"/>
          <w:sz w:val="22"/>
          <w:szCs w:val="22"/>
          <w:lang w:eastAsia="en-US"/>
        </w:rPr>
        <w:t xml:space="preserve"> (</w:t>
      </w:r>
      <w:r w:rsidR="00793BB4">
        <w:rPr>
          <w:rFonts w:ascii="Calibri" w:eastAsia="Calibri" w:hAnsi="Calibri"/>
          <w:sz w:val="22"/>
          <w:szCs w:val="22"/>
          <w:lang w:eastAsia="en-US"/>
        </w:rPr>
        <w:t xml:space="preserve">2008) </w:t>
      </w:r>
      <w:r w:rsidRPr="00FA36F2">
        <w:rPr>
          <w:rFonts w:ascii="Calibri" w:eastAsia="Calibri" w:hAnsi="Calibri"/>
          <w:sz w:val="22"/>
          <w:szCs w:val="22"/>
          <w:lang w:eastAsia="en-US"/>
        </w:rPr>
        <w:t>state that repetition can aid the multimedia advantage, so I felt that the use of drilling with dual-coding could be a means of overcoming the concreteness effect (</w:t>
      </w:r>
      <w:r w:rsidR="009F3C90">
        <w:rPr>
          <w:rFonts w:ascii="Calibri" w:eastAsia="Calibri" w:hAnsi="Calibri"/>
          <w:sz w:val="22"/>
          <w:szCs w:val="22"/>
          <w:lang w:eastAsia="en-US"/>
        </w:rPr>
        <w:t>Clark, 1984</w:t>
      </w:r>
      <w:r w:rsidRPr="00FA36F2">
        <w:rPr>
          <w:rFonts w:ascii="Calibri" w:eastAsia="Calibri" w:hAnsi="Calibri"/>
          <w:sz w:val="22"/>
          <w:szCs w:val="22"/>
          <w:lang w:eastAsia="en-US"/>
        </w:rPr>
        <w:t xml:space="preserve">). After drilling the </w:t>
      </w:r>
      <w:r w:rsidR="00EF1F1A" w:rsidRPr="00FA36F2">
        <w:rPr>
          <w:rFonts w:ascii="Calibri" w:eastAsia="Calibri" w:hAnsi="Calibri"/>
          <w:sz w:val="22"/>
          <w:szCs w:val="22"/>
          <w:lang w:eastAsia="en-US"/>
        </w:rPr>
        <w:t>vocabulary,</w:t>
      </w:r>
      <w:r w:rsidRPr="00FA36F2">
        <w:rPr>
          <w:rFonts w:ascii="Calibri" w:eastAsia="Calibri" w:hAnsi="Calibri"/>
          <w:sz w:val="22"/>
          <w:szCs w:val="22"/>
          <w:lang w:eastAsia="en-US"/>
        </w:rPr>
        <w:t xml:space="preserve"> we then looked at transforming the French adjectives from their masculine form to the feminine form, calling on the learners existing knowledge of how French adjectives work. Whilst not an aspect of dual-coding, this use of a constructivist approach</w:t>
      </w:r>
      <w:r w:rsidR="00C56AE7">
        <w:rPr>
          <w:rFonts w:ascii="Calibri" w:eastAsia="Calibri" w:hAnsi="Calibri"/>
          <w:sz w:val="22"/>
          <w:szCs w:val="22"/>
          <w:lang w:eastAsia="en-US"/>
        </w:rPr>
        <w:t xml:space="preserve"> </w:t>
      </w:r>
      <w:r w:rsidRPr="00FA36F2">
        <w:rPr>
          <w:rFonts w:ascii="Calibri" w:eastAsia="Calibri" w:hAnsi="Calibri"/>
          <w:sz w:val="22"/>
          <w:szCs w:val="22"/>
          <w:lang w:eastAsia="en-US"/>
        </w:rPr>
        <w:t xml:space="preserve">helped to link the new vocabulary to grammatical rules they already understood. Additionally, this helped to forge further links with the French elements they already knew. By focusing on </w:t>
      </w:r>
      <w:proofErr w:type="gramStart"/>
      <w:r w:rsidRPr="00FA36F2">
        <w:rPr>
          <w:rFonts w:ascii="Calibri" w:eastAsia="Calibri" w:hAnsi="Calibri"/>
          <w:sz w:val="22"/>
          <w:szCs w:val="22"/>
          <w:lang w:eastAsia="en-US"/>
        </w:rPr>
        <w:t>skills</w:t>
      </w:r>
      <w:proofErr w:type="gramEnd"/>
      <w:r w:rsidRPr="00FA36F2">
        <w:rPr>
          <w:rFonts w:ascii="Calibri" w:eastAsia="Calibri" w:hAnsi="Calibri"/>
          <w:sz w:val="22"/>
          <w:szCs w:val="22"/>
          <w:lang w:eastAsia="en-US"/>
        </w:rPr>
        <w:t xml:space="preserve"> they already </w:t>
      </w:r>
      <w:r w:rsidR="00673E32">
        <w:rPr>
          <w:rFonts w:ascii="Calibri" w:eastAsia="Calibri" w:hAnsi="Calibri"/>
          <w:sz w:val="22"/>
          <w:szCs w:val="22"/>
          <w:lang w:eastAsia="en-US"/>
        </w:rPr>
        <w:t>possessed</w:t>
      </w:r>
      <w:r w:rsidR="004328BF">
        <w:rPr>
          <w:rFonts w:ascii="Calibri" w:eastAsia="Calibri" w:hAnsi="Calibri"/>
          <w:sz w:val="22"/>
          <w:szCs w:val="22"/>
          <w:lang w:eastAsia="en-US"/>
        </w:rPr>
        <w:t>,</w:t>
      </w:r>
      <w:r w:rsidRPr="00FA36F2">
        <w:rPr>
          <w:rFonts w:ascii="Calibri" w:eastAsia="Calibri" w:hAnsi="Calibri"/>
          <w:sz w:val="22"/>
          <w:szCs w:val="22"/>
          <w:lang w:eastAsia="en-US"/>
        </w:rPr>
        <w:t xml:space="preserve"> and combining that with the new vocabulary, I hoped to use this to bolster the impact of my intervention. </w:t>
      </w:r>
    </w:p>
    <w:p w14:paraId="60978B57" w14:textId="7777777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After working out the feminine forms, students then wrote the words into the table in their booklets. However, despite specifying that not every word in the table was on the board, half of the class did not check that they were writing the right words in the right boxes in their book. I gave the </w:t>
      </w:r>
      <w:r w:rsidRPr="00FA36F2">
        <w:rPr>
          <w:rFonts w:ascii="Calibri" w:eastAsia="Calibri" w:hAnsi="Calibri"/>
          <w:sz w:val="22"/>
          <w:szCs w:val="22"/>
          <w:lang w:eastAsia="en-US"/>
        </w:rPr>
        <w:lastRenderedPageBreak/>
        <w:t xml:space="preserve">students extra time to correct their mistakes before moving on to image-based activities. For 7 of the adjectives in my intervention, I put images on the board and played “Beat the teacher”; where I point to an image and say an adjective and the students’ only repeat it if it’s correct. I chose this game as it requires students to use the links they’ve already made between the image and the word, even if the written word is not displayed on the board. It is also an interactive method which feels more like a game even though it’s a valuable teaching tool for vocabulary. For the second image based activity I used the remaining 7 adjectives for a game of “Tap the Board”, where every round 2 students (one from each side of the class) would go head to head and the first one to tap the correct image for the French adjective would earn a point for their side of the room. Whilst there are only 2 students actively participating at a time, the whole class is invested in the outcomes due to rewards for the winning team. This results in almost every student paying attention, which reinforces the word-image link to the whole class. </w:t>
      </w:r>
    </w:p>
    <w:p w14:paraId="30C96E6F" w14:textId="4A23653D"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For the plenary I asked students to write a sentence to describe themselves using 3 adjectives on a post-it note and most showed they understood what we had covered in class. However, I realised that the errors in the table in their booklets would not be conducive to their learning and had to alter the second lesson in my intervention and differentiate my starter. For those whose tables were beyond redemption, I printed clean versions of the tables for them to rewrite the words and glue the sheet into their booklets. Everyone else had to create sentences from the images I displayed on the board relating to the adjectives they had learned in the previous lesson. After this I quickly drilled the images with the French words again and then worked on sentence translation using those adjectives. I had planned to conduct the post-test after this exercise, but due to an unforeseen school event the students had to go to lunch half way through the class. </w:t>
      </w:r>
    </w:p>
    <w:p w14:paraId="3A9E6C65" w14:textId="7F8B3CB5"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The post-test was rescheduled to the start of the following lesson. To assist them, I displayed the images in the same order that they appeared in the test. This provision of additional information to consider could potentially lead to cognitive overload</w:t>
      </w:r>
      <w:r w:rsidR="004C5F4B">
        <w:rPr>
          <w:rFonts w:ascii="Calibri" w:eastAsia="Calibri" w:hAnsi="Calibri"/>
          <w:sz w:val="22"/>
          <w:szCs w:val="22"/>
          <w:lang w:eastAsia="en-US"/>
        </w:rPr>
        <w:t xml:space="preserve"> (</w:t>
      </w:r>
      <w:proofErr w:type="spellStart"/>
      <w:r w:rsidR="004C5F4B">
        <w:rPr>
          <w:rFonts w:ascii="Calibri" w:eastAsia="Calibri" w:hAnsi="Calibri"/>
          <w:sz w:val="22"/>
          <w:szCs w:val="22"/>
          <w:lang w:eastAsia="en-US"/>
        </w:rPr>
        <w:t>Paas</w:t>
      </w:r>
      <w:proofErr w:type="spellEnd"/>
      <w:r w:rsidR="004C5F4B">
        <w:rPr>
          <w:rFonts w:ascii="Calibri" w:eastAsia="Calibri" w:hAnsi="Calibri"/>
          <w:sz w:val="22"/>
          <w:szCs w:val="22"/>
          <w:lang w:eastAsia="en-US"/>
        </w:rPr>
        <w:t xml:space="preserve"> et al, 2003);</w:t>
      </w:r>
      <w:r w:rsidRPr="00FA36F2">
        <w:rPr>
          <w:rFonts w:ascii="Calibri" w:eastAsia="Calibri" w:hAnsi="Calibri"/>
          <w:b/>
          <w:sz w:val="22"/>
          <w:szCs w:val="22"/>
          <w:lang w:eastAsia="en-US"/>
        </w:rPr>
        <w:t xml:space="preserve"> </w:t>
      </w:r>
      <w:r w:rsidRPr="00FA36F2">
        <w:rPr>
          <w:rFonts w:ascii="Calibri" w:eastAsia="Calibri" w:hAnsi="Calibri"/>
          <w:sz w:val="22"/>
          <w:szCs w:val="22"/>
          <w:lang w:eastAsia="en-US"/>
        </w:rPr>
        <w:t>however, as dual-coding looks to promote the word-image link for better cognitive links, imagery should be a good method to aid linguistic recall</w:t>
      </w:r>
      <w:r w:rsidR="002B4D76">
        <w:rPr>
          <w:rFonts w:ascii="Calibri" w:eastAsia="Calibri" w:hAnsi="Calibri"/>
          <w:sz w:val="22"/>
          <w:szCs w:val="22"/>
          <w:lang w:eastAsia="en-US"/>
        </w:rPr>
        <w:t xml:space="preserve"> (</w:t>
      </w:r>
      <w:proofErr w:type="spellStart"/>
      <w:r w:rsidR="002B4D76">
        <w:rPr>
          <w:rFonts w:ascii="Calibri" w:eastAsia="Calibri" w:hAnsi="Calibri"/>
          <w:sz w:val="22"/>
          <w:szCs w:val="22"/>
          <w:lang w:eastAsia="en-US"/>
        </w:rPr>
        <w:t>Kassim</w:t>
      </w:r>
      <w:proofErr w:type="spellEnd"/>
      <w:r w:rsidR="002B4D76">
        <w:rPr>
          <w:rFonts w:ascii="Calibri" w:eastAsia="Calibri" w:hAnsi="Calibri"/>
          <w:sz w:val="22"/>
          <w:szCs w:val="22"/>
          <w:lang w:eastAsia="en-US"/>
        </w:rPr>
        <w:t>, 2018).</w:t>
      </w:r>
      <w:r w:rsidRPr="00FA36F2">
        <w:rPr>
          <w:rFonts w:ascii="Calibri" w:eastAsia="Calibri" w:hAnsi="Calibri"/>
          <w:sz w:val="22"/>
          <w:szCs w:val="22"/>
          <w:lang w:eastAsia="en-US"/>
        </w:rPr>
        <w:t xml:space="preserve"> This hypothesis is supported by the results of the second test. </w:t>
      </w:r>
    </w:p>
    <w:p w14:paraId="6AB130E3" w14:textId="51FF780F"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Before I started my intervention, I made the decision to emphasise communication over accuracy of spelling. The aims of my research were to see how dual-coding could be used to aid vocabulary acquisition and recall of that same vocabulary. Students demonstrated in class that their recognition of the vocabulary was </w:t>
      </w:r>
      <w:r w:rsidR="0049526D" w:rsidRPr="00FA36F2">
        <w:rPr>
          <w:rFonts w:ascii="Calibri" w:eastAsia="Calibri" w:hAnsi="Calibri"/>
          <w:sz w:val="22"/>
          <w:szCs w:val="22"/>
          <w:lang w:eastAsia="en-US"/>
        </w:rPr>
        <w:t>good,</w:t>
      </w:r>
      <w:r w:rsidRPr="00FA36F2">
        <w:rPr>
          <w:rFonts w:ascii="Calibri" w:eastAsia="Calibri" w:hAnsi="Calibri"/>
          <w:sz w:val="22"/>
          <w:szCs w:val="22"/>
          <w:lang w:eastAsia="en-US"/>
        </w:rPr>
        <w:t xml:space="preserve"> and the tests showed that their recall was also good. Spelling did suffer, but </w:t>
      </w:r>
      <w:proofErr w:type="gramStart"/>
      <w:r w:rsidRPr="00FA36F2">
        <w:rPr>
          <w:rFonts w:ascii="Calibri" w:eastAsia="Calibri" w:hAnsi="Calibri"/>
          <w:sz w:val="22"/>
          <w:szCs w:val="22"/>
          <w:lang w:eastAsia="en-US"/>
        </w:rPr>
        <w:t>as long as</w:t>
      </w:r>
      <w:proofErr w:type="gramEnd"/>
      <w:r w:rsidRPr="00FA36F2">
        <w:rPr>
          <w:rFonts w:ascii="Calibri" w:eastAsia="Calibri" w:hAnsi="Calibri"/>
          <w:sz w:val="22"/>
          <w:szCs w:val="22"/>
          <w:lang w:eastAsia="en-US"/>
        </w:rPr>
        <w:t xml:space="preserve"> the word was recognisable as the French the students got their mark. Whilst spelling is important, when we consider the WJEC GCSE exam syllabus, communication comes before accuracy. </w:t>
      </w:r>
      <w:r w:rsidRPr="00FA36F2">
        <w:rPr>
          <w:rFonts w:ascii="Calibri" w:eastAsia="Calibri" w:hAnsi="Calibri"/>
          <w:sz w:val="22"/>
          <w:szCs w:val="22"/>
          <w:lang w:eastAsia="en-US"/>
        </w:rPr>
        <w:lastRenderedPageBreak/>
        <w:t xml:space="preserve">It was for this reason that I emphasised remembering the word and using oral practice before considering accuracy of spelling. The production of the words for many may have been problematic, but communication, in my opinion, has greater practical application.  </w:t>
      </w:r>
    </w:p>
    <w:p w14:paraId="2AAD5845" w14:textId="085065C6" w:rsidR="00FA36F2" w:rsidRPr="00FA36F2" w:rsidRDefault="00014480" w:rsidP="000B0924">
      <w:pPr>
        <w:spacing w:after="160" w:line="360" w:lineRule="auto"/>
        <w:rPr>
          <w:rFonts w:ascii="Calibri" w:eastAsia="Calibri" w:hAnsi="Calibri"/>
          <w:sz w:val="22"/>
          <w:szCs w:val="22"/>
          <w:lang w:eastAsia="en-US"/>
        </w:rPr>
      </w:pPr>
      <w:r>
        <w:rPr>
          <w:rFonts w:ascii="Calibri" w:eastAsia="Calibri" w:hAnsi="Calibri"/>
          <w:sz w:val="22"/>
          <w:szCs w:val="22"/>
          <w:lang w:eastAsia="en-US"/>
        </w:rPr>
        <w:t>The graph on Appendix B</w:t>
      </w:r>
      <w:r w:rsidR="00FA36F2" w:rsidRPr="00FA36F2">
        <w:rPr>
          <w:rFonts w:ascii="Calibri" w:eastAsia="Calibri" w:hAnsi="Calibri"/>
          <w:sz w:val="22"/>
          <w:szCs w:val="22"/>
          <w:lang w:eastAsia="en-US"/>
        </w:rPr>
        <w:t xml:space="preserve"> shows the results from the first test, the results from the second test, and the difference between the two. Whilst no student decided to withdraw their test scores from the research, I have omitted those who were unable to sit both the pre-test and the post-test as those additions could skew both the baseline score and the end of intervention results. From looking at the </w:t>
      </w:r>
      <w:r w:rsidRPr="00FA36F2">
        <w:rPr>
          <w:rFonts w:ascii="Calibri" w:eastAsia="Calibri" w:hAnsi="Calibri"/>
          <w:sz w:val="22"/>
          <w:szCs w:val="22"/>
          <w:lang w:eastAsia="en-US"/>
        </w:rPr>
        <w:t>graph</w:t>
      </w:r>
      <w:r w:rsidR="00FA36F2" w:rsidRPr="00FA36F2">
        <w:rPr>
          <w:rFonts w:ascii="Calibri" w:eastAsia="Calibri" w:hAnsi="Calibri"/>
          <w:sz w:val="22"/>
          <w:szCs w:val="22"/>
          <w:lang w:eastAsia="en-US"/>
        </w:rPr>
        <w:t xml:space="preserve">, we can see that every student who sat both tests improved by a minimum of 2. This </w:t>
      </w:r>
      <w:proofErr w:type="gramStart"/>
      <w:r w:rsidR="00FA36F2" w:rsidRPr="00FA36F2">
        <w:rPr>
          <w:rFonts w:ascii="Calibri" w:eastAsia="Calibri" w:hAnsi="Calibri"/>
          <w:sz w:val="22"/>
          <w:szCs w:val="22"/>
          <w:lang w:eastAsia="en-US"/>
        </w:rPr>
        <w:t>in itself may</w:t>
      </w:r>
      <w:proofErr w:type="gramEnd"/>
      <w:r w:rsidR="00FA36F2" w:rsidRPr="00FA36F2">
        <w:rPr>
          <w:rFonts w:ascii="Calibri" w:eastAsia="Calibri" w:hAnsi="Calibri"/>
          <w:sz w:val="22"/>
          <w:szCs w:val="22"/>
          <w:lang w:eastAsia="en-US"/>
        </w:rPr>
        <w:t xml:space="preserve"> not seem a great deal, but the mean results tell a different story. The average for the pre-test was 1.1 out </w:t>
      </w:r>
      <w:r w:rsidR="00145A2D">
        <w:rPr>
          <w:rFonts w:ascii="Calibri" w:eastAsia="Calibri" w:hAnsi="Calibri"/>
          <w:sz w:val="22"/>
          <w:szCs w:val="22"/>
          <w:lang w:eastAsia="en-US"/>
        </w:rPr>
        <w:t xml:space="preserve">of </w:t>
      </w:r>
      <w:r w:rsidR="00FA36F2" w:rsidRPr="00FA36F2">
        <w:rPr>
          <w:rFonts w:ascii="Calibri" w:eastAsia="Calibri" w:hAnsi="Calibri"/>
          <w:sz w:val="22"/>
          <w:szCs w:val="22"/>
          <w:lang w:eastAsia="en-US"/>
        </w:rPr>
        <w:t xml:space="preserve">14 and the average for the post test was 10.7 out of 14. This means that the mean improvement was 9.6. Each child, in a short space of time, not only gained the ability to recognise these words, but also to link them to images and recall them independently from a given stimulus. </w:t>
      </w:r>
    </w:p>
    <w:p w14:paraId="572026CE" w14:textId="7CF70C46"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This essay has already established the inherent difficulty in making cognitive links between images and abstract words, but my findings show that it is possible for dual-coding to still have a positive impact on abstract word learning. Of the words involved in my intervention, 12 were abstract personality traits and 2 were physical trait</w:t>
      </w:r>
      <w:r w:rsidR="0021349C">
        <w:rPr>
          <w:rFonts w:ascii="Calibri" w:eastAsia="Calibri" w:hAnsi="Calibri"/>
          <w:sz w:val="22"/>
          <w:szCs w:val="22"/>
          <w:lang w:eastAsia="en-US"/>
        </w:rPr>
        <w:t>s. If we consider Appendix B, we see how many students remember each individual word. Whilst there were high levels of retention for the two physical words (</w:t>
      </w:r>
      <w:r w:rsidR="00646A89">
        <w:rPr>
          <w:rFonts w:ascii="Calibri" w:eastAsia="Calibri" w:hAnsi="Calibri"/>
          <w:sz w:val="22"/>
          <w:szCs w:val="22"/>
          <w:lang w:eastAsia="en-US"/>
        </w:rPr>
        <w:t>“mince”</w:t>
      </w:r>
      <w:r w:rsidR="0021349C">
        <w:rPr>
          <w:rFonts w:ascii="Calibri" w:eastAsia="Calibri" w:hAnsi="Calibri"/>
          <w:i/>
          <w:sz w:val="22"/>
          <w:szCs w:val="22"/>
          <w:lang w:eastAsia="en-US"/>
        </w:rPr>
        <w:t xml:space="preserve"> </w:t>
      </w:r>
      <w:r w:rsidR="0021349C">
        <w:rPr>
          <w:rFonts w:ascii="Calibri" w:eastAsia="Calibri" w:hAnsi="Calibri"/>
          <w:sz w:val="22"/>
          <w:szCs w:val="22"/>
          <w:lang w:eastAsia="en-US"/>
        </w:rPr>
        <w:t>an</w:t>
      </w:r>
      <w:r w:rsidR="00646A89">
        <w:rPr>
          <w:rFonts w:ascii="Calibri" w:eastAsia="Calibri" w:hAnsi="Calibri"/>
          <w:sz w:val="22"/>
          <w:szCs w:val="22"/>
          <w:lang w:eastAsia="en-US"/>
        </w:rPr>
        <w:t>d “</w:t>
      </w:r>
      <w:proofErr w:type="spellStart"/>
      <w:r w:rsidR="00646A89">
        <w:rPr>
          <w:rFonts w:ascii="Calibri" w:eastAsia="Calibri" w:hAnsi="Calibri"/>
          <w:sz w:val="22"/>
          <w:szCs w:val="22"/>
          <w:lang w:eastAsia="en-US"/>
        </w:rPr>
        <w:t>gros</w:t>
      </w:r>
      <w:proofErr w:type="spellEnd"/>
      <w:r w:rsidR="00646A89">
        <w:rPr>
          <w:rFonts w:ascii="Calibri" w:eastAsia="Calibri" w:hAnsi="Calibri"/>
          <w:sz w:val="22"/>
          <w:szCs w:val="22"/>
          <w:lang w:eastAsia="en-US"/>
        </w:rPr>
        <w:t>”</w:t>
      </w:r>
      <w:r w:rsidR="0021349C">
        <w:rPr>
          <w:rFonts w:ascii="Calibri" w:eastAsia="Calibri" w:hAnsi="Calibri"/>
          <w:sz w:val="22"/>
          <w:szCs w:val="22"/>
          <w:lang w:eastAsia="en-US"/>
        </w:rPr>
        <w:t>), th</w:t>
      </w:r>
      <w:r w:rsidR="00D12744">
        <w:rPr>
          <w:rFonts w:ascii="Calibri" w:eastAsia="Calibri" w:hAnsi="Calibri"/>
          <w:sz w:val="22"/>
          <w:szCs w:val="22"/>
          <w:lang w:eastAsia="en-US"/>
        </w:rPr>
        <w:t>ey were top of the list of words recalled. Every student remember</w:t>
      </w:r>
      <w:r w:rsidR="00D95A73">
        <w:rPr>
          <w:rFonts w:ascii="Calibri" w:eastAsia="Calibri" w:hAnsi="Calibri"/>
          <w:sz w:val="22"/>
          <w:szCs w:val="22"/>
          <w:lang w:eastAsia="en-US"/>
        </w:rPr>
        <w:t>ed</w:t>
      </w:r>
      <w:r w:rsidR="00D12744">
        <w:rPr>
          <w:rFonts w:ascii="Calibri" w:eastAsia="Calibri" w:hAnsi="Calibri"/>
          <w:sz w:val="22"/>
          <w:szCs w:val="22"/>
          <w:lang w:eastAsia="en-US"/>
        </w:rPr>
        <w:t xml:space="preserve"> “sporti</w:t>
      </w:r>
      <w:r w:rsidR="00D95A73">
        <w:rPr>
          <w:rFonts w:ascii="Calibri" w:eastAsia="Calibri" w:hAnsi="Calibri"/>
          <w:sz w:val="22"/>
          <w:szCs w:val="22"/>
          <w:lang w:eastAsia="en-US"/>
        </w:rPr>
        <w:t>f</w:t>
      </w:r>
      <w:r w:rsidR="00D12744">
        <w:rPr>
          <w:rFonts w:ascii="Calibri" w:eastAsia="Calibri" w:hAnsi="Calibri"/>
          <w:sz w:val="22"/>
          <w:szCs w:val="22"/>
          <w:lang w:eastAsia="en-US"/>
        </w:rPr>
        <w:t>”</w:t>
      </w:r>
      <w:r w:rsidR="00646A89">
        <w:rPr>
          <w:rFonts w:ascii="Calibri" w:eastAsia="Calibri" w:hAnsi="Calibri"/>
          <w:sz w:val="22"/>
          <w:szCs w:val="22"/>
          <w:lang w:eastAsia="en-US"/>
        </w:rPr>
        <w:t>,</w:t>
      </w:r>
      <w:r w:rsidR="00D12744">
        <w:rPr>
          <w:rFonts w:ascii="Calibri" w:eastAsia="Calibri" w:hAnsi="Calibri"/>
          <w:sz w:val="22"/>
          <w:szCs w:val="22"/>
          <w:lang w:eastAsia="en-US"/>
        </w:rPr>
        <w:t xml:space="preserve"> and all but one remembered “</w:t>
      </w:r>
      <w:proofErr w:type="spellStart"/>
      <w:r w:rsidR="00D95A73">
        <w:rPr>
          <w:rFonts w:ascii="Calibri" w:eastAsia="Calibri" w:hAnsi="Calibri"/>
          <w:sz w:val="22"/>
          <w:szCs w:val="22"/>
          <w:lang w:eastAsia="en-US"/>
        </w:rPr>
        <w:t>créatif</w:t>
      </w:r>
      <w:proofErr w:type="spellEnd"/>
      <w:r w:rsidR="00D95A73">
        <w:rPr>
          <w:rFonts w:ascii="Calibri" w:eastAsia="Calibri" w:hAnsi="Calibri"/>
          <w:sz w:val="22"/>
          <w:szCs w:val="22"/>
          <w:lang w:eastAsia="en-US"/>
        </w:rPr>
        <w:t>”.</w:t>
      </w:r>
      <w:r w:rsidR="00646A89">
        <w:rPr>
          <w:rFonts w:ascii="Calibri" w:eastAsia="Calibri" w:hAnsi="Calibri"/>
          <w:sz w:val="22"/>
          <w:szCs w:val="22"/>
          <w:lang w:eastAsia="en-US"/>
        </w:rPr>
        <w:t xml:space="preserve"> </w:t>
      </w:r>
      <w:r w:rsidR="00A5007A">
        <w:rPr>
          <w:rFonts w:ascii="Calibri" w:eastAsia="Calibri" w:hAnsi="Calibri"/>
          <w:sz w:val="22"/>
          <w:szCs w:val="22"/>
          <w:lang w:eastAsia="en-US"/>
        </w:rPr>
        <w:t>The concreteness effect was not as visible in this study.</w:t>
      </w:r>
    </w:p>
    <w:p w14:paraId="79AC5E17" w14:textId="5701C10D"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I</w:t>
      </w:r>
      <w:r w:rsidR="00A5007A">
        <w:rPr>
          <w:rFonts w:ascii="Calibri" w:eastAsia="Calibri" w:hAnsi="Calibri"/>
          <w:sz w:val="22"/>
          <w:szCs w:val="22"/>
          <w:lang w:eastAsia="en-US"/>
        </w:rPr>
        <w:t xml:space="preserve">n Appendix </w:t>
      </w:r>
      <w:r w:rsidR="00162635">
        <w:rPr>
          <w:rFonts w:ascii="Calibri" w:eastAsia="Calibri" w:hAnsi="Calibri"/>
          <w:sz w:val="22"/>
          <w:szCs w:val="22"/>
          <w:lang w:eastAsia="en-US"/>
        </w:rPr>
        <w:t xml:space="preserve">B </w:t>
      </w:r>
      <w:r w:rsidRPr="00FA36F2">
        <w:rPr>
          <w:rFonts w:ascii="Calibri" w:eastAsia="Calibri" w:hAnsi="Calibri"/>
          <w:sz w:val="22"/>
          <w:szCs w:val="22"/>
          <w:lang w:eastAsia="en-US"/>
        </w:rPr>
        <w:t xml:space="preserve">we can also see the results divided by gender. </w:t>
      </w:r>
      <w:r w:rsidR="00162635">
        <w:rPr>
          <w:rFonts w:ascii="Calibri" w:eastAsia="Calibri" w:hAnsi="Calibri"/>
          <w:sz w:val="22"/>
          <w:szCs w:val="22"/>
          <w:lang w:eastAsia="en-US"/>
        </w:rPr>
        <w:t xml:space="preserve">The </w:t>
      </w:r>
      <w:r w:rsidRPr="00FA36F2">
        <w:rPr>
          <w:rFonts w:ascii="Calibri" w:eastAsia="Calibri" w:hAnsi="Calibri"/>
          <w:sz w:val="22"/>
          <w:szCs w:val="22"/>
          <w:lang w:eastAsia="en-US"/>
        </w:rPr>
        <w:t>ESTYN 2016</w:t>
      </w:r>
      <w:r w:rsidR="00162635">
        <w:rPr>
          <w:rFonts w:ascii="Calibri" w:eastAsia="Calibri" w:hAnsi="Calibri"/>
          <w:sz w:val="22"/>
          <w:szCs w:val="22"/>
          <w:lang w:eastAsia="en-US"/>
        </w:rPr>
        <w:t xml:space="preserve"> </w:t>
      </w:r>
      <w:r w:rsidR="00240271">
        <w:rPr>
          <w:rFonts w:ascii="Calibri" w:eastAsia="Calibri" w:hAnsi="Calibri"/>
          <w:sz w:val="22"/>
          <w:szCs w:val="22"/>
          <w:lang w:eastAsia="en-US"/>
        </w:rPr>
        <w:t>modern foreign languages</w:t>
      </w:r>
      <w:r w:rsidR="00162635">
        <w:rPr>
          <w:rFonts w:ascii="Calibri" w:eastAsia="Calibri" w:hAnsi="Calibri"/>
          <w:sz w:val="22"/>
          <w:szCs w:val="22"/>
          <w:lang w:eastAsia="en-US"/>
        </w:rPr>
        <w:t xml:space="preserve"> thematic report</w:t>
      </w:r>
      <w:r w:rsidRPr="00FA36F2">
        <w:rPr>
          <w:rFonts w:ascii="Calibri" w:eastAsia="Calibri" w:hAnsi="Calibri"/>
          <w:sz w:val="22"/>
          <w:szCs w:val="22"/>
          <w:lang w:eastAsia="en-US"/>
        </w:rPr>
        <w:t xml:space="preserve"> states that boys generally perform worse than girls in MFL. </w:t>
      </w:r>
      <w:r w:rsidR="00162635">
        <w:rPr>
          <w:rFonts w:ascii="Calibri" w:eastAsia="Calibri" w:hAnsi="Calibri"/>
          <w:sz w:val="22"/>
          <w:szCs w:val="22"/>
          <w:lang w:eastAsia="en-US"/>
        </w:rPr>
        <w:t>In my research</w:t>
      </w:r>
      <w:r w:rsidR="006F2AFE">
        <w:rPr>
          <w:rFonts w:ascii="Calibri" w:eastAsia="Calibri" w:hAnsi="Calibri"/>
          <w:sz w:val="22"/>
          <w:szCs w:val="22"/>
          <w:lang w:eastAsia="en-US"/>
        </w:rPr>
        <w:t xml:space="preserve"> the results from the post-test show a different story. The mean result for test 2 among the girls was 9.7</w:t>
      </w:r>
      <w:r w:rsidR="00DA3292">
        <w:rPr>
          <w:rFonts w:ascii="Calibri" w:eastAsia="Calibri" w:hAnsi="Calibri"/>
          <w:sz w:val="22"/>
          <w:szCs w:val="22"/>
          <w:lang w:eastAsia="en-US"/>
        </w:rPr>
        <w:t xml:space="preserve"> out of 14. For boys the mean score was 11.6, showing that </w:t>
      </w:r>
      <w:r w:rsidR="00721AFE">
        <w:rPr>
          <w:rFonts w:ascii="Calibri" w:eastAsia="Calibri" w:hAnsi="Calibri"/>
          <w:sz w:val="22"/>
          <w:szCs w:val="22"/>
          <w:lang w:eastAsia="en-US"/>
        </w:rPr>
        <w:t>the boys outperformed the girls in terms of the number of words they were able to recall. In addition to this</w:t>
      </w:r>
      <w:r w:rsidR="005F59AA">
        <w:rPr>
          <w:rFonts w:ascii="Calibri" w:eastAsia="Calibri" w:hAnsi="Calibri"/>
          <w:sz w:val="22"/>
          <w:szCs w:val="22"/>
          <w:lang w:eastAsia="en-US"/>
        </w:rPr>
        <w:t xml:space="preserve">, of the 6 pupils who achieved full marks, 5 of those were boys. </w:t>
      </w:r>
      <w:r w:rsidRPr="00FA36F2">
        <w:rPr>
          <w:rFonts w:ascii="Calibri" w:eastAsia="Calibri" w:hAnsi="Calibri"/>
          <w:sz w:val="22"/>
          <w:szCs w:val="22"/>
          <w:lang w:eastAsia="en-US"/>
        </w:rPr>
        <w:t xml:space="preserve">Across the class there </w:t>
      </w:r>
      <w:r w:rsidR="00FD7588">
        <w:rPr>
          <w:rFonts w:ascii="Calibri" w:eastAsia="Calibri" w:hAnsi="Calibri"/>
          <w:sz w:val="22"/>
          <w:szCs w:val="22"/>
          <w:lang w:eastAsia="en-US"/>
        </w:rPr>
        <w:t>was</w:t>
      </w:r>
      <w:r w:rsidRPr="00FA36F2">
        <w:rPr>
          <w:rFonts w:ascii="Calibri" w:eastAsia="Calibri" w:hAnsi="Calibri"/>
          <w:sz w:val="22"/>
          <w:szCs w:val="22"/>
          <w:lang w:eastAsia="en-US"/>
        </w:rPr>
        <w:t xml:space="preserve"> no notable difference between the performance of </w:t>
      </w:r>
      <w:proofErr w:type="spellStart"/>
      <w:r w:rsidRPr="00FA36F2">
        <w:rPr>
          <w:rFonts w:ascii="Calibri" w:eastAsia="Calibri" w:hAnsi="Calibri"/>
          <w:sz w:val="22"/>
          <w:szCs w:val="22"/>
          <w:lang w:eastAsia="en-US"/>
        </w:rPr>
        <w:t>eFSM</w:t>
      </w:r>
      <w:proofErr w:type="spellEnd"/>
      <w:r w:rsidRPr="00FA36F2">
        <w:rPr>
          <w:rFonts w:ascii="Calibri" w:eastAsia="Calibri" w:hAnsi="Calibri"/>
          <w:sz w:val="22"/>
          <w:szCs w:val="22"/>
          <w:lang w:eastAsia="en-US"/>
        </w:rPr>
        <w:t xml:space="preserve"> students and those who are not eligible for free school meals. </w:t>
      </w:r>
    </w:p>
    <w:p w14:paraId="64A28274" w14:textId="0CB279AA"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When deciding on activities I wanted to ensure that whole class interaction was required as good education is an interactive experience not something passive (</w:t>
      </w:r>
      <w:r w:rsidR="00BE5FE1">
        <w:rPr>
          <w:rFonts w:ascii="Calibri" w:eastAsia="Calibri" w:hAnsi="Calibri"/>
          <w:sz w:val="22"/>
          <w:szCs w:val="22"/>
          <w:lang w:eastAsia="en-US"/>
        </w:rPr>
        <w:t>Christodoulou, 2014</w:t>
      </w:r>
      <w:r w:rsidRPr="00FA36F2">
        <w:rPr>
          <w:rFonts w:ascii="Calibri" w:eastAsia="Calibri" w:hAnsi="Calibri"/>
          <w:sz w:val="22"/>
          <w:szCs w:val="22"/>
          <w:lang w:eastAsia="en-US"/>
        </w:rPr>
        <w:t xml:space="preserve">). Learners need to be participants in their own education if they are to progress. When putting together my PowerPoint, which would be the main resource in my dual-coding approach to vocabulary acquisition, I tried to ensure that all elements of the design were appealing. To achieve </w:t>
      </w:r>
      <w:proofErr w:type="gramStart"/>
      <w:r w:rsidRPr="00FA36F2">
        <w:rPr>
          <w:rFonts w:ascii="Calibri" w:eastAsia="Calibri" w:hAnsi="Calibri"/>
          <w:sz w:val="22"/>
          <w:szCs w:val="22"/>
          <w:lang w:eastAsia="en-US"/>
        </w:rPr>
        <w:t>this</w:t>
      </w:r>
      <w:proofErr w:type="gramEnd"/>
      <w:r w:rsidRPr="00FA36F2">
        <w:rPr>
          <w:rFonts w:ascii="Calibri" w:eastAsia="Calibri" w:hAnsi="Calibri"/>
          <w:sz w:val="22"/>
          <w:szCs w:val="22"/>
          <w:lang w:eastAsia="en-US"/>
        </w:rPr>
        <w:t xml:space="preserve"> I made </w:t>
      </w:r>
      <w:r w:rsidRPr="00FA36F2">
        <w:rPr>
          <w:rFonts w:ascii="Calibri" w:eastAsia="Calibri" w:hAnsi="Calibri"/>
          <w:sz w:val="22"/>
          <w:szCs w:val="22"/>
          <w:lang w:eastAsia="en-US"/>
        </w:rPr>
        <w:lastRenderedPageBreak/>
        <w:t>sure that all slides were linked by colour scheme and the layout for slides with similar content was the same.</w:t>
      </w:r>
      <w:r w:rsidR="0000445A">
        <w:rPr>
          <w:rFonts w:ascii="Calibri" w:eastAsia="Calibri" w:hAnsi="Calibri"/>
          <w:sz w:val="22"/>
          <w:szCs w:val="22"/>
          <w:lang w:eastAsia="en-US"/>
        </w:rPr>
        <w:t xml:space="preserve"> I also ensured that slides conveyed the core message of what I wanted students to learn rather than</w:t>
      </w:r>
      <w:r w:rsidR="00C6699C">
        <w:rPr>
          <w:rFonts w:ascii="Calibri" w:eastAsia="Calibri" w:hAnsi="Calibri"/>
          <w:sz w:val="22"/>
          <w:szCs w:val="22"/>
          <w:lang w:eastAsia="en-US"/>
        </w:rPr>
        <w:t xml:space="preserve"> using excessive detail.</w:t>
      </w:r>
      <w:r w:rsidRPr="00FA36F2">
        <w:rPr>
          <w:rFonts w:ascii="Calibri" w:eastAsia="Calibri" w:hAnsi="Calibri"/>
          <w:sz w:val="22"/>
          <w:szCs w:val="22"/>
          <w:lang w:eastAsia="en-US"/>
        </w:rPr>
        <w:t xml:space="preserve"> Whilst this aspect may not seem as important as the choice of relevant image, it stops </w:t>
      </w:r>
      <w:r w:rsidR="00D755AF">
        <w:rPr>
          <w:rFonts w:ascii="Calibri" w:eastAsia="Calibri" w:hAnsi="Calibri"/>
          <w:sz w:val="22"/>
          <w:szCs w:val="22"/>
          <w:lang w:eastAsia="en-US"/>
        </w:rPr>
        <w:t>the intervention work</w:t>
      </w:r>
      <w:r w:rsidRPr="00FA36F2">
        <w:rPr>
          <w:rFonts w:ascii="Calibri" w:eastAsia="Calibri" w:hAnsi="Calibri"/>
          <w:sz w:val="22"/>
          <w:szCs w:val="22"/>
          <w:lang w:eastAsia="en-US"/>
        </w:rPr>
        <w:t xml:space="preserve"> from feeling disconnected</w:t>
      </w:r>
      <w:r w:rsidR="00C6699C">
        <w:rPr>
          <w:rFonts w:ascii="Calibri" w:eastAsia="Calibri" w:hAnsi="Calibri"/>
          <w:sz w:val="22"/>
          <w:szCs w:val="22"/>
          <w:lang w:eastAsia="en-US"/>
        </w:rPr>
        <w:t xml:space="preserve"> and </w:t>
      </w:r>
      <w:r w:rsidR="00D755AF">
        <w:rPr>
          <w:rFonts w:ascii="Calibri" w:eastAsia="Calibri" w:hAnsi="Calibri"/>
          <w:sz w:val="22"/>
          <w:szCs w:val="22"/>
          <w:lang w:eastAsia="en-US"/>
        </w:rPr>
        <w:t>conveys a consistent message through</w:t>
      </w:r>
      <w:r w:rsidR="00CD7BC7">
        <w:rPr>
          <w:rFonts w:ascii="Calibri" w:eastAsia="Calibri" w:hAnsi="Calibri"/>
          <w:sz w:val="22"/>
          <w:szCs w:val="22"/>
          <w:lang w:eastAsia="en-US"/>
        </w:rPr>
        <w:t>out</w:t>
      </w:r>
      <w:r w:rsidR="00D755AF">
        <w:rPr>
          <w:rFonts w:ascii="Calibri" w:eastAsia="Calibri" w:hAnsi="Calibri"/>
          <w:sz w:val="22"/>
          <w:szCs w:val="22"/>
          <w:lang w:eastAsia="en-US"/>
        </w:rPr>
        <w:t xml:space="preserve"> my teaching</w:t>
      </w:r>
      <w:r w:rsidR="00AF55DF">
        <w:rPr>
          <w:rFonts w:ascii="Calibri" w:eastAsia="Calibri" w:hAnsi="Calibri"/>
          <w:sz w:val="22"/>
          <w:szCs w:val="22"/>
          <w:lang w:eastAsia="en-US"/>
        </w:rPr>
        <w:t xml:space="preserve"> (</w:t>
      </w:r>
      <w:proofErr w:type="spellStart"/>
      <w:r w:rsidR="00AF55DF">
        <w:rPr>
          <w:rFonts w:ascii="Calibri" w:eastAsia="Calibri" w:hAnsi="Calibri"/>
          <w:sz w:val="22"/>
          <w:szCs w:val="22"/>
          <w:lang w:eastAsia="en-US"/>
        </w:rPr>
        <w:t>Doumont</w:t>
      </w:r>
      <w:proofErr w:type="spellEnd"/>
      <w:r w:rsidR="00AF55DF">
        <w:rPr>
          <w:rFonts w:ascii="Calibri" w:eastAsia="Calibri" w:hAnsi="Calibri"/>
          <w:sz w:val="22"/>
          <w:szCs w:val="22"/>
          <w:lang w:eastAsia="en-US"/>
        </w:rPr>
        <w:t>, 2005).</w:t>
      </w:r>
      <w:r w:rsidRPr="00FA36F2">
        <w:rPr>
          <w:rFonts w:ascii="Calibri" w:eastAsia="Calibri" w:hAnsi="Calibri"/>
          <w:b/>
          <w:sz w:val="22"/>
          <w:szCs w:val="22"/>
          <w:lang w:eastAsia="en-US"/>
        </w:rPr>
        <w:t xml:space="preserve"> </w:t>
      </w:r>
      <w:r w:rsidRPr="00FA36F2">
        <w:rPr>
          <w:rFonts w:ascii="Calibri" w:eastAsia="Calibri" w:hAnsi="Calibri"/>
          <w:sz w:val="22"/>
          <w:szCs w:val="22"/>
          <w:lang w:eastAsia="en-US"/>
        </w:rPr>
        <w:t>My methods in the classroom required learners to work with greater independence, using their own knowledge and previously used resources to help their progression. This focus on learners doing rather than receiving helps students to recognise what they can and cannot do and work towards their own academic improvement (</w:t>
      </w:r>
      <w:r w:rsidR="00E041F1">
        <w:rPr>
          <w:rFonts w:ascii="Calibri" w:eastAsia="Calibri" w:hAnsi="Calibri"/>
          <w:sz w:val="22"/>
          <w:szCs w:val="22"/>
          <w:lang w:eastAsia="en-US"/>
        </w:rPr>
        <w:t>Christodoulou, 2014</w:t>
      </w:r>
      <w:r w:rsidR="00E82E67">
        <w:rPr>
          <w:rFonts w:ascii="Calibri" w:eastAsia="Calibri" w:hAnsi="Calibri"/>
          <w:sz w:val="22"/>
          <w:szCs w:val="22"/>
          <w:lang w:eastAsia="en-US"/>
        </w:rPr>
        <w:t>)</w:t>
      </w:r>
      <w:r w:rsidRPr="00FA36F2">
        <w:rPr>
          <w:rFonts w:ascii="Calibri" w:eastAsia="Calibri" w:hAnsi="Calibri"/>
          <w:sz w:val="22"/>
          <w:szCs w:val="22"/>
          <w:lang w:eastAsia="en-US"/>
        </w:rPr>
        <w:t xml:space="preserve">. This in turn promotes active use of individual skills and pushes students to engage with additional cognitive links. Whilst this may not be a direct aspect of dual-coding, dual-coding is at its core a cognitive strategy used within </w:t>
      </w:r>
      <w:proofErr w:type="gramStart"/>
      <w:r w:rsidR="00DF6214" w:rsidRPr="00FA36F2">
        <w:rPr>
          <w:rFonts w:ascii="Calibri" w:eastAsia="Calibri" w:hAnsi="Calibri"/>
          <w:sz w:val="22"/>
          <w:szCs w:val="22"/>
          <w:lang w:eastAsia="en-US"/>
        </w:rPr>
        <w:t>education</w:t>
      </w:r>
      <w:r w:rsidR="00833B40">
        <w:rPr>
          <w:rFonts w:ascii="Calibri" w:eastAsia="Calibri" w:hAnsi="Calibri"/>
          <w:sz w:val="22"/>
          <w:szCs w:val="22"/>
          <w:lang w:eastAsia="en-US"/>
        </w:rPr>
        <w:t>,</w:t>
      </w:r>
      <w:r w:rsidR="00DF6214" w:rsidRPr="00FA36F2">
        <w:rPr>
          <w:rFonts w:ascii="Calibri" w:eastAsia="Calibri" w:hAnsi="Calibri"/>
          <w:sz w:val="22"/>
          <w:szCs w:val="22"/>
          <w:lang w:eastAsia="en-US"/>
        </w:rPr>
        <w:t xml:space="preserve"> and</w:t>
      </w:r>
      <w:proofErr w:type="gramEnd"/>
      <w:r w:rsidRPr="00FA36F2">
        <w:rPr>
          <w:rFonts w:ascii="Calibri" w:eastAsia="Calibri" w:hAnsi="Calibri"/>
          <w:sz w:val="22"/>
          <w:szCs w:val="22"/>
          <w:lang w:eastAsia="en-US"/>
        </w:rPr>
        <w:t xml:space="preserve"> activating additional cognitive links can only create a greater support network for the pedagogical aims we are trying to achieve within the classroom.  </w:t>
      </w:r>
    </w:p>
    <w:p w14:paraId="78B825C0" w14:textId="77777777" w:rsidR="000B0924" w:rsidRPr="00FA36F2" w:rsidRDefault="000B0924" w:rsidP="000B0924">
      <w:pPr>
        <w:spacing w:after="160" w:line="360" w:lineRule="auto"/>
        <w:rPr>
          <w:rFonts w:ascii="Calibri" w:eastAsia="Calibri" w:hAnsi="Calibri"/>
          <w:b/>
          <w:sz w:val="22"/>
          <w:szCs w:val="22"/>
          <w:lang w:eastAsia="en-US"/>
        </w:rPr>
      </w:pPr>
    </w:p>
    <w:p w14:paraId="527C36AA" w14:textId="77777777" w:rsidR="00FA36F2" w:rsidRPr="00FA36F2" w:rsidRDefault="00FA36F2" w:rsidP="000B0924">
      <w:pPr>
        <w:spacing w:after="160" w:line="360" w:lineRule="auto"/>
        <w:rPr>
          <w:rFonts w:ascii="Calibri" w:eastAsia="Calibri" w:hAnsi="Calibri"/>
          <w:b/>
          <w:sz w:val="22"/>
          <w:szCs w:val="22"/>
          <w:lang w:eastAsia="en-US"/>
        </w:rPr>
      </w:pPr>
      <w:r w:rsidRPr="00FA36F2">
        <w:rPr>
          <w:rFonts w:ascii="Calibri" w:eastAsia="Calibri" w:hAnsi="Calibri"/>
          <w:b/>
          <w:sz w:val="22"/>
          <w:szCs w:val="22"/>
          <w:lang w:eastAsia="en-US"/>
        </w:rPr>
        <w:t>Conclusions</w:t>
      </w:r>
    </w:p>
    <w:p w14:paraId="5D63CAED" w14:textId="3B7C16BA" w:rsidR="004D3E0D" w:rsidRPr="00FA36F2" w:rsidRDefault="004D3E0D"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The research I have conducted supports the use of cognitive science in education; </w:t>
      </w:r>
      <w:proofErr w:type="gramStart"/>
      <w:r w:rsidRPr="00FA36F2">
        <w:rPr>
          <w:rFonts w:ascii="Calibri" w:eastAsia="Calibri" w:hAnsi="Calibri"/>
          <w:sz w:val="22"/>
          <w:szCs w:val="22"/>
          <w:lang w:eastAsia="en-US"/>
        </w:rPr>
        <w:t>in particular the</w:t>
      </w:r>
      <w:proofErr w:type="gramEnd"/>
      <w:r w:rsidRPr="00FA36F2">
        <w:rPr>
          <w:rFonts w:ascii="Calibri" w:eastAsia="Calibri" w:hAnsi="Calibri"/>
          <w:sz w:val="22"/>
          <w:szCs w:val="22"/>
          <w:lang w:eastAsia="en-US"/>
        </w:rPr>
        <w:t xml:space="preserve"> use of dual-coding in the language classroom, and</w:t>
      </w:r>
      <w:r w:rsidR="00114114">
        <w:rPr>
          <w:rFonts w:ascii="Calibri" w:eastAsia="Calibri" w:hAnsi="Calibri"/>
          <w:sz w:val="22"/>
          <w:szCs w:val="22"/>
          <w:lang w:eastAsia="en-US"/>
        </w:rPr>
        <w:t>,</w:t>
      </w:r>
      <w:r w:rsidRPr="00FA36F2">
        <w:rPr>
          <w:rFonts w:ascii="Calibri" w:eastAsia="Calibri" w:hAnsi="Calibri"/>
          <w:sz w:val="22"/>
          <w:szCs w:val="22"/>
          <w:lang w:eastAsia="en-US"/>
        </w:rPr>
        <w:t xml:space="preserve"> much like other contemporary research (</w:t>
      </w:r>
      <w:r w:rsidR="00D77BD7">
        <w:rPr>
          <w:rFonts w:ascii="Calibri" w:eastAsia="Calibri" w:hAnsi="Calibri"/>
          <w:sz w:val="22"/>
          <w:szCs w:val="22"/>
          <w:lang w:eastAsia="en-US"/>
        </w:rPr>
        <w:t xml:space="preserve">Cuevas &amp; Dawson, 2018; </w:t>
      </w:r>
      <w:proofErr w:type="spellStart"/>
      <w:r w:rsidR="000E2338">
        <w:rPr>
          <w:rFonts w:ascii="Calibri" w:eastAsia="Calibri" w:hAnsi="Calibri"/>
          <w:sz w:val="22"/>
          <w:szCs w:val="22"/>
          <w:lang w:eastAsia="en-US"/>
        </w:rPr>
        <w:t>Kassim</w:t>
      </w:r>
      <w:proofErr w:type="spellEnd"/>
      <w:r w:rsidR="000E2338">
        <w:rPr>
          <w:rFonts w:ascii="Calibri" w:eastAsia="Calibri" w:hAnsi="Calibri"/>
          <w:sz w:val="22"/>
          <w:szCs w:val="22"/>
          <w:lang w:eastAsia="en-US"/>
        </w:rPr>
        <w:t xml:space="preserve">, 2018; </w:t>
      </w:r>
      <w:proofErr w:type="spellStart"/>
      <w:r w:rsidR="000047A3">
        <w:rPr>
          <w:rFonts w:ascii="Calibri" w:eastAsia="Calibri" w:hAnsi="Calibri"/>
          <w:sz w:val="22"/>
          <w:szCs w:val="22"/>
          <w:lang w:eastAsia="en-US"/>
        </w:rPr>
        <w:t>Brunyé</w:t>
      </w:r>
      <w:proofErr w:type="spellEnd"/>
      <w:r w:rsidR="000047A3">
        <w:rPr>
          <w:rFonts w:ascii="Calibri" w:eastAsia="Calibri" w:hAnsi="Calibri"/>
          <w:sz w:val="22"/>
          <w:szCs w:val="22"/>
          <w:lang w:eastAsia="en-US"/>
        </w:rPr>
        <w:t xml:space="preserve"> at </w:t>
      </w:r>
      <w:proofErr w:type="spellStart"/>
      <w:r w:rsidR="000047A3">
        <w:rPr>
          <w:rFonts w:ascii="Calibri" w:eastAsia="Calibri" w:hAnsi="Calibri"/>
          <w:sz w:val="22"/>
          <w:szCs w:val="22"/>
          <w:lang w:eastAsia="en-US"/>
        </w:rPr>
        <w:t>al</w:t>
      </w:r>
      <w:proofErr w:type="spellEnd"/>
      <w:r w:rsidR="000047A3">
        <w:rPr>
          <w:rFonts w:ascii="Calibri" w:eastAsia="Calibri" w:hAnsi="Calibri"/>
          <w:sz w:val="22"/>
          <w:szCs w:val="22"/>
          <w:lang w:eastAsia="en-US"/>
        </w:rPr>
        <w:t>, 2008</w:t>
      </w:r>
      <w:r w:rsidRPr="00FA36F2">
        <w:rPr>
          <w:rFonts w:ascii="Calibri" w:eastAsia="Calibri" w:hAnsi="Calibri"/>
          <w:sz w:val="22"/>
          <w:szCs w:val="22"/>
          <w:lang w:eastAsia="en-US"/>
        </w:rPr>
        <w:t>)</w:t>
      </w:r>
      <w:r w:rsidR="00114114">
        <w:rPr>
          <w:rFonts w:ascii="Calibri" w:eastAsia="Calibri" w:hAnsi="Calibri"/>
          <w:sz w:val="22"/>
          <w:szCs w:val="22"/>
          <w:lang w:eastAsia="en-US"/>
        </w:rPr>
        <w:t>,</w:t>
      </w:r>
      <w:r w:rsidRPr="00FA36F2">
        <w:rPr>
          <w:rFonts w:ascii="Calibri" w:eastAsia="Calibri" w:hAnsi="Calibri"/>
          <w:sz w:val="22"/>
          <w:szCs w:val="22"/>
          <w:lang w:eastAsia="en-US"/>
        </w:rPr>
        <w:t xml:space="preserve"> suggests that the use of cognitive strategies can provide a firm foundation for effective learning.</w:t>
      </w:r>
    </w:p>
    <w:p w14:paraId="6B52FA68" w14:textId="7777777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Where my research differs, is on the use of dual-coding to support the learning of abstract words. </w:t>
      </w:r>
      <w:proofErr w:type="gramStart"/>
      <w:r w:rsidRPr="00FA36F2">
        <w:rPr>
          <w:rFonts w:ascii="Calibri" w:eastAsia="Calibri" w:hAnsi="Calibri"/>
          <w:sz w:val="22"/>
          <w:szCs w:val="22"/>
          <w:lang w:eastAsia="en-US"/>
        </w:rPr>
        <w:t>The majority of</w:t>
      </w:r>
      <w:proofErr w:type="gramEnd"/>
      <w:r w:rsidRPr="00FA36F2">
        <w:rPr>
          <w:rFonts w:ascii="Calibri" w:eastAsia="Calibri" w:hAnsi="Calibri"/>
          <w:sz w:val="22"/>
          <w:szCs w:val="22"/>
          <w:lang w:eastAsia="en-US"/>
        </w:rPr>
        <w:t xml:space="preserve"> the words used in this research were abstract terms and the recall of the words was good class wide, with 6 students scoring full marks and the mean score being 76% without any revision time being given. This data suggests that effective dual-coding with abstract words is possible, but that complete integration of various dual-coding techniques throughout the intervention design is necessary. </w:t>
      </w:r>
    </w:p>
    <w:p w14:paraId="695D47EA" w14:textId="1CBD52F6"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Whilst dual-coding emphasises the use of images and words together for an enhanced learning experience, there is no set way to implement dual-coding in the classroom. For this reason, I explored different applications within my interventions to try and maximise the impact of the word-image cognitive association. I implemented dual-coding in five different ways; through PowerPoint drilling, through “Beat the Teacher”, through “Tap the Board”, through using the images to construct sentences, and by displaying the images on the board during the test. If dual-coding is less effective with abstract words, as suggested by</w:t>
      </w:r>
      <w:r w:rsidR="007A078C">
        <w:rPr>
          <w:rFonts w:ascii="Calibri" w:eastAsia="Calibri" w:hAnsi="Calibri"/>
          <w:sz w:val="22"/>
          <w:szCs w:val="22"/>
          <w:lang w:eastAsia="en-US"/>
        </w:rPr>
        <w:t xml:space="preserve"> previous</w:t>
      </w:r>
      <w:r w:rsidRPr="00FA36F2">
        <w:rPr>
          <w:rFonts w:ascii="Calibri" w:eastAsia="Calibri" w:hAnsi="Calibri"/>
          <w:sz w:val="22"/>
          <w:szCs w:val="22"/>
          <w:lang w:eastAsia="en-US"/>
        </w:rPr>
        <w:t xml:space="preserve"> research </w:t>
      </w:r>
      <w:r w:rsidR="00A1042D">
        <w:rPr>
          <w:rFonts w:ascii="Calibri" w:eastAsia="Calibri" w:hAnsi="Calibri"/>
          <w:sz w:val="22"/>
          <w:szCs w:val="22"/>
          <w:lang w:eastAsia="en-US"/>
        </w:rPr>
        <w:t>(</w:t>
      </w:r>
      <w:r w:rsidRPr="00FA36F2">
        <w:rPr>
          <w:rFonts w:ascii="Calibri" w:eastAsia="Calibri" w:hAnsi="Calibri"/>
          <w:sz w:val="22"/>
          <w:szCs w:val="22"/>
          <w:lang w:eastAsia="en-US"/>
        </w:rPr>
        <w:t xml:space="preserve">such as </w:t>
      </w:r>
      <w:proofErr w:type="spellStart"/>
      <w:r w:rsidRPr="00183EC9">
        <w:rPr>
          <w:rFonts w:ascii="Calibri" w:eastAsia="Calibri" w:hAnsi="Calibri"/>
          <w:sz w:val="22"/>
          <w:szCs w:val="22"/>
          <w:lang w:eastAsia="en-US"/>
        </w:rPr>
        <w:t>Mazoyer</w:t>
      </w:r>
      <w:proofErr w:type="spellEnd"/>
      <w:r w:rsidR="00A1042D">
        <w:rPr>
          <w:rFonts w:ascii="Calibri" w:eastAsia="Calibri" w:hAnsi="Calibri"/>
          <w:sz w:val="22"/>
          <w:szCs w:val="22"/>
          <w:lang w:eastAsia="en-US"/>
        </w:rPr>
        <w:t xml:space="preserve"> 2002)</w:t>
      </w:r>
      <w:r w:rsidRPr="00183EC9">
        <w:rPr>
          <w:rFonts w:ascii="Calibri" w:eastAsia="Calibri" w:hAnsi="Calibri"/>
          <w:sz w:val="22"/>
          <w:szCs w:val="22"/>
          <w:lang w:eastAsia="en-US"/>
        </w:rPr>
        <w:t>,</w:t>
      </w:r>
      <w:r w:rsidRPr="00FA36F2">
        <w:rPr>
          <w:rFonts w:ascii="Calibri" w:eastAsia="Calibri" w:hAnsi="Calibri"/>
          <w:sz w:val="22"/>
          <w:szCs w:val="22"/>
          <w:lang w:eastAsia="en-US"/>
        </w:rPr>
        <w:t xml:space="preserve"> my rese</w:t>
      </w:r>
      <w:bookmarkStart w:id="0" w:name="_GoBack"/>
      <w:bookmarkEnd w:id="0"/>
      <w:r w:rsidRPr="00FA36F2">
        <w:rPr>
          <w:rFonts w:ascii="Calibri" w:eastAsia="Calibri" w:hAnsi="Calibri"/>
          <w:sz w:val="22"/>
          <w:szCs w:val="22"/>
          <w:lang w:eastAsia="en-US"/>
        </w:rPr>
        <w:t xml:space="preserve">arch </w:t>
      </w:r>
      <w:r w:rsidRPr="00FA36F2">
        <w:rPr>
          <w:rFonts w:ascii="Calibri" w:eastAsia="Calibri" w:hAnsi="Calibri"/>
          <w:sz w:val="22"/>
          <w:szCs w:val="22"/>
          <w:lang w:eastAsia="en-US"/>
        </w:rPr>
        <w:lastRenderedPageBreak/>
        <w:t xml:space="preserve">suggests that this can be counteracted to a degree by exploiting the word-image link on numerous occasions in different contexts during an intervention. </w:t>
      </w:r>
    </w:p>
    <w:p w14:paraId="3A9CCE93" w14:textId="7728EB66" w:rsidR="00FA36F2" w:rsidRPr="00FA36F2" w:rsidRDefault="00FA36F2" w:rsidP="000B0924">
      <w:pPr>
        <w:spacing w:after="160" w:line="360" w:lineRule="auto"/>
        <w:rPr>
          <w:rFonts w:ascii="Calibri" w:eastAsia="Calibri" w:hAnsi="Calibri"/>
          <w:sz w:val="22"/>
          <w:szCs w:val="22"/>
          <w:lang w:eastAsia="en-US"/>
        </w:rPr>
      </w:pPr>
      <w:proofErr w:type="spellStart"/>
      <w:r w:rsidRPr="00FA36F2">
        <w:rPr>
          <w:rFonts w:ascii="Calibri" w:eastAsia="Calibri" w:hAnsi="Calibri"/>
          <w:sz w:val="22"/>
          <w:szCs w:val="22"/>
          <w:lang w:eastAsia="en-US"/>
        </w:rPr>
        <w:t>Macaro</w:t>
      </w:r>
      <w:proofErr w:type="spellEnd"/>
      <w:r w:rsidRPr="00FA36F2">
        <w:rPr>
          <w:rFonts w:ascii="Calibri" w:eastAsia="Calibri" w:hAnsi="Calibri"/>
          <w:sz w:val="22"/>
          <w:szCs w:val="22"/>
          <w:lang w:eastAsia="en-US"/>
        </w:rPr>
        <w:t xml:space="preserve"> suggested that the pathways used for linguistic encoding may be the same pathways used in retrieval (</w:t>
      </w:r>
      <w:r w:rsidR="008C19AD">
        <w:rPr>
          <w:rFonts w:ascii="Calibri" w:eastAsia="Calibri" w:hAnsi="Calibri"/>
          <w:sz w:val="22"/>
          <w:szCs w:val="22"/>
          <w:lang w:eastAsia="en-US"/>
        </w:rPr>
        <w:t>2001</w:t>
      </w:r>
      <w:r w:rsidRPr="00FA36F2">
        <w:rPr>
          <w:rFonts w:ascii="Calibri" w:eastAsia="Calibri" w:hAnsi="Calibri"/>
          <w:sz w:val="22"/>
          <w:szCs w:val="22"/>
          <w:lang w:eastAsia="en-US"/>
        </w:rPr>
        <w:t xml:space="preserve">). It could be concluded from my own research that engaging with the same visual and linguistic inputs used during instruction, whilst working on vocabulary retrieval, led to greater levels of recall; or certainly greater levels than expected when working with abstract words. </w:t>
      </w:r>
    </w:p>
    <w:p w14:paraId="2CADACD4" w14:textId="7FB5B46F"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From this research it could be concluded that the use of complementary teaching methods alongside dual-coding contributed to vocabulary acquisition. Requiring students to infer meaning from the images when the vocabulary was first introduced would have led to participants actively working to develop cognitive links</w:t>
      </w:r>
      <w:r w:rsidR="000D0A97">
        <w:rPr>
          <w:rFonts w:ascii="Calibri" w:eastAsia="Calibri" w:hAnsi="Calibri"/>
          <w:sz w:val="22"/>
          <w:szCs w:val="22"/>
          <w:lang w:eastAsia="en-US"/>
        </w:rPr>
        <w:t>,</w:t>
      </w:r>
      <w:r w:rsidRPr="00FA36F2">
        <w:rPr>
          <w:rFonts w:ascii="Calibri" w:eastAsia="Calibri" w:hAnsi="Calibri"/>
          <w:b/>
          <w:sz w:val="22"/>
          <w:szCs w:val="22"/>
          <w:lang w:eastAsia="en-US"/>
        </w:rPr>
        <w:t xml:space="preserve"> </w:t>
      </w:r>
      <w:r w:rsidRPr="00FA36F2">
        <w:rPr>
          <w:rFonts w:ascii="Calibri" w:eastAsia="Calibri" w:hAnsi="Calibri"/>
          <w:sz w:val="22"/>
          <w:szCs w:val="22"/>
          <w:lang w:eastAsia="en-US"/>
        </w:rPr>
        <w:t>rather than being passive recipients of their own education. The use of repetition through drilling would have helped to strengthen those links as the frequency of information can be integral in both acquisition and retrieval</w:t>
      </w:r>
      <w:r w:rsidR="00290A4C">
        <w:rPr>
          <w:rFonts w:ascii="Calibri" w:eastAsia="Calibri" w:hAnsi="Calibri"/>
          <w:sz w:val="22"/>
          <w:szCs w:val="22"/>
          <w:lang w:eastAsia="en-US"/>
        </w:rPr>
        <w:t xml:space="preserve"> (</w:t>
      </w:r>
      <w:proofErr w:type="spellStart"/>
      <w:r w:rsidR="00D441DD">
        <w:rPr>
          <w:rFonts w:ascii="Calibri" w:eastAsia="Calibri" w:hAnsi="Calibri"/>
          <w:sz w:val="22"/>
          <w:szCs w:val="22"/>
          <w:lang w:eastAsia="en-US"/>
        </w:rPr>
        <w:t>Paivio</w:t>
      </w:r>
      <w:proofErr w:type="spellEnd"/>
      <w:r w:rsidR="00D441DD">
        <w:rPr>
          <w:rFonts w:ascii="Calibri" w:eastAsia="Calibri" w:hAnsi="Calibri"/>
          <w:sz w:val="22"/>
          <w:szCs w:val="22"/>
          <w:lang w:eastAsia="en-US"/>
        </w:rPr>
        <w:t xml:space="preserve"> et al, 1988</w:t>
      </w:r>
      <w:r w:rsidR="00290A4C">
        <w:rPr>
          <w:rFonts w:ascii="Calibri" w:eastAsia="Calibri" w:hAnsi="Calibri"/>
          <w:sz w:val="22"/>
          <w:szCs w:val="22"/>
          <w:lang w:eastAsia="en-US"/>
        </w:rPr>
        <w:t>)</w:t>
      </w:r>
      <w:r w:rsidR="00D441DD">
        <w:rPr>
          <w:rFonts w:ascii="Calibri" w:eastAsia="Calibri" w:hAnsi="Calibri"/>
          <w:sz w:val="22"/>
          <w:szCs w:val="22"/>
          <w:lang w:eastAsia="en-US"/>
        </w:rPr>
        <w:t xml:space="preserve">. </w:t>
      </w:r>
      <w:r w:rsidRPr="00FA36F2">
        <w:rPr>
          <w:rFonts w:ascii="Calibri" w:eastAsia="Calibri" w:hAnsi="Calibri"/>
          <w:sz w:val="22"/>
          <w:szCs w:val="22"/>
          <w:lang w:eastAsia="en-US"/>
        </w:rPr>
        <w:t>The repeated use of images chosen to represent the personality traits through my scheme of work would have periodically acted as retrieval cues, again strengthening the cognitive links that students had already made between the images and words</w:t>
      </w:r>
      <w:r w:rsidR="00855E43">
        <w:rPr>
          <w:rFonts w:ascii="Calibri" w:eastAsia="Calibri" w:hAnsi="Calibri"/>
          <w:sz w:val="22"/>
          <w:szCs w:val="22"/>
          <w:lang w:eastAsia="en-US"/>
        </w:rPr>
        <w:t>.</w:t>
      </w:r>
      <w:r w:rsidRPr="00FA36F2">
        <w:rPr>
          <w:rFonts w:ascii="Calibri" w:eastAsia="Calibri" w:hAnsi="Calibri"/>
          <w:sz w:val="22"/>
          <w:szCs w:val="22"/>
          <w:lang w:eastAsia="en-US"/>
        </w:rPr>
        <w:t xml:space="preserve"> These additional methods might also have contributed to the participants’ ability to recall the vocabulary in unprepared testing conditions. </w:t>
      </w:r>
    </w:p>
    <w:p w14:paraId="1DCC092D" w14:textId="0A011A59"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Another conclusion that can be drawn from this research is that dual-coding is universally beneficial to all students in the modern language classroom. Whilst a broad claim, the test results showed that every child made progress during the intervention and was able to recall words in a test where no time to revise was given. Children on the </w:t>
      </w:r>
      <w:proofErr w:type="spellStart"/>
      <w:r w:rsidRPr="00FA36F2">
        <w:rPr>
          <w:rFonts w:ascii="Calibri" w:eastAsia="Calibri" w:hAnsi="Calibri"/>
          <w:sz w:val="22"/>
          <w:szCs w:val="22"/>
          <w:lang w:eastAsia="en-US"/>
        </w:rPr>
        <w:t>eFSM</w:t>
      </w:r>
      <w:proofErr w:type="spellEnd"/>
      <w:r w:rsidRPr="00FA36F2">
        <w:rPr>
          <w:rFonts w:ascii="Calibri" w:eastAsia="Calibri" w:hAnsi="Calibri"/>
          <w:sz w:val="22"/>
          <w:szCs w:val="22"/>
          <w:lang w:eastAsia="en-US"/>
        </w:rPr>
        <w:t xml:space="preserve"> register made progress that was equal to their non </w:t>
      </w:r>
      <w:proofErr w:type="spellStart"/>
      <w:r w:rsidRPr="00FA36F2">
        <w:rPr>
          <w:rFonts w:ascii="Calibri" w:eastAsia="Calibri" w:hAnsi="Calibri"/>
          <w:sz w:val="22"/>
          <w:szCs w:val="22"/>
          <w:lang w:eastAsia="en-US"/>
        </w:rPr>
        <w:t>eFSM</w:t>
      </w:r>
      <w:proofErr w:type="spellEnd"/>
      <w:r w:rsidRPr="00FA36F2">
        <w:rPr>
          <w:rFonts w:ascii="Calibri" w:eastAsia="Calibri" w:hAnsi="Calibri"/>
          <w:sz w:val="22"/>
          <w:szCs w:val="22"/>
          <w:lang w:eastAsia="en-US"/>
        </w:rPr>
        <w:t xml:space="preserve"> counterparts, suggesting that the use of engaging instructional methods may be an important tool in combatting the poverty attainment gap in the Welsh education system</w:t>
      </w:r>
      <w:r w:rsidR="00E64D4C">
        <w:rPr>
          <w:rFonts w:ascii="Calibri" w:eastAsia="Calibri" w:hAnsi="Calibri"/>
          <w:sz w:val="22"/>
          <w:szCs w:val="22"/>
          <w:lang w:eastAsia="en-US"/>
        </w:rPr>
        <w:t xml:space="preserve"> (Egan, 2013). </w:t>
      </w:r>
      <w:r w:rsidR="00D32BEA">
        <w:rPr>
          <w:rFonts w:ascii="Calibri" w:eastAsia="Calibri" w:hAnsi="Calibri"/>
          <w:sz w:val="22"/>
          <w:szCs w:val="22"/>
          <w:lang w:eastAsia="en-US"/>
        </w:rPr>
        <w:t>It could</w:t>
      </w:r>
      <w:r w:rsidRPr="00FA36F2">
        <w:rPr>
          <w:rFonts w:ascii="Calibri" w:eastAsia="Calibri" w:hAnsi="Calibri"/>
          <w:sz w:val="22"/>
          <w:szCs w:val="22"/>
          <w:lang w:eastAsia="en-US"/>
        </w:rPr>
        <w:t xml:space="preserve"> also</w:t>
      </w:r>
      <w:r w:rsidR="00D32BEA">
        <w:rPr>
          <w:rFonts w:ascii="Calibri" w:eastAsia="Calibri" w:hAnsi="Calibri"/>
          <w:sz w:val="22"/>
          <w:szCs w:val="22"/>
          <w:lang w:eastAsia="en-US"/>
        </w:rPr>
        <w:t xml:space="preserve"> be</w:t>
      </w:r>
      <w:r w:rsidRPr="00FA36F2">
        <w:rPr>
          <w:rFonts w:ascii="Calibri" w:eastAsia="Calibri" w:hAnsi="Calibri"/>
          <w:sz w:val="22"/>
          <w:szCs w:val="22"/>
          <w:lang w:eastAsia="en-US"/>
        </w:rPr>
        <w:t xml:space="preserve"> suggest</w:t>
      </w:r>
      <w:r w:rsidR="00D32BEA">
        <w:rPr>
          <w:rFonts w:ascii="Calibri" w:eastAsia="Calibri" w:hAnsi="Calibri"/>
          <w:sz w:val="22"/>
          <w:szCs w:val="22"/>
          <w:lang w:eastAsia="en-US"/>
        </w:rPr>
        <w:t>ed</w:t>
      </w:r>
      <w:r w:rsidRPr="00FA36F2">
        <w:rPr>
          <w:rFonts w:ascii="Calibri" w:eastAsia="Calibri" w:hAnsi="Calibri"/>
          <w:sz w:val="22"/>
          <w:szCs w:val="22"/>
          <w:lang w:eastAsia="en-US"/>
        </w:rPr>
        <w:t xml:space="preserve"> that the use of dual-coding can bridge the performance gap between boys and girls in modern foreign language</w:t>
      </w:r>
      <w:r w:rsidR="00CB7AA5">
        <w:rPr>
          <w:rFonts w:ascii="Calibri" w:eastAsia="Calibri" w:hAnsi="Calibri"/>
          <w:sz w:val="22"/>
          <w:szCs w:val="22"/>
          <w:lang w:eastAsia="en-US"/>
        </w:rPr>
        <w:t>s.</w:t>
      </w:r>
      <w:r w:rsidR="00C6051A">
        <w:rPr>
          <w:rFonts w:ascii="Calibri" w:eastAsia="Calibri" w:hAnsi="Calibri"/>
          <w:sz w:val="22"/>
          <w:szCs w:val="22"/>
          <w:lang w:eastAsia="en-US"/>
        </w:rPr>
        <w:t xml:space="preserve"> Girls typically outperform boys in terms of linguistic academic achievement, however, it was the boys in Class Y that</w:t>
      </w:r>
      <w:r w:rsidR="00EC1C3F">
        <w:rPr>
          <w:rFonts w:ascii="Calibri" w:eastAsia="Calibri" w:hAnsi="Calibri"/>
          <w:sz w:val="22"/>
          <w:szCs w:val="22"/>
          <w:lang w:eastAsia="en-US"/>
        </w:rPr>
        <w:t xml:space="preserve"> had the better test scores. It is perhaps the use of a multimedia approach</w:t>
      </w:r>
      <w:r w:rsidR="00E1155D">
        <w:rPr>
          <w:rFonts w:ascii="Calibri" w:eastAsia="Calibri" w:hAnsi="Calibri"/>
          <w:sz w:val="22"/>
          <w:szCs w:val="22"/>
          <w:lang w:eastAsia="en-US"/>
        </w:rPr>
        <w:t xml:space="preserve"> that improved participation and performance amongst the male cohort. </w:t>
      </w:r>
    </w:p>
    <w:p w14:paraId="1264B3A1" w14:textId="3BF552D5"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The three elements I wished to explore in my research were the impact of dual-coding on foreign-language acquisition, how dual-coding can be implemented in the modern foreign language classroom, and the impact of dual-coding on language retrieval. From the findings and conclusions discussed in my research, it appears that using dual-coding for modern foreign language instruction has a positive impact on target language acquisition and is an easily adoptable approach for most educators. Dual-coding can be impl</w:t>
      </w:r>
      <w:r w:rsidR="006E1B07" w:rsidRPr="004E42B1">
        <w:rPr>
          <w:rFonts w:ascii="Calibri" w:eastAsia="Calibri" w:hAnsi="Calibri"/>
          <w:sz w:val="22"/>
          <w:szCs w:val="22"/>
          <w:lang w:eastAsia="en-US"/>
        </w:rPr>
        <w:t>eme</w:t>
      </w:r>
      <w:r w:rsidRPr="00FA36F2">
        <w:rPr>
          <w:rFonts w:ascii="Calibri" w:eastAsia="Calibri" w:hAnsi="Calibri"/>
          <w:sz w:val="22"/>
          <w:szCs w:val="22"/>
          <w:lang w:eastAsia="en-US"/>
        </w:rPr>
        <w:t xml:space="preserve">nted in various ways and </w:t>
      </w:r>
      <w:r w:rsidR="004E42B1" w:rsidRPr="004E42B1">
        <w:rPr>
          <w:rFonts w:ascii="Calibri" w:eastAsia="Calibri" w:hAnsi="Calibri"/>
          <w:sz w:val="22"/>
          <w:szCs w:val="22"/>
          <w:lang w:eastAsia="en-US"/>
        </w:rPr>
        <w:t xml:space="preserve">a </w:t>
      </w:r>
      <w:r w:rsidRPr="00FA36F2">
        <w:rPr>
          <w:rFonts w:ascii="Calibri" w:eastAsia="Calibri" w:hAnsi="Calibri"/>
          <w:sz w:val="22"/>
          <w:szCs w:val="22"/>
          <w:lang w:eastAsia="en-US"/>
        </w:rPr>
        <w:t xml:space="preserve">multifaceted approach, such as </w:t>
      </w:r>
      <w:r w:rsidRPr="00FA36F2">
        <w:rPr>
          <w:rFonts w:ascii="Calibri" w:eastAsia="Calibri" w:hAnsi="Calibri"/>
          <w:sz w:val="22"/>
          <w:szCs w:val="22"/>
          <w:lang w:eastAsia="en-US"/>
        </w:rPr>
        <w:lastRenderedPageBreak/>
        <w:t xml:space="preserve">the one I adopted, is likely to be a factor in the success of dual-coding when using abstract words. Dual-coding also appeared to have had a positive impact on language retrieval, both through its use when teaching vocabulary and through incorporating the same visual stimuli to aid during testing. </w:t>
      </w:r>
    </w:p>
    <w:p w14:paraId="5294B8C4" w14:textId="4B3F01A0" w:rsidR="004D3E0D" w:rsidRPr="00FA36F2" w:rsidRDefault="004D3E0D"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The results of my research suggest that dual-coding supports foreign-language acquisition and can be an effective tool for a modern foreign language teacher. Whilst individual students made varying levels of progress, every child did progress. If the validity of research is not its grounding in scientific truth but its ability to help people to act with greater skill and intelligence (Elliot</w:t>
      </w:r>
      <w:r>
        <w:rPr>
          <w:rFonts w:ascii="Calibri" w:eastAsia="Calibri" w:hAnsi="Calibri"/>
          <w:sz w:val="22"/>
          <w:szCs w:val="22"/>
          <w:lang w:eastAsia="en-US"/>
        </w:rPr>
        <w:t>, 1991</w:t>
      </w:r>
      <w:r w:rsidRPr="00FA36F2">
        <w:rPr>
          <w:rFonts w:ascii="Calibri" w:eastAsia="Calibri" w:hAnsi="Calibri"/>
          <w:sz w:val="22"/>
          <w:szCs w:val="22"/>
          <w:lang w:eastAsia="en-US"/>
        </w:rPr>
        <w:t>), then the practical implications of dual-coding cannot be denied. The interpretation of my data is not only plausible, but also falls in line with other research that supports the theory of dual-coding</w:t>
      </w:r>
      <w:r w:rsidR="00B73403">
        <w:rPr>
          <w:rFonts w:ascii="Calibri" w:eastAsia="Calibri" w:hAnsi="Calibri"/>
          <w:sz w:val="22"/>
          <w:szCs w:val="22"/>
          <w:lang w:eastAsia="en-US"/>
        </w:rPr>
        <w:t>.</w:t>
      </w:r>
    </w:p>
    <w:p w14:paraId="6B39732E" w14:textId="77777777" w:rsidR="00FA36F2" w:rsidRPr="00FA36F2" w:rsidRDefault="00FA36F2" w:rsidP="000B0924">
      <w:pPr>
        <w:spacing w:after="160" w:line="360" w:lineRule="auto"/>
        <w:rPr>
          <w:rFonts w:ascii="Calibri" w:eastAsia="Calibri" w:hAnsi="Calibri"/>
          <w:b/>
          <w:sz w:val="22"/>
          <w:szCs w:val="22"/>
          <w:lang w:eastAsia="en-US"/>
        </w:rPr>
      </w:pPr>
    </w:p>
    <w:p w14:paraId="16048C99" w14:textId="31120305" w:rsidR="00FA36F2" w:rsidRPr="00FA36F2" w:rsidRDefault="00FA36F2" w:rsidP="000B0924">
      <w:pPr>
        <w:spacing w:after="160" w:line="360" w:lineRule="auto"/>
        <w:rPr>
          <w:rFonts w:ascii="Calibri" w:eastAsia="Calibri" w:hAnsi="Calibri"/>
          <w:b/>
          <w:sz w:val="22"/>
          <w:szCs w:val="22"/>
          <w:lang w:eastAsia="en-US"/>
        </w:rPr>
      </w:pPr>
      <w:r w:rsidRPr="00FA36F2">
        <w:rPr>
          <w:rFonts w:ascii="Calibri" w:eastAsia="Calibri" w:hAnsi="Calibri"/>
          <w:b/>
          <w:sz w:val="22"/>
          <w:szCs w:val="22"/>
          <w:lang w:eastAsia="en-US"/>
        </w:rPr>
        <w:t xml:space="preserve">Limitations and Future </w:t>
      </w:r>
      <w:r w:rsidR="00DD70A1">
        <w:rPr>
          <w:rFonts w:ascii="Calibri" w:eastAsia="Calibri" w:hAnsi="Calibri"/>
          <w:b/>
          <w:sz w:val="22"/>
          <w:szCs w:val="22"/>
          <w:lang w:eastAsia="en-US"/>
        </w:rPr>
        <w:t>Development</w:t>
      </w:r>
    </w:p>
    <w:p w14:paraId="479277D0" w14:textId="6C34C09C"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Whilst my research supports dual-coding theory, there are limitations to my findings which need to be addressed and explored in future classroom enquiry. The first is that only one sample group was used, and that group was relatively small. </w:t>
      </w:r>
      <w:proofErr w:type="gramStart"/>
      <w:r w:rsidRPr="00FA36F2">
        <w:rPr>
          <w:rFonts w:ascii="Calibri" w:eastAsia="Calibri" w:hAnsi="Calibri"/>
          <w:sz w:val="22"/>
          <w:szCs w:val="22"/>
          <w:lang w:eastAsia="en-US"/>
        </w:rPr>
        <w:t>In order fo</w:t>
      </w:r>
      <w:r w:rsidR="0077283C">
        <w:rPr>
          <w:rFonts w:ascii="Calibri" w:eastAsia="Calibri" w:hAnsi="Calibri"/>
          <w:sz w:val="22"/>
          <w:szCs w:val="22"/>
          <w:lang w:eastAsia="en-US"/>
        </w:rPr>
        <w:t>r</w:t>
      </w:r>
      <w:proofErr w:type="gramEnd"/>
      <w:r w:rsidR="0077283C">
        <w:rPr>
          <w:rFonts w:ascii="Calibri" w:eastAsia="Calibri" w:hAnsi="Calibri"/>
          <w:sz w:val="22"/>
          <w:szCs w:val="22"/>
          <w:lang w:eastAsia="en-US"/>
        </w:rPr>
        <w:t xml:space="preserve"> </w:t>
      </w:r>
      <w:r w:rsidRPr="00FA36F2">
        <w:rPr>
          <w:rFonts w:ascii="Calibri" w:eastAsia="Calibri" w:hAnsi="Calibri"/>
          <w:sz w:val="22"/>
          <w:szCs w:val="22"/>
          <w:lang w:eastAsia="en-US"/>
        </w:rPr>
        <w:t>research findings to have greater credibility, larger sample sizes are needed</w:t>
      </w:r>
      <w:r w:rsidR="00E433D9">
        <w:rPr>
          <w:rFonts w:ascii="Calibri" w:eastAsia="Calibri" w:hAnsi="Calibri"/>
          <w:sz w:val="22"/>
          <w:szCs w:val="22"/>
          <w:lang w:eastAsia="en-US"/>
        </w:rPr>
        <w:t xml:space="preserve"> to give more accurate mean scores and</w:t>
      </w:r>
      <w:r w:rsidR="00F22E92">
        <w:rPr>
          <w:rFonts w:ascii="Calibri" w:eastAsia="Calibri" w:hAnsi="Calibri"/>
          <w:sz w:val="22"/>
          <w:szCs w:val="22"/>
          <w:lang w:eastAsia="en-US"/>
        </w:rPr>
        <w:t xml:space="preserve"> identify anomalous results that could have skewed the findings. </w:t>
      </w:r>
      <w:r w:rsidRPr="00FA36F2">
        <w:rPr>
          <w:rFonts w:ascii="Calibri" w:eastAsia="Calibri" w:hAnsi="Calibri"/>
          <w:sz w:val="22"/>
          <w:szCs w:val="22"/>
          <w:lang w:eastAsia="en-US"/>
        </w:rPr>
        <w:t xml:space="preserve">The sample group that was used was </w:t>
      </w:r>
      <w:r w:rsidR="00D47DCD" w:rsidRPr="00D47DCD">
        <w:rPr>
          <w:rFonts w:ascii="Calibri" w:eastAsia="Calibri" w:hAnsi="Calibri"/>
          <w:sz w:val="22"/>
          <w:szCs w:val="22"/>
          <w:lang w:eastAsia="en-US"/>
        </w:rPr>
        <w:t xml:space="preserve">also </w:t>
      </w:r>
      <w:r w:rsidRPr="00FA36F2">
        <w:rPr>
          <w:rFonts w:ascii="Calibri" w:eastAsia="Calibri" w:hAnsi="Calibri"/>
          <w:sz w:val="22"/>
          <w:szCs w:val="22"/>
          <w:lang w:eastAsia="en-US"/>
        </w:rPr>
        <w:t>a middle ability group which may have been a factor in the results. Findings might not have been the same if the intervention had been conducted with a higher or lower ability group, or even a mixed ability class. In order to understand if dual-coding universally benefits all learners within the language classroom, further studies need to be conducted with participants in varying ability groups.</w:t>
      </w:r>
    </w:p>
    <w:p w14:paraId="590B432C" w14:textId="3B91C39B"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Another problem that presents itself is the lack of comparison. Whilst only one sample group was used </w:t>
      </w:r>
      <w:r w:rsidR="00FE35B7">
        <w:rPr>
          <w:rFonts w:ascii="Calibri" w:eastAsia="Calibri" w:hAnsi="Calibri"/>
          <w:sz w:val="22"/>
          <w:szCs w:val="22"/>
          <w:lang w:eastAsia="en-US"/>
        </w:rPr>
        <w:t>to prevent one class being at a disadvantage against another</w:t>
      </w:r>
      <w:r w:rsidRPr="00FA36F2">
        <w:rPr>
          <w:rFonts w:ascii="Calibri" w:eastAsia="Calibri" w:hAnsi="Calibri"/>
          <w:sz w:val="22"/>
          <w:szCs w:val="22"/>
          <w:lang w:eastAsia="en-US"/>
        </w:rPr>
        <w:t xml:space="preserve"> (</w:t>
      </w:r>
      <w:r w:rsidR="00EE3591">
        <w:rPr>
          <w:rFonts w:ascii="Calibri" w:eastAsia="Calibri" w:hAnsi="Calibri"/>
          <w:sz w:val="22"/>
          <w:szCs w:val="22"/>
          <w:lang w:eastAsia="en-US"/>
        </w:rPr>
        <w:t>Burton &amp; Bartlett</w:t>
      </w:r>
      <w:r w:rsidR="00FE35B7">
        <w:rPr>
          <w:rFonts w:ascii="Calibri" w:eastAsia="Calibri" w:hAnsi="Calibri"/>
          <w:sz w:val="22"/>
          <w:szCs w:val="22"/>
          <w:lang w:eastAsia="en-US"/>
        </w:rPr>
        <w:t>, 2009</w:t>
      </w:r>
      <w:r w:rsidRPr="00FA36F2">
        <w:rPr>
          <w:rFonts w:ascii="Calibri" w:eastAsia="Calibri" w:hAnsi="Calibri"/>
          <w:sz w:val="22"/>
          <w:szCs w:val="22"/>
          <w:lang w:eastAsia="en-US"/>
        </w:rPr>
        <w:t>), we cannot examine the impact of dual-coding against a control group where no dual-coding was used. We can state that the methods used in the intervention did help students to progress, but we cannot evaluate the efficacy of dual-coding in relation to other teaching methods used for language acquisition. Along with this, as we also cannot separate the effects of dual-coding from other aspects of the intervention, we cannot say with certainty that it was the use of dual-coding that led to the improved language acquisition. It could have been due to the use of repetition, or other factors such as the teacher</w:t>
      </w:r>
      <w:r w:rsidR="00FB4C39">
        <w:rPr>
          <w:rFonts w:ascii="Calibri" w:eastAsia="Calibri" w:hAnsi="Calibri"/>
          <w:sz w:val="22"/>
          <w:szCs w:val="22"/>
          <w:lang w:eastAsia="en-US"/>
        </w:rPr>
        <w:t xml:space="preserve"> effect (</w:t>
      </w:r>
      <w:proofErr w:type="spellStart"/>
      <w:r w:rsidR="00FB4C39">
        <w:rPr>
          <w:rFonts w:ascii="Calibri" w:eastAsia="Calibri" w:hAnsi="Calibri"/>
          <w:sz w:val="22"/>
          <w:szCs w:val="22"/>
          <w:lang w:eastAsia="en-US"/>
        </w:rPr>
        <w:t>Dewaele</w:t>
      </w:r>
      <w:proofErr w:type="spellEnd"/>
      <w:r w:rsidR="00FB4C39">
        <w:rPr>
          <w:rFonts w:ascii="Calibri" w:eastAsia="Calibri" w:hAnsi="Calibri"/>
          <w:sz w:val="22"/>
          <w:szCs w:val="22"/>
          <w:lang w:eastAsia="en-US"/>
        </w:rPr>
        <w:t>, 2018)</w:t>
      </w:r>
      <w:r w:rsidR="00E32882">
        <w:rPr>
          <w:rFonts w:ascii="Calibri" w:eastAsia="Calibri" w:hAnsi="Calibri"/>
          <w:sz w:val="22"/>
          <w:szCs w:val="22"/>
          <w:lang w:eastAsia="en-US"/>
        </w:rPr>
        <w:t xml:space="preserve"> where personality, teaching methods, and use of target language all play a role in</w:t>
      </w:r>
      <w:r w:rsidR="00C60B0C">
        <w:rPr>
          <w:rFonts w:ascii="Calibri" w:eastAsia="Calibri" w:hAnsi="Calibri"/>
          <w:sz w:val="22"/>
          <w:szCs w:val="22"/>
          <w:lang w:eastAsia="en-US"/>
        </w:rPr>
        <w:t xml:space="preserve"> subject enjoyment and student participation and thus student performance.</w:t>
      </w:r>
    </w:p>
    <w:p w14:paraId="201CDC4F" w14:textId="63394BB1"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lastRenderedPageBreak/>
        <w:t>Whilst the use of a sample group who were ready to learn new vocabulary enabled the intervention to be a natural step in the pupils’ academic progression, the pre and post-test created artificial conditions within the classroom. Pupils studying French at School X would never normally have been asked to sit a word recall test for vocabulary they had not yet learned. Furthermore, students are always given a week’s notice when expected to do a vocabulary test, so sitting the post-test with no notice was unlike any situation they’d experienced in the academic year. The lack of time to revise could have adversely affected performance of certain students who found sitting a test without preparation to be a stressful experience</w:t>
      </w:r>
      <w:r w:rsidR="00935B43">
        <w:rPr>
          <w:rFonts w:ascii="Calibri" w:eastAsia="Calibri" w:hAnsi="Calibri"/>
          <w:sz w:val="22"/>
          <w:szCs w:val="22"/>
          <w:lang w:eastAsia="en-US"/>
        </w:rPr>
        <w:t xml:space="preserve"> (Frisch, 2018)</w:t>
      </w:r>
      <w:r w:rsidRPr="00FA36F2">
        <w:rPr>
          <w:rFonts w:ascii="Calibri" w:eastAsia="Calibri" w:hAnsi="Calibri"/>
          <w:sz w:val="22"/>
          <w:szCs w:val="22"/>
          <w:lang w:eastAsia="en-US"/>
        </w:rPr>
        <w:t>.</w:t>
      </w:r>
    </w:p>
    <w:p w14:paraId="0E3C76B4" w14:textId="6BA13CF3"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The fact that the vocabulary introduced was largely abstract, could have negatively impacted the outcomes of the intervention, as previous studies have shown that dual-coding is less effective with abstract words (</w:t>
      </w:r>
      <w:r w:rsidR="00DE24B9">
        <w:rPr>
          <w:rFonts w:ascii="Calibri" w:eastAsia="Calibri" w:hAnsi="Calibri"/>
          <w:sz w:val="22"/>
          <w:szCs w:val="22"/>
          <w:lang w:eastAsia="en-US"/>
        </w:rPr>
        <w:t>Lin, 2017</w:t>
      </w:r>
      <w:r w:rsidRPr="00FA36F2">
        <w:rPr>
          <w:rFonts w:ascii="Calibri" w:eastAsia="Calibri" w:hAnsi="Calibri"/>
          <w:sz w:val="22"/>
          <w:szCs w:val="22"/>
          <w:lang w:eastAsia="en-US"/>
        </w:rPr>
        <w:t>). Whilst my research design and scheme of work was designed to counteract the concreteness effect, it could still have played a part in pupil performance.</w:t>
      </w:r>
    </w:p>
    <w:p w14:paraId="40A28D1D" w14:textId="2A23B753"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My research also faced another difficulty that is common within educational research – time constraints relating to environment and participant availability (Arthur</w:t>
      </w:r>
      <w:r w:rsidR="007E797D">
        <w:rPr>
          <w:rFonts w:ascii="Calibri" w:eastAsia="Calibri" w:hAnsi="Calibri"/>
          <w:sz w:val="22"/>
          <w:szCs w:val="22"/>
          <w:lang w:eastAsia="en-US"/>
        </w:rPr>
        <w:t>, 2012</w:t>
      </w:r>
      <w:r w:rsidRPr="00FA36F2">
        <w:rPr>
          <w:rFonts w:ascii="Calibri" w:eastAsia="Calibri" w:hAnsi="Calibri"/>
          <w:sz w:val="22"/>
          <w:szCs w:val="22"/>
          <w:lang w:eastAsia="en-US"/>
        </w:rPr>
        <w:t xml:space="preserve">). I factored in timescales when planning my intervention and for organising data collection, but unforeseen incidents still occurred; the first being the need to extend the time putting the words into the table after half of the class made numerous errors. The second was a change to the school lunch rota which meant the class had an early lunch when I had planned to conduct the post-test, which led to my intervention running longer than planned.    </w:t>
      </w:r>
    </w:p>
    <w:p w14:paraId="370C7471" w14:textId="0764F11E"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An inherent difficulty within action research is the inability to separate the effects of dual-coding from the ways in which it was employed</w:t>
      </w:r>
      <w:r w:rsidR="00A86BE7">
        <w:rPr>
          <w:rFonts w:ascii="Calibri" w:eastAsia="Calibri" w:hAnsi="Calibri"/>
          <w:sz w:val="22"/>
          <w:szCs w:val="22"/>
          <w:lang w:eastAsia="en-US"/>
        </w:rPr>
        <w:t xml:space="preserve">. </w:t>
      </w:r>
      <w:r w:rsidRPr="00FA36F2">
        <w:rPr>
          <w:rFonts w:ascii="Calibri" w:eastAsia="Calibri" w:hAnsi="Calibri"/>
          <w:sz w:val="22"/>
          <w:szCs w:val="22"/>
          <w:lang w:eastAsia="en-US"/>
        </w:rPr>
        <w:t xml:space="preserve">Also, whilst the research allowed me to test student recall after a short period of time, it did not consider whether recall would have been as strong </w:t>
      </w:r>
      <w:proofErr w:type="gramStart"/>
      <w:r w:rsidRPr="00FA36F2">
        <w:rPr>
          <w:rFonts w:ascii="Calibri" w:eastAsia="Calibri" w:hAnsi="Calibri"/>
          <w:sz w:val="22"/>
          <w:szCs w:val="22"/>
          <w:lang w:eastAsia="en-US"/>
        </w:rPr>
        <w:t>at a later date</w:t>
      </w:r>
      <w:proofErr w:type="gramEnd"/>
      <w:r w:rsidRPr="00FA36F2">
        <w:rPr>
          <w:rFonts w:ascii="Calibri" w:eastAsia="Calibri" w:hAnsi="Calibri"/>
          <w:sz w:val="22"/>
          <w:szCs w:val="22"/>
          <w:lang w:eastAsia="en-US"/>
        </w:rPr>
        <w:t>, or whether the vocabulary learned was transferable to a written task instead of a simple vocabulary test. A shorter interval between intervention and testing leads to higher correlation to support the research hypothesis (Arthur</w:t>
      </w:r>
      <w:r w:rsidR="007E797D">
        <w:rPr>
          <w:rFonts w:ascii="Calibri" w:eastAsia="Calibri" w:hAnsi="Calibri"/>
          <w:sz w:val="22"/>
          <w:szCs w:val="22"/>
          <w:lang w:eastAsia="en-US"/>
        </w:rPr>
        <w:t>, 2012</w:t>
      </w:r>
      <w:r w:rsidRPr="00FA36F2">
        <w:rPr>
          <w:rFonts w:ascii="Calibri" w:eastAsia="Calibri" w:hAnsi="Calibri"/>
          <w:sz w:val="22"/>
          <w:szCs w:val="22"/>
          <w:lang w:eastAsia="en-US"/>
        </w:rPr>
        <w:t xml:space="preserve">) but does not test the long-term efficacity, so one could state that dual-coding was effective in the short-term but it’s practical benefits in the long-term remain to be seen. </w:t>
      </w:r>
    </w:p>
    <w:p w14:paraId="73DBE3E5" w14:textId="4B5EDA5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Limitations can also be seen in the conclusions being drawn on vocabulary retrieval. Whilst there are various theories of cognition, it </w:t>
      </w:r>
      <w:proofErr w:type="gramStart"/>
      <w:r w:rsidRPr="00FA36F2">
        <w:rPr>
          <w:rFonts w:ascii="Calibri" w:eastAsia="Calibri" w:hAnsi="Calibri"/>
          <w:sz w:val="22"/>
          <w:szCs w:val="22"/>
          <w:lang w:eastAsia="en-US"/>
        </w:rPr>
        <w:t>still remains</w:t>
      </w:r>
      <w:proofErr w:type="gramEnd"/>
      <w:r w:rsidRPr="00FA36F2">
        <w:rPr>
          <w:rFonts w:ascii="Calibri" w:eastAsia="Calibri" w:hAnsi="Calibri"/>
          <w:sz w:val="22"/>
          <w:szCs w:val="22"/>
          <w:lang w:eastAsia="en-US"/>
        </w:rPr>
        <w:t xml:space="preserve"> unclear which strategies are best used for retrieval when the original encoding of the information has used a variety of networks (</w:t>
      </w:r>
      <w:proofErr w:type="spellStart"/>
      <w:r w:rsidRPr="00FA36F2">
        <w:rPr>
          <w:rFonts w:ascii="Calibri" w:eastAsia="Calibri" w:hAnsi="Calibri"/>
          <w:sz w:val="22"/>
          <w:szCs w:val="22"/>
          <w:lang w:eastAsia="en-US"/>
        </w:rPr>
        <w:t>Macaro</w:t>
      </w:r>
      <w:proofErr w:type="spellEnd"/>
      <w:r w:rsidR="007E797D">
        <w:rPr>
          <w:rFonts w:ascii="Calibri" w:eastAsia="Calibri" w:hAnsi="Calibri"/>
          <w:sz w:val="22"/>
          <w:szCs w:val="22"/>
          <w:lang w:eastAsia="en-US"/>
        </w:rPr>
        <w:t>, 2001</w:t>
      </w:r>
      <w:r w:rsidRPr="00FA36F2">
        <w:rPr>
          <w:rFonts w:ascii="Calibri" w:eastAsia="Calibri" w:hAnsi="Calibri"/>
          <w:sz w:val="22"/>
          <w:szCs w:val="22"/>
          <w:lang w:eastAsia="en-US"/>
        </w:rPr>
        <w:t>). So</w:t>
      </w:r>
      <w:r w:rsidR="009574CA">
        <w:rPr>
          <w:rFonts w:ascii="Calibri" w:eastAsia="Calibri" w:hAnsi="Calibri"/>
          <w:sz w:val="22"/>
          <w:szCs w:val="22"/>
          <w:lang w:eastAsia="en-US"/>
        </w:rPr>
        <w:t>,</w:t>
      </w:r>
      <w:r w:rsidRPr="00FA36F2">
        <w:rPr>
          <w:rFonts w:ascii="Calibri" w:eastAsia="Calibri" w:hAnsi="Calibri"/>
          <w:sz w:val="22"/>
          <w:szCs w:val="22"/>
          <w:lang w:eastAsia="en-US"/>
        </w:rPr>
        <w:t xml:space="preserve"> whilst we can speculate that presenting images during testing aided recall, we cannot state with any certainty that the visual stimuli had a direct impact on student performance.</w:t>
      </w:r>
    </w:p>
    <w:p w14:paraId="55C2C805" w14:textId="7777777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lastRenderedPageBreak/>
        <w:t xml:space="preserve">The quantitative data collected during this research suggests that there is a correlation between using dual-coding in classroom instruction and second language vocabulary acquisition. However, it is difficult to establish a cause and effect relationship as to whether dual-coding was responsible for the learned vocabulary, as there was no comparative study where the same process was followed without the use of dual coding. Beyond the lack of comparative research, further difficulty arises as we cannot say that dual-coding was directly responsible for the children’s progress. Other elements of teaching methodology, such as drilling or sentence translation, might have played a more important part in vocabulary acquisition. </w:t>
      </w:r>
    </w:p>
    <w:p w14:paraId="2C803D29" w14:textId="7777777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In order to further explore the implications of this research, future classroom investigation needs to be conducted. Within my classroom I would like to explore the wider application of dual-coding, paying </w:t>
      </w:r>
      <w:proofErr w:type="gramStart"/>
      <w:r w:rsidRPr="00FA36F2">
        <w:rPr>
          <w:rFonts w:ascii="Calibri" w:eastAsia="Calibri" w:hAnsi="Calibri"/>
          <w:sz w:val="22"/>
          <w:szCs w:val="22"/>
          <w:lang w:eastAsia="en-US"/>
        </w:rPr>
        <w:t>particular attention</w:t>
      </w:r>
      <w:proofErr w:type="gramEnd"/>
      <w:r w:rsidRPr="00FA36F2">
        <w:rPr>
          <w:rFonts w:ascii="Calibri" w:eastAsia="Calibri" w:hAnsi="Calibri"/>
          <w:sz w:val="22"/>
          <w:szCs w:val="22"/>
          <w:lang w:eastAsia="en-US"/>
        </w:rPr>
        <w:t xml:space="preserve"> to its use with both high and low ability classes, and investigating the progress made by students engaging with a multimedia approach in a mixed ability setting. I also feel that subsequent studies need to be carried out with the same classes using a different method of instruction for new topic vocabulary, so that we can see the efficacy of dual-coding in relation to other methods. Whilst the research supports dual-coding for language acquisition, it might not be the most effective method to use in my own classroom and therefore some form of comparative study could be key to ensuring my own best practice. </w:t>
      </w:r>
    </w:p>
    <w:p w14:paraId="4EB72376" w14:textId="77777777" w:rsidR="00FA36F2" w:rsidRPr="00FA36F2" w:rsidRDefault="00FA36F2" w:rsidP="000B0924">
      <w:pPr>
        <w:spacing w:after="160" w:line="360" w:lineRule="auto"/>
        <w:rPr>
          <w:rFonts w:ascii="Calibri" w:eastAsia="Calibri" w:hAnsi="Calibri"/>
          <w:sz w:val="22"/>
          <w:szCs w:val="22"/>
          <w:lang w:eastAsia="en-US"/>
        </w:rPr>
      </w:pPr>
      <w:r w:rsidRPr="00FA36F2">
        <w:rPr>
          <w:rFonts w:ascii="Calibri" w:eastAsia="Calibri" w:hAnsi="Calibri"/>
          <w:sz w:val="22"/>
          <w:szCs w:val="22"/>
          <w:lang w:eastAsia="en-US"/>
        </w:rPr>
        <w:t xml:space="preserve"> </w:t>
      </w:r>
    </w:p>
    <w:p w14:paraId="54270972" w14:textId="3A101FA9" w:rsidR="00050AF9" w:rsidRDefault="00050AF9" w:rsidP="000B0924">
      <w:pPr>
        <w:spacing w:after="160" w:line="360" w:lineRule="auto"/>
        <w:rPr>
          <w:rFonts w:ascii="Calibri" w:eastAsia="Calibri" w:hAnsi="Calibri"/>
          <w:sz w:val="22"/>
          <w:szCs w:val="22"/>
          <w:lang w:eastAsia="en-US"/>
        </w:rPr>
      </w:pPr>
    </w:p>
    <w:p w14:paraId="179B7B8D" w14:textId="42DF8BF1" w:rsidR="00952B92" w:rsidRPr="00952B92" w:rsidRDefault="00952B92" w:rsidP="000B0924">
      <w:pPr>
        <w:spacing w:after="160" w:line="360" w:lineRule="auto"/>
        <w:rPr>
          <w:rFonts w:ascii="Arial" w:hAnsi="Arial" w:cs="Arial"/>
          <w:sz w:val="32"/>
        </w:rPr>
      </w:pPr>
    </w:p>
    <w:p w14:paraId="15086D7A" w14:textId="7F5C9B63" w:rsidR="00952B92" w:rsidRPr="00952B92" w:rsidRDefault="00952B92" w:rsidP="000B0924">
      <w:pPr>
        <w:spacing w:after="160" w:line="360" w:lineRule="auto"/>
        <w:rPr>
          <w:rFonts w:ascii="Arial" w:hAnsi="Arial" w:cs="Arial"/>
          <w:sz w:val="32"/>
        </w:rPr>
      </w:pPr>
    </w:p>
    <w:p w14:paraId="1EC21C67" w14:textId="379625BA" w:rsidR="00952B92" w:rsidRDefault="00952B92" w:rsidP="000B0924">
      <w:pPr>
        <w:spacing w:after="160" w:line="360" w:lineRule="auto"/>
        <w:rPr>
          <w:rFonts w:ascii="Arial" w:hAnsi="Arial" w:cs="Arial"/>
          <w:sz w:val="32"/>
        </w:rPr>
      </w:pPr>
    </w:p>
    <w:p w14:paraId="16322C36" w14:textId="1DD6CCB7" w:rsidR="00D570BA" w:rsidRDefault="00D570BA" w:rsidP="000B0924">
      <w:pPr>
        <w:spacing w:after="160" w:line="360" w:lineRule="auto"/>
        <w:rPr>
          <w:rFonts w:ascii="Arial" w:hAnsi="Arial" w:cs="Arial"/>
          <w:sz w:val="32"/>
        </w:rPr>
      </w:pPr>
    </w:p>
    <w:p w14:paraId="54784BB1" w14:textId="25FC9C85" w:rsidR="00D570BA" w:rsidRDefault="00D570BA" w:rsidP="000B0924">
      <w:pPr>
        <w:spacing w:after="160" w:line="360" w:lineRule="auto"/>
        <w:rPr>
          <w:rFonts w:ascii="Arial" w:hAnsi="Arial" w:cs="Arial"/>
          <w:sz w:val="32"/>
        </w:rPr>
      </w:pPr>
    </w:p>
    <w:p w14:paraId="670D5E46" w14:textId="06E699F8" w:rsidR="00D570BA" w:rsidRDefault="00D570BA" w:rsidP="000B0924">
      <w:pPr>
        <w:spacing w:after="160" w:line="360" w:lineRule="auto"/>
        <w:rPr>
          <w:rFonts w:ascii="Arial" w:hAnsi="Arial" w:cs="Arial"/>
          <w:sz w:val="32"/>
        </w:rPr>
      </w:pPr>
    </w:p>
    <w:p w14:paraId="57AD8035" w14:textId="361C452D" w:rsidR="00D570BA" w:rsidRDefault="00D570BA" w:rsidP="000B0924">
      <w:pPr>
        <w:spacing w:after="160" w:line="360" w:lineRule="auto"/>
        <w:rPr>
          <w:rFonts w:ascii="Arial" w:hAnsi="Arial" w:cs="Arial"/>
          <w:sz w:val="32"/>
        </w:rPr>
      </w:pPr>
    </w:p>
    <w:p w14:paraId="7596939B" w14:textId="2CA98D5B" w:rsidR="00D570BA" w:rsidRDefault="00D570BA" w:rsidP="000B0924">
      <w:pPr>
        <w:spacing w:after="160" w:line="360" w:lineRule="auto"/>
        <w:rPr>
          <w:rFonts w:ascii="Arial" w:hAnsi="Arial" w:cs="Arial"/>
          <w:sz w:val="32"/>
        </w:rPr>
      </w:pPr>
    </w:p>
    <w:p w14:paraId="598E2996" w14:textId="77777777" w:rsidR="00D570BA" w:rsidRPr="00D570BA" w:rsidRDefault="00D570BA" w:rsidP="00D443A1">
      <w:pPr>
        <w:spacing w:after="160" w:line="360" w:lineRule="auto"/>
        <w:rPr>
          <w:rFonts w:ascii="Calibri" w:eastAsia="Calibri" w:hAnsi="Calibri"/>
          <w:b/>
          <w:sz w:val="22"/>
          <w:szCs w:val="22"/>
          <w:lang w:eastAsia="en-US"/>
        </w:rPr>
      </w:pPr>
      <w:r w:rsidRPr="00D570BA">
        <w:rPr>
          <w:rFonts w:ascii="Calibri" w:eastAsia="Calibri" w:hAnsi="Calibri"/>
          <w:b/>
          <w:sz w:val="22"/>
          <w:szCs w:val="22"/>
          <w:lang w:eastAsia="en-US"/>
        </w:rPr>
        <w:lastRenderedPageBreak/>
        <w:t>Reference List</w:t>
      </w:r>
    </w:p>
    <w:p w14:paraId="3DDE4C10" w14:textId="77777777" w:rsidR="00D570BA" w:rsidRPr="00D570BA" w:rsidRDefault="00D570BA" w:rsidP="00D443A1">
      <w:pPr>
        <w:tabs>
          <w:tab w:val="left" w:pos="1970"/>
        </w:tabs>
        <w:spacing w:after="160" w:line="360" w:lineRule="auto"/>
        <w:rPr>
          <w:rFonts w:ascii="Calibri" w:eastAsia="Calibri" w:hAnsi="Calibri"/>
          <w:b/>
          <w:sz w:val="22"/>
          <w:szCs w:val="22"/>
          <w:lang w:eastAsia="en-US"/>
        </w:rPr>
      </w:pPr>
      <w:proofErr w:type="spellStart"/>
      <w:r w:rsidRPr="00D570BA">
        <w:rPr>
          <w:rFonts w:ascii="Calibri" w:eastAsia="Calibri" w:hAnsi="Calibri"/>
          <w:sz w:val="22"/>
          <w:szCs w:val="22"/>
          <w:lang w:eastAsia="en-US"/>
        </w:rPr>
        <w:t>Arlin</w:t>
      </w:r>
      <w:proofErr w:type="spellEnd"/>
      <w:r w:rsidRPr="00D570BA">
        <w:rPr>
          <w:rFonts w:ascii="Calibri" w:eastAsia="Calibri" w:hAnsi="Calibri"/>
          <w:sz w:val="22"/>
          <w:szCs w:val="22"/>
          <w:lang w:eastAsia="en-US"/>
        </w:rPr>
        <w:t xml:space="preserve">, Scott &amp; Webster (1978). ‘The effects of pictures on rate of learning sight words. A critique of the focal attention hypothesis’. </w:t>
      </w:r>
      <w:r w:rsidRPr="00D570BA">
        <w:rPr>
          <w:rFonts w:ascii="Calibri" w:eastAsia="Calibri" w:hAnsi="Calibri"/>
          <w:i/>
          <w:sz w:val="22"/>
          <w:szCs w:val="22"/>
          <w:lang w:eastAsia="en-US"/>
        </w:rPr>
        <w:t xml:space="preserve">Reading Research Quarterly. </w:t>
      </w:r>
      <w:r w:rsidRPr="00D570BA">
        <w:rPr>
          <w:rFonts w:ascii="Calibri" w:eastAsia="Calibri" w:hAnsi="Calibri"/>
          <w:sz w:val="22"/>
          <w:szCs w:val="22"/>
          <w:lang w:eastAsia="en-US"/>
        </w:rPr>
        <w:t>Vol 14, pp.647-660.</w:t>
      </w:r>
    </w:p>
    <w:p w14:paraId="1418E339"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Arthur, J (2012). </w:t>
      </w:r>
      <w:r w:rsidRPr="00D570BA">
        <w:rPr>
          <w:rFonts w:ascii="Calibri" w:eastAsia="Calibri" w:hAnsi="Calibri"/>
          <w:i/>
          <w:sz w:val="22"/>
          <w:szCs w:val="22"/>
          <w:lang w:eastAsia="en-US"/>
        </w:rPr>
        <w:t xml:space="preserve">Research methods and methodologies in education. </w:t>
      </w:r>
      <w:r w:rsidRPr="00D570BA">
        <w:rPr>
          <w:rFonts w:ascii="Calibri" w:eastAsia="Calibri" w:hAnsi="Calibri"/>
          <w:sz w:val="22"/>
          <w:szCs w:val="22"/>
          <w:lang w:eastAsia="en-US"/>
        </w:rPr>
        <w:t>London: Sage Publications.</w:t>
      </w:r>
    </w:p>
    <w:p w14:paraId="19D1BA48"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British Council (2018). </w:t>
      </w:r>
      <w:r w:rsidRPr="00D570BA">
        <w:rPr>
          <w:rFonts w:ascii="Calibri" w:eastAsia="Calibri" w:hAnsi="Calibri"/>
          <w:i/>
          <w:sz w:val="22"/>
          <w:szCs w:val="22"/>
          <w:lang w:eastAsia="en-US"/>
        </w:rPr>
        <w:t xml:space="preserve">Language Trends Wales 2018. </w:t>
      </w:r>
      <w:r w:rsidRPr="00D570BA">
        <w:rPr>
          <w:rFonts w:ascii="Calibri" w:eastAsia="Calibri" w:hAnsi="Calibri"/>
          <w:sz w:val="22"/>
          <w:szCs w:val="22"/>
          <w:lang w:eastAsia="en-US"/>
        </w:rPr>
        <w:t>Cardiff: British Council Wales.</w:t>
      </w:r>
    </w:p>
    <w:p w14:paraId="1DE414F4"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British Educational Research Association [BERA] (2018). </w:t>
      </w:r>
      <w:r w:rsidRPr="00D570BA">
        <w:rPr>
          <w:rFonts w:ascii="Calibri" w:eastAsia="Calibri" w:hAnsi="Calibri"/>
          <w:i/>
          <w:sz w:val="22"/>
          <w:szCs w:val="22"/>
          <w:lang w:eastAsia="en-US"/>
        </w:rPr>
        <w:t xml:space="preserve">Ethical Guidelines for Educational Research. </w:t>
      </w:r>
      <w:r w:rsidRPr="00D570BA">
        <w:rPr>
          <w:rFonts w:ascii="Calibri" w:eastAsia="Calibri" w:hAnsi="Calibri"/>
          <w:sz w:val="22"/>
          <w:szCs w:val="22"/>
          <w:lang w:eastAsia="en-US"/>
        </w:rPr>
        <w:t xml:space="preserve">Fourth edition, London. </w:t>
      </w:r>
    </w:p>
    <w:p w14:paraId="5204A257"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Brooks, R., </w:t>
      </w:r>
      <w:proofErr w:type="spellStart"/>
      <w:r w:rsidRPr="00D570BA">
        <w:rPr>
          <w:rFonts w:ascii="Calibri" w:eastAsia="Calibri" w:hAnsi="Calibri"/>
          <w:sz w:val="22"/>
          <w:szCs w:val="22"/>
          <w:lang w:eastAsia="en-US"/>
        </w:rPr>
        <w:t>Riele</w:t>
      </w:r>
      <w:proofErr w:type="spellEnd"/>
      <w:r w:rsidRPr="00D570BA">
        <w:rPr>
          <w:rFonts w:ascii="Calibri" w:eastAsia="Calibri" w:hAnsi="Calibri"/>
          <w:sz w:val="22"/>
          <w:szCs w:val="22"/>
          <w:lang w:eastAsia="en-US"/>
        </w:rPr>
        <w:t xml:space="preserve">, K.T., Maguire, M., &amp; British Educational Research Association (2014). </w:t>
      </w:r>
      <w:r w:rsidRPr="00D570BA">
        <w:rPr>
          <w:rFonts w:ascii="Calibri" w:eastAsia="Calibri" w:hAnsi="Calibri"/>
          <w:i/>
          <w:sz w:val="22"/>
          <w:szCs w:val="22"/>
          <w:lang w:eastAsia="en-US"/>
        </w:rPr>
        <w:t xml:space="preserve">Ethics and education research. </w:t>
      </w:r>
      <w:r w:rsidRPr="00D570BA">
        <w:rPr>
          <w:rFonts w:ascii="Calibri" w:eastAsia="Calibri" w:hAnsi="Calibri"/>
          <w:sz w:val="22"/>
          <w:szCs w:val="22"/>
          <w:lang w:eastAsia="en-US"/>
        </w:rPr>
        <w:t xml:space="preserve">Los Angeles: SAGE. </w:t>
      </w:r>
    </w:p>
    <w:p w14:paraId="16D4CB4F"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Brunyé</w:t>
      </w:r>
      <w:proofErr w:type="spellEnd"/>
      <w:r w:rsidRPr="00D570BA">
        <w:rPr>
          <w:rFonts w:ascii="Calibri" w:eastAsia="Calibri" w:hAnsi="Calibri"/>
          <w:sz w:val="22"/>
          <w:szCs w:val="22"/>
          <w:lang w:eastAsia="en-US"/>
        </w:rPr>
        <w:t xml:space="preserve">, T., Taylor, H., &amp; Rapp, D. (2008). ‘Repetition and dual coding in procedural multimedia </w:t>
      </w:r>
      <w:proofErr w:type="gramStart"/>
      <w:r w:rsidRPr="00D570BA">
        <w:rPr>
          <w:rFonts w:ascii="Calibri" w:eastAsia="Calibri" w:hAnsi="Calibri"/>
          <w:sz w:val="22"/>
          <w:szCs w:val="22"/>
          <w:lang w:eastAsia="en-US"/>
        </w:rPr>
        <w:t>presentations’</w:t>
      </w:r>
      <w:proofErr w:type="gramEnd"/>
      <w:r w:rsidRPr="00D570BA">
        <w:rPr>
          <w:rFonts w:ascii="Calibri" w:eastAsia="Calibri" w:hAnsi="Calibri"/>
          <w:sz w:val="22"/>
          <w:szCs w:val="22"/>
          <w:lang w:eastAsia="en-US"/>
        </w:rPr>
        <w:t xml:space="preserve">. </w:t>
      </w:r>
      <w:r w:rsidRPr="00D570BA">
        <w:rPr>
          <w:rFonts w:ascii="Calibri" w:eastAsia="Calibri" w:hAnsi="Calibri"/>
          <w:i/>
          <w:sz w:val="22"/>
          <w:szCs w:val="22"/>
          <w:lang w:eastAsia="en-US"/>
        </w:rPr>
        <w:t xml:space="preserve">Applied Cognitive Psychology. </w:t>
      </w:r>
      <w:r w:rsidRPr="00D570BA">
        <w:rPr>
          <w:rFonts w:ascii="Calibri" w:eastAsia="Calibri" w:hAnsi="Calibri"/>
          <w:sz w:val="22"/>
          <w:szCs w:val="22"/>
          <w:lang w:eastAsia="en-US"/>
        </w:rPr>
        <w:t>Vol 22(7), pp.877.</w:t>
      </w:r>
    </w:p>
    <w:p w14:paraId="7C885828"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Burton, D. &amp; Bartlett, S. (2009). </w:t>
      </w:r>
      <w:r w:rsidRPr="00D570BA">
        <w:rPr>
          <w:rFonts w:ascii="Calibri" w:eastAsia="Calibri" w:hAnsi="Calibri"/>
          <w:i/>
          <w:sz w:val="22"/>
          <w:szCs w:val="22"/>
          <w:lang w:eastAsia="en-US"/>
        </w:rPr>
        <w:t xml:space="preserve">Key issues for education researchers. </w:t>
      </w:r>
      <w:r w:rsidRPr="00D570BA">
        <w:rPr>
          <w:rFonts w:ascii="Calibri" w:eastAsia="Calibri" w:hAnsi="Calibri"/>
          <w:sz w:val="22"/>
          <w:szCs w:val="22"/>
          <w:lang w:eastAsia="en-US"/>
        </w:rPr>
        <w:t>London: SAGE.</w:t>
      </w:r>
    </w:p>
    <w:p w14:paraId="15AAFB28"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Christodoulou, D. (2014). </w:t>
      </w:r>
      <w:r w:rsidRPr="00D570BA">
        <w:rPr>
          <w:rFonts w:ascii="Calibri" w:eastAsia="Calibri" w:hAnsi="Calibri"/>
          <w:i/>
          <w:sz w:val="22"/>
          <w:szCs w:val="22"/>
          <w:lang w:eastAsia="en-US"/>
        </w:rPr>
        <w:t xml:space="preserve">The seven myths about education. </w:t>
      </w:r>
      <w:r w:rsidRPr="00D570BA">
        <w:rPr>
          <w:rFonts w:ascii="Calibri" w:eastAsia="Calibri" w:hAnsi="Calibri"/>
          <w:sz w:val="22"/>
          <w:szCs w:val="22"/>
          <w:lang w:eastAsia="en-US"/>
        </w:rPr>
        <w:t>London: Routledge.</w:t>
      </w:r>
    </w:p>
    <w:p w14:paraId="5B71F47D"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Clark, J. M. (1984). ‘Concreteness and semantic repetition effects in free recall: Evidence for dual-coding theory. </w:t>
      </w:r>
      <w:r w:rsidRPr="00D570BA">
        <w:rPr>
          <w:rFonts w:ascii="Calibri" w:eastAsia="Calibri" w:hAnsi="Calibri"/>
          <w:i/>
          <w:sz w:val="22"/>
          <w:szCs w:val="22"/>
          <w:lang w:eastAsia="en-US"/>
        </w:rPr>
        <w:t xml:space="preserve">Canadian Journal of Psychology. </w:t>
      </w:r>
      <w:r w:rsidRPr="00D570BA">
        <w:rPr>
          <w:rFonts w:ascii="Calibri" w:eastAsia="Calibri" w:hAnsi="Calibri"/>
          <w:sz w:val="22"/>
          <w:szCs w:val="22"/>
          <w:lang w:eastAsia="en-US"/>
        </w:rPr>
        <w:t>Vol 38(4), pp.591-598.</w:t>
      </w:r>
    </w:p>
    <w:p w14:paraId="3DBD39C6"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Cohen, L., Manion, L., &amp; Morrison, K. (2011). </w:t>
      </w:r>
      <w:r w:rsidRPr="00D570BA">
        <w:rPr>
          <w:rFonts w:ascii="Calibri" w:eastAsia="Calibri" w:hAnsi="Calibri"/>
          <w:i/>
          <w:sz w:val="22"/>
          <w:szCs w:val="22"/>
          <w:lang w:eastAsia="en-US"/>
        </w:rPr>
        <w:t xml:space="preserve">Research methods in education. </w:t>
      </w:r>
      <w:r w:rsidRPr="00D570BA">
        <w:rPr>
          <w:rFonts w:ascii="Calibri" w:eastAsia="Calibri" w:hAnsi="Calibri"/>
          <w:sz w:val="22"/>
          <w:szCs w:val="22"/>
          <w:lang w:eastAsia="en-US"/>
        </w:rPr>
        <w:t xml:space="preserve">New York: Routledge. </w:t>
      </w:r>
    </w:p>
    <w:p w14:paraId="1F5E3D05"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Cuevas, J. &amp; Dawson, B. L. (2018). ‘A test of two alternative cognitive processing models: Learning styles and dual coding’. </w:t>
      </w:r>
      <w:r w:rsidRPr="00D570BA">
        <w:rPr>
          <w:rFonts w:ascii="Calibri" w:eastAsia="Calibri" w:hAnsi="Calibri"/>
          <w:i/>
          <w:sz w:val="22"/>
          <w:szCs w:val="22"/>
          <w:lang w:eastAsia="en-US"/>
        </w:rPr>
        <w:t xml:space="preserve">Theory &amp; Research in Education. </w:t>
      </w:r>
      <w:r w:rsidRPr="00D570BA">
        <w:rPr>
          <w:rFonts w:ascii="Calibri" w:eastAsia="Calibri" w:hAnsi="Calibri"/>
          <w:sz w:val="22"/>
          <w:szCs w:val="22"/>
          <w:lang w:eastAsia="en-US"/>
        </w:rPr>
        <w:t>Vol.16 (1), p40-65.</w:t>
      </w:r>
    </w:p>
    <w:p w14:paraId="7D57A55B"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Dewaele</w:t>
      </w:r>
      <w:proofErr w:type="spellEnd"/>
      <w:r w:rsidRPr="00D570BA">
        <w:rPr>
          <w:rFonts w:ascii="Calibri" w:eastAsia="Calibri" w:hAnsi="Calibri"/>
          <w:sz w:val="22"/>
          <w:szCs w:val="22"/>
          <w:lang w:eastAsia="en-US"/>
        </w:rPr>
        <w:t xml:space="preserve">, J., Witney, J., Saito, K., &amp; </w:t>
      </w:r>
      <w:proofErr w:type="spellStart"/>
      <w:r w:rsidRPr="00D570BA">
        <w:rPr>
          <w:rFonts w:ascii="Calibri" w:eastAsia="Calibri" w:hAnsi="Calibri"/>
          <w:sz w:val="22"/>
          <w:szCs w:val="22"/>
          <w:lang w:eastAsia="en-US"/>
        </w:rPr>
        <w:t>Dewaele</w:t>
      </w:r>
      <w:proofErr w:type="spellEnd"/>
      <w:r w:rsidRPr="00D570BA">
        <w:rPr>
          <w:rFonts w:ascii="Calibri" w:eastAsia="Calibri" w:hAnsi="Calibri"/>
          <w:sz w:val="22"/>
          <w:szCs w:val="22"/>
          <w:lang w:eastAsia="en-US"/>
        </w:rPr>
        <w:t xml:space="preserve">, L. (2018). ‘Foreign language enjoyment and </w:t>
      </w:r>
      <w:proofErr w:type="spellStart"/>
      <w:r w:rsidRPr="00D570BA">
        <w:rPr>
          <w:rFonts w:ascii="Calibri" w:eastAsia="Calibri" w:hAnsi="Calibri"/>
          <w:sz w:val="22"/>
          <w:szCs w:val="22"/>
          <w:lang w:eastAsia="en-US"/>
        </w:rPr>
        <w:t>axiety</w:t>
      </w:r>
      <w:proofErr w:type="spellEnd"/>
      <w:r w:rsidRPr="00D570BA">
        <w:rPr>
          <w:rFonts w:ascii="Calibri" w:eastAsia="Calibri" w:hAnsi="Calibri"/>
          <w:sz w:val="22"/>
          <w:szCs w:val="22"/>
          <w:lang w:eastAsia="en-US"/>
        </w:rPr>
        <w:t xml:space="preserve">: The effect of teacher and learner </w:t>
      </w:r>
      <w:proofErr w:type="gramStart"/>
      <w:r w:rsidRPr="00D570BA">
        <w:rPr>
          <w:rFonts w:ascii="Calibri" w:eastAsia="Calibri" w:hAnsi="Calibri"/>
          <w:sz w:val="22"/>
          <w:szCs w:val="22"/>
          <w:lang w:eastAsia="en-US"/>
        </w:rPr>
        <w:t>variables’</w:t>
      </w:r>
      <w:proofErr w:type="gramEnd"/>
      <w:r w:rsidRPr="00D570BA">
        <w:rPr>
          <w:rFonts w:ascii="Calibri" w:eastAsia="Calibri" w:hAnsi="Calibri"/>
          <w:sz w:val="22"/>
          <w:szCs w:val="22"/>
          <w:lang w:eastAsia="en-US"/>
        </w:rPr>
        <w:t xml:space="preserve">. </w:t>
      </w:r>
      <w:r w:rsidRPr="00D570BA">
        <w:rPr>
          <w:rFonts w:ascii="Calibri" w:eastAsia="Calibri" w:hAnsi="Calibri"/>
          <w:i/>
          <w:sz w:val="22"/>
          <w:szCs w:val="22"/>
          <w:lang w:eastAsia="en-US"/>
        </w:rPr>
        <w:t xml:space="preserve">Language Teaching Research. </w:t>
      </w:r>
      <w:r w:rsidRPr="00D570BA">
        <w:rPr>
          <w:rFonts w:ascii="Calibri" w:eastAsia="Calibri" w:hAnsi="Calibri"/>
          <w:sz w:val="22"/>
          <w:szCs w:val="22"/>
          <w:lang w:eastAsia="en-US"/>
        </w:rPr>
        <w:t>Vol 22(6), pp.676-697.</w:t>
      </w:r>
    </w:p>
    <w:p w14:paraId="266F8B45"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Donaldson, G. (2015). </w:t>
      </w:r>
      <w:r w:rsidRPr="00D570BA">
        <w:rPr>
          <w:rFonts w:ascii="Calibri" w:eastAsia="Calibri" w:hAnsi="Calibri"/>
          <w:i/>
          <w:sz w:val="22"/>
          <w:szCs w:val="22"/>
          <w:lang w:eastAsia="en-US"/>
        </w:rPr>
        <w:t xml:space="preserve">Successful Futures: Independent review of curriculum and assessment arrangements in Wales. </w:t>
      </w:r>
      <w:proofErr w:type="spellStart"/>
      <w:r w:rsidRPr="00D570BA">
        <w:rPr>
          <w:rFonts w:ascii="Calibri" w:eastAsia="Calibri" w:hAnsi="Calibri"/>
          <w:sz w:val="22"/>
          <w:szCs w:val="22"/>
          <w:lang w:eastAsia="en-US"/>
        </w:rPr>
        <w:t>Caerdydd</w:t>
      </w:r>
      <w:proofErr w:type="spellEnd"/>
      <w:r w:rsidRPr="00D570BA">
        <w:rPr>
          <w:rFonts w:ascii="Calibri" w:eastAsia="Calibri" w:hAnsi="Calibri"/>
          <w:sz w:val="22"/>
          <w:szCs w:val="22"/>
          <w:lang w:eastAsia="en-US"/>
        </w:rPr>
        <w:t xml:space="preserve">: </w:t>
      </w:r>
      <w:proofErr w:type="spellStart"/>
      <w:r w:rsidRPr="00D570BA">
        <w:rPr>
          <w:rFonts w:ascii="Calibri" w:eastAsia="Calibri" w:hAnsi="Calibri"/>
          <w:sz w:val="22"/>
          <w:szCs w:val="22"/>
          <w:lang w:eastAsia="en-US"/>
        </w:rPr>
        <w:t>Llywodraeth</w:t>
      </w:r>
      <w:proofErr w:type="spellEnd"/>
      <w:r w:rsidRPr="00D570BA">
        <w:rPr>
          <w:rFonts w:ascii="Calibri" w:eastAsia="Calibri" w:hAnsi="Calibri"/>
          <w:sz w:val="22"/>
          <w:szCs w:val="22"/>
          <w:lang w:eastAsia="en-US"/>
        </w:rPr>
        <w:t xml:space="preserve"> </w:t>
      </w:r>
      <w:proofErr w:type="spellStart"/>
      <w:r w:rsidRPr="00D570BA">
        <w:rPr>
          <w:rFonts w:ascii="Calibri" w:eastAsia="Calibri" w:hAnsi="Calibri"/>
          <w:sz w:val="22"/>
          <w:szCs w:val="22"/>
          <w:lang w:eastAsia="en-US"/>
        </w:rPr>
        <w:t>Cenedlaethol</w:t>
      </w:r>
      <w:proofErr w:type="spellEnd"/>
      <w:r w:rsidRPr="00D570BA">
        <w:rPr>
          <w:rFonts w:ascii="Calibri" w:eastAsia="Calibri" w:hAnsi="Calibri"/>
          <w:sz w:val="22"/>
          <w:szCs w:val="22"/>
          <w:lang w:eastAsia="en-US"/>
        </w:rPr>
        <w:t xml:space="preserve"> Cymru. </w:t>
      </w:r>
    </w:p>
    <w:p w14:paraId="203EAF9C"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Doumont</w:t>
      </w:r>
      <w:proofErr w:type="spellEnd"/>
      <w:r w:rsidRPr="00D570BA">
        <w:rPr>
          <w:rFonts w:ascii="Calibri" w:eastAsia="Calibri" w:hAnsi="Calibri"/>
          <w:sz w:val="22"/>
          <w:szCs w:val="22"/>
          <w:lang w:eastAsia="en-US"/>
        </w:rPr>
        <w:t xml:space="preserve">, J. (2005). ‘The Cognitive Style of PowerPoint: Slides Are Not All Evil’. </w:t>
      </w:r>
      <w:r w:rsidRPr="00D570BA">
        <w:rPr>
          <w:rFonts w:ascii="Calibri" w:eastAsia="Calibri" w:hAnsi="Calibri"/>
          <w:i/>
          <w:sz w:val="22"/>
          <w:szCs w:val="22"/>
          <w:lang w:eastAsia="en-US"/>
        </w:rPr>
        <w:t xml:space="preserve">Technical Communication. </w:t>
      </w:r>
      <w:r w:rsidRPr="00D570BA">
        <w:rPr>
          <w:rFonts w:ascii="Calibri" w:eastAsia="Calibri" w:hAnsi="Calibri"/>
          <w:sz w:val="22"/>
          <w:szCs w:val="22"/>
          <w:lang w:eastAsia="en-US"/>
        </w:rPr>
        <w:t>Vol 52(1), pp.64-71.</w:t>
      </w:r>
    </w:p>
    <w:p w14:paraId="1FE3A979"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Egan, D. (2013). </w:t>
      </w:r>
      <w:r w:rsidRPr="00D570BA">
        <w:rPr>
          <w:rFonts w:ascii="Calibri" w:eastAsia="Calibri" w:hAnsi="Calibri"/>
          <w:i/>
          <w:sz w:val="22"/>
          <w:szCs w:val="22"/>
          <w:lang w:eastAsia="en-US"/>
        </w:rPr>
        <w:t xml:space="preserve">Poverty and low educational achievement in Wales: student, family and community interventions. </w:t>
      </w:r>
      <w:r w:rsidRPr="00D570BA">
        <w:rPr>
          <w:rFonts w:ascii="Calibri" w:eastAsia="Calibri" w:hAnsi="Calibri"/>
          <w:sz w:val="22"/>
          <w:szCs w:val="22"/>
          <w:lang w:eastAsia="en-US"/>
        </w:rPr>
        <w:t>York: Joseph Rowntree Foundation.</w:t>
      </w:r>
    </w:p>
    <w:p w14:paraId="7BE94A77"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Elliot, J. (1991). </w:t>
      </w:r>
      <w:r w:rsidRPr="00D570BA">
        <w:rPr>
          <w:rFonts w:ascii="Calibri" w:eastAsia="Calibri" w:hAnsi="Calibri"/>
          <w:i/>
          <w:sz w:val="22"/>
          <w:szCs w:val="22"/>
          <w:lang w:eastAsia="en-US"/>
        </w:rPr>
        <w:t xml:space="preserve">Action Research for Educational Change. </w:t>
      </w:r>
      <w:r w:rsidRPr="00D570BA">
        <w:rPr>
          <w:rFonts w:ascii="Calibri" w:eastAsia="Calibri" w:hAnsi="Calibri"/>
          <w:sz w:val="22"/>
          <w:szCs w:val="22"/>
          <w:lang w:eastAsia="en-US"/>
        </w:rPr>
        <w:t>Milton Keynes: Open University Press.</w:t>
      </w:r>
    </w:p>
    <w:p w14:paraId="3FDAAA52"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ESTYN (2016). </w:t>
      </w:r>
      <w:r w:rsidRPr="00D570BA">
        <w:rPr>
          <w:rFonts w:ascii="Calibri" w:eastAsia="Calibri" w:hAnsi="Calibri"/>
          <w:i/>
          <w:sz w:val="22"/>
          <w:szCs w:val="22"/>
          <w:lang w:eastAsia="en-US"/>
        </w:rPr>
        <w:t xml:space="preserve">Modern Foreign Languages. </w:t>
      </w:r>
      <w:r w:rsidRPr="00D570BA">
        <w:rPr>
          <w:rFonts w:ascii="Calibri" w:eastAsia="Calibri" w:hAnsi="Calibri"/>
          <w:sz w:val="22"/>
          <w:szCs w:val="22"/>
          <w:lang w:eastAsia="en-US"/>
        </w:rPr>
        <w:t xml:space="preserve">Cardiff: ESTYN. </w:t>
      </w:r>
    </w:p>
    <w:p w14:paraId="42C4E5A1"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lastRenderedPageBreak/>
        <w:t xml:space="preserve">Frisch, Victoria V., "Do Pop Quizzes Have a Positive Effect on Exam Grades?" (2018). Masters </w:t>
      </w:r>
      <w:r w:rsidRPr="00D570BA">
        <w:rPr>
          <w:rFonts w:ascii="Calibri" w:eastAsia="Calibri" w:hAnsi="Calibri"/>
          <w:i/>
          <w:sz w:val="22"/>
          <w:szCs w:val="22"/>
          <w:lang w:eastAsia="en-US"/>
        </w:rPr>
        <w:t>Theses</w:t>
      </w:r>
      <w:r w:rsidRPr="00D570BA">
        <w:rPr>
          <w:rFonts w:ascii="Calibri" w:eastAsia="Calibri" w:hAnsi="Calibri"/>
          <w:sz w:val="22"/>
          <w:szCs w:val="22"/>
          <w:lang w:eastAsia="en-US"/>
        </w:rPr>
        <w:t xml:space="preserve">. 16. </w:t>
      </w:r>
      <w:hyperlink r:id="rId9" w:history="1">
        <w:r w:rsidRPr="00D570BA">
          <w:rPr>
            <w:rFonts w:ascii="Calibri" w:eastAsia="Calibri" w:hAnsi="Calibri"/>
            <w:color w:val="0563C1"/>
            <w:sz w:val="22"/>
            <w:szCs w:val="22"/>
            <w:u w:val="single"/>
            <w:lang w:eastAsia="en-US"/>
          </w:rPr>
          <w:t>https://digitalcommons.otterbein.edu/stu_master/16</w:t>
        </w:r>
      </w:hyperlink>
    </w:p>
    <w:p w14:paraId="16AA232A"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gramStart"/>
      <w:r w:rsidRPr="00D570BA">
        <w:rPr>
          <w:rFonts w:ascii="Calibri" w:eastAsia="Calibri" w:hAnsi="Calibri"/>
          <w:sz w:val="22"/>
          <w:szCs w:val="22"/>
          <w:lang w:eastAsia="en-US"/>
        </w:rPr>
        <w:t>Grenfell,</w:t>
      </w:r>
      <w:proofErr w:type="gramEnd"/>
      <w:r w:rsidRPr="00D570BA">
        <w:rPr>
          <w:rFonts w:ascii="Calibri" w:eastAsia="Calibri" w:hAnsi="Calibri"/>
          <w:sz w:val="22"/>
          <w:szCs w:val="22"/>
          <w:lang w:eastAsia="en-US"/>
        </w:rPr>
        <w:t xml:space="preserve"> M. &amp; Harries, V. (1999). </w:t>
      </w:r>
      <w:r w:rsidRPr="00D570BA">
        <w:rPr>
          <w:rFonts w:ascii="Calibri" w:eastAsia="Calibri" w:hAnsi="Calibri"/>
          <w:i/>
          <w:sz w:val="22"/>
          <w:szCs w:val="22"/>
          <w:lang w:eastAsia="en-US"/>
        </w:rPr>
        <w:t xml:space="preserve">Modern languages and learning strategies: in theory and practice. </w:t>
      </w:r>
      <w:r w:rsidRPr="00D570BA">
        <w:rPr>
          <w:rFonts w:ascii="Calibri" w:eastAsia="Calibri" w:hAnsi="Calibri"/>
          <w:sz w:val="22"/>
          <w:szCs w:val="22"/>
          <w:lang w:eastAsia="en-US"/>
        </w:rPr>
        <w:t xml:space="preserve">London: Routledge. </w:t>
      </w:r>
    </w:p>
    <w:p w14:paraId="1813B549"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Harries, V (2000). ‘Towards independence in language use and learning’. </w:t>
      </w:r>
      <w:r w:rsidRPr="00D570BA">
        <w:rPr>
          <w:rFonts w:ascii="Calibri" w:eastAsia="Calibri" w:hAnsi="Calibri"/>
          <w:i/>
          <w:sz w:val="22"/>
          <w:szCs w:val="22"/>
          <w:lang w:eastAsia="en-US"/>
        </w:rPr>
        <w:t xml:space="preserve">Issues in modern foreign languages teaching. </w:t>
      </w:r>
      <w:r w:rsidRPr="00D570BA">
        <w:rPr>
          <w:rFonts w:ascii="Calibri" w:eastAsia="Calibri" w:hAnsi="Calibri"/>
          <w:sz w:val="22"/>
          <w:szCs w:val="22"/>
          <w:lang w:eastAsia="en-US"/>
        </w:rPr>
        <w:t>Kit Field. London: Routledge Falmer.</w:t>
      </w:r>
    </w:p>
    <w:p w14:paraId="471E7FBF"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Hattie, J. &amp; Yates, G. (2014). </w:t>
      </w:r>
      <w:r w:rsidRPr="00D570BA">
        <w:rPr>
          <w:rFonts w:ascii="Calibri" w:eastAsia="Calibri" w:hAnsi="Calibri"/>
          <w:i/>
          <w:sz w:val="22"/>
          <w:szCs w:val="22"/>
          <w:lang w:eastAsia="en-US"/>
        </w:rPr>
        <w:t xml:space="preserve">Visible learning and science of how we learn. </w:t>
      </w:r>
      <w:r w:rsidRPr="00D570BA">
        <w:rPr>
          <w:rFonts w:ascii="Calibri" w:eastAsia="Calibri" w:hAnsi="Calibri"/>
          <w:sz w:val="22"/>
          <w:szCs w:val="22"/>
          <w:lang w:eastAsia="en-US"/>
        </w:rPr>
        <w:t xml:space="preserve">London: Routledge. </w:t>
      </w:r>
    </w:p>
    <w:p w14:paraId="78178E23"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Hodes, C. L. (1998). ‘Understanding visual literacy through visual informational processing’. </w:t>
      </w:r>
      <w:r w:rsidRPr="00D570BA">
        <w:rPr>
          <w:rFonts w:ascii="Calibri" w:eastAsia="Calibri" w:hAnsi="Calibri"/>
          <w:i/>
          <w:sz w:val="22"/>
          <w:szCs w:val="22"/>
          <w:lang w:eastAsia="en-US"/>
        </w:rPr>
        <w:t xml:space="preserve">Journal of Visual Literacy. </w:t>
      </w:r>
      <w:r w:rsidRPr="00D570BA">
        <w:rPr>
          <w:rFonts w:ascii="Calibri" w:eastAsia="Calibri" w:hAnsi="Calibri"/>
          <w:sz w:val="22"/>
          <w:szCs w:val="22"/>
          <w:lang w:eastAsia="en-US"/>
        </w:rPr>
        <w:t>Vol 18(2), pp.131-136.</w:t>
      </w:r>
    </w:p>
    <w:p w14:paraId="3AB4C70E"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val="fr-FR" w:eastAsia="en-US"/>
        </w:rPr>
        <w:t>Jesson</w:t>
      </w:r>
      <w:proofErr w:type="spellEnd"/>
      <w:r w:rsidRPr="00D570BA">
        <w:rPr>
          <w:rFonts w:ascii="Calibri" w:eastAsia="Calibri" w:hAnsi="Calibri"/>
          <w:sz w:val="22"/>
          <w:szCs w:val="22"/>
          <w:lang w:val="fr-FR" w:eastAsia="en-US"/>
        </w:rPr>
        <w:t xml:space="preserve">, F., </w:t>
      </w:r>
      <w:proofErr w:type="spellStart"/>
      <w:r w:rsidRPr="00D570BA">
        <w:rPr>
          <w:rFonts w:ascii="Calibri" w:eastAsia="Calibri" w:hAnsi="Calibri"/>
          <w:sz w:val="22"/>
          <w:szCs w:val="22"/>
          <w:lang w:val="fr-FR" w:eastAsia="en-US"/>
        </w:rPr>
        <w:t>Heun</w:t>
      </w:r>
      <w:proofErr w:type="spellEnd"/>
      <w:r w:rsidRPr="00D570BA">
        <w:rPr>
          <w:rFonts w:ascii="Calibri" w:eastAsia="Calibri" w:hAnsi="Calibri"/>
          <w:sz w:val="22"/>
          <w:szCs w:val="22"/>
          <w:lang w:val="fr-FR" w:eastAsia="en-US"/>
        </w:rPr>
        <w:t xml:space="preserve">, R., Erb, M., </w:t>
      </w:r>
      <w:proofErr w:type="spellStart"/>
      <w:r w:rsidRPr="00D570BA">
        <w:rPr>
          <w:rFonts w:ascii="Calibri" w:eastAsia="Calibri" w:hAnsi="Calibri"/>
          <w:sz w:val="22"/>
          <w:szCs w:val="22"/>
          <w:lang w:val="fr-FR" w:eastAsia="en-US"/>
        </w:rPr>
        <w:t>Granath</w:t>
      </w:r>
      <w:proofErr w:type="spellEnd"/>
      <w:r w:rsidRPr="00D570BA">
        <w:rPr>
          <w:rFonts w:ascii="Calibri" w:eastAsia="Calibri" w:hAnsi="Calibri"/>
          <w:sz w:val="22"/>
          <w:szCs w:val="22"/>
          <w:lang w:val="fr-FR" w:eastAsia="en-US"/>
        </w:rPr>
        <w:t xml:space="preserve">, D.-O., Klose, U., </w:t>
      </w:r>
      <w:proofErr w:type="spellStart"/>
      <w:r w:rsidRPr="00D570BA">
        <w:rPr>
          <w:rFonts w:ascii="Calibri" w:eastAsia="Calibri" w:hAnsi="Calibri"/>
          <w:sz w:val="22"/>
          <w:szCs w:val="22"/>
          <w:lang w:val="fr-FR" w:eastAsia="en-US"/>
        </w:rPr>
        <w:t>Papassotiropoulous</w:t>
      </w:r>
      <w:proofErr w:type="spellEnd"/>
      <w:r w:rsidRPr="00D570BA">
        <w:rPr>
          <w:rFonts w:ascii="Calibri" w:eastAsia="Calibri" w:hAnsi="Calibri"/>
          <w:sz w:val="22"/>
          <w:szCs w:val="22"/>
          <w:lang w:val="fr-FR" w:eastAsia="en-US"/>
        </w:rPr>
        <w:t xml:space="preserve">, A., &amp; </w:t>
      </w:r>
      <w:proofErr w:type="spellStart"/>
      <w:r w:rsidRPr="00D570BA">
        <w:rPr>
          <w:rFonts w:ascii="Calibri" w:eastAsia="Calibri" w:hAnsi="Calibri"/>
          <w:sz w:val="22"/>
          <w:szCs w:val="22"/>
          <w:lang w:val="fr-FR" w:eastAsia="en-US"/>
        </w:rPr>
        <w:t>Grodd</w:t>
      </w:r>
      <w:proofErr w:type="spellEnd"/>
      <w:r w:rsidRPr="00D570BA">
        <w:rPr>
          <w:rFonts w:ascii="Calibri" w:eastAsia="Calibri" w:hAnsi="Calibri"/>
          <w:sz w:val="22"/>
          <w:szCs w:val="22"/>
          <w:lang w:val="fr-FR" w:eastAsia="en-US"/>
        </w:rPr>
        <w:t xml:space="preserve">, W (2000). </w:t>
      </w:r>
      <w:r w:rsidRPr="00D570BA">
        <w:rPr>
          <w:rFonts w:ascii="Calibri" w:eastAsia="Calibri" w:hAnsi="Calibri"/>
          <w:sz w:val="22"/>
          <w:szCs w:val="22"/>
          <w:lang w:eastAsia="en-US"/>
        </w:rPr>
        <w:t xml:space="preserve">‘The Concreteness Effect: Evidence for Dual Coding and Context Availability’. </w:t>
      </w:r>
      <w:r w:rsidRPr="00D570BA">
        <w:rPr>
          <w:rFonts w:ascii="Calibri" w:eastAsia="Calibri" w:hAnsi="Calibri"/>
          <w:i/>
          <w:sz w:val="22"/>
          <w:szCs w:val="22"/>
          <w:lang w:eastAsia="en-US"/>
        </w:rPr>
        <w:t>Brain and Language</w:t>
      </w:r>
      <w:r w:rsidRPr="00D570BA">
        <w:rPr>
          <w:rFonts w:ascii="Calibri" w:eastAsia="Calibri" w:hAnsi="Calibri"/>
          <w:sz w:val="22"/>
          <w:szCs w:val="22"/>
          <w:lang w:eastAsia="en-US"/>
        </w:rPr>
        <w:t xml:space="preserve">. Vol 74, p103-112. </w:t>
      </w:r>
    </w:p>
    <w:p w14:paraId="4445451E"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Kassim</w:t>
      </w:r>
      <w:proofErr w:type="spellEnd"/>
      <w:r w:rsidRPr="00D570BA">
        <w:rPr>
          <w:rFonts w:ascii="Calibri" w:eastAsia="Calibri" w:hAnsi="Calibri"/>
          <w:sz w:val="22"/>
          <w:szCs w:val="22"/>
          <w:lang w:eastAsia="en-US"/>
        </w:rPr>
        <w:t xml:space="preserve">, W. (2018). ‘Utilizing Dual Coding Theory and animated images to enhance ESL students’ vocabulary learning’. </w:t>
      </w:r>
      <w:r w:rsidRPr="00D570BA">
        <w:rPr>
          <w:rFonts w:ascii="Calibri" w:eastAsia="Calibri" w:hAnsi="Calibri"/>
          <w:i/>
          <w:sz w:val="22"/>
          <w:szCs w:val="22"/>
          <w:lang w:eastAsia="en-US"/>
        </w:rPr>
        <w:t xml:space="preserve">The English Teacher. </w:t>
      </w:r>
      <w:r w:rsidRPr="00D570BA">
        <w:rPr>
          <w:rFonts w:ascii="Calibri" w:eastAsia="Calibri" w:hAnsi="Calibri"/>
          <w:sz w:val="22"/>
          <w:szCs w:val="22"/>
          <w:lang w:eastAsia="en-US"/>
        </w:rPr>
        <w:t>Vol 47(3), pp.81-91.</w:t>
      </w:r>
    </w:p>
    <w:p w14:paraId="3079725B"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Lin, Y., Ng, R. &amp; </w:t>
      </w:r>
      <w:proofErr w:type="spellStart"/>
      <w:r w:rsidRPr="00D570BA">
        <w:rPr>
          <w:rFonts w:ascii="Calibri" w:eastAsia="Calibri" w:hAnsi="Calibri"/>
          <w:sz w:val="22"/>
          <w:szCs w:val="22"/>
          <w:lang w:eastAsia="en-US"/>
        </w:rPr>
        <w:t>Perera</w:t>
      </w:r>
      <w:proofErr w:type="spellEnd"/>
      <w:r w:rsidRPr="00D570BA">
        <w:rPr>
          <w:rFonts w:ascii="Calibri" w:eastAsia="Calibri" w:hAnsi="Calibri"/>
          <w:sz w:val="22"/>
          <w:szCs w:val="22"/>
          <w:lang w:eastAsia="en-US"/>
        </w:rPr>
        <w:t>-WA (2017)</w:t>
      </w:r>
      <w:r w:rsidRPr="00D570BA">
        <w:rPr>
          <w:rFonts w:ascii="Calibri" w:eastAsia="Calibri" w:hAnsi="Calibri"/>
          <w:i/>
          <w:sz w:val="22"/>
          <w:szCs w:val="22"/>
          <w:lang w:eastAsia="en-US"/>
        </w:rPr>
        <w:t>. Concrete vs abstract words – what do you recall better? A study on dual coding theory</w:t>
      </w:r>
      <w:r w:rsidRPr="00D570BA">
        <w:rPr>
          <w:rFonts w:ascii="Calibri" w:eastAsia="Calibri" w:hAnsi="Calibri"/>
          <w:sz w:val="22"/>
          <w:szCs w:val="22"/>
          <w:lang w:eastAsia="en-US"/>
        </w:rPr>
        <w:t xml:space="preserve">. </w:t>
      </w:r>
      <w:proofErr w:type="spellStart"/>
      <w:r w:rsidRPr="00D570BA">
        <w:rPr>
          <w:rFonts w:ascii="Calibri" w:eastAsia="Calibri" w:hAnsi="Calibri"/>
          <w:sz w:val="22"/>
          <w:szCs w:val="22"/>
          <w:lang w:eastAsia="en-US"/>
        </w:rPr>
        <w:t>PeerJ</w:t>
      </w:r>
      <w:proofErr w:type="spellEnd"/>
      <w:r w:rsidRPr="00D570BA">
        <w:rPr>
          <w:rFonts w:ascii="Calibri" w:eastAsia="Calibri" w:hAnsi="Calibri"/>
          <w:sz w:val="22"/>
          <w:szCs w:val="22"/>
          <w:lang w:eastAsia="en-US"/>
        </w:rPr>
        <w:t xml:space="preserve"> </w:t>
      </w:r>
      <w:proofErr w:type="spellStart"/>
      <w:r w:rsidRPr="00D570BA">
        <w:rPr>
          <w:rFonts w:ascii="Calibri" w:eastAsia="Calibri" w:hAnsi="Calibri"/>
          <w:sz w:val="22"/>
          <w:szCs w:val="22"/>
          <w:lang w:eastAsia="en-US"/>
        </w:rPr>
        <w:t>PrePrints</w:t>
      </w:r>
      <w:proofErr w:type="spellEnd"/>
      <w:r w:rsidRPr="00D570BA">
        <w:rPr>
          <w:rFonts w:ascii="Calibri" w:eastAsia="Calibri" w:hAnsi="Calibri"/>
          <w:sz w:val="22"/>
          <w:szCs w:val="22"/>
          <w:lang w:eastAsia="en-US"/>
        </w:rPr>
        <w:t xml:space="preserve">, </w:t>
      </w:r>
      <w:proofErr w:type="spellStart"/>
      <w:proofErr w:type="gramStart"/>
      <w:r w:rsidRPr="00D570BA">
        <w:rPr>
          <w:rFonts w:ascii="Calibri" w:eastAsia="Calibri" w:hAnsi="Calibri"/>
          <w:sz w:val="22"/>
          <w:szCs w:val="22"/>
          <w:lang w:eastAsia="en-US"/>
        </w:rPr>
        <w:t>pp.PeerJ</w:t>
      </w:r>
      <w:proofErr w:type="spellEnd"/>
      <w:proofErr w:type="gramEnd"/>
      <w:r w:rsidRPr="00D570BA">
        <w:rPr>
          <w:rFonts w:ascii="Calibri" w:eastAsia="Calibri" w:hAnsi="Calibri"/>
          <w:sz w:val="22"/>
          <w:szCs w:val="22"/>
          <w:lang w:eastAsia="en-US"/>
        </w:rPr>
        <w:t xml:space="preserve"> </w:t>
      </w:r>
      <w:proofErr w:type="spellStart"/>
      <w:r w:rsidRPr="00D570BA">
        <w:rPr>
          <w:rFonts w:ascii="Calibri" w:eastAsia="Calibri" w:hAnsi="Calibri"/>
          <w:sz w:val="22"/>
          <w:szCs w:val="22"/>
          <w:lang w:eastAsia="en-US"/>
        </w:rPr>
        <w:t>PrePrints</w:t>
      </w:r>
      <w:proofErr w:type="spellEnd"/>
      <w:r w:rsidRPr="00D570BA">
        <w:rPr>
          <w:rFonts w:ascii="Calibri" w:eastAsia="Calibri" w:hAnsi="Calibri"/>
          <w:sz w:val="22"/>
          <w:szCs w:val="22"/>
          <w:lang w:eastAsia="en-US"/>
        </w:rPr>
        <w:t>, Jan 14, 2017.</w:t>
      </w:r>
    </w:p>
    <w:p w14:paraId="3E24DA76"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Macaro</w:t>
      </w:r>
      <w:proofErr w:type="spellEnd"/>
      <w:r w:rsidRPr="00D570BA">
        <w:rPr>
          <w:rFonts w:ascii="Calibri" w:eastAsia="Calibri" w:hAnsi="Calibri"/>
          <w:sz w:val="22"/>
          <w:szCs w:val="22"/>
          <w:lang w:eastAsia="en-US"/>
        </w:rPr>
        <w:t xml:space="preserve">, E (2001). </w:t>
      </w:r>
      <w:r w:rsidRPr="00D570BA">
        <w:rPr>
          <w:rFonts w:ascii="Calibri" w:eastAsia="Calibri" w:hAnsi="Calibri"/>
          <w:i/>
          <w:sz w:val="22"/>
          <w:szCs w:val="22"/>
          <w:lang w:eastAsia="en-US"/>
        </w:rPr>
        <w:t xml:space="preserve">Learning strategies in foreign and second language classrooms. </w:t>
      </w:r>
      <w:r w:rsidRPr="00D570BA">
        <w:rPr>
          <w:rFonts w:ascii="Calibri" w:eastAsia="Calibri" w:hAnsi="Calibri"/>
          <w:sz w:val="22"/>
          <w:szCs w:val="22"/>
          <w:lang w:eastAsia="en-US"/>
        </w:rPr>
        <w:t xml:space="preserve">London: Continuum. </w:t>
      </w:r>
    </w:p>
    <w:p w14:paraId="26DDACB2" w14:textId="77777777" w:rsidR="00D570BA" w:rsidRPr="00D570BA" w:rsidRDefault="00D570BA" w:rsidP="00D443A1">
      <w:pPr>
        <w:tabs>
          <w:tab w:val="left" w:pos="1970"/>
        </w:tabs>
        <w:spacing w:after="160" w:line="360" w:lineRule="auto"/>
        <w:rPr>
          <w:rFonts w:ascii="Calibri" w:eastAsia="Calibri" w:hAnsi="Calibri"/>
          <w:sz w:val="22"/>
          <w:szCs w:val="22"/>
          <w:lang w:val="fr-FR" w:eastAsia="en-US"/>
        </w:rPr>
      </w:pPr>
      <w:r w:rsidRPr="00D570BA">
        <w:rPr>
          <w:rFonts w:ascii="Calibri" w:eastAsia="Calibri" w:hAnsi="Calibri"/>
          <w:sz w:val="22"/>
          <w:szCs w:val="22"/>
          <w:lang w:eastAsia="en-US"/>
        </w:rPr>
        <w:t xml:space="preserve">Mayer, R. R. (1997). ‘Multimedia Learning: Are We Asking the Right Questions?’. </w:t>
      </w:r>
      <w:proofErr w:type="spellStart"/>
      <w:r w:rsidRPr="00D570BA">
        <w:rPr>
          <w:rFonts w:ascii="Calibri" w:eastAsia="Calibri" w:hAnsi="Calibri"/>
          <w:i/>
          <w:sz w:val="22"/>
          <w:szCs w:val="22"/>
          <w:lang w:val="fr-FR" w:eastAsia="en-US"/>
        </w:rPr>
        <w:t>Educational</w:t>
      </w:r>
      <w:proofErr w:type="spellEnd"/>
      <w:r w:rsidRPr="00D570BA">
        <w:rPr>
          <w:rFonts w:ascii="Calibri" w:eastAsia="Calibri" w:hAnsi="Calibri"/>
          <w:i/>
          <w:sz w:val="22"/>
          <w:szCs w:val="22"/>
          <w:lang w:val="fr-FR" w:eastAsia="en-US"/>
        </w:rPr>
        <w:t xml:space="preserve"> </w:t>
      </w:r>
      <w:proofErr w:type="spellStart"/>
      <w:r w:rsidRPr="00D570BA">
        <w:rPr>
          <w:rFonts w:ascii="Calibri" w:eastAsia="Calibri" w:hAnsi="Calibri"/>
          <w:i/>
          <w:sz w:val="22"/>
          <w:szCs w:val="22"/>
          <w:lang w:val="fr-FR" w:eastAsia="en-US"/>
        </w:rPr>
        <w:t>Psychologist</w:t>
      </w:r>
      <w:proofErr w:type="spellEnd"/>
      <w:r w:rsidRPr="00D570BA">
        <w:rPr>
          <w:rFonts w:ascii="Calibri" w:eastAsia="Calibri" w:hAnsi="Calibri"/>
          <w:i/>
          <w:sz w:val="22"/>
          <w:szCs w:val="22"/>
          <w:lang w:val="fr-FR" w:eastAsia="en-US"/>
        </w:rPr>
        <w:t xml:space="preserve">. </w:t>
      </w:r>
      <w:r w:rsidRPr="00D570BA">
        <w:rPr>
          <w:rFonts w:ascii="Calibri" w:eastAsia="Calibri" w:hAnsi="Calibri"/>
          <w:sz w:val="22"/>
          <w:szCs w:val="22"/>
          <w:lang w:val="fr-FR" w:eastAsia="en-US"/>
        </w:rPr>
        <w:t>Vol 32 (1), p1-19.</w:t>
      </w:r>
    </w:p>
    <w:p w14:paraId="2136FB9D" w14:textId="77777777" w:rsidR="00D570BA" w:rsidRPr="00D570BA" w:rsidRDefault="00D570BA" w:rsidP="00D443A1">
      <w:pPr>
        <w:tabs>
          <w:tab w:val="left" w:pos="1970"/>
        </w:tabs>
        <w:spacing w:after="160" w:line="360" w:lineRule="auto"/>
        <w:rPr>
          <w:rFonts w:ascii="Calibri" w:eastAsia="Calibri" w:hAnsi="Calibri"/>
          <w:sz w:val="22"/>
          <w:szCs w:val="22"/>
          <w:lang w:val="fr-FR" w:eastAsia="en-US"/>
        </w:rPr>
      </w:pPr>
      <w:r w:rsidRPr="00D570BA">
        <w:rPr>
          <w:rFonts w:ascii="Calibri" w:eastAsia="Calibri" w:hAnsi="Calibri"/>
          <w:sz w:val="22"/>
          <w:szCs w:val="22"/>
          <w:lang w:val="fr-FR" w:eastAsia="en-US"/>
        </w:rPr>
        <w:t xml:space="preserve">Mazoyer, B., </w:t>
      </w:r>
      <w:proofErr w:type="spellStart"/>
      <w:r w:rsidRPr="00D570BA">
        <w:rPr>
          <w:rFonts w:ascii="Calibri" w:eastAsia="Calibri" w:hAnsi="Calibri"/>
          <w:sz w:val="22"/>
          <w:szCs w:val="22"/>
          <w:lang w:val="fr-FR" w:eastAsia="en-US"/>
        </w:rPr>
        <w:t>Tzourio</w:t>
      </w:r>
      <w:proofErr w:type="spellEnd"/>
      <w:r w:rsidRPr="00D570BA">
        <w:rPr>
          <w:rFonts w:ascii="Calibri" w:eastAsia="Calibri" w:hAnsi="Calibri"/>
          <w:sz w:val="22"/>
          <w:szCs w:val="22"/>
          <w:lang w:val="fr-FR" w:eastAsia="en-US"/>
        </w:rPr>
        <w:t xml:space="preserve">-Mazoyer N., </w:t>
      </w:r>
      <w:proofErr w:type="spellStart"/>
      <w:r w:rsidRPr="00D570BA">
        <w:rPr>
          <w:rFonts w:ascii="Calibri" w:eastAsia="Calibri" w:hAnsi="Calibri"/>
          <w:sz w:val="22"/>
          <w:szCs w:val="22"/>
          <w:lang w:val="fr-FR" w:eastAsia="en-US"/>
        </w:rPr>
        <w:t>Mazard</w:t>
      </w:r>
      <w:proofErr w:type="spellEnd"/>
      <w:r w:rsidRPr="00D570BA">
        <w:rPr>
          <w:rFonts w:ascii="Calibri" w:eastAsia="Calibri" w:hAnsi="Calibri"/>
          <w:sz w:val="22"/>
          <w:szCs w:val="22"/>
          <w:lang w:val="fr-FR" w:eastAsia="en-US"/>
        </w:rPr>
        <w:t xml:space="preserve">, A., et al (2002). ‘Neural bases of image and </w:t>
      </w:r>
      <w:proofErr w:type="spellStart"/>
      <w:r w:rsidRPr="00D570BA">
        <w:rPr>
          <w:rFonts w:ascii="Calibri" w:eastAsia="Calibri" w:hAnsi="Calibri"/>
          <w:sz w:val="22"/>
          <w:szCs w:val="22"/>
          <w:lang w:val="fr-FR" w:eastAsia="en-US"/>
        </w:rPr>
        <w:t>language</w:t>
      </w:r>
      <w:proofErr w:type="spellEnd"/>
      <w:r w:rsidRPr="00D570BA">
        <w:rPr>
          <w:rFonts w:ascii="Calibri" w:eastAsia="Calibri" w:hAnsi="Calibri"/>
          <w:sz w:val="22"/>
          <w:szCs w:val="22"/>
          <w:lang w:val="fr-FR" w:eastAsia="en-US"/>
        </w:rPr>
        <w:t xml:space="preserve"> interactions’. </w:t>
      </w:r>
      <w:r w:rsidRPr="00D570BA">
        <w:rPr>
          <w:rFonts w:ascii="Calibri" w:eastAsia="Calibri" w:hAnsi="Calibri"/>
          <w:i/>
          <w:sz w:val="22"/>
          <w:szCs w:val="22"/>
          <w:lang w:val="fr-FR" w:eastAsia="en-US"/>
        </w:rPr>
        <w:t xml:space="preserve">International Journal of Psychology. </w:t>
      </w:r>
      <w:r w:rsidRPr="00D570BA">
        <w:rPr>
          <w:rFonts w:ascii="Calibri" w:eastAsia="Calibri" w:hAnsi="Calibri"/>
          <w:sz w:val="22"/>
          <w:szCs w:val="22"/>
          <w:lang w:val="fr-FR" w:eastAsia="en-US"/>
        </w:rPr>
        <w:t>Vol 37(4), pp.204-208</w:t>
      </w:r>
    </w:p>
    <w:p w14:paraId="555F6C6F"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gramStart"/>
      <w:r w:rsidRPr="00D570BA">
        <w:rPr>
          <w:rFonts w:ascii="Calibri" w:eastAsia="Calibri" w:hAnsi="Calibri"/>
          <w:sz w:val="22"/>
          <w:szCs w:val="22"/>
          <w:lang w:val="fr-FR" w:eastAsia="en-US"/>
        </w:rPr>
        <w:t>van</w:t>
      </w:r>
      <w:proofErr w:type="gramEnd"/>
      <w:r w:rsidRPr="00D570BA">
        <w:rPr>
          <w:rFonts w:ascii="Calibri" w:eastAsia="Calibri" w:hAnsi="Calibri"/>
          <w:sz w:val="22"/>
          <w:szCs w:val="22"/>
          <w:lang w:val="fr-FR" w:eastAsia="en-US"/>
        </w:rPr>
        <w:t xml:space="preserve"> </w:t>
      </w:r>
      <w:proofErr w:type="spellStart"/>
      <w:r w:rsidRPr="00D570BA">
        <w:rPr>
          <w:rFonts w:ascii="Calibri" w:eastAsia="Calibri" w:hAnsi="Calibri"/>
          <w:sz w:val="22"/>
          <w:szCs w:val="22"/>
          <w:lang w:val="fr-FR" w:eastAsia="en-US"/>
        </w:rPr>
        <w:t>Merri</w:t>
      </w:r>
      <w:r w:rsidRPr="00D570BA">
        <w:rPr>
          <w:rFonts w:ascii="Calibri" w:eastAsia="Calibri" w:hAnsi="Calibri" w:cs="Calibri"/>
          <w:sz w:val="22"/>
          <w:szCs w:val="22"/>
          <w:lang w:val="fr-FR" w:eastAsia="en-US"/>
        </w:rPr>
        <w:t>ë</w:t>
      </w:r>
      <w:r w:rsidRPr="00D570BA">
        <w:rPr>
          <w:rFonts w:ascii="Calibri" w:eastAsia="Calibri" w:hAnsi="Calibri"/>
          <w:sz w:val="22"/>
          <w:szCs w:val="22"/>
          <w:lang w:val="fr-FR" w:eastAsia="en-US"/>
        </w:rPr>
        <w:t>nboer</w:t>
      </w:r>
      <w:proofErr w:type="spellEnd"/>
      <w:r w:rsidRPr="00D570BA">
        <w:rPr>
          <w:rFonts w:ascii="Calibri" w:eastAsia="Calibri" w:hAnsi="Calibri"/>
          <w:sz w:val="22"/>
          <w:szCs w:val="22"/>
          <w:lang w:val="fr-FR" w:eastAsia="en-US"/>
        </w:rPr>
        <w:t xml:space="preserve">, J. J. G., Kirschner, P. A., &amp; </w:t>
      </w:r>
      <w:proofErr w:type="spellStart"/>
      <w:r w:rsidRPr="00D570BA">
        <w:rPr>
          <w:rFonts w:ascii="Calibri" w:eastAsia="Calibri" w:hAnsi="Calibri"/>
          <w:sz w:val="22"/>
          <w:szCs w:val="22"/>
          <w:lang w:val="fr-FR" w:eastAsia="en-US"/>
        </w:rPr>
        <w:t>Kester</w:t>
      </w:r>
      <w:proofErr w:type="spellEnd"/>
      <w:r w:rsidRPr="00D570BA">
        <w:rPr>
          <w:rFonts w:ascii="Calibri" w:eastAsia="Calibri" w:hAnsi="Calibri"/>
          <w:sz w:val="22"/>
          <w:szCs w:val="22"/>
          <w:lang w:val="fr-FR" w:eastAsia="en-US"/>
        </w:rPr>
        <w:t xml:space="preserve">, L. (2003). </w:t>
      </w:r>
      <w:r w:rsidRPr="00D570BA">
        <w:rPr>
          <w:rFonts w:ascii="Calibri" w:eastAsia="Calibri" w:hAnsi="Calibri"/>
          <w:sz w:val="22"/>
          <w:szCs w:val="22"/>
          <w:lang w:eastAsia="en-US"/>
        </w:rPr>
        <w:t xml:space="preserve">‘Taking the Load Off a Learner’s Mind: Instructional Design for Complex Learning’. </w:t>
      </w:r>
      <w:proofErr w:type="gramStart"/>
      <w:r w:rsidRPr="00D570BA">
        <w:rPr>
          <w:rFonts w:ascii="Calibri" w:eastAsia="Calibri" w:hAnsi="Calibri"/>
          <w:i/>
          <w:sz w:val="22"/>
          <w:szCs w:val="22"/>
          <w:lang w:eastAsia="en-US"/>
        </w:rPr>
        <w:t>Educational  Psychologist</w:t>
      </w:r>
      <w:proofErr w:type="gramEnd"/>
      <w:r w:rsidRPr="00D570BA">
        <w:rPr>
          <w:rFonts w:ascii="Calibri" w:eastAsia="Calibri" w:hAnsi="Calibri"/>
          <w:i/>
          <w:sz w:val="22"/>
          <w:szCs w:val="22"/>
          <w:lang w:eastAsia="en-US"/>
        </w:rPr>
        <w:t xml:space="preserve">. </w:t>
      </w:r>
      <w:r w:rsidRPr="00D570BA">
        <w:rPr>
          <w:rFonts w:ascii="Calibri" w:eastAsia="Calibri" w:hAnsi="Calibri"/>
          <w:sz w:val="22"/>
          <w:szCs w:val="22"/>
          <w:lang w:eastAsia="en-US"/>
        </w:rPr>
        <w:t>Vol 38 (1), p5-13.</w:t>
      </w:r>
    </w:p>
    <w:p w14:paraId="48CFB338"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Mousavi, S. Y., Low, R., &amp; </w:t>
      </w:r>
      <w:proofErr w:type="spellStart"/>
      <w:r w:rsidRPr="00D570BA">
        <w:rPr>
          <w:rFonts w:ascii="Calibri" w:eastAsia="Calibri" w:hAnsi="Calibri"/>
          <w:sz w:val="22"/>
          <w:szCs w:val="22"/>
          <w:lang w:eastAsia="en-US"/>
        </w:rPr>
        <w:t>Sweller</w:t>
      </w:r>
      <w:proofErr w:type="spellEnd"/>
      <w:r w:rsidRPr="00D570BA">
        <w:rPr>
          <w:rFonts w:ascii="Calibri" w:eastAsia="Calibri" w:hAnsi="Calibri"/>
          <w:sz w:val="22"/>
          <w:szCs w:val="22"/>
          <w:lang w:eastAsia="en-US"/>
        </w:rPr>
        <w:t xml:space="preserve">, J. (1995). ‘Reducing cognitive load by mixing auditory and visual presentation </w:t>
      </w:r>
      <w:proofErr w:type="gramStart"/>
      <w:r w:rsidRPr="00D570BA">
        <w:rPr>
          <w:rFonts w:ascii="Calibri" w:eastAsia="Calibri" w:hAnsi="Calibri"/>
          <w:sz w:val="22"/>
          <w:szCs w:val="22"/>
          <w:lang w:eastAsia="en-US"/>
        </w:rPr>
        <w:t>modes’</w:t>
      </w:r>
      <w:proofErr w:type="gramEnd"/>
      <w:r w:rsidRPr="00D570BA">
        <w:rPr>
          <w:rFonts w:ascii="Calibri" w:eastAsia="Calibri" w:hAnsi="Calibri"/>
          <w:sz w:val="22"/>
          <w:szCs w:val="22"/>
          <w:lang w:eastAsia="en-US"/>
        </w:rPr>
        <w:t xml:space="preserve">. </w:t>
      </w:r>
      <w:r w:rsidRPr="00D570BA">
        <w:rPr>
          <w:rFonts w:ascii="Calibri" w:eastAsia="Calibri" w:hAnsi="Calibri"/>
          <w:i/>
          <w:sz w:val="22"/>
          <w:szCs w:val="22"/>
          <w:lang w:eastAsia="en-US"/>
        </w:rPr>
        <w:t xml:space="preserve">Journal of Educational Psychology. </w:t>
      </w:r>
      <w:r w:rsidRPr="00D570BA">
        <w:rPr>
          <w:rFonts w:ascii="Calibri" w:eastAsia="Calibri" w:hAnsi="Calibri"/>
          <w:sz w:val="22"/>
          <w:szCs w:val="22"/>
          <w:lang w:eastAsia="en-US"/>
        </w:rPr>
        <w:t>Vol 87, pp.319-334.</w:t>
      </w:r>
    </w:p>
    <w:p w14:paraId="631B3D77"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Nolen, A. &amp; </w:t>
      </w:r>
      <w:proofErr w:type="spellStart"/>
      <w:r w:rsidRPr="00D570BA">
        <w:rPr>
          <w:rFonts w:ascii="Calibri" w:eastAsia="Calibri" w:hAnsi="Calibri"/>
          <w:sz w:val="22"/>
          <w:szCs w:val="22"/>
          <w:lang w:eastAsia="en-US"/>
        </w:rPr>
        <w:t>Putten</w:t>
      </w:r>
      <w:proofErr w:type="spellEnd"/>
      <w:r w:rsidRPr="00D570BA">
        <w:rPr>
          <w:rFonts w:ascii="Calibri" w:eastAsia="Calibri" w:hAnsi="Calibri"/>
          <w:sz w:val="22"/>
          <w:szCs w:val="22"/>
          <w:lang w:eastAsia="en-US"/>
        </w:rPr>
        <w:t xml:space="preserve">, J. V. (2007). ‘Action Research in Education: Addressing Gaps in Ethical </w:t>
      </w:r>
      <w:proofErr w:type="spellStart"/>
      <w:r w:rsidRPr="00D570BA">
        <w:rPr>
          <w:rFonts w:ascii="Calibri" w:eastAsia="Calibri" w:hAnsi="Calibri"/>
          <w:sz w:val="22"/>
          <w:szCs w:val="22"/>
          <w:lang w:eastAsia="en-US"/>
        </w:rPr>
        <w:t>Prinicples</w:t>
      </w:r>
      <w:proofErr w:type="spellEnd"/>
      <w:r w:rsidRPr="00D570BA">
        <w:rPr>
          <w:rFonts w:ascii="Calibri" w:eastAsia="Calibri" w:hAnsi="Calibri"/>
          <w:sz w:val="22"/>
          <w:szCs w:val="22"/>
          <w:lang w:eastAsia="en-US"/>
        </w:rPr>
        <w:t xml:space="preserve"> and Practices’. </w:t>
      </w:r>
      <w:r w:rsidRPr="00D570BA">
        <w:rPr>
          <w:rFonts w:ascii="Calibri" w:eastAsia="Calibri" w:hAnsi="Calibri"/>
          <w:i/>
          <w:sz w:val="22"/>
          <w:szCs w:val="22"/>
          <w:lang w:eastAsia="en-US"/>
        </w:rPr>
        <w:t xml:space="preserve">Educational Researcher. </w:t>
      </w:r>
      <w:r w:rsidRPr="00D570BA">
        <w:rPr>
          <w:rFonts w:ascii="Calibri" w:eastAsia="Calibri" w:hAnsi="Calibri"/>
          <w:sz w:val="22"/>
          <w:szCs w:val="22"/>
          <w:lang w:eastAsia="en-US"/>
        </w:rPr>
        <w:t>Vol 36(7), pp.401-407.</w:t>
      </w:r>
    </w:p>
    <w:p w14:paraId="2711DB12"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Paivio</w:t>
      </w:r>
      <w:proofErr w:type="spellEnd"/>
      <w:r w:rsidRPr="00D570BA">
        <w:rPr>
          <w:rFonts w:ascii="Calibri" w:eastAsia="Calibri" w:hAnsi="Calibri"/>
          <w:sz w:val="22"/>
          <w:szCs w:val="22"/>
          <w:lang w:eastAsia="en-US"/>
        </w:rPr>
        <w:t xml:space="preserve">, A. (1986). </w:t>
      </w:r>
      <w:r w:rsidRPr="00D570BA">
        <w:rPr>
          <w:rFonts w:ascii="Calibri" w:eastAsia="Calibri" w:hAnsi="Calibri"/>
          <w:i/>
          <w:sz w:val="22"/>
          <w:szCs w:val="22"/>
          <w:lang w:eastAsia="en-US"/>
        </w:rPr>
        <w:t xml:space="preserve">Mental representations: A dual coding approach. </w:t>
      </w:r>
      <w:r w:rsidRPr="00D570BA">
        <w:rPr>
          <w:rFonts w:ascii="Calibri" w:eastAsia="Calibri" w:hAnsi="Calibri"/>
          <w:sz w:val="22"/>
          <w:szCs w:val="22"/>
          <w:lang w:eastAsia="en-US"/>
        </w:rPr>
        <w:t>Oxford: Oxford University Press.</w:t>
      </w:r>
    </w:p>
    <w:p w14:paraId="730DF709"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lastRenderedPageBreak/>
        <w:t>Paivio</w:t>
      </w:r>
      <w:proofErr w:type="spellEnd"/>
      <w:r w:rsidRPr="00D570BA">
        <w:rPr>
          <w:rFonts w:ascii="Calibri" w:eastAsia="Calibri" w:hAnsi="Calibri"/>
          <w:sz w:val="22"/>
          <w:szCs w:val="22"/>
          <w:lang w:eastAsia="en-US"/>
        </w:rPr>
        <w:t xml:space="preserve">, A., Clark, J. M., &amp; Lambert, W. E. (1988). ‘Bilingual dual-coding theory and semantic repetition effects on recall’. </w:t>
      </w:r>
      <w:r w:rsidRPr="00D570BA">
        <w:rPr>
          <w:rFonts w:ascii="Calibri" w:eastAsia="Calibri" w:hAnsi="Calibri"/>
          <w:i/>
          <w:sz w:val="22"/>
          <w:szCs w:val="22"/>
          <w:lang w:eastAsia="en-US"/>
        </w:rPr>
        <w:t xml:space="preserve">Journal of Experimental Psychology. </w:t>
      </w:r>
      <w:r w:rsidRPr="00D570BA">
        <w:rPr>
          <w:rFonts w:ascii="Calibri" w:eastAsia="Calibri" w:hAnsi="Calibri"/>
          <w:sz w:val="22"/>
          <w:szCs w:val="22"/>
          <w:lang w:eastAsia="en-US"/>
        </w:rPr>
        <w:t>Vol 14(1), pp.163-173.</w:t>
      </w:r>
    </w:p>
    <w:p w14:paraId="79CB08A1"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proofErr w:type="spellStart"/>
      <w:r w:rsidRPr="00D570BA">
        <w:rPr>
          <w:rFonts w:ascii="Calibri" w:eastAsia="Calibri" w:hAnsi="Calibri"/>
          <w:sz w:val="22"/>
          <w:szCs w:val="22"/>
          <w:lang w:eastAsia="en-US"/>
        </w:rPr>
        <w:t>Paas</w:t>
      </w:r>
      <w:proofErr w:type="spellEnd"/>
      <w:r w:rsidRPr="00D570BA">
        <w:rPr>
          <w:rFonts w:ascii="Calibri" w:eastAsia="Calibri" w:hAnsi="Calibri"/>
          <w:sz w:val="22"/>
          <w:szCs w:val="22"/>
          <w:lang w:eastAsia="en-US"/>
        </w:rPr>
        <w:t xml:space="preserve">, F., </w:t>
      </w:r>
      <w:proofErr w:type="spellStart"/>
      <w:r w:rsidRPr="00D570BA">
        <w:rPr>
          <w:rFonts w:ascii="Calibri" w:eastAsia="Calibri" w:hAnsi="Calibri"/>
          <w:sz w:val="22"/>
          <w:szCs w:val="22"/>
          <w:lang w:eastAsia="en-US"/>
        </w:rPr>
        <w:t>Renkl</w:t>
      </w:r>
      <w:proofErr w:type="spellEnd"/>
      <w:r w:rsidRPr="00D570BA">
        <w:rPr>
          <w:rFonts w:ascii="Calibri" w:eastAsia="Calibri" w:hAnsi="Calibri"/>
          <w:sz w:val="22"/>
          <w:szCs w:val="22"/>
          <w:lang w:eastAsia="en-US"/>
        </w:rPr>
        <w:t xml:space="preserve">, A., &amp; </w:t>
      </w:r>
      <w:proofErr w:type="spellStart"/>
      <w:r w:rsidRPr="00D570BA">
        <w:rPr>
          <w:rFonts w:ascii="Calibri" w:eastAsia="Calibri" w:hAnsi="Calibri"/>
          <w:sz w:val="22"/>
          <w:szCs w:val="22"/>
          <w:lang w:eastAsia="en-US"/>
        </w:rPr>
        <w:t>Sweller</w:t>
      </w:r>
      <w:proofErr w:type="spellEnd"/>
      <w:r w:rsidRPr="00D570BA">
        <w:rPr>
          <w:rFonts w:ascii="Calibri" w:eastAsia="Calibri" w:hAnsi="Calibri"/>
          <w:sz w:val="22"/>
          <w:szCs w:val="22"/>
          <w:lang w:eastAsia="en-US"/>
        </w:rPr>
        <w:t xml:space="preserve">, J. (2003). ‘Cognitive load theory and instructional design: Recent </w:t>
      </w:r>
      <w:proofErr w:type="gramStart"/>
      <w:r w:rsidRPr="00D570BA">
        <w:rPr>
          <w:rFonts w:ascii="Calibri" w:eastAsia="Calibri" w:hAnsi="Calibri"/>
          <w:sz w:val="22"/>
          <w:szCs w:val="22"/>
          <w:lang w:eastAsia="en-US"/>
        </w:rPr>
        <w:t>developments’</w:t>
      </w:r>
      <w:proofErr w:type="gramEnd"/>
      <w:r w:rsidRPr="00D570BA">
        <w:rPr>
          <w:rFonts w:ascii="Calibri" w:eastAsia="Calibri" w:hAnsi="Calibri"/>
          <w:sz w:val="22"/>
          <w:szCs w:val="22"/>
          <w:lang w:eastAsia="en-US"/>
        </w:rPr>
        <w:t xml:space="preserve">. </w:t>
      </w:r>
      <w:r w:rsidRPr="00D570BA">
        <w:rPr>
          <w:rFonts w:ascii="Calibri" w:eastAsia="Calibri" w:hAnsi="Calibri"/>
          <w:i/>
          <w:sz w:val="22"/>
          <w:szCs w:val="22"/>
          <w:lang w:eastAsia="en-US"/>
        </w:rPr>
        <w:t xml:space="preserve">Educational Psychologist. </w:t>
      </w:r>
      <w:r w:rsidRPr="00D570BA">
        <w:rPr>
          <w:rFonts w:ascii="Calibri" w:eastAsia="Calibri" w:hAnsi="Calibri"/>
          <w:sz w:val="22"/>
          <w:szCs w:val="22"/>
          <w:lang w:eastAsia="en-US"/>
        </w:rPr>
        <w:t>Vol 38(1) pp.1-4.</w:t>
      </w:r>
    </w:p>
    <w:p w14:paraId="7D170C22"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Punch, K. (2014). </w:t>
      </w:r>
      <w:r w:rsidRPr="00D570BA">
        <w:rPr>
          <w:rFonts w:ascii="Calibri" w:eastAsia="Calibri" w:hAnsi="Calibri"/>
          <w:i/>
          <w:sz w:val="22"/>
          <w:szCs w:val="22"/>
          <w:lang w:eastAsia="en-US"/>
        </w:rPr>
        <w:t xml:space="preserve">Introduction to research methods in education. </w:t>
      </w:r>
      <w:r w:rsidRPr="00D570BA">
        <w:rPr>
          <w:rFonts w:ascii="Calibri" w:eastAsia="Calibri" w:hAnsi="Calibri"/>
          <w:sz w:val="22"/>
          <w:szCs w:val="22"/>
          <w:lang w:eastAsia="en-US"/>
        </w:rPr>
        <w:t xml:space="preserve">Los </w:t>
      </w:r>
      <w:proofErr w:type="spellStart"/>
      <w:proofErr w:type="gramStart"/>
      <w:r w:rsidRPr="00D570BA">
        <w:rPr>
          <w:rFonts w:ascii="Calibri" w:eastAsia="Calibri" w:hAnsi="Calibri"/>
          <w:sz w:val="22"/>
          <w:szCs w:val="22"/>
          <w:lang w:eastAsia="en-US"/>
        </w:rPr>
        <w:t>Angeles:SAGE</w:t>
      </w:r>
      <w:proofErr w:type="spellEnd"/>
      <w:proofErr w:type="gramEnd"/>
      <w:r w:rsidRPr="00D570BA">
        <w:rPr>
          <w:rFonts w:ascii="Calibri" w:eastAsia="Calibri" w:hAnsi="Calibri"/>
          <w:sz w:val="22"/>
          <w:szCs w:val="22"/>
          <w:lang w:eastAsia="en-US"/>
        </w:rPr>
        <w:t>.</w:t>
      </w:r>
    </w:p>
    <w:p w14:paraId="78397A18" w14:textId="77777777" w:rsidR="00D570BA" w:rsidRPr="00D570BA" w:rsidRDefault="00D570BA" w:rsidP="00D443A1">
      <w:pPr>
        <w:tabs>
          <w:tab w:val="left" w:pos="1970"/>
        </w:tabs>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Rosen, T., </w:t>
      </w:r>
      <w:proofErr w:type="spellStart"/>
      <w:r w:rsidRPr="00D570BA">
        <w:rPr>
          <w:rFonts w:ascii="Calibri" w:eastAsia="Calibri" w:hAnsi="Calibri"/>
          <w:sz w:val="22"/>
          <w:szCs w:val="22"/>
          <w:lang w:eastAsia="en-US"/>
        </w:rPr>
        <w:t>Fullwood</w:t>
      </w:r>
      <w:proofErr w:type="spellEnd"/>
      <w:r w:rsidRPr="00D570BA">
        <w:rPr>
          <w:rFonts w:ascii="Calibri" w:eastAsia="Calibri" w:hAnsi="Calibri"/>
          <w:sz w:val="22"/>
          <w:szCs w:val="22"/>
          <w:lang w:eastAsia="en-US"/>
        </w:rPr>
        <w:t xml:space="preserve">, H. L., &amp; Henley, T. B. (2012). ‘Dual Coding Theory and Split Attention in the Learning of Abstract Words’. </w:t>
      </w:r>
      <w:r w:rsidRPr="00D570BA">
        <w:rPr>
          <w:rFonts w:ascii="Calibri" w:eastAsia="Calibri" w:hAnsi="Calibri"/>
          <w:i/>
          <w:sz w:val="22"/>
          <w:szCs w:val="22"/>
          <w:lang w:eastAsia="en-US"/>
        </w:rPr>
        <w:t xml:space="preserve">International Journal of Instructional Media. </w:t>
      </w:r>
      <w:r w:rsidRPr="00D570BA">
        <w:rPr>
          <w:rFonts w:ascii="Calibri" w:eastAsia="Calibri" w:hAnsi="Calibri"/>
          <w:sz w:val="22"/>
          <w:szCs w:val="22"/>
          <w:lang w:eastAsia="en-US"/>
        </w:rPr>
        <w:t>Vol. 39 (3), p181-186.</w:t>
      </w:r>
    </w:p>
    <w:p w14:paraId="500DF3C3" w14:textId="77777777" w:rsidR="00D570BA" w:rsidRPr="00D570BA" w:rsidRDefault="00D570BA" w:rsidP="00D443A1">
      <w:pPr>
        <w:tabs>
          <w:tab w:val="center" w:pos="4513"/>
        </w:tabs>
        <w:spacing w:after="160" w:line="360" w:lineRule="auto"/>
        <w:rPr>
          <w:rFonts w:ascii="Calibri" w:eastAsia="Calibri" w:hAnsi="Calibri"/>
          <w:i/>
          <w:sz w:val="22"/>
          <w:szCs w:val="22"/>
          <w:lang w:eastAsia="en-US"/>
        </w:rPr>
      </w:pPr>
      <w:r w:rsidRPr="00D570BA">
        <w:rPr>
          <w:rFonts w:ascii="Calibri" w:eastAsia="Calibri" w:hAnsi="Calibri"/>
          <w:sz w:val="22"/>
          <w:szCs w:val="22"/>
          <w:lang w:eastAsia="en-US"/>
        </w:rPr>
        <w:t xml:space="preserve">Schwartz, N. (2005). ‘Integral or irrelevant? The impact of animation and sound effects on attention and memory for multimedia </w:t>
      </w:r>
      <w:proofErr w:type="gramStart"/>
      <w:r w:rsidRPr="00D570BA">
        <w:rPr>
          <w:rFonts w:ascii="Calibri" w:eastAsia="Calibri" w:hAnsi="Calibri"/>
          <w:sz w:val="22"/>
          <w:szCs w:val="22"/>
          <w:lang w:eastAsia="en-US"/>
        </w:rPr>
        <w:t>messages’</w:t>
      </w:r>
      <w:proofErr w:type="gramEnd"/>
      <w:r w:rsidRPr="00D570BA">
        <w:rPr>
          <w:rFonts w:ascii="Calibri" w:eastAsia="Calibri" w:hAnsi="Calibri"/>
          <w:sz w:val="22"/>
          <w:szCs w:val="22"/>
          <w:lang w:eastAsia="en-US"/>
        </w:rPr>
        <w:t xml:space="preserve">. Unpublished master’s thesis. Indiana University: Indiana. </w:t>
      </w:r>
    </w:p>
    <w:p w14:paraId="424D6239" w14:textId="77777777" w:rsidR="00D570BA" w:rsidRPr="00D570BA" w:rsidRDefault="00D570BA" w:rsidP="00D443A1">
      <w:pPr>
        <w:spacing w:after="160" w:line="360" w:lineRule="auto"/>
        <w:rPr>
          <w:rFonts w:ascii="Calibri" w:eastAsia="Calibri" w:hAnsi="Calibri"/>
          <w:i/>
          <w:sz w:val="22"/>
          <w:szCs w:val="22"/>
          <w:lang w:eastAsia="en-US"/>
        </w:rPr>
      </w:pPr>
      <w:r w:rsidRPr="00D570BA">
        <w:rPr>
          <w:rFonts w:ascii="Calibri" w:eastAsia="Calibri" w:hAnsi="Calibri"/>
          <w:sz w:val="22"/>
          <w:szCs w:val="22"/>
          <w:lang w:eastAsia="en-US"/>
        </w:rPr>
        <w:t xml:space="preserve">Smith, S. &amp; Conti, G. (2016). </w:t>
      </w:r>
      <w:r w:rsidRPr="00D570BA">
        <w:rPr>
          <w:rFonts w:ascii="Calibri" w:eastAsia="Calibri" w:hAnsi="Calibri"/>
          <w:i/>
          <w:sz w:val="22"/>
          <w:szCs w:val="22"/>
          <w:lang w:eastAsia="en-US"/>
        </w:rPr>
        <w:t xml:space="preserve">The Language Teacher Toolkit. </w:t>
      </w:r>
    </w:p>
    <w:p w14:paraId="2DBDEB24" w14:textId="77777777" w:rsidR="00D570BA" w:rsidRPr="00D570BA" w:rsidRDefault="00D570BA" w:rsidP="00D443A1">
      <w:pPr>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 xml:space="preserve">Welcome, S. E., </w:t>
      </w:r>
      <w:proofErr w:type="spellStart"/>
      <w:r w:rsidRPr="00D570BA">
        <w:rPr>
          <w:rFonts w:ascii="Calibri" w:eastAsia="Calibri" w:hAnsi="Calibri"/>
          <w:sz w:val="22"/>
          <w:szCs w:val="22"/>
          <w:lang w:eastAsia="en-US"/>
        </w:rPr>
        <w:t>Paivio</w:t>
      </w:r>
      <w:proofErr w:type="spellEnd"/>
      <w:r w:rsidRPr="00D570BA">
        <w:rPr>
          <w:rFonts w:ascii="Calibri" w:eastAsia="Calibri" w:hAnsi="Calibri"/>
          <w:sz w:val="22"/>
          <w:szCs w:val="22"/>
          <w:lang w:eastAsia="en-US"/>
        </w:rPr>
        <w:t xml:space="preserve">, A., McRae K., et al (2011). ‘An electrophysiological study of task demands on concreteness effects: Evidence for dual coding theory’. </w:t>
      </w:r>
      <w:r w:rsidRPr="00D570BA">
        <w:rPr>
          <w:rFonts w:ascii="Calibri" w:eastAsia="Calibri" w:hAnsi="Calibri"/>
          <w:i/>
          <w:sz w:val="22"/>
          <w:szCs w:val="22"/>
          <w:lang w:eastAsia="en-US"/>
        </w:rPr>
        <w:t xml:space="preserve">Experimental Brain Research. </w:t>
      </w:r>
      <w:r w:rsidRPr="00D570BA">
        <w:rPr>
          <w:rFonts w:ascii="Calibri" w:eastAsia="Calibri" w:hAnsi="Calibri"/>
          <w:sz w:val="22"/>
          <w:szCs w:val="22"/>
          <w:lang w:eastAsia="en-US"/>
        </w:rPr>
        <w:t>Vol 212(3), pp. 347-358.</w:t>
      </w:r>
    </w:p>
    <w:p w14:paraId="69F29406" w14:textId="77777777" w:rsidR="00D570BA" w:rsidRPr="00D570BA" w:rsidRDefault="00D570BA" w:rsidP="00D443A1">
      <w:pPr>
        <w:spacing w:after="160" w:line="360" w:lineRule="auto"/>
        <w:rPr>
          <w:rFonts w:ascii="Calibri" w:eastAsia="Calibri" w:hAnsi="Calibri"/>
          <w:sz w:val="22"/>
          <w:szCs w:val="22"/>
          <w:lang w:eastAsia="en-US"/>
        </w:rPr>
      </w:pPr>
      <w:r w:rsidRPr="00D570BA">
        <w:rPr>
          <w:rFonts w:ascii="Calibri" w:eastAsia="Calibri" w:hAnsi="Calibri"/>
          <w:sz w:val="22"/>
          <w:szCs w:val="22"/>
          <w:lang w:eastAsia="en-US"/>
        </w:rPr>
        <w:t>Zuber-</w:t>
      </w:r>
      <w:proofErr w:type="spellStart"/>
      <w:r w:rsidRPr="00D570BA">
        <w:rPr>
          <w:rFonts w:ascii="Calibri" w:eastAsia="Calibri" w:hAnsi="Calibri"/>
          <w:sz w:val="22"/>
          <w:szCs w:val="22"/>
          <w:lang w:eastAsia="en-US"/>
        </w:rPr>
        <w:t>Skerritt</w:t>
      </w:r>
      <w:proofErr w:type="spellEnd"/>
      <w:r w:rsidRPr="00D570BA">
        <w:rPr>
          <w:rFonts w:ascii="Calibri" w:eastAsia="Calibri" w:hAnsi="Calibri"/>
          <w:sz w:val="22"/>
          <w:szCs w:val="22"/>
          <w:lang w:eastAsia="en-US"/>
        </w:rPr>
        <w:t xml:space="preserve">, O. (1992). </w:t>
      </w:r>
      <w:r w:rsidRPr="00D570BA">
        <w:rPr>
          <w:rFonts w:ascii="Calibri" w:eastAsia="Calibri" w:hAnsi="Calibri"/>
          <w:i/>
          <w:sz w:val="22"/>
          <w:szCs w:val="22"/>
          <w:lang w:eastAsia="en-US"/>
        </w:rPr>
        <w:t xml:space="preserve">Action Research in Higher Education: Examples and Reflections. </w:t>
      </w:r>
      <w:r w:rsidRPr="00D570BA">
        <w:rPr>
          <w:rFonts w:ascii="Calibri" w:eastAsia="Calibri" w:hAnsi="Calibri"/>
          <w:sz w:val="22"/>
          <w:szCs w:val="22"/>
          <w:lang w:eastAsia="en-US"/>
        </w:rPr>
        <w:t xml:space="preserve">London: Kogan Page. </w:t>
      </w:r>
    </w:p>
    <w:p w14:paraId="47740826" w14:textId="785F0036" w:rsidR="00D443A1" w:rsidRDefault="00D443A1" w:rsidP="00D443A1">
      <w:pPr>
        <w:spacing w:after="160" w:line="360" w:lineRule="auto"/>
        <w:rPr>
          <w:rFonts w:ascii="Arial" w:hAnsi="Arial" w:cs="Arial"/>
          <w:sz w:val="32"/>
        </w:rPr>
      </w:pPr>
    </w:p>
    <w:p w14:paraId="6F980529" w14:textId="360AE550" w:rsidR="00D443A1" w:rsidRDefault="00D443A1" w:rsidP="00D443A1">
      <w:pPr>
        <w:spacing w:after="160" w:line="360" w:lineRule="auto"/>
        <w:rPr>
          <w:rFonts w:ascii="Arial" w:hAnsi="Arial" w:cs="Arial"/>
          <w:sz w:val="32"/>
        </w:rPr>
      </w:pPr>
    </w:p>
    <w:p w14:paraId="5B0C0BCC" w14:textId="782D73DD" w:rsidR="00D443A1" w:rsidRDefault="00D443A1" w:rsidP="00D443A1">
      <w:pPr>
        <w:spacing w:after="160" w:line="360" w:lineRule="auto"/>
        <w:rPr>
          <w:rFonts w:ascii="Arial" w:hAnsi="Arial" w:cs="Arial"/>
          <w:sz w:val="32"/>
        </w:rPr>
      </w:pPr>
    </w:p>
    <w:p w14:paraId="02C2CE90" w14:textId="067B25BC" w:rsidR="00D443A1" w:rsidRDefault="00D443A1" w:rsidP="00D443A1">
      <w:pPr>
        <w:spacing w:after="160" w:line="360" w:lineRule="auto"/>
        <w:rPr>
          <w:rFonts w:ascii="Arial" w:hAnsi="Arial" w:cs="Arial"/>
          <w:sz w:val="32"/>
        </w:rPr>
      </w:pPr>
    </w:p>
    <w:p w14:paraId="3D635259" w14:textId="265B01E2" w:rsidR="00D443A1" w:rsidRDefault="00D443A1" w:rsidP="00D443A1">
      <w:pPr>
        <w:spacing w:after="160" w:line="360" w:lineRule="auto"/>
        <w:rPr>
          <w:rFonts w:ascii="Arial" w:hAnsi="Arial" w:cs="Arial"/>
          <w:sz w:val="32"/>
        </w:rPr>
      </w:pPr>
    </w:p>
    <w:p w14:paraId="0C63F254" w14:textId="71542EF8" w:rsidR="00D443A1" w:rsidRDefault="00D443A1" w:rsidP="00D443A1">
      <w:pPr>
        <w:spacing w:after="160" w:line="360" w:lineRule="auto"/>
        <w:rPr>
          <w:rFonts w:ascii="Arial" w:hAnsi="Arial" w:cs="Arial"/>
          <w:sz w:val="32"/>
        </w:rPr>
      </w:pPr>
    </w:p>
    <w:p w14:paraId="459AD19C" w14:textId="5F682EB4" w:rsidR="00D443A1" w:rsidRDefault="00D443A1" w:rsidP="00D443A1">
      <w:pPr>
        <w:spacing w:after="160" w:line="360" w:lineRule="auto"/>
        <w:rPr>
          <w:rFonts w:ascii="Arial" w:hAnsi="Arial" w:cs="Arial"/>
          <w:sz w:val="32"/>
        </w:rPr>
      </w:pPr>
    </w:p>
    <w:p w14:paraId="3AD491D9" w14:textId="07EBFF3D" w:rsidR="00D443A1" w:rsidRDefault="00D443A1" w:rsidP="00D443A1">
      <w:pPr>
        <w:spacing w:after="160" w:line="360" w:lineRule="auto"/>
        <w:rPr>
          <w:rFonts w:ascii="Arial" w:hAnsi="Arial" w:cs="Arial"/>
          <w:sz w:val="32"/>
        </w:rPr>
      </w:pPr>
    </w:p>
    <w:p w14:paraId="03AB6CA1" w14:textId="62730912" w:rsidR="00D443A1" w:rsidRDefault="00D443A1" w:rsidP="00D443A1">
      <w:pPr>
        <w:spacing w:after="160" w:line="360" w:lineRule="auto"/>
        <w:rPr>
          <w:rFonts w:ascii="Arial" w:hAnsi="Arial" w:cs="Arial"/>
          <w:sz w:val="32"/>
        </w:rPr>
      </w:pPr>
    </w:p>
    <w:p w14:paraId="7FA0634E" w14:textId="77777777"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b/>
          <w:sz w:val="22"/>
          <w:szCs w:val="22"/>
          <w:lang w:eastAsia="en-US"/>
        </w:rPr>
        <w:lastRenderedPageBreak/>
        <w:t>Appendix A</w:t>
      </w:r>
    </w:p>
    <w:p w14:paraId="470EA1D8" w14:textId="77777777" w:rsidR="009F14C0" w:rsidRPr="009F14C0" w:rsidRDefault="009F14C0" w:rsidP="009F14C0">
      <w:pPr>
        <w:spacing w:after="160" w:line="259" w:lineRule="auto"/>
        <w:rPr>
          <w:rFonts w:ascii="Calibri" w:eastAsia="Calibri" w:hAnsi="Calibri"/>
          <w:b/>
          <w:sz w:val="22"/>
          <w:szCs w:val="22"/>
          <w:lang w:eastAsia="en-US"/>
        </w:rPr>
      </w:pPr>
    </w:p>
    <w:p w14:paraId="1763B4B6" w14:textId="77777777"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b/>
          <w:sz w:val="22"/>
          <w:szCs w:val="22"/>
          <w:lang w:eastAsia="en-US"/>
        </w:rPr>
        <w:t>Pre-Test and Post-Test Results</w:t>
      </w:r>
    </w:p>
    <w:p w14:paraId="67186A67" w14:textId="77777777"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noProof/>
          <w:sz w:val="22"/>
          <w:szCs w:val="22"/>
          <w:lang w:eastAsia="en-US"/>
        </w:rPr>
        <w:drawing>
          <wp:anchor distT="0" distB="0" distL="114300" distR="114300" simplePos="0" relativeHeight="251660288" behindDoc="0" locked="0" layoutInCell="1" allowOverlap="1" wp14:anchorId="284169C7" wp14:editId="7083B362">
            <wp:simplePos x="0" y="0"/>
            <wp:positionH relativeFrom="column">
              <wp:posOffset>-406400</wp:posOffset>
            </wp:positionH>
            <wp:positionV relativeFrom="paragraph">
              <wp:posOffset>591185</wp:posOffset>
            </wp:positionV>
            <wp:extent cx="6540500" cy="5232400"/>
            <wp:effectExtent l="0" t="0" r="12700" b="6350"/>
            <wp:wrapThrough wrapText="bothSides">
              <wp:wrapPolygon edited="0">
                <wp:start x="0" y="0"/>
                <wp:lineTo x="0" y="21548"/>
                <wp:lineTo x="21579" y="21548"/>
                <wp:lineTo x="21579" y="0"/>
                <wp:lineTo x="0" y="0"/>
              </wp:wrapPolygon>
            </wp:wrapThrough>
            <wp:docPr id="6" name="Chart 6">
              <a:extLst xmlns:a="http://schemas.openxmlformats.org/drawingml/2006/main">
                <a:ext uri="{FF2B5EF4-FFF2-40B4-BE49-F238E27FC236}">
                  <a16:creationId xmlns:a16="http://schemas.microsoft.com/office/drawing/2014/main" id="{0A010D44-9B87-450C-90B1-4E8F6334BB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Pr="009F14C0">
        <w:rPr>
          <w:rFonts w:ascii="Calibri" w:eastAsia="Calibri" w:hAnsi="Calibri"/>
          <w:b/>
          <w:sz w:val="22"/>
          <w:szCs w:val="22"/>
          <w:lang w:eastAsia="en-US"/>
        </w:rPr>
        <w:br w:type="page"/>
      </w:r>
    </w:p>
    <w:tbl>
      <w:tblPr>
        <w:tblpPr w:leftFromText="180" w:rightFromText="180" w:vertAnchor="page" w:horzAnchor="margin" w:tblpXSpec="center" w:tblpY="3251"/>
        <w:tblW w:w="10076" w:type="dxa"/>
        <w:tblLook w:val="04A0" w:firstRow="1" w:lastRow="0" w:firstColumn="1" w:lastColumn="0" w:noHBand="0" w:noVBand="1"/>
      </w:tblPr>
      <w:tblGrid>
        <w:gridCol w:w="2480"/>
        <w:gridCol w:w="1053"/>
        <w:gridCol w:w="1053"/>
        <w:gridCol w:w="1150"/>
        <w:gridCol w:w="960"/>
        <w:gridCol w:w="960"/>
        <w:gridCol w:w="1460"/>
        <w:gridCol w:w="960"/>
      </w:tblGrid>
      <w:tr w:rsidR="009F14C0" w:rsidRPr="009F14C0" w14:paraId="7FEFEAD3"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B6EBC7"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lastRenderedPageBreak/>
              <w:t>Student</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7FFC86"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Test 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07623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Test 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50BBE4"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Difference</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44EBBA"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Sex</w:t>
            </w:r>
          </w:p>
        </w:tc>
        <w:tc>
          <w:tcPr>
            <w:tcW w:w="960" w:type="dxa"/>
            <w:tcBorders>
              <w:top w:val="nil"/>
              <w:left w:val="single" w:sz="4" w:space="0" w:color="auto"/>
              <w:bottom w:val="nil"/>
              <w:right w:val="single" w:sz="4" w:space="0" w:color="auto"/>
            </w:tcBorders>
            <w:shd w:val="clear" w:color="auto" w:fill="auto"/>
            <w:noWrap/>
            <w:vAlign w:val="bottom"/>
            <w:hideMark/>
          </w:tcPr>
          <w:p w14:paraId="00140681"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4A44BA"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Word</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3B6074"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T2 Recall</w:t>
            </w:r>
          </w:p>
        </w:tc>
      </w:tr>
      <w:tr w:rsidR="009F14C0" w:rsidRPr="009F14C0" w14:paraId="7CEB27F3"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1092B2"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A</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D87BD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131A3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E2155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95E28"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single" w:sz="4" w:space="0" w:color="auto"/>
            </w:tcBorders>
            <w:shd w:val="clear" w:color="auto" w:fill="auto"/>
            <w:noWrap/>
            <w:vAlign w:val="bottom"/>
            <w:hideMark/>
          </w:tcPr>
          <w:p w14:paraId="767DFD2B"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665640"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Sympathique</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07CA5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20</w:t>
            </w:r>
          </w:p>
        </w:tc>
      </w:tr>
      <w:tr w:rsidR="009F14C0" w:rsidRPr="009F14C0" w14:paraId="74B72B6D"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689122"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B</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94A8EF"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219BA9"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5</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5D7D2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4</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9659EB"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single" w:sz="4" w:space="0" w:color="auto"/>
            </w:tcBorders>
            <w:shd w:val="clear" w:color="auto" w:fill="auto"/>
            <w:noWrap/>
            <w:vAlign w:val="bottom"/>
            <w:hideMark/>
          </w:tcPr>
          <w:p w14:paraId="14045AAD"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174B36"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Créatif</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ACF81C"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25</w:t>
            </w:r>
          </w:p>
        </w:tc>
      </w:tr>
      <w:tr w:rsidR="009F14C0" w:rsidRPr="009F14C0" w14:paraId="4B5D7221"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09EBF6"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C</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ADFD7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E22B9A"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3</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AF9D91"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3CAFB9"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single" w:sz="4" w:space="0" w:color="auto"/>
            </w:tcBorders>
            <w:shd w:val="clear" w:color="auto" w:fill="auto"/>
            <w:noWrap/>
            <w:vAlign w:val="bottom"/>
            <w:hideMark/>
          </w:tcPr>
          <w:p w14:paraId="182E2334"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0930F2"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Sportif</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7907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26</w:t>
            </w:r>
          </w:p>
        </w:tc>
      </w:tr>
      <w:tr w:rsidR="009F14C0" w:rsidRPr="009F14C0" w14:paraId="15BB265F"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F03A79"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D</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000FA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65F98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8</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35550"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7</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8CB5A8"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single" w:sz="4" w:space="0" w:color="auto"/>
            </w:tcBorders>
            <w:shd w:val="clear" w:color="auto" w:fill="auto"/>
            <w:noWrap/>
            <w:vAlign w:val="bottom"/>
            <w:hideMark/>
          </w:tcPr>
          <w:p w14:paraId="6821AE78"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2F1386"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Courageux</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0CE50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r>
      <w:tr w:rsidR="009F14C0" w:rsidRPr="009F14C0" w14:paraId="59287447"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BC27C"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E</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20DCD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C452F5"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F65B6"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DDAF64"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7C9E529C"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D42F38"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Timide</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245D9F"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24</w:t>
            </w:r>
          </w:p>
        </w:tc>
      </w:tr>
      <w:tr w:rsidR="009F14C0" w:rsidRPr="009F14C0" w14:paraId="0DB244D4"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01A7A1"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888B2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50265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DB11D8"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48878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6084FE44"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1B72EF"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Ennuyeux</w:t>
            </w:r>
            <w:proofErr w:type="spellEnd"/>
            <w:r w:rsidRPr="009F14C0">
              <w:rPr>
                <w:rFonts w:ascii="Calibri" w:hAnsi="Calibri" w:cs="Calibri"/>
                <w:color w:val="000000"/>
                <w:sz w:val="22"/>
                <w:szCs w:val="22"/>
              </w:rPr>
              <w:t xml:space="preserve"> </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151ACE"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16</w:t>
            </w:r>
          </w:p>
        </w:tc>
      </w:tr>
      <w:tr w:rsidR="009F14C0" w:rsidRPr="009F14C0" w14:paraId="6994F544"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073363"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G</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4B238C"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9F8FBF"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5A5CB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A3B984"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1810B920"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9AAEA1"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Amusant</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2A448F"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20</w:t>
            </w:r>
          </w:p>
        </w:tc>
      </w:tr>
      <w:tr w:rsidR="009F14C0" w:rsidRPr="009F14C0" w14:paraId="24DB98D2"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92314F"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H</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7A63FE"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5AB4E8"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DAF38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9</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CAA27"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7BD87188"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8866AB"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Bavard</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D77621"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18</w:t>
            </w:r>
          </w:p>
        </w:tc>
      </w:tr>
      <w:tr w:rsidR="009F14C0" w:rsidRPr="009F14C0" w14:paraId="2D6BD146"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82790C"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I</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6A832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360EB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DF480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A8A82"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47007AE3"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773240"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Paresseux</w:t>
            </w:r>
            <w:proofErr w:type="spellEnd"/>
            <w:r w:rsidRPr="009F14C0">
              <w:rPr>
                <w:rFonts w:ascii="Calibri" w:hAnsi="Calibri" w:cs="Calibri"/>
                <w:color w:val="000000"/>
                <w:sz w:val="22"/>
                <w:szCs w:val="22"/>
              </w:rPr>
              <w:t xml:space="preserve"> </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CFAEA6"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15</w:t>
            </w:r>
          </w:p>
        </w:tc>
      </w:tr>
      <w:tr w:rsidR="009F14C0" w:rsidRPr="009F14C0" w14:paraId="67027ADF"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484266"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J</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27FFF9"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93C0C8"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57A3E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36C5C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784F4C38"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2BFF20"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Travailleur</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72EF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r>
      <w:tr w:rsidR="009F14C0" w:rsidRPr="009F14C0" w14:paraId="57BEC28E"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30AA7B"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K</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0918F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104F6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C292FC"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D975A"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34F42E50"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A18C01"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Intelligent</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84CD2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23</w:t>
            </w:r>
          </w:p>
        </w:tc>
      </w:tr>
      <w:tr w:rsidR="009F14C0" w:rsidRPr="009F14C0" w14:paraId="21252FFF"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3AB1A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L</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BF2FD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9BE7F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8</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1F78F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6</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700147"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single" w:sz="4" w:space="0" w:color="auto"/>
            </w:tcBorders>
            <w:shd w:val="clear" w:color="auto" w:fill="auto"/>
            <w:noWrap/>
            <w:vAlign w:val="bottom"/>
            <w:hideMark/>
          </w:tcPr>
          <w:p w14:paraId="4CEDFC6D"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F9B058" w14:textId="77777777" w:rsidR="009F14C0" w:rsidRPr="009F14C0" w:rsidRDefault="009F14C0" w:rsidP="009F14C0">
            <w:pPr>
              <w:rPr>
                <w:rFonts w:ascii="Calibri" w:hAnsi="Calibri" w:cs="Calibri"/>
                <w:color w:val="000000"/>
                <w:sz w:val="22"/>
                <w:szCs w:val="22"/>
              </w:rPr>
            </w:pPr>
            <w:proofErr w:type="spellStart"/>
            <w:r w:rsidRPr="009F14C0">
              <w:rPr>
                <w:rFonts w:ascii="Calibri" w:hAnsi="Calibri" w:cs="Calibri"/>
                <w:color w:val="000000"/>
                <w:sz w:val="22"/>
                <w:szCs w:val="22"/>
              </w:rPr>
              <w:t>Serviable</w:t>
            </w:r>
            <w:proofErr w:type="spellEnd"/>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EF1C7F"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17</w:t>
            </w:r>
          </w:p>
        </w:tc>
      </w:tr>
      <w:tr w:rsidR="009F14C0" w:rsidRPr="009F14C0" w14:paraId="348D3795"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AF06C8"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A3E28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360D8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B23F5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3424FA"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single" w:sz="4" w:space="0" w:color="auto"/>
            </w:tcBorders>
            <w:shd w:val="clear" w:color="auto" w:fill="auto"/>
            <w:noWrap/>
            <w:vAlign w:val="bottom"/>
            <w:hideMark/>
          </w:tcPr>
          <w:p w14:paraId="457B4BC8"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172401"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Mince</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CD06D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20</w:t>
            </w:r>
          </w:p>
        </w:tc>
      </w:tr>
      <w:tr w:rsidR="009F14C0" w:rsidRPr="009F14C0" w14:paraId="241A0D13"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9A2D2A"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N</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C37C86"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0</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CF979"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8</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4B53C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8</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DAA5D5"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single" w:sz="4" w:space="0" w:color="auto"/>
            </w:tcBorders>
            <w:shd w:val="clear" w:color="auto" w:fill="auto"/>
            <w:noWrap/>
            <w:vAlign w:val="bottom"/>
            <w:hideMark/>
          </w:tcPr>
          <w:p w14:paraId="5118A55C"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8C911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Gros</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A7E571"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24</w:t>
            </w:r>
          </w:p>
        </w:tc>
      </w:tr>
      <w:tr w:rsidR="009F14C0" w:rsidRPr="009F14C0" w14:paraId="04ED19E2"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45065"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O</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3CF8E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0</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2570F6"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6B6C4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26A523"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nil"/>
            </w:tcBorders>
            <w:shd w:val="clear" w:color="auto" w:fill="auto"/>
            <w:noWrap/>
            <w:vAlign w:val="bottom"/>
            <w:hideMark/>
          </w:tcPr>
          <w:p w14:paraId="6599D70D" w14:textId="77777777" w:rsidR="009F14C0" w:rsidRPr="009F14C0" w:rsidRDefault="009F14C0" w:rsidP="009F14C0">
            <w:pPr>
              <w:rPr>
                <w:rFonts w:ascii="Calibri" w:hAnsi="Calibri" w:cs="Calibri"/>
                <w:color w:val="000000"/>
                <w:sz w:val="22"/>
                <w:szCs w:val="22"/>
              </w:rPr>
            </w:pPr>
          </w:p>
        </w:tc>
        <w:tc>
          <w:tcPr>
            <w:tcW w:w="1460" w:type="dxa"/>
            <w:tcBorders>
              <w:top w:val="single" w:sz="4" w:space="0" w:color="auto"/>
              <w:left w:val="nil"/>
              <w:bottom w:val="nil"/>
              <w:right w:val="nil"/>
            </w:tcBorders>
            <w:shd w:val="clear" w:color="auto" w:fill="auto"/>
            <w:noWrap/>
            <w:vAlign w:val="bottom"/>
            <w:hideMark/>
          </w:tcPr>
          <w:p w14:paraId="59DBF56C" w14:textId="77777777" w:rsidR="009F14C0" w:rsidRPr="009F14C0" w:rsidRDefault="009F14C0" w:rsidP="009F14C0"/>
        </w:tc>
        <w:tc>
          <w:tcPr>
            <w:tcW w:w="960" w:type="dxa"/>
            <w:tcBorders>
              <w:top w:val="single" w:sz="4" w:space="0" w:color="auto"/>
              <w:left w:val="nil"/>
              <w:bottom w:val="nil"/>
              <w:right w:val="nil"/>
            </w:tcBorders>
            <w:shd w:val="clear" w:color="auto" w:fill="auto"/>
            <w:noWrap/>
            <w:vAlign w:val="bottom"/>
            <w:hideMark/>
          </w:tcPr>
          <w:p w14:paraId="66632771" w14:textId="77777777" w:rsidR="009F14C0" w:rsidRPr="009F14C0" w:rsidRDefault="009F14C0" w:rsidP="009F14C0"/>
        </w:tc>
      </w:tr>
      <w:tr w:rsidR="009F14C0" w:rsidRPr="009F14C0" w14:paraId="32000D3E"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06A1EF"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P</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7F157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66F5D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F2AFFE"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13</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569084"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nil"/>
            </w:tcBorders>
            <w:shd w:val="clear" w:color="auto" w:fill="auto"/>
            <w:noWrap/>
            <w:vAlign w:val="bottom"/>
            <w:hideMark/>
          </w:tcPr>
          <w:p w14:paraId="42F311DD"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02011325"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7E482D55" w14:textId="77777777" w:rsidR="009F14C0" w:rsidRPr="009F14C0" w:rsidRDefault="009F14C0" w:rsidP="009F14C0"/>
        </w:tc>
      </w:tr>
      <w:tr w:rsidR="009F14C0" w:rsidRPr="009F14C0" w14:paraId="0506C8A4"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08DB90"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Q</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DC0D90"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011684"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C9B18D"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D41C5"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6BC0EA58"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62EB329E"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7401D2F4" w14:textId="77777777" w:rsidR="009F14C0" w:rsidRPr="009F14C0" w:rsidRDefault="009F14C0" w:rsidP="009F14C0"/>
        </w:tc>
      </w:tr>
      <w:tr w:rsidR="009F14C0" w:rsidRPr="009F14C0" w14:paraId="4235D8EE"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4BE190"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R</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19550A"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E020B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53321E"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6807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3F6C2236"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3269538D"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0DB70B36" w14:textId="77777777" w:rsidR="009F14C0" w:rsidRPr="009F14C0" w:rsidRDefault="009F14C0" w:rsidP="009F14C0"/>
        </w:tc>
      </w:tr>
      <w:tr w:rsidR="009F14C0" w:rsidRPr="009F14C0" w14:paraId="05D964F7"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CFF2C9"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S</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A1D81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EAF63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F4875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F96CB3"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27CBE32D"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53D6FF27"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7A0751C8" w14:textId="77777777" w:rsidR="009F14C0" w:rsidRPr="009F14C0" w:rsidRDefault="009F14C0" w:rsidP="009F14C0"/>
        </w:tc>
      </w:tr>
      <w:tr w:rsidR="009F14C0" w:rsidRPr="009F14C0" w14:paraId="7A46A51C"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02FC3A"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T</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92DBC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06C05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14</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0E40E8"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DCDE59"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194ABC8C"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633013E2"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4677BAD0" w14:textId="77777777" w:rsidR="009F14C0" w:rsidRPr="009F14C0" w:rsidRDefault="009F14C0" w:rsidP="009F14C0"/>
        </w:tc>
      </w:tr>
      <w:tr w:rsidR="009F14C0" w:rsidRPr="009F14C0" w14:paraId="09FC5E0B"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39246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U</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3729D0"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2</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4BDD9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80D035"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C05FB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7525B15F"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42126FF0"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585D2FB7" w14:textId="77777777" w:rsidR="009F14C0" w:rsidRPr="009F14C0" w:rsidRDefault="009F14C0" w:rsidP="009F14C0"/>
        </w:tc>
      </w:tr>
      <w:tr w:rsidR="009F14C0" w:rsidRPr="009F14C0" w14:paraId="5D09F29B"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B08851"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V</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6A475E"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0C6F9"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1E38E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79552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37C56ACD"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2B9F10F1"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1059B88F" w14:textId="77777777" w:rsidR="009F14C0" w:rsidRPr="009F14C0" w:rsidRDefault="009F14C0" w:rsidP="009F14C0"/>
        </w:tc>
      </w:tr>
      <w:tr w:rsidR="009F14C0" w:rsidRPr="009F14C0" w14:paraId="576327A3"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AD0809"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W</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1A3868"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F2C046"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7</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C73D1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6</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80226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0DB5A5D7"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0CA7CE59"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1CA3EA60" w14:textId="77777777" w:rsidR="009F14C0" w:rsidRPr="009F14C0" w:rsidRDefault="009F14C0" w:rsidP="009F14C0"/>
        </w:tc>
      </w:tr>
      <w:tr w:rsidR="009F14C0" w:rsidRPr="009F14C0" w14:paraId="1C7B999C"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F46BF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X</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DF7F3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0</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0EEB8"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5</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73057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5</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4E93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nil"/>
            </w:tcBorders>
            <w:shd w:val="clear" w:color="auto" w:fill="auto"/>
            <w:noWrap/>
            <w:vAlign w:val="bottom"/>
            <w:hideMark/>
          </w:tcPr>
          <w:p w14:paraId="2B94A88C"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0112BF1B"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473A23C8" w14:textId="77777777" w:rsidR="009F14C0" w:rsidRPr="009F14C0" w:rsidRDefault="009F14C0" w:rsidP="009F14C0"/>
        </w:tc>
      </w:tr>
      <w:tr w:rsidR="009F14C0" w:rsidRPr="009F14C0" w14:paraId="60C5FB6A"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C0AE78"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Y</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F1FF4C"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0</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BC7F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9</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9277BC"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9</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086BEB"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F</w:t>
            </w:r>
          </w:p>
        </w:tc>
        <w:tc>
          <w:tcPr>
            <w:tcW w:w="960" w:type="dxa"/>
            <w:tcBorders>
              <w:top w:val="nil"/>
              <w:left w:val="single" w:sz="4" w:space="0" w:color="auto"/>
              <w:bottom w:val="nil"/>
              <w:right w:val="nil"/>
            </w:tcBorders>
            <w:shd w:val="clear" w:color="auto" w:fill="auto"/>
            <w:noWrap/>
            <w:vAlign w:val="bottom"/>
            <w:hideMark/>
          </w:tcPr>
          <w:p w14:paraId="1A2103B2"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7F9777BC"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70D970B6" w14:textId="77777777" w:rsidR="009F14C0" w:rsidRPr="009F14C0" w:rsidRDefault="009F14C0" w:rsidP="009F14C0"/>
        </w:tc>
      </w:tr>
      <w:tr w:rsidR="009F14C0" w:rsidRPr="009F14C0" w14:paraId="2CCD80D8"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4AF0BE"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Z</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027DB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9CD2E2"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52EAF0"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0BD3E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w:t>
            </w:r>
          </w:p>
        </w:tc>
        <w:tc>
          <w:tcPr>
            <w:tcW w:w="960" w:type="dxa"/>
            <w:tcBorders>
              <w:top w:val="nil"/>
              <w:left w:val="single" w:sz="4" w:space="0" w:color="auto"/>
              <w:bottom w:val="nil"/>
              <w:right w:val="nil"/>
            </w:tcBorders>
            <w:shd w:val="clear" w:color="auto" w:fill="auto"/>
            <w:noWrap/>
            <w:vAlign w:val="bottom"/>
            <w:hideMark/>
          </w:tcPr>
          <w:p w14:paraId="41CE03AA" w14:textId="77777777" w:rsidR="009F14C0" w:rsidRPr="009F14C0" w:rsidRDefault="009F14C0" w:rsidP="009F14C0">
            <w:pPr>
              <w:rPr>
                <w:rFonts w:ascii="Calibri" w:hAnsi="Calibri" w:cs="Calibri"/>
                <w:color w:val="000000"/>
                <w:sz w:val="22"/>
                <w:szCs w:val="22"/>
              </w:rPr>
            </w:pPr>
          </w:p>
        </w:tc>
        <w:tc>
          <w:tcPr>
            <w:tcW w:w="1460" w:type="dxa"/>
            <w:tcBorders>
              <w:top w:val="nil"/>
              <w:left w:val="nil"/>
              <w:bottom w:val="nil"/>
              <w:right w:val="nil"/>
            </w:tcBorders>
            <w:shd w:val="clear" w:color="auto" w:fill="auto"/>
            <w:noWrap/>
            <w:vAlign w:val="bottom"/>
            <w:hideMark/>
          </w:tcPr>
          <w:p w14:paraId="176F5F10"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269E952C" w14:textId="77777777" w:rsidR="009F14C0" w:rsidRPr="009F14C0" w:rsidRDefault="009F14C0" w:rsidP="009F14C0"/>
        </w:tc>
      </w:tr>
      <w:tr w:rsidR="009F14C0" w:rsidRPr="009F14C0" w14:paraId="67ED9B9A"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D4995C"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Mean</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0C55C9"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1.115385</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43C10F"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10.73077</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522967"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9.615385</w:t>
            </w:r>
          </w:p>
        </w:tc>
        <w:tc>
          <w:tcPr>
            <w:tcW w:w="960" w:type="dxa"/>
            <w:tcBorders>
              <w:top w:val="single" w:sz="4" w:space="0" w:color="auto"/>
              <w:left w:val="single" w:sz="4" w:space="0" w:color="auto"/>
              <w:bottom w:val="nil"/>
              <w:right w:val="nil"/>
            </w:tcBorders>
            <w:shd w:val="clear" w:color="auto" w:fill="auto"/>
            <w:noWrap/>
            <w:vAlign w:val="bottom"/>
            <w:hideMark/>
          </w:tcPr>
          <w:p w14:paraId="4E0B1CCC" w14:textId="77777777" w:rsidR="009F14C0" w:rsidRPr="009F14C0" w:rsidRDefault="009F14C0" w:rsidP="009F14C0">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B5CA9C9" w14:textId="77777777" w:rsidR="009F14C0" w:rsidRPr="009F14C0" w:rsidRDefault="009F14C0" w:rsidP="009F14C0"/>
        </w:tc>
        <w:tc>
          <w:tcPr>
            <w:tcW w:w="1460" w:type="dxa"/>
            <w:tcBorders>
              <w:top w:val="nil"/>
              <w:left w:val="nil"/>
              <w:bottom w:val="nil"/>
              <w:right w:val="nil"/>
            </w:tcBorders>
            <w:shd w:val="clear" w:color="auto" w:fill="auto"/>
            <w:noWrap/>
            <w:vAlign w:val="bottom"/>
            <w:hideMark/>
          </w:tcPr>
          <w:p w14:paraId="4CEA382B"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5079B3A5" w14:textId="77777777" w:rsidR="009F14C0" w:rsidRPr="009F14C0" w:rsidRDefault="009F14C0" w:rsidP="009F14C0"/>
        </w:tc>
      </w:tr>
      <w:tr w:rsidR="009F14C0" w:rsidRPr="009F14C0" w14:paraId="1879B479" w14:textId="77777777" w:rsidTr="001E5126">
        <w:trPr>
          <w:trHeight w:val="290"/>
        </w:trPr>
        <w:tc>
          <w:tcPr>
            <w:tcW w:w="2480" w:type="dxa"/>
            <w:tcBorders>
              <w:top w:val="single" w:sz="4" w:space="0" w:color="auto"/>
              <w:left w:val="nil"/>
              <w:bottom w:val="single" w:sz="4" w:space="0" w:color="auto"/>
              <w:right w:val="nil"/>
            </w:tcBorders>
            <w:shd w:val="clear" w:color="auto" w:fill="auto"/>
            <w:noWrap/>
            <w:vAlign w:val="bottom"/>
            <w:hideMark/>
          </w:tcPr>
          <w:p w14:paraId="21775AE8" w14:textId="77777777" w:rsidR="009F14C0" w:rsidRPr="009F14C0" w:rsidRDefault="009F14C0" w:rsidP="009F14C0"/>
        </w:tc>
        <w:tc>
          <w:tcPr>
            <w:tcW w:w="1053" w:type="dxa"/>
            <w:tcBorders>
              <w:top w:val="single" w:sz="4" w:space="0" w:color="auto"/>
              <w:left w:val="nil"/>
              <w:bottom w:val="single" w:sz="4" w:space="0" w:color="auto"/>
              <w:right w:val="nil"/>
            </w:tcBorders>
            <w:shd w:val="clear" w:color="auto" w:fill="auto"/>
            <w:noWrap/>
            <w:vAlign w:val="bottom"/>
            <w:hideMark/>
          </w:tcPr>
          <w:p w14:paraId="7AE748B3" w14:textId="77777777" w:rsidR="009F14C0" w:rsidRPr="009F14C0" w:rsidRDefault="009F14C0" w:rsidP="009F14C0"/>
        </w:tc>
        <w:tc>
          <w:tcPr>
            <w:tcW w:w="1053" w:type="dxa"/>
            <w:tcBorders>
              <w:top w:val="single" w:sz="4" w:space="0" w:color="auto"/>
              <w:left w:val="nil"/>
              <w:bottom w:val="nil"/>
              <w:right w:val="nil"/>
            </w:tcBorders>
            <w:shd w:val="clear" w:color="auto" w:fill="auto"/>
            <w:noWrap/>
            <w:vAlign w:val="bottom"/>
            <w:hideMark/>
          </w:tcPr>
          <w:p w14:paraId="15DCF3BD" w14:textId="77777777" w:rsidR="009F14C0" w:rsidRPr="009F14C0" w:rsidRDefault="009F14C0" w:rsidP="009F14C0"/>
        </w:tc>
        <w:tc>
          <w:tcPr>
            <w:tcW w:w="1150" w:type="dxa"/>
            <w:tcBorders>
              <w:top w:val="single" w:sz="4" w:space="0" w:color="auto"/>
              <w:left w:val="nil"/>
              <w:bottom w:val="nil"/>
              <w:right w:val="nil"/>
            </w:tcBorders>
            <w:shd w:val="clear" w:color="auto" w:fill="auto"/>
            <w:noWrap/>
            <w:vAlign w:val="bottom"/>
            <w:hideMark/>
          </w:tcPr>
          <w:p w14:paraId="587F651D"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2A56E001"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61DC515D" w14:textId="77777777" w:rsidR="009F14C0" w:rsidRPr="009F14C0" w:rsidRDefault="009F14C0" w:rsidP="009F14C0"/>
        </w:tc>
        <w:tc>
          <w:tcPr>
            <w:tcW w:w="1460" w:type="dxa"/>
            <w:tcBorders>
              <w:top w:val="nil"/>
              <w:left w:val="nil"/>
              <w:bottom w:val="nil"/>
              <w:right w:val="nil"/>
            </w:tcBorders>
            <w:shd w:val="clear" w:color="auto" w:fill="auto"/>
            <w:noWrap/>
            <w:vAlign w:val="bottom"/>
            <w:hideMark/>
          </w:tcPr>
          <w:p w14:paraId="5C2A562B"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5F389359" w14:textId="77777777" w:rsidR="009F14C0" w:rsidRPr="009F14C0" w:rsidRDefault="009F14C0" w:rsidP="009F14C0"/>
        </w:tc>
      </w:tr>
      <w:tr w:rsidR="009F14C0" w:rsidRPr="009F14C0" w14:paraId="3C748212"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0D3218"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T2 Mean Score Male</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4775AB"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9.7</w:t>
            </w:r>
          </w:p>
        </w:tc>
        <w:tc>
          <w:tcPr>
            <w:tcW w:w="1053" w:type="dxa"/>
            <w:tcBorders>
              <w:top w:val="nil"/>
              <w:left w:val="single" w:sz="4" w:space="0" w:color="auto"/>
              <w:bottom w:val="nil"/>
              <w:right w:val="nil"/>
            </w:tcBorders>
            <w:shd w:val="clear" w:color="auto" w:fill="auto"/>
            <w:noWrap/>
            <w:vAlign w:val="bottom"/>
            <w:hideMark/>
          </w:tcPr>
          <w:p w14:paraId="017A0EBF" w14:textId="77777777" w:rsidR="009F14C0" w:rsidRPr="009F14C0" w:rsidRDefault="009F14C0" w:rsidP="009F14C0">
            <w:pPr>
              <w:jc w:val="right"/>
              <w:rPr>
                <w:rFonts w:ascii="Calibri" w:hAnsi="Calibri" w:cs="Calibri"/>
                <w:color w:val="000000"/>
                <w:sz w:val="22"/>
                <w:szCs w:val="22"/>
              </w:rPr>
            </w:pPr>
          </w:p>
        </w:tc>
        <w:tc>
          <w:tcPr>
            <w:tcW w:w="1150" w:type="dxa"/>
            <w:tcBorders>
              <w:top w:val="nil"/>
              <w:left w:val="nil"/>
              <w:bottom w:val="nil"/>
              <w:right w:val="nil"/>
            </w:tcBorders>
            <w:shd w:val="clear" w:color="auto" w:fill="auto"/>
            <w:noWrap/>
            <w:vAlign w:val="bottom"/>
            <w:hideMark/>
          </w:tcPr>
          <w:p w14:paraId="42945EE6"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51096928"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71141366" w14:textId="77777777" w:rsidR="009F14C0" w:rsidRPr="009F14C0" w:rsidRDefault="009F14C0" w:rsidP="009F14C0"/>
        </w:tc>
        <w:tc>
          <w:tcPr>
            <w:tcW w:w="1460" w:type="dxa"/>
            <w:tcBorders>
              <w:top w:val="nil"/>
              <w:left w:val="nil"/>
              <w:bottom w:val="nil"/>
              <w:right w:val="nil"/>
            </w:tcBorders>
            <w:shd w:val="clear" w:color="auto" w:fill="auto"/>
            <w:noWrap/>
            <w:vAlign w:val="bottom"/>
            <w:hideMark/>
          </w:tcPr>
          <w:p w14:paraId="2A39112A"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6A543B51" w14:textId="77777777" w:rsidR="009F14C0" w:rsidRPr="009F14C0" w:rsidRDefault="009F14C0" w:rsidP="009F14C0"/>
        </w:tc>
      </w:tr>
      <w:tr w:rsidR="009F14C0" w:rsidRPr="009F14C0" w14:paraId="1405173B" w14:textId="77777777" w:rsidTr="001E5126">
        <w:trPr>
          <w:trHeight w:val="290"/>
        </w:trPr>
        <w:tc>
          <w:tcPr>
            <w:tcW w:w="2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AEB8BD" w14:textId="77777777" w:rsidR="009F14C0" w:rsidRPr="009F14C0" w:rsidRDefault="009F14C0" w:rsidP="009F14C0">
            <w:pPr>
              <w:rPr>
                <w:rFonts w:ascii="Calibri" w:hAnsi="Calibri" w:cs="Calibri"/>
                <w:color w:val="000000"/>
                <w:sz w:val="22"/>
                <w:szCs w:val="22"/>
              </w:rPr>
            </w:pPr>
            <w:r w:rsidRPr="009F14C0">
              <w:rPr>
                <w:rFonts w:ascii="Calibri" w:hAnsi="Calibri" w:cs="Calibri"/>
                <w:color w:val="000000"/>
                <w:sz w:val="22"/>
                <w:szCs w:val="22"/>
              </w:rPr>
              <w:t>T2 Mean Score Female</w:t>
            </w:r>
          </w:p>
        </w:tc>
        <w:tc>
          <w:tcPr>
            <w:tcW w:w="105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F22073" w14:textId="77777777" w:rsidR="009F14C0" w:rsidRPr="009F14C0" w:rsidRDefault="009F14C0" w:rsidP="009F14C0">
            <w:pPr>
              <w:jc w:val="right"/>
              <w:rPr>
                <w:rFonts w:ascii="Calibri" w:hAnsi="Calibri" w:cs="Calibri"/>
                <w:color w:val="000000"/>
                <w:sz w:val="22"/>
                <w:szCs w:val="22"/>
              </w:rPr>
            </w:pPr>
            <w:r w:rsidRPr="009F14C0">
              <w:rPr>
                <w:rFonts w:ascii="Calibri" w:hAnsi="Calibri" w:cs="Calibri"/>
                <w:color w:val="000000"/>
                <w:sz w:val="22"/>
                <w:szCs w:val="22"/>
              </w:rPr>
              <w:t>11.6</w:t>
            </w:r>
          </w:p>
        </w:tc>
        <w:tc>
          <w:tcPr>
            <w:tcW w:w="1053" w:type="dxa"/>
            <w:tcBorders>
              <w:top w:val="nil"/>
              <w:left w:val="single" w:sz="4" w:space="0" w:color="auto"/>
              <w:bottom w:val="nil"/>
              <w:right w:val="nil"/>
            </w:tcBorders>
            <w:shd w:val="clear" w:color="auto" w:fill="auto"/>
            <w:noWrap/>
            <w:vAlign w:val="bottom"/>
            <w:hideMark/>
          </w:tcPr>
          <w:p w14:paraId="24D3A3EF" w14:textId="77777777" w:rsidR="009F14C0" w:rsidRPr="009F14C0" w:rsidRDefault="009F14C0" w:rsidP="009F14C0">
            <w:pPr>
              <w:jc w:val="right"/>
              <w:rPr>
                <w:rFonts w:ascii="Calibri" w:hAnsi="Calibri" w:cs="Calibri"/>
                <w:color w:val="000000"/>
                <w:sz w:val="22"/>
                <w:szCs w:val="22"/>
              </w:rPr>
            </w:pPr>
          </w:p>
        </w:tc>
        <w:tc>
          <w:tcPr>
            <w:tcW w:w="1150" w:type="dxa"/>
            <w:tcBorders>
              <w:top w:val="nil"/>
              <w:left w:val="nil"/>
              <w:bottom w:val="nil"/>
              <w:right w:val="nil"/>
            </w:tcBorders>
            <w:shd w:val="clear" w:color="auto" w:fill="auto"/>
            <w:noWrap/>
            <w:vAlign w:val="bottom"/>
            <w:hideMark/>
          </w:tcPr>
          <w:p w14:paraId="6644DE97"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7B1C2DBB"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031347D6" w14:textId="77777777" w:rsidR="009F14C0" w:rsidRPr="009F14C0" w:rsidRDefault="009F14C0" w:rsidP="009F14C0"/>
        </w:tc>
        <w:tc>
          <w:tcPr>
            <w:tcW w:w="1460" w:type="dxa"/>
            <w:tcBorders>
              <w:top w:val="nil"/>
              <w:left w:val="nil"/>
              <w:bottom w:val="nil"/>
              <w:right w:val="nil"/>
            </w:tcBorders>
            <w:shd w:val="clear" w:color="auto" w:fill="auto"/>
            <w:noWrap/>
            <w:vAlign w:val="bottom"/>
            <w:hideMark/>
          </w:tcPr>
          <w:p w14:paraId="15B79B9C" w14:textId="77777777" w:rsidR="009F14C0" w:rsidRPr="009F14C0" w:rsidRDefault="009F14C0" w:rsidP="009F14C0"/>
        </w:tc>
        <w:tc>
          <w:tcPr>
            <w:tcW w:w="960" w:type="dxa"/>
            <w:tcBorders>
              <w:top w:val="nil"/>
              <w:left w:val="nil"/>
              <w:bottom w:val="nil"/>
              <w:right w:val="nil"/>
            </w:tcBorders>
            <w:shd w:val="clear" w:color="auto" w:fill="auto"/>
            <w:noWrap/>
            <w:vAlign w:val="bottom"/>
            <w:hideMark/>
          </w:tcPr>
          <w:p w14:paraId="3FD9725C" w14:textId="77777777" w:rsidR="009F14C0" w:rsidRPr="009F14C0" w:rsidRDefault="009F14C0" w:rsidP="009F14C0"/>
        </w:tc>
      </w:tr>
    </w:tbl>
    <w:p w14:paraId="2258E3D0" w14:textId="77777777"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b/>
          <w:sz w:val="22"/>
          <w:szCs w:val="22"/>
          <w:lang w:eastAsia="en-US"/>
        </w:rPr>
        <w:t>Appendix B</w:t>
      </w:r>
    </w:p>
    <w:p w14:paraId="472870F0" w14:textId="77777777" w:rsidR="009F14C0" w:rsidRPr="009F14C0" w:rsidRDefault="009F14C0" w:rsidP="009F14C0">
      <w:pPr>
        <w:spacing w:after="160" w:line="259" w:lineRule="auto"/>
        <w:rPr>
          <w:rFonts w:ascii="Calibri" w:eastAsia="Calibri" w:hAnsi="Calibri"/>
          <w:b/>
          <w:sz w:val="22"/>
          <w:szCs w:val="22"/>
          <w:lang w:eastAsia="en-US"/>
        </w:rPr>
      </w:pPr>
    </w:p>
    <w:p w14:paraId="758180E0" w14:textId="77777777"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b/>
          <w:sz w:val="22"/>
          <w:szCs w:val="22"/>
          <w:lang w:eastAsia="en-US"/>
        </w:rPr>
        <w:t>Detailed Breakdown of Results</w:t>
      </w:r>
    </w:p>
    <w:p w14:paraId="0439FB7A" w14:textId="77777777" w:rsidR="009F14C0" w:rsidRPr="009F14C0" w:rsidRDefault="009F14C0" w:rsidP="009F14C0">
      <w:pPr>
        <w:spacing w:after="160" w:line="259" w:lineRule="auto"/>
        <w:rPr>
          <w:rFonts w:ascii="Calibri" w:eastAsia="Calibri" w:hAnsi="Calibri"/>
          <w:b/>
          <w:sz w:val="22"/>
          <w:szCs w:val="22"/>
          <w:lang w:eastAsia="en-US"/>
        </w:rPr>
      </w:pPr>
    </w:p>
    <w:p w14:paraId="3F713297" w14:textId="77777777" w:rsidR="009F14C0" w:rsidRPr="009F14C0" w:rsidRDefault="009F14C0" w:rsidP="009F14C0">
      <w:pPr>
        <w:spacing w:after="160" w:line="259" w:lineRule="auto"/>
        <w:rPr>
          <w:rFonts w:ascii="Calibri" w:eastAsia="Calibri" w:hAnsi="Calibri"/>
          <w:sz w:val="22"/>
          <w:szCs w:val="22"/>
          <w:lang w:eastAsia="en-US"/>
        </w:rPr>
      </w:pPr>
    </w:p>
    <w:p w14:paraId="74AE9854" w14:textId="77777777" w:rsidR="009F14C0" w:rsidRPr="009F14C0" w:rsidRDefault="009F14C0" w:rsidP="009F14C0">
      <w:pPr>
        <w:spacing w:after="160" w:line="259" w:lineRule="auto"/>
        <w:rPr>
          <w:rFonts w:ascii="Calibri" w:eastAsia="Calibri" w:hAnsi="Calibri"/>
          <w:sz w:val="22"/>
          <w:szCs w:val="22"/>
          <w:lang w:eastAsia="en-US"/>
        </w:rPr>
      </w:pPr>
    </w:p>
    <w:p w14:paraId="6916C7AC" w14:textId="77777777" w:rsidR="009F14C0" w:rsidRPr="009F14C0" w:rsidRDefault="009F14C0" w:rsidP="009F14C0">
      <w:pPr>
        <w:spacing w:after="160" w:line="259" w:lineRule="auto"/>
        <w:rPr>
          <w:rFonts w:ascii="Calibri" w:eastAsia="Calibri" w:hAnsi="Calibri"/>
          <w:sz w:val="22"/>
          <w:szCs w:val="22"/>
          <w:lang w:eastAsia="en-US"/>
        </w:rPr>
      </w:pPr>
    </w:p>
    <w:p w14:paraId="29F706C0" w14:textId="77777777" w:rsidR="009F14C0" w:rsidRPr="009F14C0" w:rsidRDefault="009F14C0" w:rsidP="009F14C0">
      <w:pPr>
        <w:spacing w:after="160" w:line="259" w:lineRule="auto"/>
        <w:rPr>
          <w:rFonts w:ascii="Calibri" w:eastAsia="Calibri" w:hAnsi="Calibri"/>
          <w:sz w:val="22"/>
          <w:szCs w:val="22"/>
          <w:lang w:eastAsia="en-US"/>
        </w:rPr>
      </w:pPr>
    </w:p>
    <w:p w14:paraId="04CAB17F" w14:textId="77777777" w:rsidR="009F14C0" w:rsidRPr="009F14C0" w:rsidRDefault="009F14C0" w:rsidP="009F14C0">
      <w:pPr>
        <w:tabs>
          <w:tab w:val="left" w:pos="3310"/>
        </w:tabs>
        <w:spacing w:after="160" w:line="259" w:lineRule="auto"/>
        <w:rPr>
          <w:rFonts w:ascii="Calibri" w:eastAsia="Calibri" w:hAnsi="Calibri"/>
          <w:sz w:val="22"/>
          <w:szCs w:val="22"/>
          <w:lang w:eastAsia="en-US"/>
        </w:rPr>
      </w:pPr>
      <w:r w:rsidRPr="009F14C0">
        <w:rPr>
          <w:rFonts w:ascii="Calibri" w:eastAsia="Calibri" w:hAnsi="Calibri"/>
          <w:sz w:val="22"/>
          <w:szCs w:val="22"/>
          <w:lang w:eastAsia="en-US"/>
        </w:rPr>
        <w:tab/>
      </w:r>
    </w:p>
    <w:p w14:paraId="6F07FC06" w14:textId="77777777" w:rsidR="009F14C0" w:rsidRPr="009F14C0" w:rsidRDefault="009F14C0" w:rsidP="009F14C0">
      <w:pPr>
        <w:spacing w:after="160" w:line="259" w:lineRule="auto"/>
        <w:rPr>
          <w:rFonts w:ascii="Calibri" w:eastAsia="Calibri" w:hAnsi="Calibri"/>
          <w:sz w:val="22"/>
          <w:szCs w:val="22"/>
          <w:lang w:eastAsia="en-US"/>
        </w:rPr>
      </w:pPr>
    </w:p>
    <w:p w14:paraId="205C5670" w14:textId="77777777"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b/>
          <w:sz w:val="22"/>
          <w:szCs w:val="22"/>
          <w:lang w:eastAsia="en-US"/>
        </w:rPr>
        <w:lastRenderedPageBreak/>
        <w:t>Appendix C</w:t>
      </w:r>
    </w:p>
    <w:p w14:paraId="55E483A6" w14:textId="3B5FAA2C" w:rsidR="009F14C0" w:rsidRPr="009F14C0" w:rsidRDefault="009F14C0" w:rsidP="009F14C0">
      <w:pPr>
        <w:spacing w:after="160" w:line="259" w:lineRule="auto"/>
        <w:rPr>
          <w:rFonts w:ascii="Calibri" w:eastAsia="Calibri" w:hAnsi="Calibri"/>
          <w:b/>
          <w:sz w:val="22"/>
          <w:szCs w:val="22"/>
          <w:lang w:eastAsia="en-US"/>
        </w:rPr>
      </w:pPr>
      <w:r w:rsidRPr="009F14C0">
        <w:rPr>
          <w:rFonts w:ascii="Calibri" w:eastAsia="Calibri" w:hAnsi="Calibri"/>
          <w:noProof/>
          <w:sz w:val="22"/>
          <w:szCs w:val="22"/>
          <w:lang w:eastAsia="en-US"/>
        </w:rPr>
        <w:drawing>
          <wp:anchor distT="0" distB="0" distL="114300" distR="114300" simplePos="0" relativeHeight="251662336" behindDoc="0" locked="0" layoutInCell="1" allowOverlap="1" wp14:anchorId="0785AA5F" wp14:editId="2DE5A40D">
            <wp:simplePos x="0" y="0"/>
            <wp:positionH relativeFrom="margin">
              <wp:align>left</wp:align>
            </wp:positionH>
            <wp:positionV relativeFrom="paragraph">
              <wp:posOffset>3136900</wp:posOffset>
            </wp:positionV>
            <wp:extent cx="4705350" cy="265303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eatif.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05350" cy="2653030"/>
                    </a:xfrm>
                    <a:prstGeom prst="rect">
                      <a:avLst/>
                    </a:prstGeom>
                  </pic:spPr>
                </pic:pic>
              </a:graphicData>
            </a:graphic>
            <wp14:sizeRelH relativeFrom="margin">
              <wp14:pctWidth>0</wp14:pctWidth>
            </wp14:sizeRelH>
            <wp14:sizeRelV relativeFrom="margin">
              <wp14:pctHeight>0</wp14:pctHeight>
            </wp14:sizeRelV>
          </wp:anchor>
        </w:drawing>
      </w:r>
      <w:r w:rsidRPr="009F14C0">
        <w:rPr>
          <w:rFonts w:ascii="Calibri" w:eastAsia="Calibri" w:hAnsi="Calibri"/>
          <w:noProof/>
          <w:sz w:val="22"/>
          <w:szCs w:val="22"/>
          <w:lang w:eastAsia="en-US"/>
        </w:rPr>
        <w:drawing>
          <wp:anchor distT="0" distB="0" distL="114300" distR="114300" simplePos="0" relativeHeight="251663360" behindDoc="0" locked="0" layoutInCell="1" allowOverlap="1" wp14:anchorId="5DD360A3" wp14:editId="112F25DC">
            <wp:simplePos x="0" y="0"/>
            <wp:positionH relativeFrom="margin">
              <wp:align>left</wp:align>
            </wp:positionH>
            <wp:positionV relativeFrom="paragraph">
              <wp:posOffset>5925185</wp:posOffset>
            </wp:positionV>
            <wp:extent cx="4692650" cy="26492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por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92650" cy="2649220"/>
                    </a:xfrm>
                    <a:prstGeom prst="rect">
                      <a:avLst/>
                    </a:prstGeom>
                  </pic:spPr>
                </pic:pic>
              </a:graphicData>
            </a:graphic>
            <wp14:sizeRelH relativeFrom="margin">
              <wp14:pctWidth>0</wp14:pctWidth>
            </wp14:sizeRelH>
            <wp14:sizeRelV relativeFrom="margin">
              <wp14:pctHeight>0</wp14:pctHeight>
            </wp14:sizeRelV>
          </wp:anchor>
        </w:drawing>
      </w:r>
      <w:r w:rsidRPr="009F14C0">
        <w:rPr>
          <w:rFonts w:ascii="Calibri" w:eastAsia="Calibri" w:hAnsi="Calibri"/>
          <w:noProof/>
          <w:sz w:val="22"/>
          <w:szCs w:val="22"/>
          <w:lang w:eastAsia="en-US"/>
        </w:rPr>
        <w:drawing>
          <wp:anchor distT="0" distB="0" distL="114300" distR="114300" simplePos="0" relativeHeight="251661312" behindDoc="0" locked="0" layoutInCell="1" allowOverlap="1" wp14:anchorId="58CC17D3" wp14:editId="28BAEE9E">
            <wp:simplePos x="0" y="0"/>
            <wp:positionH relativeFrom="margin">
              <wp:align>left</wp:align>
            </wp:positionH>
            <wp:positionV relativeFrom="paragraph">
              <wp:posOffset>387350</wp:posOffset>
            </wp:positionV>
            <wp:extent cx="4692650" cy="2639060"/>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ymp.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09304" cy="2648553"/>
                    </a:xfrm>
                    <a:prstGeom prst="rect">
                      <a:avLst/>
                    </a:prstGeom>
                  </pic:spPr>
                </pic:pic>
              </a:graphicData>
            </a:graphic>
            <wp14:sizeRelH relativeFrom="margin">
              <wp14:pctWidth>0</wp14:pctWidth>
            </wp14:sizeRelH>
            <wp14:sizeRelV relativeFrom="margin">
              <wp14:pctHeight>0</wp14:pctHeight>
            </wp14:sizeRelV>
          </wp:anchor>
        </w:drawing>
      </w:r>
      <w:r w:rsidRPr="009F14C0">
        <w:rPr>
          <w:rFonts w:ascii="Calibri" w:eastAsia="Calibri" w:hAnsi="Calibri"/>
          <w:b/>
          <w:sz w:val="22"/>
          <w:szCs w:val="22"/>
          <w:lang w:eastAsia="en-US"/>
        </w:rPr>
        <w:t>Examples of vocabulary slides</w:t>
      </w:r>
    </w:p>
    <w:p w14:paraId="3A9B5FFB" w14:textId="77777777" w:rsidR="009F14C0" w:rsidRPr="009F14C0" w:rsidRDefault="009F14C0" w:rsidP="009F14C0">
      <w:pPr>
        <w:spacing w:after="160" w:line="259" w:lineRule="auto"/>
        <w:rPr>
          <w:rFonts w:ascii="Calibri" w:eastAsia="Calibri" w:hAnsi="Calibri"/>
          <w:sz w:val="22"/>
          <w:szCs w:val="22"/>
          <w:lang w:eastAsia="en-US"/>
        </w:rPr>
      </w:pPr>
    </w:p>
    <w:p w14:paraId="75BDF081" w14:textId="77777777" w:rsidR="009F14C0" w:rsidRPr="009F14C0" w:rsidRDefault="009F14C0" w:rsidP="009F14C0">
      <w:pPr>
        <w:spacing w:after="160" w:line="259" w:lineRule="auto"/>
        <w:rPr>
          <w:rFonts w:ascii="Calibri" w:eastAsia="Calibri" w:hAnsi="Calibri"/>
          <w:sz w:val="22"/>
          <w:szCs w:val="22"/>
          <w:lang w:eastAsia="en-US"/>
        </w:rPr>
      </w:pPr>
    </w:p>
    <w:p w14:paraId="12C07A47" w14:textId="77777777" w:rsidR="009F14C0" w:rsidRPr="009F14C0" w:rsidRDefault="009F14C0" w:rsidP="009F14C0">
      <w:pPr>
        <w:spacing w:after="160" w:line="259" w:lineRule="auto"/>
        <w:rPr>
          <w:rFonts w:ascii="Calibri" w:eastAsia="Calibri" w:hAnsi="Calibri"/>
          <w:sz w:val="22"/>
          <w:szCs w:val="22"/>
          <w:lang w:eastAsia="en-US"/>
        </w:rPr>
      </w:pPr>
    </w:p>
    <w:p w14:paraId="7D1FC18B" w14:textId="77777777" w:rsidR="009F14C0" w:rsidRPr="009F14C0" w:rsidRDefault="009F14C0" w:rsidP="009F14C0">
      <w:pPr>
        <w:spacing w:after="160" w:line="259" w:lineRule="auto"/>
        <w:rPr>
          <w:rFonts w:ascii="Calibri" w:eastAsia="Calibri" w:hAnsi="Calibri"/>
          <w:sz w:val="22"/>
          <w:szCs w:val="22"/>
          <w:lang w:eastAsia="en-US"/>
        </w:rPr>
      </w:pPr>
    </w:p>
    <w:p w14:paraId="4650E3D6" w14:textId="77777777" w:rsidR="009F14C0" w:rsidRPr="009F14C0" w:rsidRDefault="009F14C0" w:rsidP="009F14C0">
      <w:pPr>
        <w:spacing w:after="160" w:line="259" w:lineRule="auto"/>
        <w:rPr>
          <w:rFonts w:ascii="Calibri" w:eastAsia="Calibri" w:hAnsi="Calibri"/>
          <w:sz w:val="22"/>
          <w:szCs w:val="22"/>
          <w:lang w:eastAsia="en-US"/>
        </w:rPr>
      </w:pPr>
    </w:p>
    <w:p w14:paraId="722FD44C" w14:textId="77777777" w:rsidR="00D443A1" w:rsidRPr="00952B92" w:rsidRDefault="00D443A1" w:rsidP="00D443A1">
      <w:pPr>
        <w:spacing w:after="160" w:line="360" w:lineRule="auto"/>
        <w:rPr>
          <w:rFonts w:ascii="Arial" w:hAnsi="Arial" w:cs="Arial"/>
          <w:sz w:val="32"/>
        </w:rPr>
      </w:pPr>
    </w:p>
    <w:sectPr w:rsidR="00D443A1" w:rsidRPr="00952B92" w:rsidSect="004053B4">
      <w:footerReference w:type="default" r:id="rId14"/>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9C24DD" w14:textId="77777777" w:rsidR="007A1435" w:rsidRDefault="007A1435">
      <w:r>
        <w:separator/>
      </w:r>
    </w:p>
  </w:endnote>
  <w:endnote w:type="continuationSeparator" w:id="0">
    <w:p w14:paraId="71196765" w14:textId="77777777" w:rsidR="007A1435" w:rsidRDefault="007A14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5D47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F90BCF" w14:textId="77777777" w:rsidR="007A1435" w:rsidRDefault="007A1435">
      <w:r>
        <w:separator/>
      </w:r>
    </w:p>
  </w:footnote>
  <w:footnote w:type="continuationSeparator" w:id="0">
    <w:p w14:paraId="57EB92E9" w14:textId="77777777" w:rsidR="007A1435" w:rsidRDefault="007A14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45A"/>
    <w:rsid w:val="000047A3"/>
    <w:rsid w:val="0000726F"/>
    <w:rsid w:val="00011666"/>
    <w:rsid w:val="00011A06"/>
    <w:rsid w:val="00011C22"/>
    <w:rsid w:val="00014480"/>
    <w:rsid w:val="00026B02"/>
    <w:rsid w:val="00032AE7"/>
    <w:rsid w:val="0004447B"/>
    <w:rsid w:val="00050AF9"/>
    <w:rsid w:val="000822E5"/>
    <w:rsid w:val="00082427"/>
    <w:rsid w:val="0008417D"/>
    <w:rsid w:val="000971FC"/>
    <w:rsid w:val="000A2A3A"/>
    <w:rsid w:val="000A492A"/>
    <w:rsid w:val="000B0924"/>
    <w:rsid w:val="000B6520"/>
    <w:rsid w:val="000C12A0"/>
    <w:rsid w:val="000C4F03"/>
    <w:rsid w:val="000D0A97"/>
    <w:rsid w:val="000D2F80"/>
    <w:rsid w:val="000E2338"/>
    <w:rsid w:val="000E413A"/>
    <w:rsid w:val="000E6A66"/>
    <w:rsid w:val="000F5AA3"/>
    <w:rsid w:val="000F6CB3"/>
    <w:rsid w:val="00100396"/>
    <w:rsid w:val="00100B5C"/>
    <w:rsid w:val="00103507"/>
    <w:rsid w:val="00106CA8"/>
    <w:rsid w:val="001106E9"/>
    <w:rsid w:val="00112970"/>
    <w:rsid w:val="00114114"/>
    <w:rsid w:val="00122B08"/>
    <w:rsid w:val="00124CA5"/>
    <w:rsid w:val="00130B20"/>
    <w:rsid w:val="00131581"/>
    <w:rsid w:val="00134F77"/>
    <w:rsid w:val="00142A9C"/>
    <w:rsid w:val="00145A2D"/>
    <w:rsid w:val="00152E9D"/>
    <w:rsid w:val="00153EA7"/>
    <w:rsid w:val="00154487"/>
    <w:rsid w:val="00160A14"/>
    <w:rsid w:val="00162635"/>
    <w:rsid w:val="0017512A"/>
    <w:rsid w:val="0018047F"/>
    <w:rsid w:val="00183EC9"/>
    <w:rsid w:val="00196958"/>
    <w:rsid w:val="001A1369"/>
    <w:rsid w:val="001A1E39"/>
    <w:rsid w:val="001A24F3"/>
    <w:rsid w:val="001B349A"/>
    <w:rsid w:val="001B405C"/>
    <w:rsid w:val="001B5F45"/>
    <w:rsid w:val="001B7311"/>
    <w:rsid w:val="001C4E57"/>
    <w:rsid w:val="001D20BA"/>
    <w:rsid w:val="001E1050"/>
    <w:rsid w:val="001E1E1F"/>
    <w:rsid w:val="001E2007"/>
    <w:rsid w:val="001E57C1"/>
    <w:rsid w:val="001F07EF"/>
    <w:rsid w:val="001F50B6"/>
    <w:rsid w:val="001F6D7A"/>
    <w:rsid w:val="001F715E"/>
    <w:rsid w:val="0021349C"/>
    <w:rsid w:val="0022746E"/>
    <w:rsid w:val="00235F71"/>
    <w:rsid w:val="00240271"/>
    <w:rsid w:val="00242F7A"/>
    <w:rsid w:val="002444CA"/>
    <w:rsid w:val="002466CE"/>
    <w:rsid w:val="002569DC"/>
    <w:rsid w:val="00260DE6"/>
    <w:rsid w:val="00263334"/>
    <w:rsid w:val="00273FEE"/>
    <w:rsid w:val="0028204E"/>
    <w:rsid w:val="0028591B"/>
    <w:rsid w:val="00290A4C"/>
    <w:rsid w:val="00291841"/>
    <w:rsid w:val="002B4D76"/>
    <w:rsid w:val="002C449B"/>
    <w:rsid w:val="002C6040"/>
    <w:rsid w:val="002D2EEE"/>
    <w:rsid w:val="002D5B3F"/>
    <w:rsid w:val="002E272E"/>
    <w:rsid w:val="002F5778"/>
    <w:rsid w:val="003072F2"/>
    <w:rsid w:val="00310F7C"/>
    <w:rsid w:val="003147AB"/>
    <w:rsid w:val="00320A7D"/>
    <w:rsid w:val="003223E0"/>
    <w:rsid w:val="00343710"/>
    <w:rsid w:val="00352C4A"/>
    <w:rsid w:val="00362560"/>
    <w:rsid w:val="003725DC"/>
    <w:rsid w:val="003732FD"/>
    <w:rsid w:val="003753B2"/>
    <w:rsid w:val="00376559"/>
    <w:rsid w:val="00382BAA"/>
    <w:rsid w:val="00384D73"/>
    <w:rsid w:val="0038760E"/>
    <w:rsid w:val="00393EB6"/>
    <w:rsid w:val="003A3CE5"/>
    <w:rsid w:val="003B0121"/>
    <w:rsid w:val="003B366F"/>
    <w:rsid w:val="003B3F9D"/>
    <w:rsid w:val="003B6C95"/>
    <w:rsid w:val="003C4214"/>
    <w:rsid w:val="003D3D76"/>
    <w:rsid w:val="003D644D"/>
    <w:rsid w:val="003E5751"/>
    <w:rsid w:val="003F0985"/>
    <w:rsid w:val="003F34AB"/>
    <w:rsid w:val="004046A9"/>
    <w:rsid w:val="00404C50"/>
    <w:rsid w:val="004053B4"/>
    <w:rsid w:val="00413561"/>
    <w:rsid w:val="00423934"/>
    <w:rsid w:val="00426244"/>
    <w:rsid w:val="004328BF"/>
    <w:rsid w:val="00432BEF"/>
    <w:rsid w:val="00451F23"/>
    <w:rsid w:val="004547CE"/>
    <w:rsid w:val="0047055B"/>
    <w:rsid w:val="00470A38"/>
    <w:rsid w:val="004874DE"/>
    <w:rsid w:val="0049526D"/>
    <w:rsid w:val="0049581D"/>
    <w:rsid w:val="004A1639"/>
    <w:rsid w:val="004A6B3B"/>
    <w:rsid w:val="004B172A"/>
    <w:rsid w:val="004B5334"/>
    <w:rsid w:val="004B6C14"/>
    <w:rsid w:val="004C4F19"/>
    <w:rsid w:val="004C5F4B"/>
    <w:rsid w:val="004D3E0D"/>
    <w:rsid w:val="004D5E9B"/>
    <w:rsid w:val="004D63D9"/>
    <w:rsid w:val="004E146C"/>
    <w:rsid w:val="004E42B1"/>
    <w:rsid w:val="004E6585"/>
    <w:rsid w:val="0050249F"/>
    <w:rsid w:val="00507CFC"/>
    <w:rsid w:val="0051093B"/>
    <w:rsid w:val="005153BF"/>
    <w:rsid w:val="00524359"/>
    <w:rsid w:val="00524566"/>
    <w:rsid w:val="00530BEF"/>
    <w:rsid w:val="00552351"/>
    <w:rsid w:val="00561F00"/>
    <w:rsid w:val="00562C4E"/>
    <w:rsid w:val="00562DEC"/>
    <w:rsid w:val="00576AB4"/>
    <w:rsid w:val="00577917"/>
    <w:rsid w:val="00590667"/>
    <w:rsid w:val="0059396C"/>
    <w:rsid w:val="00595D1E"/>
    <w:rsid w:val="005969E2"/>
    <w:rsid w:val="005A1689"/>
    <w:rsid w:val="005A2C00"/>
    <w:rsid w:val="005A70A7"/>
    <w:rsid w:val="005A7611"/>
    <w:rsid w:val="005B61CD"/>
    <w:rsid w:val="005D1D3E"/>
    <w:rsid w:val="005D1D58"/>
    <w:rsid w:val="005D432C"/>
    <w:rsid w:val="005D7FA8"/>
    <w:rsid w:val="005E285E"/>
    <w:rsid w:val="005E5A9A"/>
    <w:rsid w:val="005E72F8"/>
    <w:rsid w:val="005F0579"/>
    <w:rsid w:val="005F3A53"/>
    <w:rsid w:val="005F59AA"/>
    <w:rsid w:val="00601942"/>
    <w:rsid w:val="00604DE0"/>
    <w:rsid w:val="006062A3"/>
    <w:rsid w:val="00610E08"/>
    <w:rsid w:val="006140BF"/>
    <w:rsid w:val="0061513D"/>
    <w:rsid w:val="006161BE"/>
    <w:rsid w:val="006167B7"/>
    <w:rsid w:val="00620787"/>
    <w:rsid w:val="00632434"/>
    <w:rsid w:val="0063478F"/>
    <w:rsid w:val="00644256"/>
    <w:rsid w:val="00644B75"/>
    <w:rsid w:val="00646A89"/>
    <w:rsid w:val="00661D6F"/>
    <w:rsid w:val="006628E9"/>
    <w:rsid w:val="0066725E"/>
    <w:rsid w:val="006716C7"/>
    <w:rsid w:val="00673E32"/>
    <w:rsid w:val="00676241"/>
    <w:rsid w:val="00676F2D"/>
    <w:rsid w:val="00681208"/>
    <w:rsid w:val="00681FA9"/>
    <w:rsid w:val="00691EA9"/>
    <w:rsid w:val="006934D4"/>
    <w:rsid w:val="006A08ED"/>
    <w:rsid w:val="006A6DC3"/>
    <w:rsid w:val="006B26D5"/>
    <w:rsid w:val="006B6BA4"/>
    <w:rsid w:val="006C1480"/>
    <w:rsid w:val="006D49ED"/>
    <w:rsid w:val="006D55CE"/>
    <w:rsid w:val="006D637A"/>
    <w:rsid w:val="006D6B5E"/>
    <w:rsid w:val="006D6F24"/>
    <w:rsid w:val="006E1B07"/>
    <w:rsid w:val="006E3E4E"/>
    <w:rsid w:val="006F1715"/>
    <w:rsid w:val="006F2AFE"/>
    <w:rsid w:val="006F45BF"/>
    <w:rsid w:val="006F60E0"/>
    <w:rsid w:val="00702F71"/>
    <w:rsid w:val="00721AFE"/>
    <w:rsid w:val="00726BF4"/>
    <w:rsid w:val="00730BBF"/>
    <w:rsid w:val="007366DF"/>
    <w:rsid w:val="007525B1"/>
    <w:rsid w:val="00757839"/>
    <w:rsid w:val="00770C81"/>
    <w:rsid w:val="0077283C"/>
    <w:rsid w:val="0077444A"/>
    <w:rsid w:val="00774469"/>
    <w:rsid w:val="00784E0A"/>
    <w:rsid w:val="00791024"/>
    <w:rsid w:val="00793BB4"/>
    <w:rsid w:val="00793F0A"/>
    <w:rsid w:val="007A078C"/>
    <w:rsid w:val="007A1435"/>
    <w:rsid w:val="007A2657"/>
    <w:rsid w:val="007C682C"/>
    <w:rsid w:val="007D2385"/>
    <w:rsid w:val="007E6F99"/>
    <w:rsid w:val="007E797D"/>
    <w:rsid w:val="007F0EC9"/>
    <w:rsid w:val="007F214F"/>
    <w:rsid w:val="007F53D6"/>
    <w:rsid w:val="00800069"/>
    <w:rsid w:val="008022F1"/>
    <w:rsid w:val="008042F0"/>
    <w:rsid w:val="008065A2"/>
    <w:rsid w:val="00815D4D"/>
    <w:rsid w:val="00816368"/>
    <w:rsid w:val="008310A0"/>
    <w:rsid w:val="00833B40"/>
    <w:rsid w:val="00835D29"/>
    <w:rsid w:val="00842E7F"/>
    <w:rsid w:val="008440FE"/>
    <w:rsid w:val="00852933"/>
    <w:rsid w:val="00855E43"/>
    <w:rsid w:val="008566E5"/>
    <w:rsid w:val="008566FE"/>
    <w:rsid w:val="008601A0"/>
    <w:rsid w:val="00865B46"/>
    <w:rsid w:val="00874FA1"/>
    <w:rsid w:val="00876776"/>
    <w:rsid w:val="00881CD3"/>
    <w:rsid w:val="00887E32"/>
    <w:rsid w:val="008948B6"/>
    <w:rsid w:val="00896134"/>
    <w:rsid w:val="008A62BC"/>
    <w:rsid w:val="008B43E7"/>
    <w:rsid w:val="008B5FED"/>
    <w:rsid w:val="008C19AD"/>
    <w:rsid w:val="008D763F"/>
    <w:rsid w:val="008E69A8"/>
    <w:rsid w:val="008F01AC"/>
    <w:rsid w:val="008F036F"/>
    <w:rsid w:val="008F1308"/>
    <w:rsid w:val="008F3BB7"/>
    <w:rsid w:val="008F5EE9"/>
    <w:rsid w:val="008F78C2"/>
    <w:rsid w:val="00904568"/>
    <w:rsid w:val="0090657E"/>
    <w:rsid w:val="00911394"/>
    <w:rsid w:val="00923EF2"/>
    <w:rsid w:val="00925AA9"/>
    <w:rsid w:val="00926D25"/>
    <w:rsid w:val="00926E9D"/>
    <w:rsid w:val="00930805"/>
    <w:rsid w:val="00932C6E"/>
    <w:rsid w:val="00933F10"/>
    <w:rsid w:val="00935B43"/>
    <w:rsid w:val="00941F42"/>
    <w:rsid w:val="009433C5"/>
    <w:rsid w:val="0094694C"/>
    <w:rsid w:val="00952B92"/>
    <w:rsid w:val="009574CA"/>
    <w:rsid w:val="00965881"/>
    <w:rsid w:val="00973BEE"/>
    <w:rsid w:val="009871FF"/>
    <w:rsid w:val="00990799"/>
    <w:rsid w:val="00990F71"/>
    <w:rsid w:val="00995D51"/>
    <w:rsid w:val="009962B1"/>
    <w:rsid w:val="009A0631"/>
    <w:rsid w:val="009A2AB9"/>
    <w:rsid w:val="009B10ED"/>
    <w:rsid w:val="009B3D0A"/>
    <w:rsid w:val="009C55AE"/>
    <w:rsid w:val="009D3EA4"/>
    <w:rsid w:val="009D5A9A"/>
    <w:rsid w:val="009D649C"/>
    <w:rsid w:val="009E4BC1"/>
    <w:rsid w:val="009F14C0"/>
    <w:rsid w:val="009F3C90"/>
    <w:rsid w:val="009F5CB2"/>
    <w:rsid w:val="00A03BB8"/>
    <w:rsid w:val="00A1042D"/>
    <w:rsid w:val="00A228FC"/>
    <w:rsid w:val="00A3505D"/>
    <w:rsid w:val="00A4036F"/>
    <w:rsid w:val="00A406E5"/>
    <w:rsid w:val="00A45111"/>
    <w:rsid w:val="00A45E23"/>
    <w:rsid w:val="00A4641C"/>
    <w:rsid w:val="00A4771C"/>
    <w:rsid w:val="00A5007A"/>
    <w:rsid w:val="00A55876"/>
    <w:rsid w:val="00A61821"/>
    <w:rsid w:val="00A65308"/>
    <w:rsid w:val="00A67D48"/>
    <w:rsid w:val="00A67FB1"/>
    <w:rsid w:val="00A7233E"/>
    <w:rsid w:val="00A76F05"/>
    <w:rsid w:val="00A85BFE"/>
    <w:rsid w:val="00A86BE7"/>
    <w:rsid w:val="00AB6FE7"/>
    <w:rsid w:val="00AB7AD7"/>
    <w:rsid w:val="00AC165A"/>
    <w:rsid w:val="00AC5F32"/>
    <w:rsid w:val="00AD2430"/>
    <w:rsid w:val="00AD3843"/>
    <w:rsid w:val="00AE41A6"/>
    <w:rsid w:val="00AF0E34"/>
    <w:rsid w:val="00AF271D"/>
    <w:rsid w:val="00AF55DF"/>
    <w:rsid w:val="00AF56C2"/>
    <w:rsid w:val="00B004E6"/>
    <w:rsid w:val="00B0744D"/>
    <w:rsid w:val="00B10CF0"/>
    <w:rsid w:val="00B16695"/>
    <w:rsid w:val="00B50EA8"/>
    <w:rsid w:val="00B534DB"/>
    <w:rsid w:val="00B64082"/>
    <w:rsid w:val="00B72325"/>
    <w:rsid w:val="00B72EC6"/>
    <w:rsid w:val="00B73403"/>
    <w:rsid w:val="00B81AD3"/>
    <w:rsid w:val="00B829D8"/>
    <w:rsid w:val="00B84B5B"/>
    <w:rsid w:val="00B86446"/>
    <w:rsid w:val="00B97B03"/>
    <w:rsid w:val="00BA1176"/>
    <w:rsid w:val="00BB3924"/>
    <w:rsid w:val="00BB498F"/>
    <w:rsid w:val="00BC5672"/>
    <w:rsid w:val="00BD0526"/>
    <w:rsid w:val="00BE0B01"/>
    <w:rsid w:val="00BE23A9"/>
    <w:rsid w:val="00BE5FE1"/>
    <w:rsid w:val="00BE79C7"/>
    <w:rsid w:val="00BF3CB5"/>
    <w:rsid w:val="00BF7B2A"/>
    <w:rsid w:val="00C01A3F"/>
    <w:rsid w:val="00C02708"/>
    <w:rsid w:val="00C073F1"/>
    <w:rsid w:val="00C1285B"/>
    <w:rsid w:val="00C1361B"/>
    <w:rsid w:val="00C14E1F"/>
    <w:rsid w:val="00C315AF"/>
    <w:rsid w:val="00C36D9A"/>
    <w:rsid w:val="00C36E28"/>
    <w:rsid w:val="00C44A72"/>
    <w:rsid w:val="00C56AE7"/>
    <w:rsid w:val="00C56E19"/>
    <w:rsid w:val="00C6051A"/>
    <w:rsid w:val="00C60B0C"/>
    <w:rsid w:val="00C61FC2"/>
    <w:rsid w:val="00C6699C"/>
    <w:rsid w:val="00C705F9"/>
    <w:rsid w:val="00C80F0F"/>
    <w:rsid w:val="00C8667A"/>
    <w:rsid w:val="00C9095E"/>
    <w:rsid w:val="00C93BCB"/>
    <w:rsid w:val="00CA5FB8"/>
    <w:rsid w:val="00CB7AA5"/>
    <w:rsid w:val="00CC1E6F"/>
    <w:rsid w:val="00CC241A"/>
    <w:rsid w:val="00CD4CD2"/>
    <w:rsid w:val="00CD60DE"/>
    <w:rsid w:val="00CD7BC7"/>
    <w:rsid w:val="00CE4035"/>
    <w:rsid w:val="00CE65AB"/>
    <w:rsid w:val="00CF4266"/>
    <w:rsid w:val="00D06185"/>
    <w:rsid w:val="00D12744"/>
    <w:rsid w:val="00D22D9C"/>
    <w:rsid w:val="00D241F1"/>
    <w:rsid w:val="00D24E08"/>
    <w:rsid w:val="00D275CB"/>
    <w:rsid w:val="00D30DFA"/>
    <w:rsid w:val="00D32BEA"/>
    <w:rsid w:val="00D37C9D"/>
    <w:rsid w:val="00D441DD"/>
    <w:rsid w:val="00D443A1"/>
    <w:rsid w:val="00D463A5"/>
    <w:rsid w:val="00D4710D"/>
    <w:rsid w:val="00D47AA7"/>
    <w:rsid w:val="00D47D25"/>
    <w:rsid w:val="00D47DCD"/>
    <w:rsid w:val="00D570BA"/>
    <w:rsid w:val="00D62ACD"/>
    <w:rsid w:val="00D71046"/>
    <w:rsid w:val="00D71BEC"/>
    <w:rsid w:val="00D7420B"/>
    <w:rsid w:val="00D755AF"/>
    <w:rsid w:val="00D77259"/>
    <w:rsid w:val="00D77BD7"/>
    <w:rsid w:val="00D8207C"/>
    <w:rsid w:val="00D83012"/>
    <w:rsid w:val="00D90A16"/>
    <w:rsid w:val="00D95877"/>
    <w:rsid w:val="00D95A73"/>
    <w:rsid w:val="00DA3292"/>
    <w:rsid w:val="00DA36EE"/>
    <w:rsid w:val="00DB101E"/>
    <w:rsid w:val="00DB116D"/>
    <w:rsid w:val="00DB444C"/>
    <w:rsid w:val="00DC1081"/>
    <w:rsid w:val="00DC440F"/>
    <w:rsid w:val="00DD17CC"/>
    <w:rsid w:val="00DD70A1"/>
    <w:rsid w:val="00DE217A"/>
    <w:rsid w:val="00DE24B9"/>
    <w:rsid w:val="00DF321B"/>
    <w:rsid w:val="00DF6214"/>
    <w:rsid w:val="00E041F1"/>
    <w:rsid w:val="00E06258"/>
    <w:rsid w:val="00E10FC2"/>
    <w:rsid w:val="00E1155D"/>
    <w:rsid w:val="00E230E0"/>
    <w:rsid w:val="00E32882"/>
    <w:rsid w:val="00E433D9"/>
    <w:rsid w:val="00E479AC"/>
    <w:rsid w:val="00E51AAC"/>
    <w:rsid w:val="00E61D43"/>
    <w:rsid w:val="00E64D4C"/>
    <w:rsid w:val="00E6578C"/>
    <w:rsid w:val="00E66CC0"/>
    <w:rsid w:val="00E67CDE"/>
    <w:rsid w:val="00E70D6D"/>
    <w:rsid w:val="00E728A9"/>
    <w:rsid w:val="00E7407E"/>
    <w:rsid w:val="00E8070C"/>
    <w:rsid w:val="00E807D9"/>
    <w:rsid w:val="00E82E67"/>
    <w:rsid w:val="00E87A30"/>
    <w:rsid w:val="00EA0346"/>
    <w:rsid w:val="00EA0F4E"/>
    <w:rsid w:val="00EA295B"/>
    <w:rsid w:val="00EA3B9B"/>
    <w:rsid w:val="00EA6801"/>
    <w:rsid w:val="00EB23EF"/>
    <w:rsid w:val="00EB4639"/>
    <w:rsid w:val="00EB4F96"/>
    <w:rsid w:val="00EB5CB2"/>
    <w:rsid w:val="00EC1C3F"/>
    <w:rsid w:val="00ED7072"/>
    <w:rsid w:val="00EE3132"/>
    <w:rsid w:val="00EE3591"/>
    <w:rsid w:val="00EE3D9D"/>
    <w:rsid w:val="00EE6F25"/>
    <w:rsid w:val="00EF1F1A"/>
    <w:rsid w:val="00F02126"/>
    <w:rsid w:val="00F03D85"/>
    <w:rsid w:val="00F07C8C"/>
    <w:rsid w:val="00F22E92"/>
    <w:rsid w:val="00F249F1"/>
    <w:rsid w:val="00F25B9D"/>
    <w:rsid w:val="00F2664E"/>
    <w:rsid w:val="00F31163"/>
    <w:rsid w:val="00F31C04"/>
    <w:rsid w:val="00F425E2"/>
    <w:rsid w:val="00F442A7"/>
    <w:rsid w:val="00F45764"/>
    <w:rsid w:val="00F502F2"/>
    <w:rsid w:val="00F507E5"/>
    <w:rsid w:val="00F57A89"/>
    <w:rsid w:val="00F61A20"/>
    <w:rsid w:val="00F63C8B"/>
    <w:rsid w:val="00F63DD9"/>
    <w:rsid w:val="00F6476F"/>
    <w:rsid w:val="00F67644"/>
    <w:rsid w:val="00F8381F"/>
    <w:rsid w:val="00F862DF"/>
    <w:rsid w:val="00F97856"/>
    <w:rsid w:val="00FA04CD"/>
    <w:rsid w:val="00FA25F5"/>
    <w:rsid w:val="00FA2810"/>
    <w:rsid w:val="00FA36F2"/>
    <w:rsid w:val="00FA68F8"/>
    <w:rsid w:val="00FB1DC0"/>
    <w:rsid w:val="00FB3B4E"/>
    <w:rsid w:val="00FB4521"/>
    <w:rsid w:val="00FB4C39"/>
    <w:rsid w:val="00FB4F84"/>
    <w:rsid w:val="00FB5CF8"/>
    <w:rsid w:val="00FC2049"/>
    <w:rsid w:val="00FC3AED"/>
    <w:rsid w:val="00FC72A7"/>
    <w:rsid w:val="00FC78FC"/>
    <w:rsid w:val="00FD548E"/>
    <w:rsid w:val="00FD7588"/>
    <w:rsid w:val="00FE35B7"/>
    <w:rsid w:val="00FE5651"/>
    <w:rsid w:val="00FF273B"/>
    <w:rsid w:val="00FF51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3B35C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93611">
      <w:bodyDiv w:val="1"/>
      <w:marLeft w:val="0"/>
      <w:marRight w:val="0"/>
      <w:marTop w:val="0"/>
      <w:marBottom w:val="0"/>
      <w:divBdr>
        <w:top w:val="none" w:sz="0" w:space="0" w:color="auto"/>
        <w:left w:val="none" w:sz="0" w:space="0" w:color="auto"/>
        <w:bottom w:val="none" w:sz="0" w:space="0" w:color="auto"/>
        <w:right w:val="none" w:sz="0" w:space="0" w:color="auto"/>
      </w:divBdr>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3373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2043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yperlink" Target="https://digitalcommons.otterbein.edu/stu_master/16"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kirst\OneDrive\Documents\Assignment%203\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Test 1</c:v>
                </c:pt>
              </c:strCache>
            </c:strRef>
          </c:tx>
          <c:spPr>
            <a:solidFill>
              <a:schemeClr val="accent1"/>
            </a:solidFill>
            <a:ln>
              <a:noFill/>
            </a:ln>
            <a:effectLst/>
          </c:spPr>
          <c:invertIfNegative val="0"/>
          <c:cat>
            <c:strRef>
              <c:f>Sheet1!$A$2:$A$27</c:f>
              <c:strCache>
                <c:ptCount val="26"/>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pt idx="22">
                  <c:v>W</c:v>
                </c:pt>
                <c:pt idx="23">
                  <c:v>X</c:v>
                </c:pt>
                <c:pt idx="24">
                  <c:v>Y</c:v>
                </c:pt>
                <c:pt idx="25">
                  <c:v>Z</c:v>
                </c:pt>
              </c:strCache>
            </c:strRef>
          </c:cat>
          <c:val>
            <c:numRef>
              <c:f>Sheet1!$B$2:$B$27</c:f>
              <c:numCache>
                <c:formatCode>General</c:formatCode>
                <c:ptCount val="26"/>
                <c:pt idx="0">
                  <c:v>1</c:v>
                </c:pt>
                <c:pt idx="1">
                  <c:v>1</c:v>
                </c:pt>
                <c:pt idx="2">
                  <c:v>1</c:v>
                </c:pt>
                <c:pt idx="3">
                  <c:v>1</c:v>
                </c:pt>
                <c:pt idx="4">
                  <c:v>1</c:v>
                </c:pt>
                <c:pt idx="5">
                  <c:v>1</c:v>
                </c:pt>
                <c:pt idx="6">
                  <c:v>2</c:v>
                </c:pt>
                <c:pt idx="7">
                  <c:v>1</c:v>
                </c:pt>
                <c:pt idx="8">
                  <c:v>1</c:v>
                </c:pt>
                <c:pt idx="9">
                  <c:v>1</c:v>
                </c:pt>
                <c:pt idx="10">
                  <c:v>1</c:v>
                </c:pt>
                <c:pt idx="11">
                  <c:v>2</c:v>
                </c:pt>
                <c:pt idx="12">
                  <c:v>2</c:v>
                </c:pt>
                <c:pt idx="13">
                  <c:v>0</c:v>
                </c:pt>
                <c:pt idx="14">
                  <c:v>0</c:v>
                </c:pt>
                <c:pt idx="15">
                  <c:v>1</c:v>
                </c:pt>
                <c:pt idx="16">
                  <c:v>2</c:v>
                </c:pt>
                <c:pt idx="17">
                  <c:v>2</c:v>
                </c:pt>
                <c:pt idx="18">
                  <c:v>1</c:v>
                </c:pt>
                <c:pt idx="19">
                  <c:v>2</c:v>
                </c:pt>
                <c:pt idx="20">
                  <c:v>2</c:v>
                </c:pt>
                <c:pt idx="21">
                  <c:v>1</c:v>
                </c:pt>
                <c:pt idx="22">
                  <c:v>1</c:v>
                </c:pt>
                <c:pt idx="23">
                  <c:v>0</c:v>
                </c:pt>
                <c:pt idx="24">
                  <c:v>0</c:v>
                </c:pt>
                <c:pt idx="25">
                  <c:v>1</c:v>
                </c:pt>
              </c:numCache>
            </c:numRef>
          </c:val>
          <c:extLst>
            <c:ext xmlns:c16="http://schemas.microsoft.com/office/drawing/2014/chart" uri="{C3380CC4-5D6E-409C-BE32-E72D297353CC}">
              <c16:uniqueId val="{00000000-E61C-4725-9713-D12B45A9B66F}"/>
            </c:ext>
          </c:extLst>
        </c:ser>
        <c:ser>
          <c:idx val="1"/>
          <c:order val="1"/>
          <c:tx>
            <c:strRef>
              <c:f>Sheet1!$C$1</c:f>
              <c:strCache>
                <c:ptCount val="1"/>
                <c:pt idx="0">
                  <c:v>Test 2</c:v>
                </c:pt>
              </c:strCache>
            </c:strRef>
          </c:tx>
          <c:spPr>
            <a:solidFill>
              <a:schemeClr val="accent2"/>
            </a:solidFill>
            <a:ln>
              <a:noFill/>
            </a:ln>
            <a:effectLst/>
          </c:spPr>
          <c:invertIfNegative val="0"/>
          <c:cat>
            <c:strRef>
              <c:f>Sheet1!$A$2:$A$27</c:f>
              <c:strCache>
                <c:ptCount val="26"/>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pt idx="22">
                  <c:v>W</c:v>
                </c:pt>
                <c:pt idx="23">
                  <c:v>X</c:v>
                </c:pt>
                <c:pt idx="24">
                  <c:v>Y</c:v>
                </c:pt>
                <c:pt idx="25">
                  <c:v>Z</c:v>
                </c:pt>
              </c:strCache>
            </c:strRef>
          </c:cat>
          <c:val>
            <c:numRef>
              <c:f>Sheet1!$C$2:$C$27</c:f>
              <c:numCache>
                <c:formatCode>General</c:formatCode>
                <c:ptCount val="26"/>
                <c:pt idx="0">
                  <c:v>12</c:v>
                </c:pt>
                <c:pt idx="1">
                  <c:v>5</c:v>
                </c:pt>
                <c:pt idx="2">
                  <c:v>3</c:v>
                </c:pt>
                <c:pt idx="3">
                  <c:v>8</c:v>
                </c:pt>
                <c:pt idx="4">
                  <c:v>14</c:v>
                </c:pt>
                <c:pt idx="5">
                  <c:v>12</c:v>
                </c:pt>
                <c:pt idx="6">
                  <c:v>14</c:v>
                </c:pt>
                <c:pt idx="7">
                  <c:v>10</c:v>
                </c:pt>
                <c:pt idx="8">
                  <c:v>14</c:v>
                </c:pt>
                <c:pt idx="9">
                  <c:v>14</c:v>
                </c:pt>
                <c:pt idx="10">
                  <c:v>13</c:v>
                </c:pt>
                <c:pt idx="11">
                  <c:v>8</c:v>
                </c:pt>
                <c:pt idx="12">
                  <c:v>12</c:v>
                </c:pt>
                <c:pt idx="13">
                  <c:v>8</c:v>
                </c:pt>
                <c:pt idx="14">
                  <c:v>13</c:v>
                </c:pt>
                <c:pt idx="15">
                  <c:v>14</c:v>
                </c:pt>
                <c:pt idx="16">
                  <c:v>12</c:v>
                </c:pt>
                <c:pt idx="17">
                  <c:v>12</c:v>
                </c:pt>
                <c:pt idx="18">
                  <c:v>11</c:v>
                </c:pt>
                <c:pt idx="19">
                  <c:v>14</c:v>
                </c:pt>
                <c:pt idx="20">
                  <c:v>12</c:v>
                </c:pt>
                <c:pt idx="21">
                  <c:v>11</c:v>
                </c:pt>
                <c:pt idx="22">
                  <c:v>7</c:v>
                </c:pt>
                <c:pt idx="23">
                  <c:v>5</c:v>
                </c:pt>
                <c:pt idx="24">
                  <c:v>9</c:v>
                </c:pt>
                <c:pt idx="25">
                  <c:v>12</c:v>
                </c:pt>
              </c:numCache>
            </c:numRef>
          </c:val>
          <c:extLst>
            <c:ext xmlns:c16="http://schemas.microsoft.com/office/drawing/2014/chart" uri="{C3380CC4-5D6E-409C-BE32-E72D297353CC}">
              <c16:uniqueId val="{00000001-E61C-4725-9713-D12B45A9B66F}"/>
            </c:ext>
          </c:extLst>
        </c:ser>
        <c:ser>
          <c:idx val="2"/>
          <c:order val="2"/>
          <c:tx>
            <c:strRef>
              <c:f>Sheet1!$D$1</c:f>
              <c:strCache>
                <c:ptCount val="1"/>
                <c:pt idx="0">
                  <c:v>Difference</c:v>
                </c:pt>
              </c:strCache>
            </c:strRef>
          </c:tx>
          <c:spPr>
            <a:solidFill>
              <a:schemeClr val="accent3"/>
            </a:solidFill>
            <a:ln>
              <a:noFill/>
            </a:ln>
            <a:effectLst/>
          </c:spPr>
          <c:invertIfNegative val="0"/>
          <c:cat>
            <c:strRef>
              <c:f>Sheet1!$A$2:$A$27</c:f>
              <c:strCache>
                <c:ptCount val="26"/>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pt idx="22">
                  <c:v>W</c:v>
                </c:pt>
                <c:pt idx="23">
                  <c:v>X</c:v>
                </c:pt>
                <c:pt idx="24">
                  <c:v>Y</c:v>
                </c:pt>
                <c:pt idx="25">
                  <c:v>Z</c:v>
                </c:pt>
              </c:strCache>
            </c:strRef>
          </c:cat>
          <c:val>
            <c:numRef>
              <c:f>Sheet1!$D$2:$D$27</c:f>
              <c:numCache>
                <c:formatCode>General</c:formatCode>
                <c:ptCount val="26"/>
                <c:pt idx="0">
                  <c:v>11</c:v>
                </c:pt>
                <c:pt idx="1">
                  <c:v>4</c:v>
                </c:pt>
                <c:pt idx="2">
                  <c:v>2</c:v>
                </c:pt>
                <c:pt idx="3">
                  <c:v>7</c:v>
                </c:pt>
                <c:pt idx="4">
                  <c:v>13</c:v>
                </c:pt>
                <c:pt idx="5">
                  <c:v>11</c:v>
                </c:pt>
                <c:pt idx="6">
                  <c:v>12</c:v>
                </c:pt>
                <c:pt idx="7">
                  <c:v>9</c:v>
                </c:pt>
                <c:pt idx="8">
                  <c:v>13</c:v>
                </c:pt>
                <c:pt idx="9">
                  <c:v>13</c:v>
                </c:pt>
                <c:pt idx="10">
                  <c:v>12</c:v>
                </c:pt>
                <c:pt idx="11">
                  <c:v>6</c:v>
                </c:pt>
                <c:pt idx="12">
                  <c:v>10</c:v>
                </c:pt>
                <c:pt idx="13">
                  <c:v>8</c:v>
                </c:pt>
                <c:pt idx="14">
                  <c:v>13</c:v>
                </c:pt>
                <c:pt idx="15">
                  <c:v>13</c:v>
                </c:pt>
                <c:pt idx="16">
                  <c:v>10</c:v>
                </c:pt>
                <c:pt idx="17">
                  <c:v>10</c:v>
                </c:pt>
                <c:pt idx="18">
                  <c:v>10</c:v>
                </c:pt>
                <c:pt idx="19">
                  <c:v>12</c:v>
                </c:pt>
                <c:pt idx="20">
                  <c:v>10</c:v>
                </c:pt>
                <c:pt idx="21">
                  <c:v>10</c:v>
                </c:pt>
                <c:pt idx="22">
                  <c:v>6</c:v>
                </c:pt>
                <c:pt idx="23">
                  <c:v>5</c:v>
                </c:pt>
                <c:pt idx="24">
                  <c:v>9</c:v>
                </c:pt>
                <c:pt idx="25">
                  <c:v>11</c:v>
                </c:pt>
              </c:numCache>
            </c:numRef>
          </c:val>
          <c:extLst>
            <c:ext xmlns:c16="http://schemas.microsoft.com/office/drawing/2014/chart" uri="{C3380CC4-5D6E-409C-BE32-E72D297353CC}">
              <c16:uniqueId val="{00000002-E61C-4725-9713-D12B45A9B66F}"/>
            </c:ext>
          </c:extLst>
        </c:ser>
        <c:dLbls>
          <c:showLegendKey val="0"/>
          <c:showVal val="0"/>
          <c:showCatName val="0"/>
          <c:showSerName val="0"/>
          <c:showPercent val="0"/>
          <c:showBubbleSize val="0"/>
        </c:dLbls>
        <c:gapWidth val="219"/>
        <c:overlap val="-27"/>
        <c:axId val="582718296"/>
        <c:axId val="582719280"/>
      </c:barChart>
      <c:catAx>
        <c:axId val="582718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719280"/>
        <c:crosses val="autoZero"/>
        <c:auto val="1"/>
        <c:lblAlgn val="ctr"/>
        <c:lblOffset val="100"/>
        <c:noMultiLvlLbl val="0"/>
      </c:catAx>
      <c:valAx>
        <c:axId val="582719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718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AssignFrm</Template>
  <TotalTime>0</TotalTime>
  <Pages>25</Pages>
  <Words>10926</Words>
  <Characters>62283</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73063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Kirsten Leary</cp:lastModifiedBy>
  <cp:revision>2</cp:revision>
  <cp:lastPrinted>2018-11-05T16:52:00Z</cp:lastPrinted>
  <dcterms:created xsi:type="dcterms:W3CDTF">2019-05-13T16:49:00Z</dcterms:created>
  <dcterms:modified xsi:type="dcterms:W3CDTF">2019-05-13T16:49:00Z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