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center"/>
        <w:rPr>
          <w:b/>
          <w:b/>
          <w:bCs/>
        </w:rPr>
      </w:pPr>
      <w:r>
        <w:rPr>
          <w:b/>
          <w:bCs/>
        </w:rPr>
        <w:t>DHEP Assignment</w:t>
      </w:r>
    </w:p>
    <w:p>
      <w:pPr>
        <w:pStyle w:val="Normal"/>
        <w:bidi w:val="0"/>
        <w:jc w:val="center"/>
        <w:rPr>
          <w:b/>
          <w:b/>
          <w:bCs/>
        </w:rPr>
      </w:pPr>
      <w:r>
        <w:rPr>
          <w:b/>
          <w:bCs/>
        </w:rPr>
      </w:r>
    </w:p>
    <w:p>
      <w:pPr>
        <w:pStyle w:val="Normal"/>
        <w:bidi w:val="0"/>
        <w:jc w:val="center"/>
        <w:rPr>
          <w:b/>
          <w:b/>
          <w:bCs/>
        </w:rPr>
      </w:pPr>
      <w:r>
        <w:rPr>
          <w:b/>
          <w:bCs/>
        </w:rPr>
        <w:t>Alexander Moras – 2029405</w:t>
      </w:r>
    </w:p>
    <w:p>
      <w:pPr>
        <w:pStyle w:val="Normal"/>
        <w:bidi w:val="0"/>
        <w:jc w:val="center"/>
        <w:rPr>
          <w:b w:val="false"/>
          <w:b w:val="false"/>
          <w:bCs w:val="false"/>
        </w:rPr>
      </w:pPr>
      <w:r>
        <w:rPr>
          <w:b w:val="false"/>
          <w:bCs w:val="false"/>
        </w:rPr>
      </w:r>
    </w:p>
    <w:p>
      <w:pPr>
        <w:pStyle w:val="Normal"/>
        <w:bidi w:val="0"/>
        <w:jc w:val="both"/>
        <w:rPr>
          <w:b w:val="false"/>
          <w:b w:val="false"/>
          <w:bCs w:val="false"/>
          <w:u w:val="single"/>
        </w:rPr>
      </w:pPr>
      <w:r>
        <w:rPr>
          <w:b w:val="false"/>
          <w:bCs w:val="false"/>
          <w:u w:val="single"/>
        </w:rPr>
        <w:t>Essay One</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Through recent years, the Home Office has been implementing a plan to “professionalise” the police service. The idea behind this being a professional body to govern policies and procedures – the College of Policing – and tertiary education for those working within the sector (Green and Gates, 2014).</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 xml:space="preserve">Policing is widely regarded as responsive. A person dials “999” in an emergency and an officer attends to resolve the issue. However, the modernisation of policing has led towards “problem oriented policing” and proactive work to identify issues and mitigate them before they manifest as crimes. </w:t>
      </w:r>
      <w:r>
        <w:rPr>
          <w:b w:val="false"/>
          <w:bCs w:val="false"/>
          <w:u w:val="none"/>
        </w:rPr>
        <w:t>This relies on analysis of crime trends to build a better understanding of the underlying issues (Bullock and Tilley, 2012) and implement an evidence-based policing model. By implementing tertiary education within the police service, those who conduct these investigations have a better understanding of the evidence-led model and academic research which supports the theories. A core pillar to the professionalisation of the police is evidence-based policing being taught and implemented at the earliest stages of an officer’s career (Pepper, Rogers and Martin, 2020). The structure provided by a governing body such as the College of Policing allows for a consistent approach to policing regardless of location (Rogers and Smith, 2018).</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Not everything can be seen as a benefit – by professionalising the police, this requires additional learning to be undertaken by new officers on top of an already difficult career. Research carried out since the implementation of the police constable degree apprenticeship and degree holder entry programme showed that many new officers feel there is a significant disconnect between the academic and theoretical side of their studies and real world policing. The consensus was that whilst academia provides a good grounding, the teaching does not reflect front line policing (Watkinson-Miley, Cox and Deshpande, 2021).</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A further concern related to professionalisation is where it leaves serving officers. Those with decades of experience in policing do not see any benefit from the professionalisation. Concerns lay around the lack of ability to obtain this degree and whether this will put experienced officers on the back-foot in years to come when promotions are being considered (Pepper, Brown and Stubbs, 2021).</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Whilst professionalising the service provides quantitative skills and a framework for development, it does not consider the real-world implications of policing nor does it consider those officers who are already in service and unable to obtain such qualifications.</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 xml:space="preserve">A core aspect of the professionalisation of the service is to uphold high standards across the service and increase public confidence in policing. Implementation of national guidance as formulated by the College of Policing allows for policies and procedures which have been tested legislatively, subject to public scrutiny, and consistent across forces. When officers are policing using these procedures, by default their level of professionalism is increased since they’re acting in a way as set out by the governing body. This has a positive feedback loop in the sense that those who feel they are acting more professionally, will take a proactive role in furthering it within the organisation (Lumsden and Goode, 2016). </w:t>
      </w:r>
      <w:r>
        <w:rPr>
          <w:b w:val="false"/>
          <w:bCs w:val="false"/>
          <w:u w:val="none"/>
        </w:rPr>
        <w:t>National standards for learning and qualifications are created which ensure that forces can work interoperable. If major incidents occur and there is a requirement for mutual aid, due to the national standards of training, all officers from a multitude of forces can work together seamlessly and ensure that the most professional response to the incident is delivered.</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Professionalisation of the police also influences partner agencies. The development of JESIP – Joint Emergency Services Interoperability Programme – was spearheaded by the Home Office in 2012 with police being responsible for the overall management of major incidents (Wankhade, Mccann and Murphy, 2019). Due to the strict procedures defined within the JESIP manual which are heavily influence from College of Policing protocols, all those involved in a major incident are critically aware of their involvement and responsibilities – this is a clear benefit of the professionalisation of the police. The research and academia which influenced the College of Policing protocols was core to the development of JESIP.</w:t>
      </w:r>
    </w:p>
    <w:p>
      <w:pPr>
        <w:pStyle w:val="Normal"/>
        <w:bidi w:val="0"/>
        <w:jc w:val="both"/>
        <w:rPr>
          <w:b/>
          <w:b/>
          <w:bCs/>
          <w:u w:val="none"/>
        </w:rPr>
      </w:pPr>
      <w:r>
        <w:rPr>
          <w:b/>
          <w:bCs/>
          <w:u w:val="none"/>
        </w:rPr>
      </w:r>
    </w:p>
    <w:p>
      <w:pPr>
        <w:pStyle w:val="Normal"/>
        <w:bidi w:val="0"/>
        <w:jc w:val="both"/>
        <w:rPr>
          <w:b w:val="false"/>
          <w:b w:val="false"/>
          <w:bCs w:val="false"/>
          <w:u w:val="none"/>
        </w:rPr>
      </w:pPr>
      <w:r>
        <w:rPr>
          <w:b w:val="false"/>
          <w:bCs w:val="false"/>
          <w:u w:val="none"/>
        </w:rPr>
        <w:t xml:space="preserve">One of the core Peelian Principles of policing is the concept of “policing by consent”. The police are the public and the public are the police. Only whilst society as a whole accept the police will </w:t>
      </w:r>
      <w:r>
        <w:rPr>
          <w:b w:val="false"/>
          <w:bCs w:val="false"/>
          <w:u w:val="none"/>
        </w:rPr>
        <w:t>the service</w:t>
      </w:r>
      <w:r>
        <w:rPr>
          <w:b w:val="false"/>
          <w:bCs w:val="false"/>
          <w:u w:val="none"/>
        </w:rPr>
        <w:t xml:space="preserve"> actually be effective in maintaining order (Lentz and Chaires, 2007). </w:t>
      </w:r>
      <w:r>
        <w:rPr>
          <w:b w:val="false"/>
          <w:bCs w:val="false"/>
          <w:u w:val="none"/>
        </w:rPr>
        <w:t xml:space="preserve">The ethics of policing are set out by the College of Policing and are central to every decision made by the organisation or individuals. One of these such standards of professional behaviour is to ensure equality and diversity are upheld. By ensuring the organisation is representative of the communities they serve, and that all voices are heard, public confidence in policing is increased (Hong, 2016). </w:t>
      </w:r>
      <w:r>
        <w:rPr>
          <w:b w:val="false"/>
          <w:bCs w:val="false"/>
          <w:u w:val="none"/>
        </w:rPr>
        <w:t>A professional service can be measured by the confidence and satisfaction of the public the organisation serves.</w:t>
      </w:r>
    </w:p>
    <w:p>
      <w:pPr>
        <w:pStyle w:val="Normal"/>
        <w:bidi w:val="0"/>
        <w:jc w:val="both"/>
        <w:rPr>
          <w:b/>
          <w:b/>
          <w:bCs/>
          <w:u w:val="none"/>
        </w:rPr>
      </w:pPr>
      <w:r>
        <w:rPr>
          <w:b/>
          <w:bCs/>
          <w:u w:val="none"/>
        </w:rPr>
      </w:r>
    </w:p>
    <w:p>
      <w:pPr>
        <w:pStyle w:val="Normal"/>
        <w:bidi w:val="0"/>
        <w:jc w:val="both"/>
        <w:rPr>
          <w:b w:val="false"/>
          <w:b w:val="false"/>
          <w:bCs w:val="false"/>
          <w:u w:val="none"/>
        </w:rPr>
      </w:pPr>
      <w:r>
        <w:rPr>
          <w:b w:val="false"/>
          <w:bCs w:val="false"/>
          <w:u w:val="none"/>
        </w:rPr>
        <w:t xml:space="preserve">Within the police service, only specially-qualified officers are able to officially coach new officers. This ensures that only those with the highest level of professionalism and knowledge are in a position of influence those who are still learning. By implementing a consistent mentoring and coaching approach, the organisation continues to develop and improve. When lessons need to be learnt, studies show that people respond better to being coached on how to improve rather than being reprimanded (Garvey, Strokes and Meggison, 2010). Routinely within the police, officers work as teams, with those more experience imparting their knowledge to those with lesser service. </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[90</w:t>
      </w:r>
      <w:r>
        <w:rPr>
          <w:b w:val="false"/>
          <w:bCs w:val="false"/>
          <w:u w:val="none"/>
        </w:rPr>
        <w:t>0</w:t>
      </w:r>
      <w:r>
        <w:rPr>
          <w:b w:val="false"/>
          <w:bCs w:val="false"/>
          <w:u w:val="none"/>
        </w:rPr>
        <w:t xml:space="preserve"> words]</w:t>
      </w:r>
    </w:p>
    <w:p>
      <w:pPr>
        <w:pStyle w:val="Normal"/>
        <w:bidi w:val="0"/>
        <w:jc w:val="both"/>
        <w:rPr>
          <w:b w:val="false"/>
          <w:b w:val="false"/>
          <w:bCs w:val="false"/>
          <w:u w:val="single"/>
        </w:rPr>
      </w:pPr>
      <w:r>
        <w:rPr>
          <w:b w:val="false"/>
          <w:bCs w:val="false"/>
          <w:u w:val="single"/>
        </w:rPr>
      </w:r>
    </w:p>
    <w:p>
      <w:pPr>
        <w:pStyle w:val="Normal"/>
        <w:bidi w:val="0"/>
        <w:jc w:val="both"/>
        <w:rPr>
          <w:b w:val="false"/>
          <w:b w:val="false"/>
          <w:bCs w:val="false"/>
          <w:u w:val="single"/>
        </w:rPr>
      </w:pPr>
      <w:r>
        <w:rPr>
          <w:b w:val="false"/>
          <w:bCs w:val="false"/>
          <w:u w:val="single"/>
        </w:rPr>
      </w:r>
    </w:p>
    <w:p>
      <w:pPr>
        <w:pStyle w:val="Normal"/>
        <w:bidi w:val="0"/>
        <w:jc w:val="both"/>
        <w:rPr>
          <w:b w:val="false"/>
          <w:b w:val="false"/>
          <w:bCs w:val="false"/>
          <w:u w:val="single"/>
        </w:rPr>
      </w:pPr>
      <w:r>
        <w:rPr>
          <w:b w:val="false"/>
          <w:bCs w:val="false"/>
          <w:u w:val="single"/>
        </w:rPr>
      </w:r>
      <w:r>
        <w:br w:type="page"/>
      </w:r>
    </w:p>
    <w:p>
      <w:pPr>
        <w:pStyle w:val="Normal"/>
        <w:bidi w:val="0"/>
        <w:jc w:val="both"/>
        <w:rPr>
          <w:b w:val="false"/>
          <w:b w:val="false"/>
          <w:bCs w:val="false"/>
          <w:u w:val="single"/>
        </w:rPr>
      </w:pPr>
      <w:r>
        <w:rPr>
          <w:b w:val="false"/>
          <w:bCs w:val="false"/>
          <w:u w:val="single"/>
        </w:rPr>
        <w:t>Essay Two – Response Policing</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Response police officers tend to be the first on scene to a wide variety of incidents. This can be due to their proximity when conducting mobile patrols or due to other emergency services standing off until the scene has been verified as safe by police. The initial response to the incident is critical with the first period, known as the “golden hour”, affecting the way the entire scene is managed. This places a great responsibility upon the non-specialist resources (Allen, Karanasios and Norman, 2014).</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METHANE is a mnemonic developed by the Joint Emergency Service Operability Programme (JESIP) with the intention to help first responders remember the core information that needs to be passed to allow early coordination of a major incident (Flanagan, 2014). The first aspect is to declare a major incident. In the police, any person can declare a major incident however this decision would usually be ratified by a senior officer and then communicated to partner agencies such as ambulance service and fire service to allow co-location of senior managers and the best response to an incident. The inquiry in to the Manchester Arena bombing in 2017 was critical of emergency services for failing to declare a major incident early enough and the organisations that did, failed to communicate this with partner agencies (Saunders, 2022). The mnemonic continues by identifying the exact location of the incident, type of incident, hazards, access routes, number of casualties, and emergency services required. All of this is vital information to assess the incident but can be extremely overwhelming for a response officer when arriving at the scene of a major incident, placing said person under extreme stress (Khorram-Manesh et al., 2019).</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The primary role of the police service to preserve life and limb. This comes above all other responsibilities (Brown, 2014). However, at the scene of a major incident the responsibility is to ensure the scene safety and provide real-time updates to partner agencies. Whilst this may seem counter productive by not helping those injured, it is critical to allow the other resources such as ambulance service to enter the area and provide advanced care. The ambulance service follow a similar protocol. The first medical professional on scene does not treat patients, they conduct a “triage sieve” protocol to establish who is in most need of advanced care to best prioritise resources (Flanagan, 2014). This is evidence of the fact that when responding to a major incident, the role of the response officer is not necessarily to get “hands on” immediately but to consider the needs of the larger multi-agency response. This was another critical point of the Manchester Arena inquiry. The initial police officers on scene communicated the threats they had seen to armed officers who very quickly insured the safety of the scene, but the fact the scene was safe was not relayed to partner agencies. A report by the Chief Coroner in relation to the 2019 London Bridge terror attack showed that the first officers on scene and in a position to neutralise the threat were unarmed response officers. Their role was critical in guiding armed officers and other specialist resources in to the area (Lucraft, 2019).</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With all of this considered, there is a great burden placed on a responding police officer to face scenes of absolute chaos and destruction whilst maintaining the composure to perform their role to the highest of the ability, in a time when it is most needed. In almost all cases, the mental health of those who have responded to a major incident has declined significantly to the point where professional intervention is required (Sellwood and Wapling, 2016). Organisations have a duty of care to support those exposed to trauma as a result of their work (Clements, Kinman and Hart, 2020).</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Following exposure to a traumatic incident, many agencies including the police implement trauma risk management (TRiM). TRiM was designed by the British Army to identify any concerning signs of trauma and establish a method for supporting those afflicted (Greenberg, Langston and Jones, 2008). The purpose of TRiM is not to provide the support directly, but to assist and encourage individuals who may be showing signs of trauma to seek support and sign-post them in the right direction. The system has been implemented across the world by numerous first-responder agencies and is shown to have a significant and positive correlation with improved mental health following an incident (Whybrow, Jones and Greenberg, 2015) (Watson and Andrews, 2018).</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Numerous studies have been conducted linking trauma with significant negative mental health implications (Breslau, 2009) although evidence shows that by preparing for such situations can reduce a person’s susceptibility to negative consequences (Brewin et al., 2020). Conditions such as PTSD develop as a result of exposure to extremely stressful or traumatic events, such as those experienced by a first responder at the scene of a major incident. By providing extensive training on what to expect and how to manage a traumatic incident, a person responding to a major incident will experience less stress. Studies conducted with the military show that by conducting regular training and using scenario-based exercises provided an overall downward trend in those experiencing PTSD and related mental health conditions following a traumatic event (Moore and Penk, 2011).</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It is critical to prepare for major incidents and for those who are likely to be the first-responder to be confident and well-equipped to complete their role. This has a positive outcome for the victims of the disaster but also increases resilience in the workforce by reducing negative consequences linked to post-traumatic stress disorder.</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[927 words]</w:t>
      </w:r>
    </w:p>
    <w:p>
      <w:pPr>
        <w:pStyle w:val="Normal"/>
        <w:bidi w:val="0"/>
        <w:jc w:val="both"/>
        <w:rPr>
          <w:b w:val="false"/>
          <w:b w:val="false"/>
          <w:bCs w:val="false"/>
          <w:u w:val="single"/>
        </w:rPr>
      </w:pPr>
      <w:r>
        <w:rPr>
          <w:b w:val="false"/>
          <w:bCs w:val="false"/>
          <w:u w:val="single"/>
        </w:rPr>
      </w:r>
    </w:p>
    <w:p>
      <w:pPr>
        <w:pStyle w:val="Normal"/>
        <w:bidi w:val="0"/>
        <w:jc w:val="both"/>
        <w:rPr>
          <w:b w:val="false"/>
          <w:b w:val="false"/>
          <w:bCs w:val="false"/>
          <w:u w:val="single"/>
        </w:rPr>
      </w:pPr>
      <w:r>
        <w:rPr>
          <w:b w:val="false"/>
          <w:bCs w:val="false"/>
          <w:u w:val="single"/>
        </w:rPr>
      </w:r>
      <w:r>
        <w:br w:type="page"/>
      </w:r>
    </w:p>
    <w:p>
      <w:pPr>
        <w:pStyle w:val="Normal"/>
        <w:bidi w:val="0"/>
        <w:jc w:val="both"/>
        <w:rPr>
          <w:b w:val="false"/>
          <w:b w:val="false"/>
          <w:bCs w:val="false"/>
          <w:u w:val="single"/>
        </w:rPr>
      </w:pPr>
      <w:r>
        <w:rPr>
          <w:b w:val="false"/>
          <w:bCs w:val="false"/>
          <w:u w:val="single"/>
        </w:rPr>
        <w:t>Essay Three</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Information and intelligence is gathered by police continuously in an effort to ensure that the most relevant and timely data is held to help influence investigations and ensure public safety. Intelligence is a form of information that has been subject to the National Intelligence Model to identify the reliability of the source, the reliability of the intelligence, and how it should be handled.</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In recent years, the UK has moved to a newer model of intelligence handling known as 3x5x2, from the previous 5x5x5 approach. The newer model attempts to simplify the process for those submitting an intelligence report but maintain the same level of data quality (Phythian and Kirby, 2022).</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Intelligence is obtained to assist with an investigation of some variety. For police to hold information it must have some relevance and value to the organisation, in the form of preventing or detecting crime, or in the best interest of an individual. The latter part of this can be seen within the custody environment where police hold information on a detainees medical requirements to ensure they are best looked after whilst in police care.</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When intelligence is obtained, it is given one of two handling codes. The first allows dissemination without conditions, the second specifies requirements for dissemination such as within the organisation only. The intelligence is shared with any relevant third party to prevent crime and safeguard individuals. Police have a common-law power to share this information (Information Commissioner’s Office, 2022).</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The National Automatic Number Plate Recognition Service (NAS) is a system of connected cameras which work with a back-office framework to identify the number plate of every vehicle that drives past them. The system spans the entire United Kingdom and is accessible by every police force for real-time tracking of number plates and alerts based on certain criteria. The move to a UK-wide system improved intelligence gathering as forces could easily obtain information for anywhere in the country. Since vehicles facilitate cross-border travel between counties with ease and with the emergence of county lines becoming more prevalent in modern society, being able to access systems from outside a force-area has become even easier with the national roll-out (Gurney et al., 2012). A centrally managed instance of NAS is run by the Home Office and secured by the National Cyber Security Centre. ANPR is a form of sensitive information and the move to a single provider increased the security compared to isolated camera regions depending on the knowledge of forces and the budgets they have to keep them up-to-date and secure. The new national model is centrally funded with a dedicated team ensuring its security (Kim, 2017).</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 xml:space="preserve">The security of such an intelligence source is of great concern to the public, with some claiming that  with the rise of increased use of police-owned cameras, we are living in a surveillance state (Sheldon, 2011). There is a continuous debate in society as to whether giving up social liberties is worth the increased security provided by surveillance. The Information Commissioner’s Office requires ANPR to be non-obtrusive, meaning that its monitoring can only occur in places where a person can have no expectation of privacy – in essence, public roads. Studies show that the deployment of ANPR cameras has an increased rate of detection of all manner of crimes, not just roads policing related matters (Boersma and Fonio, 2017). </w:t>
      </w:r>
      <w:r>
        <w:rPr>
          <w:b w:val="false"/>
          <w:bCs w:val="false"/>
          <w:u w:val="none"/>
        </w:rPr>
        <w:t>Although the camera use must be unobtrusive, this does not mean that it needs to be overt. The location of ANPR cameras connected to the NAS network is “official-sensitive” information and cannot be disclosed. The purpose of the locations is to cover main arterial routes. Usually, every main road will have a camera at some point of its length however a balance between proportionality, cost, and oversight needs to be met. Disclosure of the camera locations would allow those intent on doing so to avoid being captured by the cameras (Stanier, 2016).</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ANPR can play a significant role in policing the roads. The system is able to develop hot-lists of vehicles based on specific criteria. These can relate to vehicles with no insurance, vehicles with local intelligence for a variety of things such as drink driving, and vehicles with a national ACT marker which require some form of intervention due to a multitude of different crimes. Functionality is built-in to identify convoys of vehicles or alert to potentially cloned plates allowing police forces to act as appropriate and gather all the available information (Manning and Agnew, 2020).</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Whilst ANPR is an excellent tool for preventing and detecting crime, it also has a significant role in safeguarding members of public. The vast majority of police calls for service are related to mental health (Boulton et al., 2016) and can often end as a search for a missing person. If concerns are raised about a persons well-being, the priority is to locate the individual and often times access to a vehicle means that they are no longer in the vicinity (Fyfe, Stevenson and Woolnough, 2014). Using the ANPR service to locate the vehicles allows the individual to be located swiftly and ensures they can be safeguarded and risks mitigated.</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The National ANPR Service plays a vital role in policing. Like all other forms of police intelligence, it is subject to scrutiny to ensure that it meets the Management of Police Information criteria of accuracy and relevance. It can be seen to many as a form of over-reach by the state and a method of controlling citizen’s behaviour but empirical evidence shows a strong correlation between the deployment of cameras and the increase in crime detection. The matter is a difficult one to balance the societal impact with the benefits of the technology.</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[947 words]</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single"/>
        </w:rPr>
      </w:pPr>
      <w:r>
        <w:rPr>
          <w:b w:val="false"/>
          <w:bCs w:val="false"/>
          <w:u w:val="single"/>
        </w:rPr>
      </w:r>
      <w:r>
        <w:br w:type="page"/>
      </w:r>
    </w:p>
    <w:p>
      <w:pPr>
        <w:pStyle w:val="Normal"/>
        <w:bidi w:val="0"/>
        <w:jc w:val="both"/>
        <w:rPr>
          <w:b w:val="false"/>
          <w:b w:val="false"/>
          <w:bCs w:val="false"/>
          <w:u w:val="single"/>
        </w:rPr>
      </w:pPr>
      <w:r>
        <w:rPr>
          <w:b w:val="false"/>
          <w:bCs w:val="false"/>
          <w:u w:val="single"/>
        </w:rPr>
        <w:t>Essay Four</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Public protection is core to policing. Most incidents will have some level of public protection oversight or involvement due to the complex needs of victims. However, this is more prevalent than ever when looking at victims of county lines or cuckooing – the act of organised crime groups infiltrating a vulnerable persons house and using it as a base of operations. When talking about county lines, most of the individuals who run the drugs or money on behalf of the organised crime groups are young people. This child criminal exploitation takes advantage of the naive nature of a younger individual or exploits their specific needs which may have been brought around by adverse childhood experiences (Stone, 2018). People who may already be dependent on drug supply can find themselves cuckooed with the drugs they crave being held as ransom if they don’t comply (Spicer, 2021). Those finding themselves victim of exploitation from organised crime groups can be coerced by threats of physical violence, financial abuse, or by grooming techniques such as access to drugs or money (Windle, Moyle and Coomber, 2020).</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 xml:space="preserve">Those known to police are more likely to become involved with county lines. Individuals who are already at risk of criminal exploitation due to drug dependence, or those with a significant number of adverse childhood experiences can be seen as easier targets for organised crime groups (Moyle, 2019). </w:t>
      </w:r>
      <w:r>
        <w:rPr>
          <w:b w:val="false"/>
          <w:bCs w:val="false"/>
          <w:u w:val="none"/>
        </w:rPr>
        <w:t>When a person has numerous interactions with an individual, a predetermined idea of that individual can be formed. This is evident with truth and lie bias whereby people are asked questions phrased in a different way based on their previous involvement or background knowledge (Mann et al., 2008). In this instance, the unconscious bias that an officer may experience could impact the ability to believe a report made by an individual who is seen as someone usually committing the crime. Police receive training on identifying unconscious bias and the signs that may occur if they are acting in such a way with the intention of becoming cognisant and changing behaviour. This is usually around racial and ethnic bias but similar aspects apply (Bourne, 2019). Although bias may not always be on the side of the investigator. Individuals who have regular negative interactions with police, like those potentially more vulnerable to exploitation, are less likely to report a crime due to the opinion that they will not be believed and treated unfairly. Again, this tends to relate to racially motivated crimes but theory applies regardless (Cuerden and Blakemore, 2019).</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 xml:space="preserve">With regards to county lines, although a young person may be trafficking drugs or money, they are a victim of criminal exploitation and must be treated as such. Research shows that engagement with individuals and diversionary action is significantly more effective than a hard line approach of prosecution and incarceration </w:t>
      </w:r>
      <w:r>
        <w:rPr>
          <w:b w:val="false"/>
          <w:bCs w:val="false"/>
          <w:u w:val="none"/>
        </w:rPr>
        <w:t>(Wilson, Brennan and Olaghere, 2018)</w:t>
      </w:r>
      <w:r>
        <w:rPr>
          <w:b w:val="false"/>
          <w:bCs w:val="false"/>
          <w:u w:val="none"/>
        </w:rPr>
        <w:t xml:space="preserve">. </w:t>
      </w:r>
      <w:r>
        <w:rPr>
          <w:b w:val="false"/>
          <w:bCs w:val="false"/>
          <w:u w:val="none"/>
        </w:rPr>
        <w:t>A young person may become more susceptible to exploitation due to adverse childhood experiences. These are a multitude of different conditions a young person may experience whilst growing up that can contribute to a risk of criminal exploitation. Identifying these experiences from a young age is the responsibility of all professional bodies including the police, social services, and schools. When identified, mitigation needs to be enacted to prevent behaviours developing (Jackson et al., 2022). In many cases, it is not possible to identify these specific conditions until they have manifested in to some form of untoward behaviour – an individual would not usually come to the attention of police unless something negative has occurred. However, this is when the involvement of Youth Offending Teams can be of significant benefit. The YOT works in partnership with local authorities to target offending behaviour from a whole-system approach. Rather than simply giving the individual a police caution and sending them on their way, by incorporating social services, the triggers of offending behaviour can be identified. The YOT can also be an excellent tool for intelligence gathering and development since a rapport is developed with the individual and understanding of their offending is gained, along with the specifics of how they may have been groomed in to specific criminal behaviour.</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The conclusion of an incident will usually result in some form of Youth Offending Team referral but the initial safeguarding still needs to be implement. Every UK police force has a form of safeguarding and risk assessment document which is shared with partner agencies. Whether it is a public protection notification (PPN) or a multi-agency referral form (MARF), they serve the same purpose of risk assessing a persons situation and circumstances to establish a level of vulnerability and then the actions which may be required to try and mitigate the concerns highlighted. There is a statutory requirement of professional bodies to share information with one-another to safeguard individuals. Police routinely share these public protection documents with partner agencies such as social services, NHS, schools, and housing authorities (Shearlock and Cambridge, 2009). Although due to police forces being so heavily risk averse, this has resulted in an “information overload” where nearly every interaction results in a public protection referral which may have not necessarily required such immediate information sharing and therefore preventing those which need help from actively receiving it (Heaton and Tong, 2022).</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Police play a critical role in public protection but are not always the right agency to implement specific safeguarding measures. Information sharing with partner agencies and developing a whole-system approach to mitigate offending behaviours is key to support those who may be vulnerable to criminal exploitation.</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[915 words]</w:t>
      </w:r>
    </w:p>
    <w:p>
      <w:pPr>
        <w:pStyle w:val="Normal"/>
        <w:bidi w:val="0"/>
        <w:jc w:val="both"/>
        <w:rPr>
          <w:b w:val="false"/>
          <w:b w:val="false"/>
          <w:bCs w:val="false"/>
          <w:u w:val="single"/>
        </w:rPr>
      </w:pPr>
      <w:r>
        <w:rPr>
          <w:b w:val="false"/>
          <w:bCs w:val="false"/>
          <w:u w:val="single"/>
        </w:rPr>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single"/>
        </w:rPr>
      </w:pPr>
      <w:r>
        <w:rPr>
          <w:b w:val="false"/>
          <w:bCs w:val="false"/>
          <w:u w:val="single"/>
        </w:rPr>
      </w:r>
      <w:r>
        <w:br w:type="page"/>
      </w:r>
    </w:p>
    <w:p>
      <w:pPr>
        <w:pStyle w:val="Normal"/>
        <w:bidi w:val="0"/>
        <w:jc w:val="both"/>
        <w:rPr>
          <w:b w:val="false"/>
          <w:b w:val="false"/>
          <w:bCs w:val="false"/>
          <w:u w:val="single"/>
        </w:rPr>
      </w:pPr>
      <w:r>
        <w:rPr>
          <w:b w:val="false"/>
          <w:bCs w:val="false"/>
          <w:u w:val="single"/>
        </w:rPr>
        <w:t>Essay Five</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Evidence based policing is the concept of using research and evidence to inform policing policies and decision making. The purpose is to provide a critical and empirical basis to develop specific strategies from and alone does not solve the issues of crime and disorder. The research may be based on academic materials, statistical analysis, or other more traditional methods of obtaining information within the police.</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OSARA is one such method of obtaining this information. OSARA is a mnemonic meaning objective, scanning, analysis, response, and assessment. It is one of the may tools that fall under the classification of problem-oriented policing. These work tangentially with evidence based policing due to the analysis stage informing the response and assessment. Whilst traditional policing methods may be more task focussed, POP looks to find the route cause of the issue and mitigate it as appropriate. Once the actions have been completed, the cycle is started again to establish whether or not it was effective (Sidebottom et al., 2020).</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 xml:space="preserve">Routine Activities Theory is one such theory that crime occurs when three core pillars exist; “a motivated offender, a suitable target, and the absence of a capable guardian” </w:t>
      </w:r>
      <w:r>
        <w:rPr>
          <w:b w:val="false"/>
          <w:bCs w:val="false"/>
          <w:u w:val="none"/>
        </w:rPr>
        <w:t xml:space="preserve">(Cohen and Felson, 1979). </w:t>
      </w:r>
      <w:r>
        <w:rPr>
          <w:b w:val="false"/>
          <w:bCs w:val="false"/>
          <w:u w:val="none"/>
        </w:rPr>
        <w:t>The concept of this is that all three pillars must exist for a crime to occur. A motivated offender is exactly as it sounds, a person with the intent to commit the offence. This could be that the intention was absolute and the individual had set out to commit the offence, or it could be that an opportunity arises and the person makes the conscious decision to commit the offence. The theory does go on to say that it is highly unlikely that a motivated offender would continue with an attempt to perpetrate an offence if the other two pillars do not exist. A suitable target is something that the offender wishes to target. This could be an object in the case of a theft, or a location when looking at the theory from a anti-social behaviour aspect. A capable guardian is someone, or even something, with the ability and competence to act as a guardian to the suitable target. In the case of a theft, the capable guardian would be the owner of the object and their capability provided by the security procedures they have implemented to protect said object. In the anti-social behaviour scenario where the target is a specific area such as a park, the capable guardian would be the local authority but a delegated responsibility may be provided to park wardens or CCTV operators. In any case, for a crime to occur all three of the pillars from the routine activities theory must be present and is the recognised model for crime prevention in modern policing (Miro, 2014). The theory influences problem oriented policing by giving the three main targets for analysis to try and remove, thus reducing crime.</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Preventing crime is only one aspect of reducing criminality as a whole. A significant aspect of this comes from reducing re-offending rates. Studies show that recidivism is highest in those who are imprisoned following a conviction due to the lack of education and diversionary paths available within the prison system (Farley and Pike, 2016). A far more successful method for diverting offending behaviour for low-level offences where there is a clear victim is through the implementation of restorative justice. The concept of restorative justice comes from the idea that an offender is unaware of the consequences of their actions upon the victim and their family. By facilitating a discussion between an offender and victim, the victim has the opportunity to explain how the crime has affected them physically, emotionally, financially, and more. This can provide closure for a victim and reduce the long term emotional and mental harm they suffer. It also allows an offender to see the harm they have caused directly, rather than through a lens of criminal justice which may portray the crime in a more black and white aspect (Aertsen, Daems and Robert, 2013). When the offender sees the harm they have caused, they are statistically less likely to commit the same or similar crimes again.</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An Out Of Court Disposal works in a similar way to the restorative justice approach, and may even be considered a form of restorative justice. The concept behind OOCD is to provide a more formal method of diversion for low level offences. Where there is an agreeable victim, or offence against the crown, a person with minimal criminal history may be eligible for the matter to be dealt with out of court. On the surface, this has a multitude of benefits from a quicker service for the victim to reduced costs to society by avoiding the criminal justice route. However, the real advantage comes from the multitude of specially designed awareness courses an offender must complete (Ames et al., 2018). The offender must complete a course tailored to their specific offence such as alcohol or drug misuse, violent crime, anti-social behaviour or the likes. Throughout these courses, the offender is assessed for ongoing support which helps divert them from crime in the future and is statistically proven to drastically decrease re-offending rates. A similar concept to the OOCD has been used for a number of years with regards to driving. The “driver awareness course” for people caught speeding has been utilised for over two decades and is seen to have not only reduced re-offending for those caught speeding, but also improved road safety through a decrease in road-related deaths since its implementation (Fylan, 2013). This does not mean that every offence is suitable for out of court disposals. Where there is a risk of safeguarding to an individual, OOCD would be inappropriate.</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Evidence based policing is used to form new policies and procedures, challenge those already in existence, and inform disposals across the criminal justice sector.</w:t>
      </w:r>
    </w:p>
    <w:p>
      <w:pPr>
        <w:pStyle w:val="Normal"/>
        <w:bidi w:val="0"/>
        <w:jc w:val="both"/>
        <w:rPr>
          <w:b w:val="false"/>
          <w:b w:val="false"/>
          <w:bCs w:val="false"/>
          <w:u w:val="none"/>
        </w:rPr>
      </w:pPr>
      <w:r>
        <w:rPr>
          <w:b w:val="false"/>
          <w:bCs w:val="false"/>
          <w:u w:val="none"/>
        </w:rPr>
      </w:r>
    </w:p>
    <w:p>
      <w:pPr>
        <w:pStyle w:val="Normal"/>
        <w:bidi w:val="0"/>
        <w:jc w:val="both"/>
        <w:rPr>
          <w:b w:val="false"/>
          <w:b w:val="false"/>
          <w:bCs w:val="false"/>
          <w:u w:val="none"/>
        </w:rPr>
      </w:pPr>
      <w:r>
        <w:rPr>
          <w:b w:val="false"/>
          <w:bCs w:val="false"/>
          <w:u w:val="none"/>
        </w:rPr>
        <w:t>[975 words]</w:t>
      </w:r>
      <w:r>
        <w:br w:type="page"/>
      </w:r>
    </w:p>
    <w:p>
      <w:pPr>
        <w:pStyle w:val="Normal"/>
        <w:bidi w:val="0"/>
        <w:jc w:val="both"/>
        <w:rPr>
          <w:b w:val="false"/>
          <w:b w:val="false"/>
          <w:bCs w:val="false"/>
          <w:u w:val="single"/>
        </w:rPr>
      </w:pPr>
      <w:r>
        <w:rPr>
          <w:b w:val="false"/>
          <w:bCs w:val="false"/>
          <w:u w:val="single"/>
        </w:rPr>
        <w:t>Bibliography</w:t>
      </w:r>
    </w:p>
    <w:p>
      <w:pPr>
        <w:pStyle w:val="Normal"/>
        <w:bidi w:val="0"/>
        <w:jc w:val="both"/>
        <w:rPr>
          <w:b w:val="false"/>
          <w:b w:val="false"/>
          <w:bCs w:val="false"/>
          <w:u w:val="single"/>
        </w:rPr>
      </w:pPr>
      <w:r>
        <w:rPr>
          <w:b w:val="false"/>
          <w:bCs w:val="false"/>
          <w:u w:val="single"/>
        </w:rPr>
      </w:r>
    </w:p>
    <w:p>
      <w:pPr>
        <w:pStyle w:val="Normal"/>
        <w:bidi w:val="0"/>
        <w:jc w:val="left"/>
        <w:rPr>
          <w:rFonts w:ascii="Liberation Serif" w:hAnsi="Liberation Serif"/>
        </w:rPr>
      </w:pPr>
      <w:r>
        <w:rPr>
          <w:rFonts w:ascii="Liberation Serif" w:hAnsi="Liberation Serif"/>
        </w:rPr>
        <w:t xml:space="preserve">Aertsen, I., Daems, T. and Robert, L. (2013). </w:t>
      </w:r>
      <w:r>
        <w:rPr>
          <w:rFonts w:ascii="Liberation Serif" w:hAnsi="Liberation Serif"/>
          <w:i/>
        </w:rPr>
        <w:t>Institutionalizing Restorative Justice</w:t>
      </w:r>
      <w:r>
        <w:rPr>
          <w:rFonts w:ascii="Liberation Serif" w:hAnsi="Liberation Serif"/>
        </w:rPr>
        <w:t>. Routledge.</w:t>
      </w:r>
    </w:p>
    <w:p>
      <w:pPr>
        <w:pStyle w:val="Normal"/>
        <w:bidi w:val="0"/>
        <w:jc w:val="left"/>
        <w:rPr>
          <w:rFonts w:ascii="Liberation Serif" w:hAnsi="Liberation Serif"/>
        </w:rPr>
      </w:pPr>
      <w:r>
        <w:rPr>
          <w:rFonts w:ascii="Liberation Serif" w:hAnsi="Liberation Serif"/>
        </w:rPr>
        <w:t xml:space="preserve">Allen, D.K., Karanasios, S. and Norman, A. (2014). Information sharing and interoperability: the case of major incident management. </w:t>
      </w:r>
      <w:r>
        <w:rPr>
          <w:rFonts w:ascii="Liberation Serif" w:hAnsi="Liberation Serif"/>
          <w:i/>
        </w:rPr>
        <w:t>European Journal of Information Systems</w:t>
      </w:r>
      <w:r>
        <w:rPr>
          <w:rFonts w:ascii="Liberation Serif" w:hAnsi="Liberation Serif"/>
        </w:rPr>
        <w:t>, 23(4), pp.418–432. doi:10.1057/ejis.2013.8.</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Ames, A., Di Antonio, E., Hitchcock, J., Webster, S., Wong, K., Ellingworth, D., Meadows, L., MacAlonan, D., Uhrig, N. and Logue, N. (2018). </w:t>
      </w:r>
      <w:r>
        <w:rPr>
          <w:rFonts w:ascii="Liberation Serif" w:hAnsi="Liberation Serif"/>
          <w:i/>
        </w:rPr>
        <w:t>Adult Out of Court Disposal Pilot Evaluation - Final Report</w:t>
      </w:r>
      <w:r>
        <w:rPr>
          <w:rFonts w:ascii="Liberation Serif" w:hAnsi="Liberation Serif"/>
        </w:rPr>
        <w:t>. [online] e-space.mmu.ac.uk. Available at: https://e-space.mmu.ac.uk/621415/.</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Boersma, K. and Fonio, C. (2017). </w:t>
      </w:r>
      <w:r>
        <w:rPr>
          <w:rFonts w:ascii="Liberation Serif" w:hAnsi="Liberation Serif"/>
          <w:i/>
        </w:rPr>
        <w:t>Big Data, Surveillance and Crisis Management</w:t>
      </w:r>
      <w:r>
        <w:rPr>
          <w:rFonts w:ascii="Liberation Serif" w:hAnsi="Liberation Serif"/>
        </w:rPr>
        <w:t>. Routledge.</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Boulton, L., McManus, M., Metcalfe, L., Brian, D. and Dawson, I. (2016). Calls for police service. </w:t>
      </w:r>
      <w:r>
        <w:rPr>
          <w:rFonts w:ascii="Liberation Serif" w:hAnsi="Liberation Serif"/>
          <w:i/>
        </w:rPr>
        <w:t>The Police Journal: Theory, Practice and Principles</w:t>
      </w:r>
      <w:r>
        <w:rPr>
          <w:rFonts w:ascii="Liberation Serif" w:hAnsi="Liberation Serif"/>
        </w:rPr>
        <w:t>, 90(1), pp.70–85. doi:10.1177/0032258x16671032.</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Bourne, J. (2019). Unravelling the concept of unconscious bias. </w:t>
      </w:r>
      <w:r>
        <w:rPr>
          <w:rFonts w:ascii="Liberation Serif" w:hAnsi="Liberation Serif"/>
          <w:i/>
        </w:rPr>
        <w:t>Race &amp; Class</w:t>
      </w:r>
      <w:r>
        <w:rPr>
          <w:rFonts w:ascii="Liberation Serif" w:hAnsi="Liberation Serif"/>
        </w:rPr>
        <w:t>, p.030639681982860. doi:10.1177/0306396819828608.</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Breslau, N. (2009). The Epidemiology of Trauma, PTSD, and Other Posttrauma Disorders. </w:t>
      </w:r>
      <w:r>
        <w:rPr>
          <w:rFonts w:ascii="Liberation Serif" w:hAnsi="Liberation Serif"/>
          <w:i/>
        </w:rPr>
        <w:t>Trauma, Violence, &amp; Abuse</w:t>
      </w:r>
      <w:r>
        <w:rPr>
          <w:rFonts w:ascii="Liberation Serif" w:hAnsi="Liberation Serif"/>
        </w:rPr>
        <w:t>, 10(3), pp.198–210. doi:10.1177/1524838009334448.</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Brewin, C.R., Miller, J.K., Soffia, M., Peart, A. and Burchell, B. (2020). Posttraumatic stress disorder and complex posttraumatic stress disorder in UK police officers. </w:t>
      </w:r>
      <w:r>
        <w:rPr>
          <w:rFonts w:ascii="Liberation Serif" w:hAnsi="Liberation Serif"/>
          <w:i/>
        </w:rPr>
        <w:t>Psychological Medicine</w:t>
      </w:r>
      <w:r>
        <w:rPr>
          <w:rFonts w:ascii="Liberation Serif" w:hAnsi="Liberation Serif"/>
        </w:rPr>
        <w:t>, pp.1–9. doi:10.1017/s0033291720003025.</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Brown, J. (2014). </w:t>
      </w:r>
      <w:r>
        <w:rPr>
          <w:rFonts w:ascii="Liberation Serif" w:hAnsi="Liberation Serif"/>
          <w:i/>
        </w:rPr>
        <w:t>The Future of Policing</w:t>
      </w:r>
      <w:r>
        <w:rPr>
          <w:rFonts w:ascii="Liberation Serif" w:hAnsi="Liberation Serif"/>
        </w:rPr>
        <w:t>. London: Routledge.</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Bullock, K. and Tilley, N. (2012). </w:t>
      </w:r>
      <w:r>
        <w:rPr>
          <w:rFonts w:ascii="Liberation Serif" w:hAnsi="Liberation Serif"/>
          <w:i/>
        </w:rPr>
        <w:t>Crime Reduction and Problem-oriented Policing</w:t>
      </w:r>
      <w:r>
        <w:rPr>
          <w:rFonts w:ascii="Liberation Serif" w:hAnsi="Liberation Serif"/>
        </w:rPr>
        <w:t>. Routledge.</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Clements, A.J., Kinman, G. and Hart, J. (2020). Stress and well-being in prison officers. </w:t>
      </w:r>
      <w:r>
        <w:rPr>
          <w:rFonts w:ascii="Liberation Serif" w:hAnsi="Liberation Serif"/>
          <w:i/>
        </w:rPr>
        <w:t>Handbook of Research on Stress and Well-Being in the Public Sector</w:t>
      </w:r>
      <w:r>
        <w:rPr>
          <w:rFonts w:ascii="Liberation Serif" w:hAnsi="Liberation Serif"/>
        </w:rPr>
        <w:t>, pp.137–151. doi:10.4337/9781788970358.00018.</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Cohen, L.E. and Felson, M. (1979). Social Change and Crime Rate Trends: a Routine Activity Approach. </w:t>
      </w:r>
      <w:r>
        <w:rPr>
          <w:rFonts w:ascii="Liberation Serif" w:hAnsi="Liberation Serif"/>
          <w:i/>
        </w:rPr>
        <w:t>American Sociological Review</w:t>
      </w:r>
      <w:r>
        <w:rPr>
          <w:rFonts w:ascii="Liberation Serif" w:hAnsi="Liberation Serif"/>
        </w:rPr>
        <w:t>, 44(4), pp.588–608.</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Cuerden, G.J. and Blakemore, B. (2019). Barriers to reporting hate crime: A Welsh perspective. </w:t>
      </w:r>
      <w:r>
        <w:rPr>
          <w:rFonts w:ascii="Liberation Serif" w:hAnsi="Liberation Serif"/>
          <w:i/>
        </w:rPr>
        <w:t>The Police Journal: Theory, Practice and Principles</w:t>
      </w:r>
      <w:r>
        <w:rPr>
          <w:rFonts w:ascii="Liberation Serif" w:hAnsi="Liberation Serif"/>
        </w:rPr>
        <w:t>, 93(3), p.0032258X1985511. doi:10.1177/0032258x19855113.</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Farley, H. and Pike, A. (2016). Engaging prisoners in education: Reducing risk and recidivism. </w:t>
      </w:r>
      <w:r>
        <w:rPr>
          <w:rFonts w:ascii="Liberation Serif" w:hAnsi="Liberation Serif"/>
          <w:i/>
        </w:rPr>
        <w:t>Advancing Corrections: Journal of the International Corrections and Prisons Association</w:t>
      </w:r>
      <w:r>
        <w:rPr>
          <w:rFonts w:ascii="Liberation Serif" w:hAnsi="Liberation Serif"/>
        </w:rPr>
        <w:t>, [online] 1, pp.65–73. Available at: http://oro.open.ac.uk/46511/.</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Flanagan, J. (2014). Joint Emergency Services Interoperability Programme: Working Together Saving Lives. </w:t>
      </w:r>
      <w:r>
        <w:rPr>
          <w:rFonts w:ascii="Liberation Serif" w:hAnsi="Liberation Serif"/>
          <w:i/>
        </w:rPr>
        <w:t>Journal of Paramedic Practice</w:t>
      </w:r>
      <w:r>
        <w:rPr>
          <w:rFonts w:ascii="Liberation Serif" w:hAnsi="Liberation Serif"/>
        </w:rPr>
        <w:t>, [online] 6(6), pp.284–287. doi:10.12968/jpar.2014.6.6.284.</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Fyfe, N.R., Stevenson, O. and Woolnough, P. (2014). Missing persons: the processes and challenges of police investigation. </w:t>
      </w:r>
      <w:r>
        <w:rPr>
          <w:rFonts w:ascii="Liberation Serif" w:hAnsi="Liberation Serif"/>
          <w:i/>
        </w:rPr>
        <w:t>Policing and Society</w:t>
      </w:r>
      <w:r>
        <w:rPr>
          <w:rFonts w:ascii="Liberation Serif" w:hAnsi="Liberation Serif"/>
        </w:rPr>
        <w:t>, 25(4), pp.409–425. doi:10.1080/10439463.2014.881812.</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Fylan, F. (2013). How does the UK national speed awareness course achieve its effects? </w:t>
      </w:r>
      <w:r>
        <w:rPr>
          <w:rFonts w:ascii="Liberation Serif" w:hAnsi="Liberation Serif"/>
          <w:i/>
        </w:rPr>
        <w:t>Schriftenreihe Fahreignung</w:t>
      </w:r>
      <w:r>
        <w:rPr>
          <w:rFonts w:ascii="Liberation Serif" w:hAnsi="Liberation Serif"/>
        </w:rPr>
        <w:t>. [online] Available at: https://trid.trb.org/view/1328400.</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Garvey, R., Strokes, P. and Megginson, D. (2010). Coaching and Mentoring: Theory and Practice. </w:t>
      </w:r>
      <w:r>
        <w:rPr>
          <w:rFonts w:ascii="Liberation Serif" w:hAnsi="Liberation Serif"/>
          <w:i/>
        </w:rPr>
        <w:t>NHRD Network Journal</w:t>
      </w:r>
      <w:r>
        <w:rPr>
          <w:rFonts w:ascii="Liberation Serif" w:hAnsi="Liberation Serif"/>
        </w:rPr>
        <w:t>, 3(2), pp.79–81. doi:10.1177/0974173920100214.</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Green, T. and Gates, A. (2014). Understanding the Process of Professionalisation in the Police Organisation. </w:t>
      </w:r>
      <w:r>
        <w:rPr>
          <w:rFonts w:ascii="Liberation Serif" w:hAnsi="Liberation Serif"/>
          <w:i/>
        </w:rPr>
        <w:t>The Police Journal: Theory, Practice and Principles</w:t>
      </w:r>
      <w:r>
        <w:rPr>
          <w:rFonts w:ascii="Liberation Serif" w:hAnsi="Liberation Serif"/>
        </w:rPr>
        <w:t>, [online] 87(2), pp.75–91. doi:10.1350/pojo.2014.87.2.662.</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Greenberg, N., Langston, V. and Jones, N. (2008). Trauma Risk Management (TRiM) in the UK Armed Forces. </w:t>
      </w:r>
      <w:r>
        <w:rPr>
          <w:rFonts w:ascii="Liberation Serif" w:hAnsi="Liberation Serif"/>
          <w:i/>
        </w:rPr>
        <w:t>Journal of the Royal Army Medical Corps</w:t>
      </w:r>
      <w:r>
        <w:rPr>
          <w:rFonts w:ascii="Liberation Serif" w:hAnsi="Liberation Serif"/>
        </w:rPr>
        <w:t>, [online] 154(2), pp.124–127. doi:10.1136/jramc-154-02-11.</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Gurney, R., Rhead, M., Ramalingam, S. and Cohen, N. (2012). </w:t>
      </w:r>
      <w:r>
        <w:rPr>
          <w:rFonts w:ascii="Liberation Serif" w:hAnsi="Liberation Serif"/>
          <w:i/>
        </w:rPr>
        <w:t>Working towards an international ANPR Standard — An initial investigation into the UK standard</w:t>
      </w:r>
      <w:r>
        <w:rPr>
          <w:rFonts w:ascii="Liberation Serif" w:hAnsi="Liberation Serif"/>
        </w:rPr>
        <w:t>. [online] IEEE Xplore. doi:10.1109/CCST.2012.6393581.</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Heaton, R. and Tong, S. (2022). More lesson learning, less risk aversion in England and Wales? Prospects for the police (conduct) regulations 2020. </w:t>
      </w:r>
      <w:r>
        <w:rPr>
          <w:rFonts w:ascii="Liberation Serif" w:hAnsi="Liberation Serif"/>
          <w:i/>
        </w:rPr>
        <w:t>The Police Journal: Theory, Practice and Principles</w:t>
      </w:r>
      <w:r>
        <w:rPr>
          <w:rFonts w:ascii="Liberation Serif" w:hAnsi="Liberation Serif"/>
        </w:rPr>
        <w:t>, p.0032258X2211075. doi:10.1177/0032258x221107586.</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Hong, S. (2016). Does Increasing Ethnic Representativeness Reduce Police Misconduct? </w:t>
      </w:r>
      <w:r>
        <w:rPr>
          <w:rFonts w:ascii="Liberation Serif" w:hAnsi="Liberation Serif"/>
          <w:i/>
        </w:rPr>
        <w:t>Public Administration Review</w:t>
      </w:r>
      <w:r>
        <w:rPr>
          <w:rFonts w:ascii="Liberation Serif" w:hAnsi="Liberation Serif"/>
        </w:rPr>
        <w:t>, 77(2), pp.195–205. doi:10.1111/puar.12629.</w:t>
      </w:r>
    </w:p>
    <w:p>
      <w:pPr>
        <w:pStyle w:val="Normal"/>
        <w:bidi w:val="0"/>
        <w:jc w:val="left"/>
        <w:rPr>
          <w:rFonts w:ascii="Liberation Serif" w:hAnsi="Liberation Serif"/>
        </w:rPr>
      </w:pPr>
      <w:r>
        <w:rPr>
          <w:rFonts w:ascii="Liberation Serif" w:hAnsi="Liberation Serif"/>
        </w:rPr>
        <w:t xml:space="preserve">Information Commisioner's Office (2022). </w:t>
      </w:r>
      <w:r>
        <w:rPr>
          <w:rFonts w:ascii="Liberation Serif" w:hAnsi="Liberation Serif"/>
          <w:i/>
        </w:rPr>
        <w:t>Lawfulness</w:t>
      </w:r>
      <w:r>
        <w:rPr>
          <w:rFonts w:ascii="Liberation Serif" w:hAnsi="Liberation Serif"/>
        </w:rPr>
        <w:t>. [online] ico.org.uk. Available at: https://ico.org.uk/for-organisations/guide-to-data-protection/ico-codes-of-practice/data-sharing-a-code-of-practice/lawfulness/.</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Jackson, D.B., Jindal, M., Testa, A., Ganson, K.T., Fix, R.L. and Nagata, J.M. (2022). Adverse Childhood Experiences and Adolescent Police Contact in the United Kingdom. </w:t>
      </w:r>
      <w:r>
        <w:rPr>
          <w:rFonts w:ascii="Liberation Serif" w:hAnsi="Liberation Serif"/>
          <w:i/>
        </w:rPr>
        <w:t>Pediatrics</w:t>
      </w:r>
      <w:r>
        <w:rPr>
          <w:rFonts w:ascii="Liberation Serif" w:hAnsi="Liberation Serif"/>
        </w:rPr>
        <w:t>, 150(4). doi:10.1542/peds.2021-055889.</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Khorram-Manesh, A., Plegas, P., Högstedt, Å., Peyravi, M. and Carlström, E. (2019). Immediate response to major incidents: defining an immediate responder! </w:t>
      </w:r>
      <w:r>
        <w:rPr>
          <w:rFonts w:ascii="Liberation Serif" w:hAnsi="Liberation Serif"/>
          <w:i/>
        </w:rPr>
        <w:t>European Journal of Trauma and Emergency Surgery</w:t>
      </w:r>
      <w:r>
        <w:rPr>
          <w:rFonts w:ascii="Liberation Serif" w:hAnsi="Liberation Serif"/>
        </w:rPr>
        <w:t>. doi:10.1007/s00068-019-01133-1.</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Kim, J. (2017). Cyber-security in government: reducing the risk. </w:t>
      </w:r>
      <w:r>
        <w:rPr>
          <w:rFonts w:ascii="Liberation Serif" w:hAnsi="Liberation Serif"/>
          <w:i/>
        </w:rPr>
        <w:t>Computer Fraud &amp; Security</w:t>
      </w:r>
      <w:r>
        <w:rPr>
          <w:rFonts w:ascii="Liberation Serif" w:hAnsi="Liberation Serif"/>
        </w:rPr>
        <w:t>, 2017(7), pp.8–11. doi:10.1016/s1361-3723(17)30059-3.</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Lentz, S.A. and Chaires, R.H. (2007). The invention of Peel’s principles: A study of policing ‘textbook’ history. </w:t>
      </w:r>
      <w:r>
        <w:rPr>
          <w:rFonts w:ascii="Liberation Serif" w:hAnsi="Liberation Serif"/>
          <w:i/>
        </w:rPr>
        <w:t>Journal of Criminal Justice</w:t>
      </w:r>
      <w:r>
        <w:rPr>
          <w:rFonts w:ascii="Liberation Serif" w:hAnsi="Liberation Serif"/>
        </w:rPr>
        <w:t>, [online] 35(1), pp.69–79. doi:10.1016/j.jcrimjus.2006.11.016.</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Lucraft, M. (2019). </w:t>
      </w:r>
      <w:r>
        <w:rPr>
          <w:rFonts w:ascii="Liberation Serif" w:hAnsi="Liberation Serif"/>
          <w:i/>
        </w:rPr>
        <w:t>London Bridge &amp; Borough Market Terror Attack</w:t>
      </w:r>
      <w:r>
        <w:rPr>
          <w:rFonts w:ascii="Liberation Serif" w:hAnsi="Liberation Serif"/>
        </w:rPr>
        <w:t xml:space="preserve">. [online] </w:t>
      </w:r>
      <w:r>
        <w:rPr>
          <w:rFonts w:ascii="Liberation Serif" w:hAnsi="Liberation Serif"/>
          <w:i/>
        </w:rPr>
        <w:t>Courts and Tribunals Judiciary</w:t>
      </w:r>
      <w:r>
        <w:rPr>
          <w:rFonts w:ascii="Liberation Serif" w:hAnsi="Liberation Serif"/>
        </w:rPr>
        <w:t>. Available at: https://www.judiciary.uk/prevention-of-future-death-reports/london-bridge-borough-market-terror-attack/.</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Lumsden, K. and Goode, J. (2016). Policing Research and the Rise of the ‘Evidence-Base’: Police Officer and Staff Understandings of Research, its Implementation and ‘What Works’. </w:t>
      </w:r>
      <w:r>
        <w:rPr>
          <w:rFonts w:ascii="Liberation Serif" w:hAnsi="Liberation Serif"/>
          <w:i/>
        </w:rPr>
        <w:t>Sociology</w:t>
      </w:r>
      <w:r>
        <w:rPr>
          <w:rFonts w:ascii="Liberation Serif" w:hAnsi="Liberation Serif"/>
        </w:rPr>
        <w:t>, [online] 52(4), pp.813–829. doi:10.1177/0038038516664684.</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Mann, S.A., Vrij, A., Fisher, R.P. and Robinson, M. (2008). See no lies, hear no lies: differences in discrimination accuracy and response bias when watching or listening to police suspect interviews. </w:t>
      </w:r>
      <w:r>
        <w:rPr>
          <w:rFonts w:ascii="Liberation Serif" w:hAnsi="Liberation Serif"/>
          <w:i/>
        </w:rPr>
        <w:t>Applied Cognitive Psychology</w:t>
      </w:r>
      <w:r>
        <w:rPr>
          <w:rFonts w:ascii="Liberation Serif" w:hAnsi="Liberation Serif"/>
        </w:rPr>
        <w:t>, 22(8), pp.1062–1071. doi:10.1002/acp.1406.</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Manning, M. and Agnew, S. (2020). Policing in the Era of AI and Smart Societies: Austerity; Legitimacy and Blurring the Line of Consent. </w:t>
      </w:r>
      <w:r>
        <w:rPr>
          <w:rFonts w:ascii="Liberation Serif" w:hAnsi="Liberation Serif"/>
          <w:i/>
        </w:rPr>
        <w:t>Advanced Sciences and Technologies for Security Applications</w:t>
      </w:r>
      <w:r>
        <w:rPr>
          <w:rFonts w:ascii="Liberation Serif" w:hAnsi="Liberation Serif"/>
        </w:rPr>
        <w:t>, pp.59–82. doi:10.1007/978-3-030-50613-1_2.</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Miró, F. (2014). Routine Activity Theory. </w:t>
      </w:r>
      <w:r>
        <w:rPr>
          <w:rFonts w:ascii="Liberation Serif" w:hAnsi="Liberation Serif"/>
          <w:i/>
        </w:rPr>
        <w:t>The Encyclopedia of Theoretical Criminology</w:t>
      </w:r>
      <w:r>
        <w:rPr>
          <w:rFonts w:ascii="Liberation Serif" w:hAnsi="Liberation Serif"/>
        </w:rPr>
        <w:t>, [online] pp.1–7. doi:10.1002/9781118517390.wbetc198.</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Moore, B.A. and Penk, W.E. (2011). </w:t>
      </w:r>
      <w:r>
        <w:rPr>
          <w:rFonts w:ascii="Liberation Serif" w:hAnsi="Liberation Serif"/>
          <w:i/>
        </w:rPr>
        <w:t>Treating PTSD in Military Personnel</w:t>
      </w:r>
      <w:r>
        <w:rPr>
          <w:rFonts w:ascii="Liberation Serif" w:hAnsi="Liberation Serif"/>
        </w:rPr>
        <w:t>. Guilford Press.</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Moyle, L. (2019). Situating Vulnerability and Exploitation in Street-Level Drug Markets: Cuckooing, Commuting, and the ‘County Lines’ Drug Supply Model. </w:t>
      </w:r>
      <w:r>
        <w:rPr>
          <w:rFonts w:ascii="Liberation Serif" w:hAnsi="Liberation Serif"/>
          <w:i/>
        </w:rPr>
        <w:t>Journal of Drug Issues</w:t>
      </w:r>
      <w:r>
        <w:rPr>
          <w:rFonts w:ascii="Liberation Serif" w:hAnsi="Liberation Serif"/>
        </w:rPr>
        <w:t>, [online] 49(4), pp.739–755. doi:10.1177/0022042619861938.</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Pepper, I., Brown, I. and Stubbs, P. (2021). A degree of recognition across policing: embedding a degree apprenticeship encompassing work-based research. </w:t>
      </w:r>
      <w:r>
        <w:rPr>
          <w:rFonts w:ascii="Liberation Serif" w:hAnsi="Liberation Serif"/>
          <w:i/>
        </w:rPr>
        <w:t>Journal of Work-Applied Management</w:t>
      </w:r>
      <w:r>
        <w:rPr>
          <w:rFonts w:ascii="Liberation Serif" w:hAnsi="Liberation Serif"/>
        </w:rPr>
        <w:t>, ahead-of-print(ahead-of-print). doi:10.1108/jwam-12-2020-0056.</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Pepper, I., Rogers, C. and Martin, H. (2020). Evidence based policing: a view on its development within the police service. </w:t>
      </w:r>
      <w:r>
        <w:rPr>
          <w:rFonts w:ascii="Liberation Serif" w:hAnsi="Liberation Serif"/>
          <w:i/>
        </w:rPr>
        <w:t>Journal of Work-Applied Management</w:t>
      </w:r>
      <w:r>
        <w:rPr>
          <w:rFonts w:ascii="Liberation Serif" w:hAnsi="Liberation Serif"/>
        </w:rPr>
        <w:t>, [online] 12(1), pp.91–96. doi:10.1108/jwam-01-2020-0001.</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Phythian, R. and Kirby, S. (2022). What does the UK Police National Database tell us about the future of police intelligence? </w:t>
      </w:r>
      <w:r>
        <w:rPr>
          <w:rFonts w:ascii="Liberation Serif" w:hAnsi="Liberation Serif"/>
          <w:i/>
        </w:rPr>
        <w:t>Policing: A Journal of Policy and Practice</w:t>
      </w:r>
      <w:r>
        <w:rPr>
          <w:rFonts w:ascii="Liberation Serif" w:hAnsi="Liberation Serif"/>
        </w:rPr>
        <w:t>. doi:10.1093/police/paac074.</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Rogers, C. and Smith, B. (2018). The College of Policing: Police Education and Research in England and Wales. </w:t>
      </w:r>
      <w:r>
        <w:rPr>
          <w:rFonts w:ascii="Liberation Serif" w:hAnsi="Liberation Serif"/>
          <w:i/>
        </w:rPr>
        <w:t>Higher Education and Police</w:t>
      </w:r>
      <w:r>
        <w:rPr>
          <w:rFonts w:ascii="Liberation Serif" w:hAnsi="Liberation Serif"/>
        </w:rPr>
        <w:t>, pp.87–106. doi:10.1007/978-3-319-58386-0_5.</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Saunders, J. (2022). </w:t>
      </w:r>
      <w:r>
        <w:rPr>
          <w:rFonts w:ascii="Liberation Serif" w:hAnsi="Liberation Serif"/>
          <w:i/>
        </w:rPr>
        <w:t>Manchester Arena Inquiry Volume 2: Emergency Response</w:t>
      </w:r>
      <w:r>
        <w:rPr>
          <w:rFonts w:ascii="Liberation Serif" w:hAnsi="Liberation Serif"/>
        </w:rPr>
        <w:t>. [online] His Majesty’s Stationary Office. Available at: https://manchesterarenainquiry.org.uk/report-volume-two.</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Sellwood, C. and Wapling, A. (2016). </w:t>
      </w:r>
      <w:r>
        <w:rPr>
          <w:rFonts w:ascii="Liberation Serif" w:hAnsi="Liberation Serif"/>
          <w:i/>
        </w:rPr>
        <w:t>Health Emergency Preparedness and Response</w:t>
      </w:r>
      <w:r>
        <w:rPr>
          <w:rFonts w:ascii="Liberation Serif" w:hAnsi="Liberation Serif"/>
        </w:rPr>
        <w:t>. Wallingford, Oxfordshire ; Boston, Ma: Cabi.</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Shearlock, L. and Cambridge, P. (2009). Working effectively with the police in safeguarding vulnerable adults: sharing experience from Somerset. </w:t>
      </w:r>
      <w:r>
        <w:rPr>
          <w:rFonts w:ascii="Liberation Serif" w:hAnsi="Liberation Serif"/>
          <w:i/>
        </w:rPr>
        <w:t>The Journal of Adult Protection</w:t>
      </w:r>
      <w:r>
        <w:rPr>
          <w:rFonts w:ascii="Liberation Serif" w:hAnsi="Liberation Serif"/>
        </w:rPr>
        <w:t>, 11(4), pp.6–19. doi:10.1108/14668203200900024.</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Sheldon, B. (2011). Camera surveillance within the UK: Enhancing public safety or a social threat? </w:t>
      </w:r>
      <w:r>
        <w:rPr>
          <w:rFonts w:ascii="Liberation Serif" w:hAnsi="Liberation Serif"/>
          <w:i/>
        </w:rPr>
        <w:t>International Review of Law, Computers &amp; Technology</w:t>
      </w:r>
      <w:r>
        <w:rPr>
          <w:rFonts w:ascii="Liberation Serif" w:hAnsi="Liberation Serif"/>
        </w:rPr>
        <w:t>, 25(3), pp.193–203. doi:10.1080/13600869.2011.617494.</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Sidebottom, A., Bullock, K., Armitage, R., Ashby, M., Clemmow, C., Kirby, S., Laycock, G. and Tilley, N. (2020). Problem-Oriented Policing in England and Wales 2019. </w:t>
      </w:r>
      <w:r>
        <w:rPr>
          <w:rFonts w:ascii="Liberation Serif" w:hAnsi="Liberation Serif"/>
          <w:i/>
        </w:rPr>
        <w:t>pure.hud.ac.uk</w:t>
      </w:r>
      <w:r>
        <w:rPr>
          <w:rFonts w:ascii="Liberation Serif" w:hAnsi="Liberation Serif"/>
        </w:rPr>
        <w:t>. [online] Available at: https://pure.hud.ac.uk/en/publications/problem-oriented-policing-in-england-and-wales-2019.</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Spicer, J. (2021). OUP accepted manuscript. </w:t>
      </w:r>
      <w:r>
        <w:rPr>
          <w:rFonts w:ascii="Liberation Serif" w:hAnsi="Liberation Serif"/>
          <w:i/>
        </w:rPr>
        <w:t>British Journal Of Criminology</w:t>
      </w:r>
      <w:r>
        <w:rPr>
          <w:rFonts w:ascii="Liberation Serif" w:hAnsi="Liberation Serif"/>
        </w:rPr>
        <w:t>. doi:10.1093/bjc/azab027.</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Stanier, I. (2016). Enhancing Intelligence-Led Policing: Law Enforcement’s Big Data Revolution. </w:t>
      </w:r>
      <w:r>
        <w:rPr>
          <w:rFonts w:ascii="Liberation Serif" w:hAnsi="Liberation Serif"/>
          <w:i/>
        </w:rPr>
        <w:t>Big Data Challenges</w:t>
      </w:r>
      <w:r>
        <w:rPr>
          <w:rFonts w:ascii="Liberation Serif" w:hAnsi="Liberation Serif"/>
        </w:rPr>
        <w:t>, pp.97–113. doi:10.1057/978-1-349-94885-7_9.</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Stone, N. (2018). Child Criminal Exploitation: ‘County Lines’, Trafficking and Cuckooing. </w:t>
      </w:r>
      <w:r>
        <w:rPr>
          <w:rFonts w:ascii="Liberation Serif" w:hAnsi="Liberation Serif"/>
          <w:i/>
        </w:rPr>
        <w:t>Youth Justice</w:t>
      </w:r>
      <w:r>
        <w:rPr>
          <w:rFonts w:ascii="Liberation Serif" w:hAnsi="Liberation Serif"/>
        </w:rPr>
        <w:t>, [online] 18(3), pp.285–293. doi:10.1177/1473225418810833.</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Wankhade, P., Mccann, L. and Murphy, P. (2019). </w:t>
      </w:r>
      <w:r>
        <w:rPr>
          <w:rFonts w:ascii="Liberation Serif" w:hAnsi="Liberation Serif"/>
          <w:i/>
        </w:rPr>
        <w:t>Critical perspectives on the management and organization of emergency services</w:t>
      </w:r>
      <w:r>
        <w:rPr>
          <w:rFonts w:ascii="Liberation Serif" w:hAnsi="Liberation Serif"/>
        </w:rPr>
        <w:t>. New York, Ny: Routledge.</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Watkinson-Miley, C., Cox, C. and Deshpande, M. (2021). A New Generation of Police Officers: Experiences of Student Officers Undertaking the Police Constable Degree Apprenticeship in One UK Police Force. </w:t>
      </w:r>
      <w:r>
        <w:rPr>
          <w:rFonts w:ascii="Liberation Serif" w:hAnsi="Liberation Serif"/>
          <w:i/>
        </w:rPr>
        <w:t>Policing: A Journal of Policy and Practice</w:t>
      </w:r>
      <w:r>
        <w:rPr>
          <w:rFonts w:ascii="Liberation Serif" w:hAnsi="Liberation Serif"/>
        </w:rPr>
        <w:t>, 16(1). doi:10.1093/police/paab062.</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Watson, L. and Andrews, L. (2018). The effect of a Trauma Risk Management (TRiM) program on stigma and barriers to help-seeking in the police. </w:t>
      </w:r>
      <w:r>
        <w:rPr>
          <w:rFonts w:ascii="Liberation Serif" w:hAnsi="Liberation Serif"/>
          <w:i/>
        </w:rPr>
        <w:t>International Journal of Stress Management</w:t>
      </w:r>
      <w:r>
        <w:rPr>
          <w:rFonts w:ascii="Liberation Serif" w:hAnsi="Liberation Serif"/>
        </w:rPr>
        <w:t>, 25(4), pp.348–356. doi:10.1037/str0000071.</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Whybrow, D., Jones, N. and Greenberg, N. (2015). Promoting organizational well-being: a comprehensive review of Trauma Risk Management: Table 1. </w:t>
      </w:r>
      <w:r>
        <w:rPr>
          <w:rFonts w:ascii="Liberation Serif" w:hAnsi="Liberation Serif"/>
          <w:i/>
        </w:rPr>
        <w:t>Occupational Medicine</w:t>
      </w:r>
      <w:r>
        <w:rPr>
          <w:rFonts w:ascii="Liberation Serif" w:hAnsi="Liberation Serif"/>
        </w:rPr>
        <w:t>, [online] 65(4), pp.331–336. doi:10.1093/occmed/kqv024.</w:t>
      </w:r>
    </w:p>
    <w:p>
      <w:pPr>
        <w:pStyle w:val="Normal"/>
        <w:bidi w:val="0"/>
        <w:jc w:val="left"/>
        <w:rPr>
          <w:rFonts w:ascii="Liberation Serif" w:hAnsi="Liberation Serif"/>
        </w:rPr>
      </w:pPr>
      <w:r>
        <w:rPr>
          <w:rFonts w:ascii="Liberation Serif" w:hAnsi="Liberation Serif"/>
        </w:rPr>
      </w:r>
    </w:p>
    <w:p>
      <w:pPr>
        <w:pStyle w:val="Normal"/>
        <w:bidi w:val="0"/>
        <w:jc w:val="left"/>
        <w:rPr>
          <w:rFonts w:ascii="Liberation Serif" w:hAnsi="Liberation Serif"/>
        </w:rPr>
      </w:pPr>
      <w:r>
        <w:rPr>
          <w:rFonts w:ascii="Liberation Serif" w:hAnsi="Liberation Serif"/>
        </w:rPr>
        <w:t xml:space="preserve">Wilson, D.B., Brennan, I. and Olaghere, A. (2018). Police‐initiated diversion for youth to prevent future delinquent behavior: a systematic review. </w:t>
      </w:r>
      <w:r>
        <w:rPr>
          <w:rFonts w:ascii="Liberation Serif" w:hAnsi="Liberation Serif"/>
          <w:i/>
        </w:rPr>
        <w:t>Campbell Systematic Reviews</w:t>
      </w:r>
      <w:r>
        <w:rPr>
          <w:rFonts w:ascii="Liberation Serif" w:hAnsi="Liberation Serif"/>
        </w:rPr>
        <w:t>, 14(1), pp.1–88. doi:10.4073/csr.2018.5.</w:t>
      </w:r>
    </w:p>
    <w:p>
      <w:pPr>
        <w:pStyle w:val="Normal"/>
        <w:bidi w:val="0"/>
        <w:jc w:val="left"/>
        <w:rPr>
          <w:color w:val="000000"/>
          <w:sz w:val="24"/>
          <w:shd w:fill="FFFFFF" w:val="clear"/>
        </w:rPr>
      </w:pPr>
      <w:r>
        <w:rPr>
          <w:rFonts w:ascii="Liberation Serif" w:hAnsi="Liberation Serif"/>
        </w:rPr>
      </w:r>
    </w:p>
    <w:p>
      <w:pPr>
        <w:pStyle w:val="Normal"/>
        <w:bidi w:val="0"/>
        <w:jc w:val="left"/>
        <w:rPr>
          <w:rFonts w:ascii="Liberation Serif" w:hAnsi="Liberation Serif"/>
        </w:rPr>
      </w:pPr>
      <w:r>
        <w:rPr>
          <w:rFonts w:ascii="Liberation Serif" w:hAnsi="Liberation Serif"/>
          <w:color w:val="000000"/>
          <w:sz w:val="24"/>
          <w:shd w:fill="FFFFFF" w:val="clear"/>
        </w:rPr>
        <w:t xml:space="preserve">Windle, J., Moyle, L. and Coomber, R. (2020). ‘Vulnerable’ Kids Going Country: Children and Young People’s Involvement in County Lines Drug Dealing. </w:t>
      </w:r>
      <w:r>
        <w:rPr>
          <w:rFonts w:ascii="Liberation Serif" w:hAnsi="Liberation Serif"/>
          <w:i/>
          <w:color w:val="000000"/>
          <w:sz w:val="24"/>
          <w:shd w:fill="FFFFFF" w:val="clear"/>
        </w:rPr>
        <w:t>Youth Justice</w:t>
      </w:r>
      <w:r>
        <w:rPr>
          <w:rFonts w:ascii="Liberation Serif" w:hAnsi="Liberation Serif"/>
          <w:color w:val="000000"/>
          <w:sz w:val="24"/>
          <w:shd w:fill="FFFFFF" w:val="clear"/>
        </w:rPr>
        <w:t>, [online] 20(1-2), p.147322542090284. doi:10.1177/1473225420902840.</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4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ans CJK SC" w:cs="Lohit Devanagari"/>
        <w:kern w:val="2"/>
        <w:sz w:val="24"/>
        <w:szCs w:val="24"/>
        <w:lang w:val="en-GB"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oto Sans CJK SC" w:cs="Lohit Devanagari"/>
      <w:color w:val="auto"/>
      <w:kern w:val="2"/>
      <w:sz w:val="24"/>
      <w:szCs w:val="24"/>
      <w:lang w:val="en-GB" w:eastAsia="zh-CN" w:bidi="hi-IN"/>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1708</TotalTime>
  <Application>LibreOffice/7.4.3.2$Linux_X86_64 LibreOffice_project/40$Build-2</Application>
  <AppVersion>15.0000</AppVersion>
  <Pages>14</Pages>
  <Words>5954</Words>
  <Characters>33862</Characters>
  <CharactersWithSpaces>39699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2022-11-26T16:25:09Z</dcterms:created>
  <dc:creator/>
  <dc:description/>
  <dc:language>en-GB</dc:language>
  <cp:lastModifiedBy/>
  <dcterms:modified xsi:type="dcterms:W3CDTF">2022-11-27T21:13:18Z</dcterms:modified>
  <cp:revision>39</cp:revision>
  <dc:subject/>
  <dc:title/>
</cp:coreProperties>
</file>