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5AEBAE" w14:textId="0E81852F" w:rsidR="00F548F2" w:rsidRPr="00074FA7" w:rsidRDefault="00F548F2" w:rsidP="006D4ECD">
      <w:pPr>
        <w:spacing w:line="360" w:lineRule="auto"/>
        <w:rPr>
          <w:rFonts w:ascii="Arial" w:hAnsi="Arial" w:cs="Arial"/>
          <w:sz w:val="22"/>
          <w:szCs w:val="22"/>
        </w:rPr>
      </w:pPr>
      <w:r>
        <w:t xml:space="preserve"> </w:t>
      </w:r>
      <w:r w:rsidR="00CD1D51" w:rsidRPr="00074FA7">
        <w:rPr>
          <w:rFonts w:ascii="Arial" w:hAnsi="Arial" w:cs="Arial"/>
          <w:sz w:val="22"/>
          <w:szCs w:val="22"/>
        </w:rPr>
        <w:t>Areeba Khan</w:t>
      </w:r>
    </w:p>
    <w:p w14:paraId="1C4212F5" w14:textId="25EDFEF3" w:rsidR="00CD1D51" w:rsidRPr="00074FA7" w:rsidRDefault="004E0D59" w:rsidP="006D4ECD">
      <w:pPr>
        <w:spacing w:line="360" w:lineRule="auto"/>
        <w:rPr>
          <w:rFonts w:ascii="Arial" w:hAnsi="Arial" w:cs="Arial"/>
          <w:sz w:val="22"/>
          <w:szCs w:val="22"/>
        </w:rPr>
      </w:pPr>
      <w:r w:rsidRPr="00074FA7">
        <w:rPr>
          <w:rFonts w:ascii="Arial" w:hAnsi="Arial" w:cs="Arial"/>
          <w:sz w:val="22"/>
          <w:szCs w:val="22"/>
        </w:rPr>
        <w:t>LCHS4</w:t>
      </w:r>
      <w:r w:rsidR="00E02963" w:rsidRPr="00074FA7">
        <w:rPr>
          <w:rFonts w:ascii="Arial" w:hAnsi="Arial" w:cs="Arial"/>
          <w:sz w:val="22"/>
          <w:szCs w:val="22"/>
        </w:rPr>
        <w:t>010</w:t>
      </w:r>
      <w:r w:rsidR="00B12079" w:rsidRPr="00074FA7">
        <w:rPr>
          <w:rFonts w:ascii="Arial" w:hAnsi="Arial" w:cs="Arial"/>
          <w:sz w:val="22"/>
          <w:szCs w:val="22"/>
        </w:rPr>
        <w:t xml:space="preserve"> Lifespan Development </w:t>
      </w:r>
    </w:p>
    <w:p w14:paraId="46BCDD3F" w14:textId="3B6E66B7" w:rsidR="00B12079" w:rsidRPr="00074FA7" w:rsidRDefault="00B95AC7" w:rsidP="006D4ECD">
      <w:pPr>
        <w:spacing w:line="360" w:lineRule="auto"/>
        <w:rPr>
          <w:rFonts w:ascii="Arial" w:hAnsi="Arial" w:cs="Arial"/>
          <w:sz w:val="22"/>
          <w:szCs w:val="22"/>
        </w:rPr>
      </w:pPr>
      <w:r w:rsidRPr="00074FA7">
        <w:rPr>
          <w:rFonts w:ascii="Arial" w:hAnsi="Arial" w:cs="Arial"/>
          <w:sz w:val="22"/>
          <w:szCs w:val="22"/>
        </w:rPr>
        <w:t>10/10/2026</w:t>
      </w:r>
    </w:p>
    <w:p w14:paraId="3CE3C362" w14:textId="77777777" w:rsidR="0068164B" w:rsidRPr="00074FA7" w:rsidRDefault="0068164B" w:rsidP="006D4ECD">
      <w:pPr>
        <w:spacing w:line="360" w:lineRule="auto"/>
        <w:rPr>
          <w:rFonts w:ascii="Arial" w:hAnsi="Arial" w:cs="Arial"/>
          <w:sz w:val="22"/>
          <w:szCs w:val="22"/>
        </w:rPr>
      </w:pPr>
    </w:p>
    <w:p w14:paraId="7A6B414F" w14:textId="77777777" w:rsidR="0068164B" w:rsidRPr="00074FA7" w:rsidRDefault="0068164B" w:rsidP="006D4ECD">
      <w:pPr>
        <w:spacing w:line="360" w:lineRule="auto"/>
        <w:rPr>
          <w:rFonts w:ascii="Arial" w:hAnsi="Arial" w:cs="Arial"/>
          <w:sz w:val="22"/>
          <w:szCs w:val="22"/>
        </w:rPr>
      </w:pPr>
    </w:p>
    <w:p w14:paraId="6F8272C8" w14:textId="77777777" w:rsidR="0068164B" w:rsidRPr="00074FA7" w:rsidRDefault="0068164B" w:rsidP="006D4ECD">
      <w:pPr>
        <w:spacing w:line="360" w:lineRule="auto"/>
        <w:rPr>
          <w:rFonts w:ascii="Arial" w:hAnsi="Arial" w:cs="Arial"/>
          <w:sz w:val="22"/>
          <w:szCs w:val="22"/>
        </w:rPr>
      </w:pPr>
    </w:p>
    <w:p w14:paraId="43E4A708" w14:textId="77777777" w:rsidR="0068164B" w:rsidRPr="00074FA7" w:rsidRDefault="0068164B" w:rsidP="006D4ECD">
      <w:pPr>
        <w:spacing w:line="360" w:lineRule="auto"/>
        <w:rPr>
          <w:rFonts w:ascii="Arial" w:hAnsi="Arial" w:cs="Arial"/>
          <w:sz w:val="22"/>
          <w:szCs w:val="22"/>
        </w:rPr>
      </w:pPr>
    </w:p>
    <w:p w14:paraId="3BAA2E63" w14:textId="77777777" w:rsidR="0068164B" w:rsidRPr="00074FA7" w:rsidRDefault="0068164B" w:rsidP="006D4ECD">
      <w:pPr>
        <w:spacing w:line="360" w:lineRule="auto"/>
        <w:rPr>
          <w:rFonts w:ascii="Arial" w:hAnsi="Arial" w:cs="Arial"/>
          <w:sz w:val="22"/>
          <w:szCs w:val="22"/>
        </w:rPr>
      </w:pPr>
    </w:p>
    <w:p w14:paraId="5E5566AE" w14:textId="77777777" w:rsidR="0068164B" w:rsidRPr="00074FA7" w:rsidRDefault="0068164B" w:rsidP="006D4ECD">
      <w:pPr>
        <w:spacing w:line="360" w:lineRule="auto"/>
        <w:rPr>
          <w:rFonts w:ascii="Arial" w:hAnsi="Arial" w:cs="Arial"/>
          <w:sz w:val="22"/>
          <w:szCs w:val="22"/>
        </w:rPr>
      </w:pPr>
    </w:p>
    <w:p w14:paraId="785FA083" w14:textId="77777777" w:rsidR="0068164B" w:rsidRPr="00074FA7" w:rsidRDefault="0068164B" w:rsidP="006D4ECD">
      <w:pPr>
        <w:spacing w:line="360" w:lineRule="auto"/>
        <w:rPr>
          <w:rFonts w:ascii="Arial" w:hAnsi="Arial" w:cs="Arial"/>
          <w:sz w:val="22"/>
          <w:szCs w:val="22"/>
        </w:rPr>
      </w:pPr>
    </w:p>
    <w:p w14:paraId="46210888" w14:textId="77777777" w:rsidR="0068164B" w:rsidRPr="00074FA7" w:rsidRDefault="0068164B" w:rsidP="006D4ECD">
      <w:pPr>
        <w:spacing w:line="360" w:lineRule="auto"/>
        <w:rPr>
          <w:rFonts w:ascii="Arial" w:hAnsi="Arial" w:cs="Arial"/>
          <w:sz w:val="22"/>
          <w:szCs w:val="22"/>
        </w:rPr>
      </w:pPr>
    </w:p>
    <w:p w14:paraId="52207E45" w14:textId="77777777" w:rsidR="0068164B" w:rsidRPr="00074FA7" w:rsidRDefault="0068164B" w:rsidP="006D4ECD">
      <w:pPr>
        <w:spacing w:line="360" w:lineRule="auto"/>
        <w:rPr>
          <w:rFonts w:ascii="Arial" w:hAnsi="Arial" w:cs="Arial"/>
          <w:sz w:val="22"/>
          <w:szCs w:val="22"/>
        </w:rPr>
      </w:pPr>
    </w:p>
    <w:p w14:paraId="60221E7C" w14:textId="77777777" w:rsidR="0068164B" w:rsidRPr="00074FA7" w:rsidRDefault="0068164B" w:rsidP="006D4ECD">
      <w:pPr>
        <w:spacing w:line="360" w:lineRule="auto"/>
        <w:rPr>
          <w:rFonts w:ascii="Arial" w:hAnsi="Arial" w:cs="Arial"/>
          <w:sz w:val="22"/>
          <w:szCs w:val="22"/>
        </w:rPr>
      </w:pPr>
    </w:p>
    <w:p w14:paraId="2DC34FCB" w14:textId="77777777" w:rsidR="0068164B" w:rsidRPr="00074FA7" w:rsidRDefault="0068164B" w:rsidP="006D4ECD">
      <w:pPr>
        <w:spacing w:line="360" w:lineRule="auto"/>
        <w:rPr>
          <w:rFonts w:ascii="Arial" w:hAnsi="Arial" w:cs="Arial"/>
          <w:sz w:val="22"/>
          <w:szCs w:val="22"/>
        </w:rPr>
      </w:pPr>
    </w:p>
    <w:p w14:paraId="734A4C41" w14:textId="77777777" w:rsidR="0068164B" w:rsidRPr="00074FA7" w:rsidRDefault="0068164B" w:rsidP="006D4ECD">
      <w:pPr>
        <w:spacing w:line="360" w:lineRule="auto"/>
        <w:rPr>
          <w:rFonts w:ascii="Arial" w:hAnsi="Arial" w:cs="Arial"/>
          <w:sz w:val="22"/>
          <w:szCs w:val="22"/>
        </w:rPr>
      </w:pPr>
    </w:p>
    <w:p w14:paraId="61D827BF" w14:textId="77777777" w:rsidR="0068164B" w:rsidRPr="00074FA7" w:rsidRDefault="0068164B" w:rsidP="006D4ECD">
      <w:pPr>
        <w:spacing w:line="360" w:lineRule="auto"/>
        <w:rPr>
          <w:rFonts w:ascii="Arial" w:hAnsi="Arial" w:cs="Arial"/>
          <w:sz w:val="22"/>
          <w:szCs w:val="22"/>
        </w:rPr>
      </w:pPr>
    </w:p>
    <w:p w14:paraId="232DA4C5" w14:textId="77777777" w:rsidR="0068164B" w:rsidRPr="00074FA7" w:rsidRDefault="0068164B" w:rsidP="006D4ECD">
      <w:pPr>
        <w:spacing w:line="360" w:lineRule="auto"/>
        <w:rPr>
          <w:rFonts w:ascii="Arial" w:hAnsi="Arial" w:cs="Arial"/>
          <w:sz w:val="22"/>
          <w:szCs w:val="22"/>
        </w:rPr>
      </w:pPr>
    </w:p>
    <w:p w14:paraId="6B184CEA" w14:textId="77777777" w:rsidR="0068164B" w:rsidRPr="00074FA7" w:rsidRDefault="0068164B" w:rsidP="006D4ECD">
      <w:pPr>
        <w:spacing w:line="360" w:lineRule="auto"/>
        <w:rPr>
          <w:rFonts w:ascii="Arial" w:hAnsi="Arial" w:cs="Arial"/>
          <w:sz w:val="22"/>
          <w:szCs w:val="22"/>
        </w:rPr>
      </w:pPr>
    </w:p>
    <w:p w14:paraId="5785EAB2" w14:textId="77777777" w:rsidR="0068164B" w:rsidRPr="00074FA7" w:rsidRDefault="0068164B" w:rsidP="006D4ECD">
      <w:pPr>
        <w:spacing w:line="360" w:lineRule="auto"/>
        <w:rPr>
          <w:rFonts w:ascii="Arial" w:hAnsi="Arial" w:cs="Arial"/>
          <w:sz w:val="22"/>
          <w:szCs w:val="22"/>
        </w:rPr>
      </w:pPr>
    </w:p>
    <w:p w14:paraId="021B707B" w14:textId="77777777" w:rsidR="0068164B" w:rsidRPr="00074FA7" w:rsidRDefault="0068164B" w:rsidP="006D4ECD">
      <w:pPr>
        <w:spacing w:line="360" w:lineRule="auto"/>
        <w:rPr>
          <w:rFonts w:ascii="Arial" w:hAnsi="Arial" w:cs="Arial"/>
          <w:sz w:val="22"/>
          <w:szCs w:val="22"/>
        </w:rPr>
      </w:pPr>
    </w:p>
    <w:p w14:paraId="0B5BFB16" w14:textId="77777777" w:rsidR="0068164B" w:rsidRPr="00074FA7" w:rsidRDefault="0068164B" w:rsidP="006D4ECD">
      <w:pPr>
        <w:spacing w:line="360" w:lineRule="auto"/>
        <w:rPr>
          <w:rFonts w:ascii="Arial" w:hAnsi="Arial" w:cs="Arial"/>
          <w:sz w:val="22"/>
          <w:szCs w:val="22"/>
        </w:rPr>
      </w:pPr>
    </w:p>
    <w:p w14:paraId="66109D21" w14:textId="77777777" w:rsidR="0068164B" w:rsidRPr="00074FA7" w:rsidRDefault="0068164B" w:rsidP="006D4ECD">
      <w:pPr>
        <w:spacing w:line="360" w:lineRule="auto"/>
        <w:rPr>
          <w:rFonts w:ascii="Arial" w:hAnsi="Arial" w:cs="Arial"/>
          <w:sz w:val="22"/>
          <w:szCs w:val="22"/>
        </w:rPr>
      </w:pPr>
    </w:p>
    <w:p w14:paraId="21713B65" w14:textId="77777777" w:rsidR="0068164B" w:rsidRPr="00074FA7" w:rsidRDefault="0068164B" w:rsidP="006D4ECD">
      <w:pPr>
        <w:spacing w:line="360" w:lineRule="auto"/>
        <w:rPr>
          <w:rFonts w:ascii="Arial" w:hAnsi="Arial" w:cs="Arial"/>
          <w:sz w:val="22"/>
          <w:szCs w:val="22"/>
        </w:rPr>
      </w:pPr>
    </w:p>
    <w:p w14:paraId="755ED4CF" w14:textId="77777777" w:rsidR="0068164B" w:rsidRPr="00074FA7" w:rsidRDefault="0068164B" w:rsidP="006D4ECD">
      <w:pPr>
        <w:spacing w:line="360" w:lineRule="auto"/>
        <w:rPr>
          <w:rFonts w:ascii="Arial" w:hAnsi="Arial" w:cs="Arial"/>
          <w:sz w:val="22"/>
          <w:szCs w:val="22"/>
        </w:rPr>
      </w:pPr>
    </w:p>
    <w:p w14:paraId="77873700" w14:textId="77777777" w:rsidR="0068164B" w:rsidRPr="00074FA7" w:rsidRDefault="0068164B" w:rsidP="006D4ECD">
      <w:pPr>
        <w:spacing w:line="360" w:lineRule="auto"/>
        <w:rPr>
          <w:rFonts w:ascii="Arial" w:hAnsi="Arial" w:cs="Arial"/>
          <w:sz w:val="22"/>
          <w:szCs w:val="22"/>
        </w:rPr>
      </w:pPr>
    </w:p>
    <w:p w14:paraId="0370B189" w14:textId="77777777" w:rsidR="0068164B" w:rsidRPr="00074FA7" w:rsidRDefault="0068164B" w:rsidP="006D4ECD">
      <w:pPr>
        <w:spacing w:line="360" w:lineRule="auto"/>
        <w:rPr>
          <w:rFonts w:ascii="Arial" w:hAnsi="Arial" w:cs="Arial"/>
          <w:sz w:val="22"/>
          <w:szCs w:val="22"/>
        </w:rPr>
      </w:pPr>
    </w:p>
    <w:p w14:paraId="0EEA5BD3" w14:textId="685AEE31"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lastRenderedPageBreak/>
        <w:t>Introduction</w:t>
      </w:r>
    </w:p>
    <w:p w14:paraId="4FD170A3" w14:textId="77777777" w:rsidR="006A290E" w:rsidRPr="00074FA7" w:rsidRDefault="006A290E" w:rsidP="006D4ECD">
      <w:pPr>
        <w:spacing w:line="360" w:lineRule="auto"/>
        <w:rPr>
          <w:rFonts w:ascii="Arial" w:hAnsi="Arial" w:cs="Arial"/>
          <w:sz w:val="22"/>
          <w:szCs w:val="22"/>
        </w:rPr>
      </w:pPr>
    </w:p>
    <w:p w14:paraId="30DB05E4"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Hello everyone. Today I will be presenting on John </w:t>
      </w:r>
      <w:proofErr w:type="spellStart"/>
      <w:r w:rsidRPr="00074FA7">
        <w:rPr>
          <w:rFonts w:ascii="Arial" w:hAnsi="Arial" w:cs="Arial"/>
          <w:sz w:val="22"/>
          <w:szCs w:val="22"/>
        </w:rPr>
        <w:t>Bowlby’s</w:t>
      </w:r>
      <w:proofErr w:type="spellEnd"/>
      <w:r w:rsidRPr="00074FA7">
        <w:rPr>
          <w:rFonts w:ascii="Arial" w:hAnsi="Arial" w:cs="Arial"/>
          <w:sz w:val="22"/>
          <w:szCs w:val="22"/>
        </w:rPr>
        <w:t xml:space="preserve"> Attachment Theory and how we can use it to understand and support 3-year-old Shona, who has recently started at our nursery. Shona is showing signs of anxiety when her carers leave, has limited verbal communication, and finds it hard to join in group play. By using </w:t>
      </w:r>
      <w:proofErr w:type="spellStart"/>
      <w:r w:rsidRPr="00074FA7">
        <w:rPr>
          <w:rFonts w:ascii="Arial" w:hAnsi="Arial" w:cs="Arial"/>
          <w:sz w:val="22"/>
          <w:szCs w:val="22"/>
        </w:rPr>
        <w:t>Bowlby’s</w:t>
      </w:r>
      <w:proofErr w:type="spellEnd"/>
      <w:r w:rsidRPr="00074FA7">
        <w:rPr>
          <w:rFonts w:ascii="Arial" w:hAnsi="Arial" w:cs="Arial"/>
          <w:sz w:val="22"/>
          <w:szCs w:val="22"/>
        </w:rPr>
        <w:t xml:space="preserve"> theory, we can better understand what Shona is going through and put the right support in place to help her settle in.</w:t>
      </w:r>
    </w:p>
    <w:p w14:paraId="5D7DCC26"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What is </w:t>
      </w:r>
      <w:proofErr w:type="spellStart"/>
      <w:r w:rsidRPr="00074FA7">
        <w:rPr>
          <w:rFonts w:ascii="Arial" w:hAnsi="Arial" w:cs="Arial"/>
          <w:sz w:val="22"/>
          <w:szCs w:val="22"/>
        </w:rPr>
        <w:t>Bowlby’s</w:t>
      </w:r>
      <w:proofErr w:type="spellEnd"/>
      <w:r w:rsidRPr="00074FA7">
        <w:rPr>
          <w:rFonts w:ascii="Arial" w:hAnsi="Arial" w:cs="Arial"/>
          <w:sz w:val="22"/>
          <w:szCs w:val="22"/>
        </w:rPr>
        <w:t xml:space="preserve"> Attachment Theory?</w:t>
      </w:r>
    </w:p>
    <w:p w14:paraId="3E0DC338" w14:textId="77777777" w:rsidR="006A290E" w:rsidRPr="00074FA7" w:rsidRDefault="006A290E" w:rsidP="006D4ECD">
      <w:pPr>
        <w:spacing w:line="360" w:lineRule="auto"/>
        <w:rPr>
          <w:rFonts w:ascii="Arial" w:hAnsi="Arial" w:cs="Arial"/>
          <w:sz w:val="22"/>
          <w:szCs w:val="22"/>
        </w:rPr>
      </w:pPr>
    </w:p>
    <w:p w14:paraId="31070706"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John </w:t>
      </w:r>
      <w:proofErr w:type="spellStart"/>
      <w:r w:rsidRPr="00074FA7">
        <w:rPr>
          <w:rFonts w:ascii="Arial" w:hAnsi="Arial" w:cs="Arial"/>
          <w:sz w:val="22"/>
          <w:szCs w:val="22"/>
        </w:rPr>
        <w:t>Bowlby</w:t>
      </w:r>
      <w:proofErr w:type="spellEnd"/>
      <w:r w:rsidRPr="00074FA7">
        <w:rPr>
          <w:rFonts w:ascii="Arial" w:hAnsi="Arial" w:cs="Arial"/>
          <w:sz w:val="22"/>
          <w:szCs w:val="22"/>
        </w:rPr>
        <w:t xml:space="preserve"> first introduced his Attachment Theory in 1969. He believed that forming a strong emotional bond with a primary caregiver is not just something that happens — it is a biological need that human beings are born with. Just as we need food and shelter to survive, we need secure relationships to feel safe.</w:t>
      </w:r>
    </w:p>
    <w:p w14:paraId="75A53630" w14:textId="77777777" w:rsidR="006A290E" w:rsidRPr="00074FA7" w:rsidRDefault="006A290E" w:rsidP="006D4ECD">
      <w:pPr>
        <w:spacing w:line="360" w:lineRule="auto"/>
        <w:rPr>
          <w:rFonts w:ascii="Arial" w:hAnsi="Arial" w:cs="Arial"/>
          <w:sz w:val="22"/>
          <w:szCs w:val="22"/>
        </w:rPr>
      </w:pPr>
    </w:p>
    <w:p w14:paraId="5E1CB470"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There are several key concepts in </w:t>
      </w:r>
      <w:proofErr w:type="spellStart"/>
      <w:r w:rsidRPr="00074FA7">
        <w:rPr>
          <w:rFonts w:ascii="Arial" w:hAnsi="Arial" w:cs="Arial"/>
          <w:sz w:val="22"/>
          <w:szCs w:val="22"/>
        </w:rPr>
        <w:t>Bowlby’s</w:t>
      </w:r>
      <w:proofErr w:type="spellEnd"/>
      <w:r w:rsidRPr="00074FA7">
        <w:rPr>
          <w:rFonts w:ascii="Arial" w:hAnsi="Arial" w:cs="Arial"/>
          <w:sz w:val="22"/>
          <w:szCs w:val="22"/>
        </w:rPr>
        <w:t xml:space="preserve"> theory:</w:t>
      </w:r>
    </w:p>
    <w:p w14:paraId="0E432733" w14:textId="77777777" w:rsidR="006A290E" w:rsidRPr="00074FA7" w:rsidRDefault="006A290E" w:rsidP="006D4ECD">
      <w:pPr>
        <w:spacing w:line="360" w:lineRule="auto"/>
        <w:rPr>
          <w:rFonts w:ascii="Arial" w:hAnsi="Arial" w:cs="Arial"/>
          <w:sz w:val="22"/>
          <w:szCs w:val="22"/>
        </w:rPr>
      </w:pPr>
    </w:p>
    <w:p w14:paraId="41438254"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Secure Base: When a child knows they have a trusted adult they can return to for comfort, they feel confident enough to explore the world around them. This is called having a secure base.</w:t>
      </w:r>
    </w:p>
    <w:p w14:paraId="55EBB033" w14:textId="77777777" w:rsidR="006A290E" w:rsidRPr="00074FA7" w:rsidRDefault="006A290E" w:rsidP="006D4ECD">
      <w:pPr>
        <w:spacing w:line="360" w:lineRule="auto"/>
        <w:rPr>
          <w:rFonts w:ascii="Arial" w:hAnsi="Arial" w:cs="Arial"/>
          <w:sz w:val="22"/>
          <w:szCs w:val="22"/>
        </w:rPr>
      </w:pPr>
    </w:p>
    <w:p w14:paraId="4DD36CA4"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Internal Working Model: The first relationship a child forms becomes a mental blueprint for all future relationships. If they learn that adults are reliable and kind, they will expect the same from others. If they feel unsure or abandoned, they may find trust difficult later on.</w:t>
      </w:r>
    </w:p>
    <w:p w14:paraId="42FBC0CB" w14:textId="77777777" w:rsidR="006A290E" w:rsidRPr="00074FA7" w:rsidRDefault="006A290E" w:rsidP="006D4ECD">
      <w:pPr>
        <w:spacing w:line="360" w:lineRule="auto"/>
        <w:rPr>
          <w:rFonts w:ascii="Arial" w:hAnsi="Arial" w:cs="Arial"/>
          <w:sz w:val="22"/>
          <w:szCs w:val="22"/>
        </w:rPr>
      </w:pPr>
    </w:p>
    <w:p w14:paraId="4F201731"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 Critical Period: </w:t>
      </w:r>
      <w:proofErr w:type="spellStart"/>
      <w:r w:rsidRPr="00074FA7">
        <w:rPr>
          <w:rFonts w:ascii="Arial" w:hAnsi="Arial" w:cs="Arial"/>
          <w:sz w:val="22"/>
          <w:szCs w:val="22"/>
        </w:rPr>
        <w:t>Bowlby</w:t>
      </w:r>
      <w:proofErr w:type="spellEnd"/>
      <w:r w:rsidRPr="00074FA7">
        <w:rPr>
          <w:rFonts w:ascii="Arial" w:hAnsi="Arial" w:cs="Arial"/>
          <w:sz w:val="22"/>
          <w:szCs w:val="22"/>
        </w:rPr>
        <w:t xml:space="preserve"> believed that the first three years of life are the most important time for building these attachments. While it is possible to form secure attachments later, early experiences have the biggest impact.</w:t>
      </w:r>
    </w:p>
    <w:p w14:paraId="1D269EC6" w14:textId="77777777" w:rsidR="006A290E" w:rsidRPr="00074FA7" w:rsidRDefault="006A290E" w:rsidP="006D4ECD">
      <w:pPr>
        <w:spacing w:line="360" w:lineRule="auto"/>
        <w:rPr>
          <w:rFonts w:ascii="Arial" w:hAnsi="Arial" w:cs="Arial"/>
          <w:sz w:val="22"/>
          <w:szCs w:val="22"/>
        </w:rPr>
      </w:pPr>
    </w:p>
    <w:p w14:paraId="6DA5E1F3"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lastRenderedPageBreak/>
        <w:t>• Separation Anxiety: It is natural for young children to feel upset when separated from the people they are attached to. This usually peaks around the age of two to three — exactly Shona’s age — and gradually fades as they become more confident.</w:t>
      </w:r>
    </w:p>
    <w:p w14:paraId="0FDA272F" w14:textId="77777777" w:rsidR="006A290E" w:rsidRPr="00074FA7" w:rsidRDefault="006A290E" w:rsidP="006D4ECD">
      <w:pPr>
        <w:spacing w:line="360" w:lineRule="auto"/>
        <w:rPr>
          <w:rFonts w:ascii="Arial" w:hAnsi="Arial" w:cs="Arial"/>
          <w:sz w:val="22"/>
          <w:szCs w:val="22"/>
        </w:rPr>
      </w:pPr>
    </w:p>
    <w:p w14:paraId="3F1DEBF3"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This theory is extremely relevant to early years development because it tells us that children’s behaviour is often about how secure they feel, rather than simply what they are “like” as a person.</w:t>
      </w:r>
    </w:p>
    <w:p w14:paraId="79F193C1"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Applying the Theory to Shona’s Situation</w:t>
      </w:r>
    </w:p>
    <w:p w14:paraId="43BE4215" w14:textId="77777777" w:rsidR="006A290E" w:rsidRPr="00074FA7" w:rsidRDefault="006A290E" w:rsidP="006D4ECD">
      <w:pPr>
        <w:spacing w:line="360" w:lineRule="auto"/>
        <w:rPr>
          <w:rFonts w:ascii="Arial" w:hAnsi="Arial" w:cs="Arial"/>
          <w:sz w:val="22"/>
          <w:szCs w:val="22"/>
        </w:rPr>
      </w:pPr>
    </w:p>
    <w:p w14:paraId="74F9F9EA"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When we look at Shona through </w:t>
      </w:r>
      <w:proofErr w:type="spellStart"/>
      <w:r w:rsidRPr="00074FA7">
        <w:rPr>
          <w:rFonts w:ascii="Arial" w:hAnsi="Arial" w:cs="Arial"/>
          <w:sz w:val="22"/>
          <w:szCs w:val="22"/>
        </w:rPr>
        <w:t>Bowlby’s</w:t>
      </w:r>
      <w:proofErr w:type="spellEnd"/>
      <w:r w:rsidRPr="00074FA7">
        <w:rPr>
          <w:rFonts w:ascii="Arial" w:hAnsi="Arial" w:cs="Arial"/>
          <w:sz w:val="22"/>
          <w:szCs w:val="22"/>
        </w:rPr>
        <w:t xml:space="preserve"> theory, her behaviour starts to make much more sense:</w:t>
      </w:r>
    </w:p>
    <w:p w14:paraId="34F5817E" w14:textId="77777777" w:rsidR="006A290E" w:rsidRPr="00074FA7" w:rsidRDefault="006A290E" w:rsidP="006D4ECD">
      <w:pPr>
        <w:spacing w:line="360" w:lineRule="auto"/>
        <w:rPr>
          <w:rFonts w:ascii="Arial" w:hAnsi="Arial" w:cs="Arial"/>
          <w:sz w:val="22"/>
          <w:szCs w:val="22"/>
        </w:rPr>
      </w:pPr>
    </w:p>
    <w:p w14:paraId="49757F70"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First — her anxiety when her carers leave. </w:t>
      </w:r>
      <w:proofErr w:type="spellStart"/>
      <w:r w:rsidRPr="00074FA7">
        <w:rPr>
          <w:rFonts w:ascii="Arial" w:hAnsi="Arial" w:cs="Arial"/>
          <w:sz w:val="22"/>
          <w:szCs w:val="22"/>
        </w:rPr>
        <w:t>Bowlby</w:t>
      </w:r>
      <w:proofErr w:type="spellEnd"/>
      <w:r w:rsidRPr="00074FA7">
        <w:rPr>
          <w:rFonts w:ascii="Arial" w:hAnsi="Arial" w:cs="Arial"/>
          <w:sz w:val="22"/>
          <w:szCs w:val="22"/>
        </w:rPr>
        <w:t xml:space="preserve"> would explain this as separation anxiety — a normal, biological response. Shona is in a new, unfamiliar environment, and her “secure base” has just walked out the door. She doesn’t yet have enough experience to know that her carer will come back. Her anxiety isn’t misbehaviour — it’s her attachment system doing exactly what it’s designed to do: keep her close to the people who keep her safe.</w:t>
      </w:r>
    </w:p>
    <w:p w14:paraId="3BA6BC29" w14:textId="77777777" w:rsidR="006A290E" w:rsidRPr="00074FA7" w:rsidRDefault="006A290E" w:rsidP="006D4ECD">
      <w:pPr>
        <w:spacing w:line="360" w:lineRule="auto"/>
        <w:rPr>
          <w:rFonts w:ascii="Arial" w:hAnsi="Arial" w:cs="Arial"/>
          <w:sz w:val="22"/>
          <w:szCs w:val="22"/>
        </w:rPr>
      </w:pPr>
    </w:p>
    <w:p w14:paraId="068D4DE2"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Second — her limited verbal communication. When a child feels anxious or unsafe, their body goes into protection mode. It is very difficult to learn new skills — including talking — when you are worried. </w:t>
      </w:r>
      <w:proofErr w:type="spellStart"/>
      <w:r w:rsidRPr="00074FA7">
        <w:rPr>
          <w:rFonts w:ascii="Arial" w:hAnsi="Arial" w:cs="Arial"/>
          <w:sz w:val="22"/>
          <w:szCs w:val="22"/>
        </w:rPr>
        <w:t>Bowlby’s</w:t>
      </w:r>
      <w:proofErr w:type="spellEnd"/>
      <w:r w:rsidRPr="00074FA7">
        <w:rPr>
          <w:rFonts w:ascii="Arial" w:hAnsi="Arial" w:cs="Arial"/>
          <w:sz w:val="22"/>
          <w:szCs w:val="22"/>
        </w:rPr>
        <w:t xml:space="preserve"> theory tells us that emotional security comes first. Once Shona feels safe, her confidence and communication are likely to improve naturally.</w:t>
      </w:r>
    </w:p>
    <w:p w14:paraId="75F19A89" w14:textId="77777777" w:rsidR="006A290E" w:rsidRPr="00074FA7" w:rsidRDefault="006A290E" w:rsidP="006D4ECD">
      <w:pPr>
        <w:spacing w:line="360" w:lineRule="auto"/>
        <w:rPr>
          <w:rFonts w:ascii="Arial" w:hAnsi="Arial" w:cs="Arial"/>
          <w:sz w:val="22"/>
          <w:szCs w:val="22"/>
        </w:rPr>
      </w:pPr>
    </w:p>
    <w:p w14:paraId="50C265E4"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Third — her difficulty joining group play. To join in with others, you need to feel confident and secure. Shona hasn’t yet built a trusting relationship with us at nursery. Without that secure base, stepping away from the edge of the room to play with other children feels too risky. She needs to know we are her safe place before she can feel brave enough to join in.</w:t>
      </w:r>
    </w:p>
    <w:p w14:paraId="4CCBB9DD"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Practical Strategies to Support Shona</w:t>
      </w:r>
    </w:p>
    <w:p w14:paraId="3EA62B8D" w14:textId="77777777" w:rsidR="006A290E" w:rsidRPr="00074FA7" w:rsidRDefault="006A290E" w:rsidP="006D4ECD">
      <w:pPr>
        <w:spacing w:line="360" w:lineRule="auto"/>
        <w:rPr>
          <w:rFonts w:ascii="Arial" w:hAnsi="Arial" w:cs="Arial"/>
          <w:sz w:val="22"/>
          <w:szCs w:val="22"/>
        </w:rPr>
      </w:pPr>
    </w:p>
    <w:p w14:paraId="07E19904"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Based on </w:t>
      </w:r>
      <w:proofErr w:type="spellStart"/>
      <w:r w:rsidRPr="00074FA7">
        <w:rPr>
          <w:rFonts w:ascii="Arial" w:hAnsi="Arial" w:cs="Arial"/>
          <w:sz w:val="22"/>
          <w:szCs w:val="22"/>
        </w:rPr>
        <w:t>Bowlby’s</w:t>
      </w:r>
      <w:proofErr w:type="spellEnd"/>
      <w:r w:rsidRPr="00074FA7">
        <w:rPr>
          <w:rFonts w:ascii="Arial" w:hAnsi="Arial" w:cs="Arial"/>
          <w:sz w:val="22"/>
          <w:szCs w:val="22"/>
        </w:rPr>
        <w:t xml:space="preserve"> theory, here are the strategies we will use in the nursery to help Shona settle:</w:t>
      </w:r>
    </w:p>
    <w:p w14:paraId="74B7EB4B" w14:textId="77777777" w:rsidR="006A290E" w:rsidRPr="00074FA7" w:rsidRDefault="006A290E" w:rsidP="006D4ECD">
      <w:pPr>
        <w:spacing w:line="360" w:lineRule="auto"/>
        <w:rPr>
          <w:rFonts w:ascii="Arial" w:hAnsi="Arial" w:cs="Arial"/>
          <w:sz w:val="22"/>
          <w:szCs w:val="22"/>
        </w:rPr>
      </w:pPr>
    </w:p>
    <w:p w14:paraId="4ECA88F7"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1. Assign a Key Person</w:t>
      </w:r>
    </w:p>
    <w:p w14:paraId="4AF55B26"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I will be Shona’s dedicated key person. This means I will be the consistent adult who greets her, supports her throughout the day, and says goodbye at home time. She needs one familiar face, not lots of different people. This helps her build that new secure base gradually.</w:t>
      </w:r>
    </w:p>
    <w:p w14:paraId="41B69E77" w14:textId="77777777" w:rsidR="006A290E" w:rsidRPr="00074FA7" w:rsidRDefault="006A290E" w:rsidP="006D4ECD">
      <w:pPr>
        <w:spacing w:line="360" w:lineRule="auto"/>
        <w:rPr>
          <w:rFonts w:ascii="Arial" w:hAnsi="Arial" w:cs="Arial"/>
          <w:sz w:val="22"/>
          <w:szCs w:val="22"/>
        </w:rPr>
      </w:pPr>
    </w:p>
    <w:p w14:paraId="15EA1705"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2. Gradual Settling-In</w:t>
      </w:r>
    </w:p>
    <w:p w14:paraId="5081E1D9"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Instead of Shona staying for a full session from day one, we will start with shorter visits. At first, her carer can stay with her. Then they step out for 10 minutes, then 20, and so on. This teaches Shona — step by step — that her carer always returns. </w:t>
      </w:r>
      <w:proofErr w:type="spellStart"/>
      <w:r w:rsidRPr="00074FA7">
        <w:rPr>
          <w:rFonts w:ascii="Arial" w:hAnsi="Arial" w:cs="Arial"/>
          <w:sz w:val="22"/>
          <w:szCs w:val="22"/>
        </w:rPr>
        <w:t>Bowlby</w:t>
      </w:r>
      <w:proofErr w:type="spellEnd"/>
      <w:r w:rsidRPr="00074FA7">
        <w:rPr>
          <w:rFonts w:ascii="Arial" w:hAnsi="Arial" w:cs="Arial"/>
          <w:sz w:val="22"/>
          <w:szCs w:val="22"/>
        </w:rPr>
        <w:t xml:space="preserve"> called this building trust through predictable experiences.</w:t>
      </w:r>
    </w:p>
    <w:p w14:paraId="21C2232B" w14:textId="77777777" w:rsidR="006A290E" w:rsidRPr="00074FA7" w:rsidRDefault="006A290E" w:rsidP="006D4ECD">
      <w:pPr>
        <w:spacing w:line="360" w:lineRule="auto"/>
        <w:rPr>
          <w:rFonts w:ascii="Arial" w:hAnsi="Arial" w:cs="Arial"/>
          <w:sz w:val="22"/>
          <w:szCs w:val="22"/>
        </w:rPr>
      </w:pPr>
    </w:p>
    <w:p w14:paraId="2FCBDA3A"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3. Allow a Comfort Object</w:t>
      </w:r>
    </w:p>
    <w:p w14:paraId="3A7F9FFD"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We will encourage Shona to bring a favourite toy, blanket, or item from home. </w:t>
      </w:r>
      <w:proofErr w:type="spellStart"/>
      <w:r w:rsidRPr="00074FA7">
        <w:rPr>
          <w:rFonts w:ascii="Arial" w:hAnsi="Arial" w:cs="Arial"/>
          <w:sz w:val="22"/>
          <w:szCs w:val="22"/>
        </w:rPr>
        <w:t>Bowlby</w:t>
      </w:r>
      <w:proofErr w:type="spellEnd"/>
      <w:r w:rsidRPr="00074FA7">
        <w:rPr>
          <w:rFonts w:ascii="Arial" w:hAnsi="Arial" w:cs="Arial"/>
          <w:sz w:val="22"/>
          <w:szCs w:val="22"/>
        </w:rPr>
        <w:t xml:space="preserve"> referred to these as “transitional objects” — they represent the attachment figure when they aren’t there, helping the child feel less alone.</w:t>
      </w:r>
    </w:p>
    <w:p w14:paraId="4D297A3C" w14:textId="77777777" w:rsidR="006A290E" w:rsidRPr="00074FA7" w:rsidRDefault="006A290E" w:rsidP="006D4ECD">
      <w:pPr>
        <w:spacing w:line="360" w:lineRule="auto"/>
        <w:rPr>
          <w:rFonts w:ascii="Arial" w:hAnsi="Arial" w:cs="Arial"/>
          <w:sz w:val="22"/>
          <w:szCs w:val="22"/>
        </w:rPr>
      </w:pPr>
    </w:p>
    <w:p w14:paraId="4B433B05"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4. Build Communication Through Trust</w:t>
      </w:r>
    </w:p>
    <w:p w14:paraId="6D3C05E1"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We won’t rush Shona to talk. Instead, I will sit with her, play alongside her, and speak calmly and warmly to her. As she feels safer, she will become more ready to communicate. I will use gestures, pictures, and facial expressions too — communication doesn’t have to be words.</w:t>
      </w:r>
    </w:p>
    <w:p w14:paraId="32BA8B7D" w14:textId="77777777" w:rsidR="006A290E" w:rsidRPr="00074FA7" w:rsidRDefault="006A290E" w:rsidP="006D4ECD">
      <w:pPr>
        <w:spacing w:line="360" w:lineRule="auto"/>
        <w:rPr>
          <w:rFonts w:ascii="Arial" w:hAnsi="Arial" w:cs="Arial"/>
          <w:sz w:val="22"/>
          <w:szCs w:val="22"/>
        </w:rPr>
      </w:pPr>
    </w:p>
    <w:p w14:paraId="398612E7"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5. Invite, Don’t Force, Group Participation</w:t>
      </w:r>
    </w:p>
    <w:p w14:paraId="678FEF3F"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I will sit near Shona during group activities. Sometimes I will sit beside her; sometimes I will gently invite her to join me. But I won’t push her. When she sees that play is safe and fun, and that I am there for her, she will join in when she is ready.</w:t>
      </w:r>
    </w:p>
    <w:p w14:paraId="17DA4118"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Nature vs Nurture: What Influences Development?</w:t>
      </w:r>
    </w:p>
    <w:p w14:paraId="2AFFFD34" w14:textId="77777777" w:rsidR="006A290E" w:rsidRPr="00074FA7" w:rsidRDefault="006A290E" w:rsidP="006D4ECD">
      <w:pPr>
        <w:spacing w:line="360" w:lineRule="auto"/>
        <w:rPr>
          <w:rFonts w:ascii="Arial" w:hAnsi="Arial" w:cs="Arial"/>
          <w:sz w:val="22"/>
          <w:szCs w:val="22"/>
        </w:rPr>
      </w:pPr>
    </w:p>
    <w:p w14:paraId="39A1724E" w14:textId="77777777" w:rsidR="006A290E" w:rsidRPr="00074FA7" w:rsidRDefault="006A290E" w:rsidP="006D4ECD">
      <w:pPr>
        <w:spacing w:line="360" w:lineRule="auto"/>
        <w:rPr>
          <w:rFonts w:ascii="Arial" w:hAnsi="Arial" w:cs="Arial"/>
          <w:sz w:val="22"/>
          <w:szCs w:val="22"/>
        </w:rPr>
      </w:pPr>
      <w:proofErr w:type="spellStart"/>
      <w:r w:rsidRPr="00074FA7">
        <w:rPr>
          <w:rFonts w:ascii="Arial" w:hAnsi="Arial" w:cs="Arial"/>
          <w:sz w:val="22"/>
          <w:szCs w:val="22"/>
        </w:rPr>
        <w:lastRenderedPageBreak/>
        <w:t>Bowlby’s</w:t>
      </w:r>
      <w:proofErr w:type="spellEnd"/>
      <w:r w:rsidRPr="00074FA7">
        <w:rPr>
          <w:rFonts w:ascii="Arial" w:hAnsi="Arial" w:cs="Arial"/>
          <w:sz w:val="22"/>
          <w:szCs w:val="22"/>
        </w:rPr>
        <w:t xml:space="preserve"> theory helps us understand how both nature and nurture work together in Shona’s development:</w:t>
      </w:r>
    </w:p>
    <w:p w14:paraId="01AAFFF1" w14:textId="77777777" w:rsidR="006A290E" w:rsidRPr="00074FA7" w:rsidRDefault="006A290E" w:rsidP="006D4ECD">
      <w:pPr>
        <w:spacing w:line="360" w:lineRule="auto"/>
        <w:rPr>
          <w:rFonts w:ascii="Arial" w:hAnsi="Arial" w:cs="Arial"/>
          <w:sz w:val="22"/>
          <w:szCs w:val="22"/>
        </w:rPr>
      </w:pPr>
    </w:p>
    <w:p w14:paraId="18297FB8"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Nature refers to what Shona was born with. Her temperament — whether she is naturally more cautious or outgoing — is partly biological. The age at which children typically develop language skills also follows a natural, biological timeline. </w:t>
      </w:r>
      <w:proofErr w:type="spellStart"/>
      <w:r w:rsidRPr="00074FA7">
        <w:rPr>
          <w:rFonts w:ascii="Arial" w:hAnsi="Arial" w:cs="Arial"/>
          <w:sz w:val="22"/>
          <w:szCs w:val="22"/>
        </w:rPr>
        <w:t>Bowlby</w:t>
      </w:r>
      <w:proofErr w:type="spellEnd"/>
      <w:r w:rsidRPr="00074FA7">
        <w:rPr>
          <w:rFonts w:ascii="Arial" w:hAnsi="Arial" w:cs="Arial"/>
          <w:sz w:val="22"/>
          <w:szCs w:val="22"/>
        </w:rPr>
        <w:t xml:space="preserve"> believed that the need to form attachments is itself innate — something every human being is born with.</w:t>
      </w:r>
    </w:p>
    <w:p w14:paraId="0B156E0C" w14:textId="77777777" w:rsidR="006A290E" w:rsidRPr="00074FA7" w:rsidRDefault="006A290E" w:rsidP="006D4ECD">
      <w:pPr>
        <w:spacing w:line="360" w:lineRule="auto"/>
        <w:rPr>
          <w:rFonts w:ascii="Arial" w:hAnsi="Arial" w:cs="Arial"/>
          <w:sz w:val="22"/>
          <w:szCs w:val="22"/>
        </w:rPr>
      </w:pPr>
    </w:p>
    <w:p w14:paraId="502B6F51"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Nurture refers to Shona’s experiences and environment. The quality of care she receives at home, how consistent her routines are, and how we welcome and support her here at nursery — all of these shape how she feels and behaves. </w:t>
      </w:r>
      <w:proofErr w:type="spellStart"/>
      <w:r w:rsidRPr="00074FA7">
        <w:rPr>
          <w:rFonts w:ascii="Arial" w:hAnsi="Arial" w:cs="Arial"/>
          <w:sz w:val="22"/>
          <w:szCs w:val="22"/>
        </w:rPr>
        <w:t>Bowlby</w:t>
      </w:r>
      <w:proofErr w:type="spellEnd"/>
      <w:r w:rsidRPr="00074FA7">
        <w:rPr>
          <w:rFonts w:ascii="Arial" w:hAnsi="Arial" w:cs="Arial"/>
          <w:sz w:val="22"/>
          <w:szCs w:val="22"/>
        </w:rPr>
        <w:t xml:space="preserve"> argued that while nature gives every child the capacity to form attachments, it is nurture — the quality of care they receive — that determines whether those attachments will be secure or insecure.</w:t>
      </w:r>
    </w:p>
    <w:p w14:paraId="2D5A4FAB" w14:textId="77777777" w:rsidR="006A290E" w:rsidRPr="00074FA7" w:rsidRDefault="006A290E" w:rsidP="006D4ECD">
      <w:pPr>
        <w:spacing w:line="360" w:lineRule="auto"/>
        <w:rPr>
          <w:rFonts w:ascii="Arial" w:hAnsi="Arial" w:cs="Arial"/>
          <w:sz w:val="22"/>
          <w:szCs w:val="22"/>
        </w:rPr>
      </w:pPr>
    </w:p>
    <w:p w14:paraId="7CAF1368"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So it is not a case of nature or nurture — they work together. Shona may be naturally more cautious by temperament, but a warm, consistent environment can help her feel safe enough to grow in confidence.</w:t>
      </w:r>
    </w:p>
    <w:p w14:paraId="63887723"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Critical Evaluation of </w:t>
      </w:r>
      <w:proofErr w:type="spellStart"/>
      <w:r w:rsidRPr="00074FA7">
        <w:rPr>
          <w:rFonts w:ascii="Arial" w:hAnsi="Arial" w:cs="Arial"/>
          <w:sz w:val="22"/>
          <w:szCs w:val="22"/>
        </w:rPr>
        <w:t>Bowlby’s</w:t>
      </w:r>
      <w:proofErr w:type="spellEnd"/>
      <w:r w:rsidRPr="00074FA7">
        <w:rPr>
          <w:rFonts w:ascii="Arial" w:hAnsi="Arial" w:cs="Arial"/>
          <w:sz w:val="22"/>
          <w:szCs w:val="22"/>
        </w:rPr>
        <w:t xml:space="preserve"> Theory</w:t>
      </w:r>
    </w:p>
    <w:p w14:paraId="054F6B63" w14:textId="77777777" w:rsidR="006A290E" w:rsidRPr="00074FA7" w:rsidRDefault="006A290E" w:rsidP="006D4ECD">
      <w:pPr>
        <w:spacing w:line="360" w:lineRule="auto"/>
        <w:rPr>
          <w:rFonts w:ascii="Arial" w:hAnsi="Arial" w:cs="Arial"/>
          <w:sz w:val="22"/>
          <w:szCs w:val="22"/>
        </w:rPr>
      </w:pPr>
    </w:p>
    <w:p w14:paraId="52D75722"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While </w:t>
      </w:r>
      <w:proofErr w:type="spellStart"/>
      <w:r w:rsidRPr="00074FA7">
        <w:rPr>
          <w:rFonts w:ascii="Arial" w:hAnsi="Arial" w:cs="Arial"/>
          <w:sz w:val="22"/>
          <w:szCs w:val="22"/>
        </w:rPr>
        <w:t>Bowlby’s</w:t>
      </w:r>
      <w:proofErr w:type="spellEnd"/>
      <w:r w:rsidRPr="00074FA7">
        <w:rPr>
          <w:rFonts w:ascii="Arial" w:hAnsi="Arial" w:cs="Arial"/>
          <w:sz w:val="22"/>
          <w:szCs w:val="22"/>
        </w:rPr>
        <w:t xml:space="preserve"> theory has been incredibly important to early years practice, it is important to look at both its strengths and its limitations:</w:t>
      </w:r>
    </w:p>
    <w:p w14:paraId="2A368699" w14:textId="77777777" w:rsidR="006A290E" w:rsidRPr="00074FA7" w:rsidRDefault="006A290E" w:rsidP="006D4ECD">
      <w:pPr>
        <w:spacing w:line="360" w:lineRule="auto"/>
        <w:rPr>
          <w:rFonts w:ascii="Arial" w:hAnsi="Arial" w:cs="Arial"/>
          <w:sz w:val="22"/>
          <w:szCs w:val="22"/>
        </w:rPr>
      </w:pPr>
    </w:p>
    <w:p w14:paraId="08D66DDB"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Strengths:</w:t>
      </w:r>
    </w:p>
    <w:p w14:paraId="25412EF8" w14:textId="77777777" w:rsidR="006A290E" w:rsidRPr="00074FA7" w:rsidRDefault="006A290E" w:rsidP="006D4ECD">
      <w:pPr>
        <w:spacing w:line="360" w:lineRule="auto"/>
        <w:rPr>
          <w:rFonts w:ascii="Arial" w:hAnsi="Arial" w:cs="Arial"/>
          <w:sz w:val="22"/>
          <w:szCs w:val="22"/>
        </w:rPr>
      </w:pPr>
    </w:p>
    <w:p w14:paraId="50B3B3B7"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 It completely changed how we understand children’s feelings. Before </w:t>
      </w:r>
      <w:proofErr w:type="spellStart"/>
      <w:r w:rsidRPr="00074FA7">
        <w:rPr>
          <w:rFonts w:ascii="Arial" w:hAnsi="Arial" w:cs="Arial"/>
          <w:sz w:val="22"/>
          <w:szCs w:val="22"/>
        </w:rPr>
        <w:t>Bowlby</w:t>
      </w:r>
      <w:proofErr w:type="spellEnd"/>
      <w:r w:rsidRPr="00074FA7">
        <w:rPr>
          <w:rFonts w:ascii="Arial" w:hAnsi="Arial" w:cs="Arial"/>
          <w:sz w:val="22"/>
          <w:szCs w:val="22"/>
        </w:rPr>
        <w:t>, people sometimes thought separation anxiety was just about spoiling a child. Now we know it is a fundamental human need.</w:t>
      </w:r>
    </w:p>
    <w:p w14:paraId="1902423C" w14:textId="77777777" w:rsidR="006A290E" w:rsidRPr="00074FA7" w:rsidRDefault="006A290E" w:rsidP="006D4ECD">
      <w:pPr>
        <w:spacing w:line="360" w:lineRule="auto"/>
        <w:rPr>
          <w:rFonts w:ascii="Arial" w:hAnsi="Arial" w:cs="Arial"/>
          <w:sz w:val="22"/>
          <w:szCs w:val="22"/>
        </w:rPr>
      </w:pPr>
    </w:p>
    <w:p w14:paraId="06B3A79B"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It gave us the “key person” approach — a standard practice in every nursery today — ensuring children always have someone they can rely on.</w:t>
      </w:r>
    </w:p>
    <w:p w14:paraId="35319471" w14:textId="77777777" w:rsidR="006A290E" w:rsidRPr="00074FA7" w:rsidRDefault="006A290E" w:rsidP="006D4ECD">
      <w:pPr>
        <w:spacing w:line="360" w:lineRule="auto"/>
        <w:rPr>
          <w:rFonts w:ascii="Arial" w:hAnsi="Arial" w:cs="Arial"/>
          <w:sz w:val="22"/>
          <w:szCs w:val="22"/>
        </w:rPr>
      </w:pPr>
    </w:p>
    <w:p w14:paraId="4A187031"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It helps us be more empathetic. Instead of thinking “Shona is being quiet or difficult,” we ask “what does Shona need to feel safe?” That makes us better practitioners.</w:t>
      </w:r>
    </w:p>
    <w:p w14:paraId="2694EA09" w14:textId="77777777" w:rsidR="006A290E" w:rsidRPr="00074FA7" w:rsidRDefault="006A290E" w:rsidP="006D4ECD">
      <w:pPr>
        <w:spacing w:line="360" w:lineRule="auto"/>
        <w:rPr>
          <w:rFonts w:ascii="Arial" w:hAnsi="Arial" w:cs="Arial"/>
          <w:sz w:val="22"/>
          <w:szCs w:val="22"/>
        </w:rPr>
      </w:pPr>
    </w:p>
    <w:p w14:paraId="39E313C4"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Limitations:</w:t>
      </w:r>
    </w:p>
    <w:p w14:paraId="577A1E65" w14:textId="77777777" w:rsidR="006A290E" w:rsidRPr="00074FA7" w:rsidRDefault="006A290E" w:rsidP="006D4ECD">
      <w:pPr>
        <w:spacing w:line="360" w:lineRule="auto"/>
        <w:rPr>
          <w:rFonts w:ascii="Arial" w:hAnsi="Arial" w:cs="Arial"/>
          <w:sz w:val="22"/>
          <w:szCs w:val="22"/>
        </w:rPr>
      </w:pPr>
    </w:p>
    <w:p w14:paraId="02ECDA84"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 </w:t>
      </w:r>
      <w:proofErr w:type="spellStart"/>
      <w:r w:rsidRPr="00074FA7">
        <w:rPr>
          <w:rFonts w:ascii="Arial" w:hAnsi="Arial" w:cs="Arial"/>
          <w:sz w:val="22"/>
          <w:szCs w:val="22"/>
        </w:rPr>
        <w:t>Bowlby</w:t>
      </w:r>
      <w:proofErr w:type="spellEnd"/>
      <w:r w:rsidRPr="00074FA7">
        <w:rPr>
          <w:rFonts w:ascii="Arial" w:hAnsi="Arial" w:cs="Arial"/>
          <w:sz w:val="22"/>
          <w:szCs w:val="22"/>
        </w:rPr>
        <w:t xml:space="preserve"> focused mainly on the relationship with one primary caregiver — usually the mother. This doesn’t always reflect modern families, where fathers, grandparents, or childminders may be equally important attachment figures.</w:t>
      </w:r>
    </w:p>
    <w:p w14:paraId="5387BAEA" w14:textId="77777777" w:rsidR="006A290E" w:rsidRPr="00074FA7" w:rsidRDefault="006A290E" w:rsidP="006D4ECD">
      <w:pPr>
        <w:spacing w:line="360" w:lineRule="auto"/>
        <w:rPr>
          <w:rFonts w:ascii="Arial" w:hAnsi="Arial" w:cs="Arial"/>
          <w:sz w:val="22"/>
          <w:szCs w:val="22"/>
        </w:rPr>
      </w:pPr>
    </w:p>
    <w:p w14:paraId="191A8F5C"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The theory can sometimes be used to blame parents. If a child struggles, people may say it’s because their home attachment is poor. In reality, there are many complex reasons why a child may take longer to settle.</w:t>
      </w:r>
    </w:p>
    <w:p w14:paraId="2AFA7991" w14:textId="77777777" w:rsidR="006A290E" w:rsidRPr="00074FA7" w:rsidRDefault="006A290E" w:rsidP="006D4ECD">
      <w:pPr>
        <w:spacing w:line="360" w:lineRule="auto"/>
        <w:rPr>
          <w:rFonts w:ascii="Arial" w:hAnsi="Arial" w:cs="Arial"/>
          <w:sz w:val="22"/>
          <w:szCs w:val="22"/>
        </w:rPr>
      </w:pPr>
    </w:p>
    <w:p w14:paraId="66166B8B"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 Cultural differences matter. In some communities, children are cared for by a wide network of people from birth, and separation looks and feels different. </w:t>
      </w:r>
      <w:proofErr w:type="spellStart"/>
      <w:r w:rsidRPr="00074FA7">
        <w:rPr>
          <w:rFonts w:ascii="Arial" w:hAnsi="Arial" w:cs="Arial"/>
          <w:sz w:val="22"/>
          <w:szCs w:val="22"/>
        </w:rPr>
        <w:t>Bowlby’s</w:t>
      </w:r>
      <w:proofErr w:type="spellEnd"/>
      <w:r w:rsidRPr="00074FA7">
        <w:rPr>
          <w:rFonts w:ascii="Arial" w:hAnsi="Arial" w:cs="Arial"/>
          <w:sz w:val="22"/>
          <w:szCs w:val="22"/>
        </w:rPr>
        <w:t xml:space="preserve"> ideas don’t always fit every culture perfectly.</w:t>
      </w:r>
    </w:p>
    <w:p w14:paraId="0528925C" w14:textId="77777777" w:rsidR="006A290E" w:rsidRPr="00074FA7" w:rsidRDefault="006A290E" w:rsidP="006D4ECD">
      <w:pPr>
        <w:spacing w:line="360" w:lineRule="auto"/>
        <w:rPr>
          <w:rFonts w:ascii="Arial" w:hAnsi="Arial" w:cs="Arial"/>
          <w:sz w:val="22"/>
          <w:szCs w:val="22"/>
        </w:rPr>
      </w:pPr>
    </w:p>
    <w:p w14:paraId="00838541"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Overall, </w:t>
      </w:r>
      <w:proofErr w:type="spellStart"/>
      <w:r w:rsidRPr="00074FA7">
        <w:rPr>
          <w:rFonts w:ascii="Arial" w:hAnsi="Arial" w:cs="Arial"/>
          <w:sz w:val="22"/>
          <w:szCs w:val="22"/>
        </w:rPr>
        <w:t>Bowlby’s</w:t>
      </w:r>
      <w:proofErr w:type="spellEnd"/>
      <w:r w:rsidRPr="00074FA7">
        <w:rPr>
          <w:rFonts w:ascii="Arial" w:hAnsi="Arial" w:cs="Arial"/>
          <w:sz w:val="22"/>
          <w:szCs w:val="22"/>
        </w:rPr>
        <w:t xml:space="preserve"> Attachment Theory is an extremely useful framework for understanding Shona and planning her support — but it works best when combined with our own professional judgement and knowledge of Shona as an individual child.</w:t>
      </w:r>
    </w:p>
    <w:p w14:paraId="509BBA12"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Conclusion</w:t>
      </w:r>
    </w:p>
    <w:p w14:paraId="013E2BDF" w14:textId="77777777" w:rsidR="006A290E" w:rsidRPr="00074FA7" w:rsidRDefault="006A290E" w:rsidP="006D4ECD">
      <w:pPr>
        <w:spacing w:line="360" w:lineRule="auto"/>
        <w:rPr>
          <w:rFonts w:ascii="Arial" w:hAnsi="Arial" w:cs="Arial"/>
          <w:sz w:val="22"/>
          <w:szCs w:val="22"/>
        </w:rPr>
      </w:pPr>
    </w:p>
    <w:p w14:paraId="4925B518"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To summarise: </w:t>
      </w:r>
      <w:proofErr w:type="spellStart"/>
      <w:r w:rsidRPr="00074FA7">
        <w:rPr>
          <w:rFonts w:ascii="Arial" w:hAnsi="Arial" w:cs="Arial"/>
          <w:sz w:val="22"/>
          <w:szCs w:val="22"/>
        </w:rPr>
        <w:t>Bowlby’s</w:t>
      </w:r>
      <w:proofErr w:type="spellEnd"/>
      <w:r w:rsidRPr="00074FA7">
        <w:rPr>
          <w:rFonts w:ascii="Arial" w:hAnsi="Arial" w:cs="Arial"/>
          <w:sz w:val="22"/>
          <w:szCs w:val="22"/>
        </w:rPr>
        <w:t xml:space="preserve"> Attachment Theory shows us that Shona’s anxiety, quietness, and hesitation in play are not signs that something is “wrong” with her. They are signs that she is adjusting to a new environment and needs time and consistency to feel secure. By being her consistent key person, introducing separation gradually, allowing her a comfort object, and building trust before expecting her to be socially active, we are giving Shona exactly what she needs according to </w:t>
      </w:r>
      <w:proofErr w:type="spellStart"/>
      <w:r w:rsidRPr="00074FA7">
        <w:rPr>
          <w:rFonts w:ascii="Arial" w:hAnsi="Arial" w:cs="Arial"/>
          <w:sz w:val="22"/>
          <w:szCs w:val="22"/>
        </w:rPr>
        <w:t>Bowlby’s</w:t>
      </w:r>
      <w:proofErr w:type="spellEnd"/>
      <w:r w:rsidRPr="00074FA7">
        <w:rPr>
          <w:rFonts w:ascii="Arial" w:hAnsi="Arial" w:cs="Arial"/>
          <w:sz w:val="22"/>
          <w:szCs w:val="22"/>
        </w:rPr>
        <w:t xml:space="preserve"> theory. Nature has given her the need to feel safe; our job is to provide the nurturing environment that helps her thrive.</w:t>
      </w:r>
    </w:p>
    <w:p w14:paraId="46A14491" w14:textId="77777777" w:rsidR="006A290E" w:rsidRPr="00074FA7" w:rsidRDefault="006A290E" w:rsidP="006D4ECD">
      <w:pPr>
        <w:spacing w:line="360" w:lineRule="auto"/>
        <w:rPr>
          <w:rFonts w:ascii="Arial" w:hAnsi="Arial" w:cs="Arial"/>
          <w:sz w:val="22"/>
          <w:szCs w:val="22"/>
        </w:rPr>
      </w:pPr>
    </w:p>
    <w:p w14:paraId="33D054BB"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Thank you for listening. Are there any questions?</w:t>
      </w:r>
    </w:p>
    <w:p w14:paraId="5A4F4C8B" w14:textId="77777777" w:rsidR="006A290E" w:rsidRDefault="006A290E" w:rsidP="006D4ECD">
      <w:pPr>
        <w:spacing w:line="360" w:lineRule="auto"/>
        <w:rPr>
          <w:rFonts w:ascii="Arial" w:hAnsi="Arial" w:cs="Arial"/>
          <w:sz w:val="22"/>
          <w:szCs w:val="22"/>
        </w:rPr>
      </w:pPr>
    </w:p>
    <w:p w14:paraId="088A6418" w14:textId="77777777" w:rsidR="00074FA7" w:rsidRDefault="00074FA7" w:rsidP="006D4ECD">
      <w:pPr>
        <w:spacing w:line="360" w:lineRule="auto"/>
        <w:rPr>
          <w:rFonts w:ascii="Arial" w:hAnsi="Arial" w:cs="Arial"/>
          <w:sz w:val="22"/>
          <w:szCs w:val="22"/>
        </w:rPr>
      </w:pPr>
    </w:p>
    <w:p w14:paraId="56829550" w14:textId="77777777" w:rsidR="00074FA7" w:rsidRDefault="00074FA7" w:rsidP="006D4ECD">
      <w:pPr>
        <w:spacing w:line="360" w:lineRule="auto"/>
        <w:rPr>
          <w:rFonts w:ascii="Arial" w:hAnsi="Arial" w:cs="Arial"/>
          <w:sz w:val="22"/>
          <w:szCs w:val="22"/>
        </w:rPr>
      </w:pPr>
    </w:p>
    <w:p w14:paraId="24B7711D" w14:textId="77777777" w:rsidR="00074FA7" w:rsidRDefault="00074FA7" w:rsidP="006D4ECD">
      <w:pPr>
        <w:spacing w:line="360" w:lineRule="auto"/>
        <w:rPr>
          <w:rFonts w:ascii="Arial" w:hAnsi="Arial" w:cs="Arial"/>
          <w:sz w:val="22"/>
          <w:szCs w:val="22"/>
        </w:rPr>
      </w:pPr>
    </w:p>
    <w:p w14:paraId="0E3B430F" w14:textId="77777777" w:rsidR="00074FA7" w:rsidRDefault="00074FA7" w:rsidP="006D4ECD">
      <w:pPr>
        <w:spacing w:line="360" w:lineRule="auto"/>
        <w:rPr>
          <w:rFonts w:ascii="Arial" w:hAnsi="Arial" w:cs="Arial"/>
          <w:sz w:val="22"/>
          <w:szCs w:val="22"/>
        </w:rPr>
      </w:pPr>
    </w:p>
    <w:p w14:paraId="14B0966F" w14:textId="77777777" w:rsidR="00074FA7" w:rsidRDefault="00074FA7" w:rsidP="006D4ECD">
      <w:pPr>
        <w:spacing w:line="360" w:lineRule="auto"/>
        <w:rPr>
          <w:rFonts w:ascii="Arial" w:hAnsi="Arial" w:cs="Arial"/>
          <w:sz w:val="22"/>
          <w:szCs w:val="22"/>
        </w:rPr>
      </w:pPr>
    </w:p>
    <w:p w14:paraId="55B2DE35" w14:textId="77777777" w:rsidR="00074FA7" w:rsidRDefault="00074FA7" w:rsidP="006D4ECD">
      <w:pPr>
        <w:spacing w:line="360" w:lineRule="auto"/>
        <w:rPr>
          <w:rFonts w:ascii="Arial" w:hAnsi="Arial" w:cs="Arial"/>
          <w:sz w:val="22"/>
          <w:szCs w:val="22"/>
        </w:rPr>
      </w:pPr>
    </w:p>
    <w:p w14:paraId="0027E221" w14:textId="77777777" w:rsidR="00074FA7" w:rsidRDefault="00074FA7" w:rsidP="006D4ECD">
      <w:pPr>
        <w:spacing w:line="360" w:lineRule="auto"/>
        <w:rPr>
          <w:rFonts w:ascii="Arial" w:hAnsi="Arial" w:cs="Arial"/>
          <w:sz w:val="22"/>
          <w:szCs w:val="22"/>
        </w:rPr>
      </w:pPr>
    </w:p>
    <w:p w14:paraId="3DA3303E" w14:textId="77777777" w:rsidR="00074FA7" w:rsidRDefault="00074FA7" w:rsidP="006D4ECD">
      <w:pPr>
        <w:spacing w:line="360" w:lineRule="auto"/>
        <w:rPr>
          <w:rFonts w:ascii="Arial" w:hAnsi="Arial" w:cs="Arial"/>
          <w:sz w:val="22"/>
          <w:szCs w:val="22"/>
        </w:rPr>
      </w:pPr>
    </w:p>
    <w:p w14:paraId="68E8C635" w14:textId="77777777" w:rsidR="00074FA7" w:rsidRDefault="00074FA7" w:rsidP="006D4ECD">
      <w:pPr>
        <w:spacing w:line="360" w:lineRule="auto"/>
        <w:rPr>
          <w:rFonts w:ascii="Arial" w:hAnsi="Arial" w:cs="Arial"/>
          <w:sz w:val="22"/>
          <w:szCs w:val="22"/>
        </w:rPr>
      </w:pPr>
    </w:p>
    <w:p w14:paraId="7E04791B" w14:textId="77777777" w:rsidR="00074FA7" w:rsidRDefault="00074FA7" w:rsidP="006D4ECD">
      <w:pPr>
        <w:spacing w:line="360" w:lineRule="auto"/>
        <w:rPr>
          <w:rFonts w:ascii="Arial" w:hAnsi="Arial" w:cs="Arial"/>
          <w:sz w:val="22"/>
          <w:szCs w:val="22"/>
        </w:rPr>
      </w:pPr>
    </w:p>
    <w:p w14:paraId="7EF85529" w14:textId="77777777" w:rsidR="00074FA7" w:rsidRDefault="00074FA7" w:rsidP="006D4ECD">
      <w:pPr>
        <w:spacing w:line="360" w:lineRule="auto"/>
        <w:rPr>
          <w:rFonts w:ascii="Arial" w:hAnsi="Arial" w:cs="Arial"/>
          <w:sz w:val="22"/>
          <w:szCs w:val="22"/>
        </w:rPr>
      </w:pPr>
    </w:p>
    <w:p w14:paraId="3930B66C" w14:textId="77777777" w:rsidR="00074FA7" w:rsidRDefault="00074FA7" w:rsidP="006D4ECD">
      <w:pPr>
        <w:spacing w:line="360" w:lineRule="auto"/>
        <w:rPr>
          <w:rFonts w:ascii="Arial" w:hAnsi="Arial" w:cs="Arial"/>
          <w:sz w:val="22"/>
          <w:szCs w:val="22"/>
        </w:rPr>
      </w:pPr>
    </w:p>
    <w:p w14:paraId="69868CFB" w14:textId="77777777" w:rsidR="00074FA7" w:rsidRDefault="00074FA7" w:rsidP="006D4ECD">
      <w:pPr>
        <w:spacing w:line="360" w:lineRule="auto"/>
        <w:rPr>
          <w:rFonts w:ascii="Arial" w:hAnsi="Arial" w:cs="Arial"/>
          <w:sz w:val="22"/>
          <w:szCs w:val="22"/>
        </w:rPr>
      </w:pPr>
    </w:p>
    <w:p w14:paraId="20882246" w14:textId="77777777" w:rsidR="00074FA7" w:rsidRDefault="00074FA7" w:rsidP="006D4ECD">
      <w:pPr>
        <w:spacing w:line="360" w:lineRule="auto"/>
        <w:rPr>
          <w:rFonts w:ascii="Arial" w:hAnsi="Arial" w:cs="Arial"/>
          <w:sz w:val="22"/>
          <w:szCs w:val="22"/>
        </w:rPr>
      </w:pPr>
    </w:p>
    <w:p w14:paraId="4F25C787" w14:textId="77777777" w:rsidR="00074FA7" w:rsidRDefault="00074FA7" w:rsidP="006D4ECD">
      <w:pPr>
        <w:spacing w:line="360" w:lineRule="auto"/>
        <w:rPr>
          <w:rFonts w:ascii="Arial" w:hAnsi="Arial" w:cs="Arial"/>
          <w:sz w:val="22"/>
          <w:szCs w:val="22"/>
        </w:rPr>
      </w:pPr>
    </w:p>
    <w:p w14:paraId="62BBFBE2" w14:textId="77777777" w:rsidR="00074FA7" w:rsidRDefault="00074FA7" w:rsidP="006D4ECD">
      <w:pPr>
        <w:spacing w:line="360" w:lineRule="auto"/>
        <w:rPr>
          <w:rFonts w:ascii="Arial" w:hAnsi="Arial" w:cs="Arial"/>
          <w:sz w:val="22"/>
          <w:szCs w:val="22"/>
        </w:rPr>
      </w:pPr>
    </w:p>
    <w:p w14:paraId="7D17FEC5" w14:textId="77777777" w:rsidR="00074FA7" w:rsidRDefault="00074FA7" w:rsidP="006D4ECD">
      <w:pPr>
        <w:spacing w:line="360" w:lineRule="auto"/>
        <w:rPr>
          <w:rFonts w:ascii="Arial" w:hAnsi="Arial" w:cs="Arial"/>
          <w:sz w:val="22"/>
          <w:szCs w:val="22"/>
        </w:rPr>
      </w:pPr>
    </w:p>
    <w:p w14:paraId="7CAEAB00" w14:textId="77777777" w:rsidR="00074FA7" w:rsidRPr="00074FA7" w:rsidRDefault="00074FA7" w:rsidP="006D4ECD">
      <w:pPr>
        <w:spacing w:line="360" w:lineRule="auto"/>
        <w:rPr>
          <w:rFonts w:ascii="Arial" w:hAnsi="Arial" w:cs="Arial"/>
          <w:sz w:val="22"/>
          <w:szCs w:val="22"/>
        </w:rPr>
      </w:pPr>
    </w:p>
    <w:p w14:paraId="2F385CB2"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References </w:t>
      </w:r>
    </w:p>
    <w:p w14:paraId="2048D73B" w14:textId="77777777" w:rsidR="006A290E" w:rsidRPr="00074FA7" w:rsidRDefault="006A290E" w:rsidP="006D4ECD">
      <w:pPr>
        <w:spacing w:line="360" w:lineRule="auto"/>
        <w:rPr>
          <w:rFonts w:ascii="Arial" w:hAnsi="Arial" w:cs="Arial"/>
          <w:sz w:val="22"/>
          <w:szCs w:val="22"/>
        </w:rPr>
      </w:pPr>
    </w:p>
    <w:p w14:paraId="2575BF9D"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1. Ainsworth, M.S. (1978). Patterns of Attachment: A Psychological Study of the Strange Situation. Hillsdale: </w:t>
      </w:r>
      <w:proofErr w:type="spellStart"/>
      <w:r w:rsidRPr="00074FA7">
        <w:rPr>
          <w:rFonts w:ascii="Arial" w:hAnsi="Arial" w:cs="Arial"/>
          <w:sz w:val="22"/>
          <w:szCs w:val="22"/>
        </w:rPr>
        <w:t>Erlbaum</w:t>
      </w:r>
      <w:proofErr w:type="spellEnd"/>
      <w:r w:rsidRPr="00074FA7">
        <w:rPr>
          <w:rFonts w:ascii="Arial" w:hAnsi="Arial" w:cs="Arial"/>
          <w:sz w:val="22"/>
          <w:szCs w:val="22"/>
        </w:rPr>
        <w:t>.</w:t>
      </w:r>
    </w:p>
    <w:p w14:paraId="3144A0F5" w14:textId="77777777" w:rsidR="006A290E" w:rsidRPr="00074FA7" w:rsidRDefault="006A290E" w:rsidP="006D4ECD">
      <w:pPr>
        <w:spacing w:line="360" w:lineRule="auto"/>
        <w:rPr>
          <w:rFonts w:ascii="Arial" w:hAnsi="Arial" w:cs="Arial"/>
          <w:sz w:val="22"/>
          <w:szCs w:val="22"/>
        </w:rPr>
      </w:pPr>
    </w:p>
    <w:p w14:paraId="30DFB650"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lastRenderedPageBreak/>
        <w:t xml:space="preserve">2. </w:t>
      </w:r>
      <w:proofErr w:type="spellStart"/>
      <w:r w:rsidRPr="00074FA7">
        <w:rPr>
          <w:rFonts w:ascii="Arial" w:hAnsi="Arial" w:cs="Arial"/>
          <w:sz w:val="22"/>
          <w:szCs w:val="22"/>
        </w:rPr>
        <w:t>Bowlby</w:t>
      </w:r>
      <w:proofErr w:type="spellEnd"/>
      <w:r w:rsidRPr="00074FA7">
        <w:rPr>
          <w:rFonts w:ascii="Arial" w:hAnsi="Arial" w:cs="Arial"/>
          <w:sz w:val="22"/>
          <w:szCs w:val="22"/>
        </w:rPr>
        <w:t>, J. (1969). Attachment and Loss: Volume 1 — Attachment. London: Hogarth Press.</w:t>
      </w:r>
    </w:p>
    <w:p w14:paraId="1161F6B4" w14:textId="77777777" w:rsidR="006A290E" w:rsidRPr="00074FA7" w:rsidRDefault="006A290E" w:rsidP="006D4ECD">
      <w:pPr>
        <w:spacing w:line="360" w:lineRule="auto"/>
        <w:rPr>
          <w:rFonts w:ascii="Arial" w:hAnsi="Arial" w:cs="Arial"/>
          <w:sz w:val="22"/>
          <w:szCs w:val="22"/>
        </w:rPr>
      </w:pPr>
    </w:p>
    <w:p w14:paraId="7642107C"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3. Department for Education (2023). Early Years Foundation Stage (EYFS) Statutory Framework. London: DfE.</w:t>
      </w:r>
    </w:p>
    <w:p w14:paraId="5F7F4E9F" w14:textId="77777777" w:rsidR="006A290E" w:rsidRPr="00074FA7" w:rsidRDefault="006A290E" w:rsidP="006D4ECD">
      <w:pPr>
        <w:spacing w:line="360" w:lineRule="auto"/>
        <w:rPr>
          <w:rFonts w:ascii="Arial" w:hAnsi="Arial" w:cs="Arial"/>
          <w:sz w:val="22"/>
          <w:szCs w:val="22"/>
        </w:rPr>
      </w:pPr>
    </w:p>
    <w:p w14:paraId="31F8010E"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 xml:space="preserve">4. Howe, D. (2011). Attachment Across the </w:t>
      </w:r>
      <w:proofErr w:type="spellStart"/>
      <w:r w:rsidRPr="00074FA7">
        <w:rPr>
          <w:rFonts w:ascii="Arial" w:hAnsi="Arial" w:cs="Arial"/>
          <w:sz w:val="22"/>
          <w:szCs w:val="22"/>
        </w:rPr>
        <w:t>Lifecourse</w:t>
      </w:r>
      <w:proofErr w:type="spellEnd"/>
      <w:r w:rsidRPr="00074FA7">
        <w:rPr>
          <w:rFonts w:ascii="Arial" w:hAnsi="Arial" w:cs="Arial"/>
          <w:sz w:val="22"/>
          <w:szCs w:val="22"/>
        </w:rPr>
        <w:t xml:space="preserve">: A Brief Introduction. London: </w:t>
      </w:r>
      <w:proofErr w:type="spellStart"/>
      <w:r w:rsidRPr="00074FA7">
        <w:rPr>
          <w:rFonts w:ascii="Arial" w:hAnsi="Arial" w:cs="Arial"/>
          <w:sz w:val="22"/>
          <w:szCs w:val="22"/>
        </w:rPr>
        <w:t>Palgrave</w:t>
      </w:r>
      <w:proofErr w:type="spellEnd"/>
      <w:r w:rsidRPr="00074FA7">
        <w:rPr>
          <w:rFonts w:ascii="Arial" w:hAnsi="Arial" w:cs="Arial"/>
          <w:sz w:val="22"/>
          <w:szCs w:val="22"/>
        </w:rPr>
        <w:t xml:space="preserve"> Macmillan.</w:t>
      </w:r>
    </w:p>
    <w:p w14:paraId="124D4104" w14:textId="77777777" w:rsidR="006A290E" w:rsidRPr="00074FA7" w:rsidRDefault="006A290E" w:rsidP="006D4ECD">
      <w:pPr>
        <w:spacing w:line="360" w:lineRule="auto"/>
        <w:rPr>
          <w:rFonts w:ascii="Arial" w:hAnsi="Arial" w:cs="Arial"/>
          <w:sz w:val="22"/>
          <w:szCs w:val="22"/>
        </w:rPr>
      </w:pPr>
    </w:p>
    <w:p w14:paraId="38C40282" w14:textId="77777777" w:rsidR="006A290E" w:rsidRPr="00074FA7" w:rsidRDefault="006A290E" w:rsidP="006D4ECD">
      <w:pPr>
        <w:spacing w:line="360" w:lineRule="auto"/>
        <w:rPr>
          <w:rFonts w:ascii="Arial" w:hAnsi="Arial" w:cs="Arial"/>
          <w:sz w:val="22"/>
          <w:szCs w:val="22"/>
        </w:rPr>
      </w:pPr>
      <w:r w:rsidRPr="00074FA7">
        <w:rPr>
          <w:rFonts w:ascii="Arial" w:hAnsi="Arial" w:cs="Arial"/>
          <w:sz w:val="22"/>
          <w:szCs w:val="22"/>
        </w:rPr>
        <w:t>5. Rutter, M. (2006). Genes and Behaviour: Nature-Nurture Interplay Explained. Oxford: Blackwell.</w:t>
      </w:r>
    </w:p>
    <w:p w14:paraId="52A0F6B7" w14:textId="77777777" w:rsidR="006A290E" w:rsidRPr="00074FA7" w:rsidRDefault="006A290E" w:rsidP="006D4ECD">
      <w:pPr>
        <w:spacing w:line="360" w:lineRule="auto"/>
        <w:rPr>
          <w:rFonts w:ascii="Arial" w:hAnsi="Arial" w:cs="Arial"/>
          <w:sz w:val="22"/>
          <w:szCs w:val="22"/>
        </w:rPr>
      </w:pPr>
    </w:p>
    <w:p w14:paraId="0045AA0A" w14:textId="04259AE2" w:rsidR="006A290E" w:rsidRDefault="006A290E" w:rsidP="006D4ECD">
      <w:pPr>
        <w:spacing w:line="360" w:lineRule="auto"/>
      </w:pPr>
      <w:r w:rsidRPr="00074FA7">
        <w:rPr>
          <w:rFonts w:ascii="Arial" w:hAnsi="Arial" w:cs="Arial"/>
          <w:sz w:val="22"/>
          <w:szCs w:val="22"/>
        </w:rPr>
        <w:t>6. Schaffer, H.R. (2004). Introducing Child Psychology. Oxford: Black</w:t>
      </w:r>
      <w:r>
        <w:t>well Publishing.</w:t>
      </w:r>
    </w:p>
    <w:sectPr w:rsidR="006A29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90E"/>
    <w:rsid w:val="00074FA7"/>
    <w:rsid w:val="004A03A7"/>
    <w:rsid w:val="004E0D59"/>
    <w:rsid w:val="00547334"/>
    <w:rsid w:val="00626ED9"/>
    <w:rsid w:val="0068164B"/>
    <w:rsid w:val="006A290E"/>
    <w:rsid w:val="006D4ECD"/>
    <w:rsid w:val="00B12079"/>
    <w:rsid w:val="00B95AC7"/>
    <w:rsid w:val="00CD1D51"/>
    <w:rsid w:val="00E02963"/>
    <w:rsid w:val="00E60F6C"/>
    <w:rsid w:val="00F54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A42AB2"/>
  <w15:chartTrackingRefBased/>
  <w15:docId w15:val="{20AD7FE8-1653-9245-A23C-03C0D96F9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29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29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29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29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29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29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29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29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29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9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29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29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29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29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29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29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29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290E"/>
    <w:rPr>
      <w:rFonts w:eastAsiaTheme="majorEastAsia" w:cstheme="majorBidi"/>
      <w:color w:val="272727" w:themeColor="text1" w:themeTint="D8"/>
    </w:rPr>
  </w:style>
  <w:style w:type="paragraph" w:styleId="Title">
    <w:name w:val="Title"/>
    <w:basedOn w:val="Normal"/>
    <w:next w:val="Normal"/>
    <w:link w:val="TitleChar"/>
    <w:uiPriority w:val="10"/>
    <w:qFormat/>
    <w:rsid w:val="006A29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29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29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29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290E"/>
    <w:pPr>
      <w:spacing w:before="160"/>
      <w:jc w:val="center"/>
    </w:pPr>
    <w:rPr>
      <w:i/>
      <w:iCs/>
      <w:color w:val="404040" w:themeColor="text1" w:themeTint="BF"/>
    </w:rPr>
  </w:style>
  <w:style w:type="character" w:customStyle="1" w:styleId="QuoteChar">
    <w:name w:val="Quote Char"/>
    <w:basedOn w:val="DefaultParagraphFont"/>
    <w:link w:val="Quote"/>
    <w:uiPriority w:val="29"/>
    <w:rsid w:val="006A290E"/>
    <w:rPr>
      <w:i/>
      <w:iCs/>
      <w:color w:val="404040" w:themeColor="text1" w:themeTint="BF"/>
    </w:rPr>
  </w:style>
  <w:style w:type="paragraph" w:styleId="ListParagraph">
    <w:name w:val="List Paragraph"/>
    <w:basedOn w:val="Normal"/>
    <w:uiPriority w:val="34"/>
    <w:qFormat/>
    <w:rsid w:val="006A290E"/>
    <w:pPr>
      <w:ind w:left="720"/>
      <w:contextualSpacing/>
    </w:pPr>
  </w:style>
  <w:style w:type="character" w:styleId="IntenseEmphasis">
    <w:name w:val="Intense Emphasis"/>
    <w:basedOn w:val="DefaultParagraphFont"/>
    <w:uiPriority w:val="21"/>
    <w:qFormat/>
    <w:rsid w:val="006A290E"/>
    <w:rPr>
      <w:i/>
      <w:iCs/>
      <w:color w:val="0F4761" w:themeColor="accent1" w:themeShade="BF"/>
    </w:rPr>
  </w:style>
  <w:style w:type="paragraph" w:styleId="IntenseQuote">
    <w:name w:val="Intense Quote"/>
    <w:basedOn w:val="Normal"/>
    <w:next w:val="Normal"/>
    <w:link w:val="IntenseQuoteChar"/>
    <w:uiPriority w:val="30"/>
    <w:qFormat/>
    <w:rsid w:val="006A29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290E"/>
    <w:rPr>
      <w:i/>
      <w:iCs/>
      <w:color w:val="0F4761" w:themeColor="accent1" w:themeShade="BF"/>
    </w:rPr>
  </w:style>
  <w:style w:type="character" w:styleId="IntenseReference">
    <w:name w:val="Intense Reference"/>
    <w:basedOn w:val="DefaultParagraphFont"/>
    <w:uiPriority w:val="32"/>
    <w:qFormat/>
    <w:rsid w:val="006A290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1364</Words>
  <Characters>7775</Characters>
  <Application>Microsoft Office Word</Application>
  <DocSecurity>0</DocSecurity>
  <Lines>64</Lines>
  <Paragraphs>18</Paragraphs>
  <ScaleCrop>false</ScaleCrop>
  <Company/>
  <LinksUpToDate>false</LinksUpToDate>
  <CharactersWithSpaces>9121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Areeba Rida-E-Zenib Mahmood Khan (2523434)</dc:creator>
  <cp:keywords/>
  <dc:description/>
  <cp:lastModifiedBy>Areeba Rida-E-Zenib Mahmood Khan (2523434)</cp:lastModifiedBy>
  <cp:revision>2</cp:revision>
  <dcterms:created xsi:type="dcterms:W3CDTF">2026-10-11T18:41:00Z</dcterms:created>
  <dcterms:modified xsi:type="dcterms:W3CDTF">2026-10-11T18:41:00Z</dcterms:modified>
</cp:coreProperties>
</file>