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0AD7E0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A17DB">
              <w:rPr>
                <w:rFonts w:ascii="Times New Roman" w:hAnsi="Times New Roman" w:cs="Times New Roman"/>
                <w:b/>
                <w:color w:val="auto"/>
                <w:sz w:val="48"/>
              </w:rPr>
              <w:t xml:space="preserve">Rhian Mason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34CCB8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A17DB">
              <w:rPr>
                <w:rFonts w:ascii="Times New Roman" w:hAnsi="Times New Roman" w:cs="Times New Roman"/>
                <w:b/>
                <w:color w:val="auto"/>
                <w:sz w:val="48"/>
              </w:rPr>
              <w:t xml:space="preserve"> Rhijane86@icloud.com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9824F6E" w14:textId="77777777" w:rsidR="00DA17DB"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32553295" w:rsidR="00F927A1" w:rsidRPr="005D3F07" w:rsidRDefault="00DA17D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2317634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0B1647D9" w14:textId="77777777" w:rsidR="00437C95" w:rsidRDefault="00437C95" w:rsidP="00FF7EBB">
            <w:pPr>
              <w:jc w:val="both"/>
              <w:rPr>
                <w:i/>
                <w:sz w:val="24"/>
                <w:szCs w:val="24"/>
              </w:rPr>
            </w:pPr>
          </w:p>
          <w:p w14:paraId="21778DB9" w14:textId="77777777" w:rsidR="00A31763" w:rsidRDefault="00A31763" w:rsidP="00A31763">
            <w:pPr>
              <w:jc w:val="both"/>
              <w:rPr>
                <w:sz w:val="24"/>
                <w:szCs w:val="24"/>
              </w:rPr>
            </w:pPr>
            <w:r>
              <w:rPr>
                <w:sz w:val="24"/>
                <w:szCs w:val="24"/>
              </w:rPr>
              <w:t xml:space="preserve">Wales is a devolved nation which means some of the powers of government are handled by the </w:t>
            </w:r>
            <w:proofErr w:type="spellStart"/>
            <w:r>
              <w:rPr>
                <w:sz w:val="24"/>
                <w:szCs w:val="24"/>
              </w:rPr>
              <w:t>Seneedd</w:t>
            </w:r>
            <w:proofErr w:type="spellEnd"/>
            <w:r>
              <w:rPr>
                <w:sz w:val="24"/>
                <w:szCs w:val="24"/>
              </w:rPr>
              <w:t xml:space="preserve"> (The Welsh Parliament) and others decision are made within Westminster, these decisions are sometimes different.  An example of this is the Care Act 2014, this does not apply in Wales and Instead Wales has the Social Services (Wales) Act 2014 (SSWBWA14). An example that applies both in Wales and England is the Mental Capacity Act (2005). As practitioners we all have roles and responsibilities for </w:t>
            </w:r>
            <w:r w:rsidRPr="00976CD4">
              <w:rPr>
                <w:sz w:val="24"/>
                <w:szCs w:val="24"/>
              </w:rPr>
              <w:t>individuals who are</w:t>
            </w:r>
            <w:r>
              <w:rPr>
                <w:sz w:val="24"/>
                <w:szCs w:val="24"/>
              </w:rPr>
              <w:t xml:space="preserve"> deemed to be</w:t>
            </w:r>
            <w:r w:rsidRPr="00976CD4">
              <w:rPr>
                <w:sz w:val="24"/>
                <w:szCs w:val="24"/>
              </w:rPr>
              <w:t xml:space="preserve"> at risk of abuse and or neglect, these are outlined within the National Wales Safeguarding Procedures for both children and adults (Welsh Government, 2022c) (WG, 2022c).</w:t>
            </w:r>
            <w:r>
              <w:rPr>
                <w:sz w:val="24"/>
                <w:szCs w:val="24"/>
              </w:rPr>
              <w:t xml:space="preserve"> As well as Wales who under Human Rights Convention, have a duty to protect its citizens (Anna Craft Trust, 2024). These National Safeguarding Procedures cover all twenty-two local authorities, although, there are different reporting arrangements for each local authority.</w:t>
            </w:r>
            <w:r w:rsidRPr="00976CD4">
              <w:rPr>
                <w:sz w:val="24"/>
                <w:szCs w:val="24"/>
              </w:rPr>
              <w:t xml:space="preserve"> </w:t>
            </w:r>
            <w:r>
              <w:rPr>
                <w:sz w:val="24"/>
                <w:szCs w:val="24"/>
              </w:rPr>
              <w:t xml:space="preserve">The aim of these legislations is to standardise safeguarding practises for all who have a duty to report safeguarding concerns (SSWBWA14). </w:t>
            </w:r>
            <w:r w:rsidRPr="00976CD4">
              <w:rPr>
                <w:sz w:val="24"/>
                <w:szCs w:val="24"/>
              </w:rPr>
              <w:t>Safeguarding is everyone’s responsibility</w:t>
            </w:r>
            <w:r>
              <w:rPr>
                <w:sz w:val="24"/>
                <w:szCs w:val="24"/>
              </w:rPr>
              <w:t xml:space="preserve"> and</w:t>
            </w:r>
            <w:r w:rsidRPr="00976CD4">
              <w:rPr>
                <w:sz w:val="24"/>
                <w:szCs w:val="24"/>
              </w:rPr>
              <w:t xml:space="preserve"> for safeguarding arrangements to be effective each professional and organisation must play their part </w:t>
            </w:r>
            <w:r>
              <w:rPr>
                <w:sz w:val="24"/>
                <w:szCs w:val="24"/>
              </w:rPr>
              <w:t>(Public Health Wales, 2024). Professionals must adhere to the requirements</w:t>
            </w:r>
            <w:r w:rsidRPr="00976CD4">
              <w:rPr>
                <w:sz w:val="24"/>
                <w:szCs w:val="24"/>
              </w:rPr>
              <w:t xml:space="preserve"> of the Social Services and Well-being (Wales) Act 2014 and also the accompanying Working Together to Safeguard People Guidance (WG, 2002c). </w:t>
            </w:r>
          </w:p>
          <w:p w14:paraId="6304FCDD" w14:textId="77777777" w:rsidR="00A31763" w:rsidRPr="00976CD4" w:rsidRDefault="00A31763" w:rsidP="00A31763">
            <w:pPr>
              <w:jc w:val="both"/>
              <w:rPr>
                <w:sz w:val="24"/>
                <w:szCs w:val="24"/>
              </w:rPr>
            </w:pPr>
          </w:p>
          <w:p w14:paraId="0284AE9A" w14:textId="77777777" w:rsidR="00A31763" w:rsidRDefault="00A31763" w:rsidP="00A31763">
            <w:pPr>
              <w:jc w:val="both"/>
              <w:rPr>
                <w:sz w:val="24"/>
                <w:szCs w:val="24"/>
              </w:rPr>
            </w:pPr>
            <w:r w:rsidRPr="00976CD4">
              <w:rPr>
                <w:sz w:val="24"/>
                <w:szCs w:val="24"/>
              </w:rPr>
              <w:t>The Social Services and Well-being (</w:t>
            </w:r>
            <w:r>
              <w:rPr>
                <w:sz w:val="24"/>
                <w:szCs w:val="24"/>
              </w:rPr>
              <w:t>Wales</w:t>
            </w:r>
            <w:r w:rsidRPr="00976CD4">
              <w:rPr>
                <w:sz w:val="24"/>
                <w:szCs w:val="24"/>
              </w:rPr>
              <w:t xml:space="preserve">) Act 2014 came into force on the 6 April 2016. The act provides </w:t>
            </w:r>
            <w:r>
              <w:rPr>
                <w:sz w:val="24"/>
                <w:szCs w:val="24"/>
              </w:rPr>
              <w:t xml:space="preserve">professionals with </w:t>
            </w:r>
            <w:r w:rsidRPr="00976CD4">
              <w:rPr>
                <w:sz w:val="24"/>
                <w:szCs w:val="24"/>
              </w:rPr>
              <w:t xml:space="preserve">the legal framework for improving the well-being of people who need care and support. The framework has 11 parts and Part 7 outlines the safeguarding procedures with the aim of improving person centred outcomes for adults at risk of abuse and </w:t>
            </w:r>
            <w:r w:rsidRPr="00976CD4">
              <w:rPr>
                <w:sz w:val="24"/>
                <w:szCs w:val="24"/>
              </w:rPr>
              <w:lastRenderedPageBreak/>
              <w:t xml:space="preserve">neglect and children at risk (WG, 2022c). </w:t>
            </w:r>
            <w:r>
              <w:rPr>
                <w:sz w:val="24"/>
                <w:szCs w:val="24"/>
              </w:rPr>
              <w:t xml:space="preserve">In Wales the definition of an adult at risk is broadly the same as England, although in Wales the definition does not include self-neglect. Within Wales, self-neglect falls under ‘mainstream’ assessment of care and support needs. </w:t>
            </w:r>
            <w:r w:rsidRPr="00976CD4">
              <w:rPr>
                <w:sz w:val="24"/>
                <w:szCs w:val="24"/>
              </w:rPr>
              <w:t>The S</w:t>
            </w:r>
            <w:r>
              <w:rPr>
                <w:sz w:val="24"/>
                <w:szCs w:val="24"/>
              </w:rPr>
              <w:t xml:space="preserve">ocial </w:t>
            </w:r>
            <w:r w:rsidRPr="00976CD4">
              <w:rPr>
                <w:sz w:val="24"/>
                <w:szCs w:val="24"/>
              </w:rPr>
              <w:t>S</w:t>
            </w:r>
            <w:r>
              <w:rPr>
                <w:sz w:val="24"/>
                <w:szCs w:val="24"/>
              </w:rPr>
              <w:t>ervices and Well-being (Wales) Act</w:t>
            </w:r>
            <w:r w:rsidRPr="00976CD4">
              <w:rPr>
                <w:sz w:val="24"/>
                <w:szCs w:val="24"/>
              </w:rPr>
              <w:t xml:space="preserve"> (2014) </w:t>
            </w:r>
            <w:r>
              <w:rPr>
                <w:sz w:val="24"/>
                <w:szCs w:val="24"/>
              </w:rPr>
              <w:t>requires</w:t>
            </w:r>
            <w:r w:rsidRPr="00976CD4">
              <w:rPr>
                <w:sz w:val="24"/>
                <w:szCs w:val="24"/>
              </w:rPr>
              <w:t xml:space="preserve"> Local authorities and partner agencies </w:t>
            </w:r>
            <w:r>
              <w:rPr>
                <w:sz w:val="24"/>
                <w:szCs w:val="24"/>
              </w:rPr>
              <w:t xml:space="preserve">to </w:t>
            </w:r>
            <w:r w:rsidRPr="00976CD4">
              <w:rPr>
                <w:sz w:val="24"/>
                <w:szCs w:val="24"/>
              </w:rPr>
              <w:t xml:space="preserve">promote wellbeing when carrying out any of their care and support functions </w:t>
            </w:r>
            <w:r>
              <w:rPr>
                <w:sz w:val="24"/>
                <w:szCs w:val="24"/>
              </w:rPr>
              <w:t xml:space="preserve">with an individual or family. </w:t>
            </w:r>
            <w:r w:rsidRPr="00976CD4">
              <w:rPr>
                <w:sz w:val="24"/>
                <w:szCs w:val="24"/>
              </w:rPr>
              <w:t>This may sometimes be referred to as ‘the wellbeing principle’ because it is a guiding principle that puts wellbeing at the heart of care and support. For safeguarding, this would include safeguarding activities in the widest community sense and is not confined to safeguarding enquiries under the act (</w:t>
            </w:r>
            <w:proofErr w:type="spellStart"/>
            <w:r w:rsidRPr="00976CD4">
              <w:rPr>
                <w:sz w:val="24"/>
                <w:szCs w:val="24"/>
              </w:rPr>
              <w:t>xxxxxxx</w:t>
            </w:r>
            <w:proofErr w:type="spellEnd"/>
            <w:r w:rsidRPr="00976CD4">
              <w:rPr>
                <w:sz w:val="24"/>
                <w:szCs w:val="24"/>
              </w:rPr>
              <w:t xml:space="preserve"> Adult at Risk Policy, 2024).  </w:t>
            </w:r>
          </w:p>
          <w:p w14:paraId="43E2D3BD" w14:textId="77777777" w:rsidR="00A31763" w:rsidRPr="00976CD4" w:rsidRDefault="00A31763" w:rsidP="00A31763">
            <w:pPr>
              <w:jc w:val="both"/>
              <w:rPr>
                <w:sz w:val="24"/>
                <w:szCs w:val="24"/>
              </w:rPr>
            </w:pPr>
          </w:p>
          <w:p w14:paraId="372B0CDB" w14:textId="77777777" w:rsidR="00A31763" w:rsidRDefault="00A31763" w:rsidP="00A31763">
            <w:pPr>
              <w:jc w:val="both"/>
              <w:rPr>
                <w:sz w:val="24"/>
                <w:szCs w:val="24"/>
              </w:rPr>
            </w:pPr>
            <w:r>
              <w:rPr>
                <w:sz w:val="24"/>
                <w:szCs w:val="24"/>
              </w:rPr>
              <w:t>For essential safeguarding practice s</w:t>
            </w:r>
            <w:r w:rsidRPr="00976CD4">
              <w:rPr>
                <w:sz w:val="24"/>
                <w:szCs w:val="24"/>
              </w:rPr>
              <w:t>ocial workers require an extensive knowledge and understanding of safeguarding</w:t>
            </w:r>
            <w:r>
              <w:rPr>
                <w:sz w:val="24"/>
                <w:szCs w:val="24"/>
              </w:rPr>
              <w:t xml:space="preserve"> the relevant</w:t>
            </w:r>
            <w:r w:rsidRPr="00976CD4">
              <w:rPr>
                <w:sz w:val="24"/>
                <w:szCs w:val="24"/>
              </w:rPr>
              <w:t xml:space="preserve"> laws to ensure they understand their responsibilities. </w:t>
            </w:r>
            <w:r>
              <w:rPr>
                <w:sz w:val="24"/>
                <w:szCs w:val="24"/>
              </w:rPr>
              <w:t>An example</w:t>
            </w:r>
            <w:r w:rsidRPr="00976CD4">
              <w:rPr>
                <w:sz w:val="24"/>
                <w:szCs w:val="24"/>
              </w:rPr>
              <w:t xml:space="preserve"> of the </w:t>
            </w:r>
            <w:r>
              <w:rPr>
                <w:sz w:val="24"/>
                <w:szCs w:val="24"/>
              </w:rPr>
              <w:t xml:space="preserve">some of the </w:t>
            </w:r>
            <w:r w:rsidRPr="00976CD4">
              <w:rPr>
                <w:sz w:val="24"/>
                <w:szCs w:val="24"/>
              </w:rPr>
              <w:t>laws that</w:t>
            </w:r>
            <w:r>
              <w:rPr>
                <w:sz w:val="24"/>
                <w:szCs w:val="24"/>
              </w:rPr>
              <w:t xml:space="preserve"> a</w:t>
            </w:r>
            <w:r w:rsidRPr="00976CD4">
              <w:rPr>
                <w:sz w:val="24"/>
                <w:szCs w:val="24"/>
              </w:rPr>
              <w:t xml:space="preserve"> social worker may be using are the Deprivation of Liberty Safeguards (</w:t>
            </w:r>
            <w:proofErr w:type="spellStart"/>
            <w:r w:rsidRPr="00976CD4">
              <w:rPr>
                <w:sz w:val="24"/>
                <w:szCs w:val="24"/>
              </w:rPr>
              <w:t>DoLS</w:t>
            </w:r>
            <w:proofErr w:type="spellEnd"/>
            <w:r w:rsidRPr="00976CD4">
              <w:rPr>
                <w:sz w:val="24"/>
                <w:szCs w:val="24"/>
              </w:rPr>
              <w:t xml:space="preserve">), Equality Act (2010), The Human Rights Act 1998, The Data Protection Act 2018, Mental Health (Wales) Measure 2010, (Social Care wales,2023c) (SCW, 2023c). </w:t>
            </w:r>
          </w:p>
          <w:p w14:paraId="44A6F0BE" w14:textId="77777777" w:rsidR="00A31763" w:rsidRDefault="00A31763" w:rsidP="00A31763">
            <w:pPr>
              <w:jc w:val="both"/>
              <w:rPr>
                <w:sz w:val="24"/>
                <w:szCs w:val="24"/>
              </w:rPr>
            </w:pPr>
          </w:p>
          <w:p w14:paraId="09990F45" w14:textId="77777777" w:rsidR="00A31763" w:rsidRDefault="00A31763" w:rsidP="00A31763">
            <w:pPr>
              <w:jc w:val="both"/>
              <w:rPr>
                <w:sz w:val="24"/>
                <w:szCs w:val="24"/>
              </w:rPr>
            </w:pPr>
            <w:r w:rsidRPr="00976CD4">
              <w:rPr>
                <w:sz w:val="24"/>
                <w:szCs w:val="24"/>
              </w:rPr>
              <w:t xml:space="preserve">I will refer to the Individual in this case study as Person 2. </w:t>
            </w:r>
          </w:p>
          <w:p w14:paraId="51432E18" w14:textId="77777777" w:rsidR="00A31763" w:rsidRDefault="00A31763" w:rsidP="00A31763">
            <w:pPr>
              <w:jc w:val="both"/>
              <w:rPr>
                <w:sz w:val="24"/>
                <w:szCs w:val="24"/>
              </w:rPr>
            </w:pPr>
          </w:p>
          <w:p w14:paraId="4FEB8F26" w14:textId="77777777" w:rsidR="00A31763" w:rsidRDefault="00A31763" w:rsidP="00A31763">
            <w:pPr>
              <w:jc w:val="both"/>
              <w:rPr>
                <w:sz w:val="24"/>
                <w:szCs w:val="24"/>
              </w:rPr>
            </w:pPr>
            <w:r w:rsidRPr="00976CD4">
              <w:rPr>
                <w:sz w:val="24"/>
                <w:szCs w:val="24"/>
              </w:rPr>
              <w:t xml:space="preserve">Within this case study I will demonstrate my knowledge and understanding of the legal frameworks that underpin my role in supporting an adult at risk, an ensure I am meeting safeguarding frameworks in Wales. </w:t>
            </w:r>
          </w:p>
          <w:p w14:paraId="758EB6F4" w14:textId="77777777" w:rsidR="004F5407" w:rsidRDefault="004F5407" w:rsidP="00A31763">
            <w:pPr>
              <w:jc w:val="both"/>
              <w:rPr>
                <w:sz w:val="24"/>
                <w:szCs w:val="24"/>
              </w:rPr>
            </w:pPr>
          </w:p>
          <w:p w14:paraId="1ADF90C7" w14:textId="77777777" w:rsidR="00A31763" w:rsidRDefault="00A31763" w:rsidP="00A31763">
            <w:pPr>
              <w:jc w:val="both"/>
              <w:rPr>
                <w:sz w:val="24"/>
                <w:szCs w:val="24"/>
              </w:rPr>
            </w:pPr>
            <w:r w:rsidRPr="00976CD4">
              <w:rPr>
                <w:sz w:val="24"/>
                <w:szCs w:val="24"/>
              </w:rPr>
              <w:t xml:space="preserve">The case study </w:t>
            </w:r>
            <w:r>
              <w:rPr>
                <w:sz w:val="24"/>
                <w:szCs w:val="24"/>
              </w:rPr>
              <w:t xml:space="preserve">I </w:t>
            </w:r>
            <w:r w:rsidRPr="00976CD4">
              <w:rPr>
                <w:sz w:val="24"/>
                <w:szCs w:val="24"/>
              </w:rPr>
              <w:t>will discuss is an allocated case within my social work role.</w:t>
            </w:r>
            <w:r w:rsidRPr="00461AC3">
              <w:rPr>
                <w:sz w:val="24"/>
                <w:szCs w:val="24"/>
              </w:rPr>
              <w:t xml:space="preserve"> </w:t>
            </w:r>
            <w:r>
              <w:rPr>
                <w:sz w:val="24"/>
                <w:szCs w:val="24"/>
              </w:rPr>
              <w:t xml:space="preserve">Under Part 2 of The Mental Health (Wales) Measure 2010 (MHWM, 2010) (Welsh Government, 2017) 2 will have continued care through the process of the Care and Treatment plan. Under the Mental Health (Wales) Measure 2 is subject to section 117 after care. </w:t>
            </w:r>
            <w:r w:rsidRPr="00976CD4">
              <w:rPr>
                <w:sz w:val="24"/>
                <w:szCs w:val="24"/>
              </w:rPr>
              <w:t xml:space="preserve">2 has been </w:t>
            </w:r>
            <w:r>
              <w:rPr>
                <w:bCs/>
                <w:kern w:val="28"/>
                <w:sz w:val="24"/>
                <w:szCs w:val="24"/>
              </w:rPr>
              <w:t>well known to local psychiatric services with a diagnosis of schizophrenia, depression and a history of self-neglect,</w:t>
            </w:r>
            <w:r w:rsidRPr="00976CD4">
              <w:rPr>
                <w:sz w:val="24"/>
                <w:szCs w:val="24"/>
              </w:rPr>
              <w:t xml:space="preserve"> he lives alone in a warden controlled older persons bungalow</w:t>
            </w:r>
            <w:r>
              <w:rPr>
                <w:sz w:val="24"/>
                <w:szCs w:val="24"/>
              </w:rPr>
              <w:t>.</w:t>
            </w:r>
            <w:r w:rsidRPr="00976CD4">
              <w:rPr>
                <w:sz w:val="24"/>
                <w:szCs w:val="24"/>
              </w:rPr>
              <w:t xml:space="preserve"> </w:t>
            </w:r>
            <w:r>
              <w:rPr>
                <w:sz w:val="24"/>
                <w:szCs w:val="24"/>
              </w:rPr>
              <w:t>A</w:t>
            </w:r>
            <w:r w:rsidRPr="00976CD4">
              <w:rPr>
                <w:sz w:val="24"/>
                <w:szCs w:val="24"/>
              </w:rPr>
              <w:t>part from the involvement of community mental health services</w:t>
            </w:r>
            <w:r>
              <w:rPr>
                <w:sz w:val="24"/>
                <w:szCs w:val="24"/>
              </w:rPr>
              <w:t xml:space="preserve"> </w:t>
            </w:r>
            <w:r w:rsidRPr="00976CD4">
              <w:rPr>
                <w:sz w:val="24"/>
                <w:szCs w:val="24"/>
              </w:rPr>
              <w:t>(CMHT) 2 doesn’t have any other community support due to this previously breaking down. Over the recent months 2 has been supported by CMHT and his family. Although 2 has the support of his family they live over an hour away and their support i</w:t>
            </w:r>
            <w:r>
              <w:rPr>
                <w:sz w:val="24"/>
                <w:szCs w:val="24"/>
              </w:rPr>
              <w:t>s</w:t>
            </w:r>
            <w:r w:rsidRPr="00976CD4">
              <w:rPr>
                <w:sz w:val="24"/>
                <w:szCs w:val="24"/>
              </w:rPr>
              <w:t xml:space="preserve"> via the telephone and placing online shopping orders for him so groceries are delivered on a regular basis.  2 rarely leaves the confines of his property, </w:t>
            </w:r>
            <w:r>
              <w:rPr>
                <w:sz w:val="24"/>
                <w:szCs w:val="24"/>
              </w:rPr>
              <w:t xml:space="preserve">although </w:t>
            </w:r>
            <w:r w:rsidRPr="00976CD4">
              <w:rPr>
                <w:sz w:val="24"/>
                <w:szCs w:val="24"/>
              </w:rPr>
              <w:t>he sometimes make</w:t>
            </w:r>
            <w:r>
              <w:rPr>
                <w:sz w:val="24"/>
                <w:szCs w:val="24"/>
              </w:rPr>
              <w:t>s</w:t>
            </w:r>
            <w:r w:rsidRPr="00976CD4">
              <w:rPr>
                <w:sz w:val="24"/>
                <w:szCs w:val="24"/>
              </w:rPr>
              <w:t xml:space="preserve"> the brief journey to the local convince store on foot but due to his fixed paranoid belief this is very rare. </w:t>
            </w:r>
          </w:p>
          <w:p w14:paraId="474D706E" w14:textId="77777777" w:rsidR="004F5407" w:rsidRPr="00976CD4" w:rsidRDefault="004F5407" w:rsidP="00A31763">
            <w:pPr>
              <w:jc w:val="both"/>
              <w:rPr>
                <w:sz w:val="24"/>
                <w:szCs w:val="24"/>
              </w:rPr>
            </w:pPr>
          </w:p>
          <w:p w14:paraId="0DC1F252" w14:textId="77777777" w:rsidR="00A31763" w:rsidRDefault="00A31763" w:rsidP="00A31763">
            <w:pPr>
              <w:jc w:val="both"/>
              <w:rPr>
                <w:sz w:val="24"/>
                <w:szCs w:val="24"/>
              </w:rPr>
            </w:pPr>
            <w:r w:rsidRPr="00976CD4">
              <w:rPr>
                <w:sz w:val="24"/>
                <w:szCs w:val="24"/>
              </w:rPr>
              <w:t>I had been involved in 2’s care for a number of months and I had been alerted by a family member that they ha</w:t>
            </w:r>
            <w:r>
              <w:rPr>
                <w:sz w:val="24"/>
                <w:szCs w:val="24"/>
              </w:rPr>
              <w:t>d concerns. They informed me that 2 had not been answering his home telephone and he had not been ringing them to place his shopping orders. I</w:t>
            </w:r>
            <w:r w:rsidRPr="00976CD4">
              <w:rPr>
                <w:sz w:val="24"/>
                <w:szCs w:val="24"/>
              </w:rPr>
              <w:t xml:space="preserve"> am able to share information about 2 with two named family members as this is agreed and signed on 2’s confidentiality forms. Practitioners must share information in accordance with the Data Protection Act </w:t>
            </w:r>
            <w:r>
              <w:rPr>
                <w:sz w:val="24"/>
                <w:szCs w:val="24"/>
              </w:rPr>
              <w:t>(</w:t>
            </w:r>
            <w:r w:rsidRPr="00976CD4">
              <w:rPr>
                <w:sz w:val="24"/>
                <w:szCs w:val="24"/>
              </w:rPr>
              <w:t>1998</w:t>
            </w:r>
            <w:r>
              <w:rPr>
                <w:sz w:val="24"/>
                <w:szCs w:val="24"/>
              </w:rPr>
              <w:t>)</w:t>
            </w:r>
            <w:r w:rsidRPr="00976CD4">
              <w:rPr>
                <w:sz w:val="24"/>
                <w:szCs w:val="24"/>
              </w:rPr>
              <w:t xml:space="preserve"> and the common law duty of confidentiality. Practitioners must only share relevant information with relevant parties. In exceptional circumstances, personal information can be lawfully shared without consent where there is a legal requirement or the </w:t>
            </w:r>
            <w:r w:rsidRPr="00976CD4">
              <w:rPr>
                <w:sz w:val="24"/>
                <w:szCs w:val="24"/>
              </w:rPr>
              <w:lastRenderedPageBreak/>
              <w:t>professional deems it to be in the public interest. An example of this exceptional circumstance would be to prevent abuse or serious harm to others</w:t>
            </w:r>
            <w:r>
              <w:rPr>
                <w:sz w:val="24"/>
                <w:szCs w:val="24"/>
              </w:rPr>
              <w:t xml:space="preserve"> (SCIE, 2019).</w:t>
            </w:r>
          </w:p>
          <w:p w14:paraId="079AD364" w14:textId="77777777" w:rsidR="004F5407" w:rsidRDefault="004F5407" w:rsidP="00A31763">
            <w:pPr>
              <w:jc w:val="both"/>
              <w:rPr>
                <w:sz w:val="24"/>
                <w:szCs w:val="24"/>
              </w:rPr>
            </w:pPr>
          </w:p>
          <w:p w14:paraId="6479E6F7" w14:textId="77777777" w:rsidR="00A31763" w:rsidRPr="00976CD4" w:rsidRDefault="00A31763" w:rsidP="00A31763">
            <w:pPr>
              <w:jc w:val="both"/>
              <w:rPr>
                <w:sz w:val="24"/>
                <w:szCs w:val="24"/>
              </w:rPr>
            </w:pPr>
            <w:r>
              <w:rPr>
                <w:sz w:val="24"/>
                <w:szCs w:val="24"/>
              </w:rPr>
              <w:t xml:space="preserve">Due to the concerns raised by family members I decided to discuss the matter with a senior member of staff and also look at 2’s risk assessment to identify any risk factors. Upon looking at 2’s care and treatment plan and risk assessment. </w:t>
            </w:r>
            <w:r w:rsidRPr="00976CD4">
              <w:rPr>
                <w:sz w:val="24"/>
                <w:szCs w:val="24"/>
              </w:rPr>
              <w:t>Isolating behaviou</w:t>
            </w:r>
            <w:r>
              <w:rPr>
                <w:sz w:val="24"/>
                <w:szCs w:val="24"/>
              </w:rPr>
              <w:t xml:space="preserve">r was identified </w:t>
            </w:r>
            <w:proofErr w:type="gramStart"/>
            <w:r>
              <w:rPr>
                <w:sz w:val="24"/>
                <w:szCs w:val="24"/>
              </w:rPr>
              <w:t xml:space="preserve">as </w:t>
            </w:r>
            <w:r w:rsidRPr="00976CD4">
              <w:rPr>
                <w:sz w:val="24"/>
                <w:szCs w:val="24"/>
              </w:rPr>
              <w:t xml:space="preserve"> atypical</w:t>
            </w:r>
            <w:proofErr w:type="gramEnd"/>
            <w:r w:rsidRPr="00976CD4">
              <w:rPr>
                <w:sz w:val="24"/>
                <w:szCs w:val="24"/>
              </w:rPr>
              <w:t xml:space="preserve"> for 2 and also highlighted the potential risk of breakthrough symptoms </w:t>
            </w:r>
            <w:r>
              <w:rPr>
                <w:sz w:val="24"/>
                <w:szCs w:val="24"/>
              </w:rPr>
              <w:t xml:space="preserve">of his schizophrenia </w:t>
            </w:r>
            <w:r w:rsidRPr="00976CD4">
              <w:rPr>
                <w:sz w:val="24"/>
                <w:szCs w:val="24"/>
              </w:rPr>
              <w:t>based on his risk assessment. With this in mind I decided it would be appropriate to follow the XXXX Lone Working policy and not attend this cold call by myself. I buddied up with another practitioner.</w:t>
            </w:r>
            <w:r>
              <w:rPr>
                <w:sz w:val="24"/>
                <w:szCs w:val="24"/>
              </w:rPr>
              <w:t xml:space="preserve"> I also needed to consider the Health and Safety at work Act, 1974 and whether there were any considerations relating to this such as risk to the public. </w:t>
            </w:r>
          </w:p>
          <w:p w14:paraId="339E6DE5" w14:textId="77777777" w:rsidR="00A31763" w:rsidRDefault="00A31763" w:rsidP="00A31763">
            <w:pPr>
              <w:jc w:val="both"/>
              <w:rPr>
                <w:sz w:val="24"/>
                <w:szCs w:val="24"/>
              </w:rPr>
            </w:pPr>
            <w:r>
              <w:rPr>
                <w:sz w:val="24"/>
                <w:szCs w:val="24"/>
              </w:rPr>
              <w:t>On arrival, 2 spoke with myself through the door and stated that he was in bed. 2 was reluctant to come to the door, however I managed to persuaded him to come to the door. Eventually, 2 was able to answer the door, however it was evident that this was a significant challenge and he was physically exhausted mobilising from the bed to the door. On entering the property, it was evident that there was significant self-neglect, poor home conditions and 2’s pet also appeared neglected.</w:t>
            </w:r>
            <w:r w:rsidRPr="008372CE">
              <w:rPr>
                <w:sz w:val="24"/>
                <w:szCs w:val="24"/>
              </w:rPr>
              <w:t xml:space="preserve"> </w:t>
            </w:r>
            <w:r>
              <w:rPr>
                <w:sz w:val="24"/>
                <w:szCs w:val="24"/>
              </w:rPr>
              <w:t>A mental state examination was competed during which it was noted that 2 presented with evidence of self-neglect, mood was objectively and subjectively low, and dietary intake was poor.</w:t>
            </w:r>
          </w:p>
          <w:p w14:paraId="40EA5846" w14:textId="77777777" w:rsidR="004F5407" w:rsidRDefault="004F5407" w:rsidP="00A31763">
            <w:pPr>
              <w:jc w:val="both"/>
              <w:rPr>
                <w:sz w:val="24"/>
                <w:szCs w:val="24"/>
              </w:rPr>
            </w:pPr>
          </w:p>
          <w:p w14:paraId="5FEAADB3" w14:textId="77777777" w:rsidR="00A31763" w:rsidRDefault="00A31763" w:rsidP="00A31763">
            <w:pPr>
              <w:jc w:val="both"/>
              <w:rPr>
                <w:sz w:val="24"/>
                <w:szCs w:val="24"/>
              </w:rPr>
            </w:pPr>
            <w:r>
              <w:rPr>
                <w:sz w:val="24"/>
                <w:szCs w:val="24"/>
              </w:rPr>
              <w:t xml:space="preserve">During this interaction I recognised that 2’s physical health was the priority need at this moment. Social and medical perspectives each put forward their own interpretation of why a person is in the situation they are but at this moment in time it was important to recognise the priority need and how 2 had got to this point could be explored at a later date. </w:t>
            </w:r>
            <w:proofErr w:type="spellStart"/>
            <w:r>
              <w:rPr>
                <w:sz w:val="24"/>
                <w:szCs w:val="24"/>
              </w:rPr>
              <w:t>Xxxxxxx</w:t>
            </w:r>
            <w:proofErr w:type="spellEnd"/>
            <w:r>
              <w:rPr>
                <w:sz w:val="24"/>
                <w:szCs w:val="24"/>
              </w:rPr>
              <w:t xml:space="preserve"> argues the best practice combines aspects of the social and medical model and this enables practitioners to identify the limitations of medication. This is especially true when working with individuals with mental health issues. Maslow (1970) believed most mental health conditions where a response to a person’s situation, he argues medication will not alter the life difficulties a person is facing. It could be suggested that 2’s mental health had impacted how he looked after his physical health. When 2 was experiencing periods of low mood he would neglect to attend to his physical health. </w:t>
            </w:r>
          </w:p>
          <w:p w14:paraId="099B9C76" w14:textId="77777777" w:rsidR="004F5407" w:rsidRDefault="004F5407" w:rsidP="00A31763">
            <w:pPr>
              <w:jc w:val="both"/>
              <w:rPr>
                <w:sz w:val="24"/>
                <w:szCs w:val="24"/>
              </w:rPr>
            </w:pPr>
          </w:p>
          <w:p w14:paraId="49169F1E" w14:textId="77777777" w:rsidR="00A31763" w:rsidRDefault="00A31763" w:rsidP="00A31763">
            <w:pPr>
              <w:jc w:val="both"/>
              <w:rPr>
                <w:sz w:val="24"/>
                <w:szCs w:val="24"/>
              </w:rPr>
            </w:pPr>
            <w:r>
              <w:rPr>
                <w:sz w:val="24"/>
                <w:szCs w:val="24"/>
              </w:rPr>
              <w:t xml:space="preserve">It is always important to recognise the differences between health and social models but I especially need to consider this working within a health setting. Although, Maclean (2015) states it is important to recognise that models do not directly correlate to a person’s profession. Some health professionals are very aware of the social model and will adopt various aspects of this. </w:t>
            </w:r>
          </w:p>
          <w:p w14:paraId="4A004C85" w14:textId="77777777" w:rsidR="004F5407" w:rsidRDefault="004F5407" w:rsidP="00A31763">
            <w:pPr>
              <w:jc w:val="both"/>
              <w:rPr>
                <w:sz w:val="24"/>
                <w:szCs w:val="24"/>
              </w:rPr>
            </w:pPr>
          </w:p>
          <w:p w14:paraId="03E31BBE" w14:textId="77777777" w:rsidR="00A31763" w:rsidRDefault="00A31763" w:rsidP="00A31763">
            <w:pPr>
              <w:jc w:val="both"/>
              <w:rPr>
                <w:sz w:val="24"/>
                <w:szCs w:val="24"/>
              </w:rPr>
            </w:pPr>
            <w:r w:rsidRPr="00B077E0">
              <w:rPr>
                <w:sz w:val="24"/>
                <w:szCs w:val="24"/>
              </w:rPr>
              <w:t>In the event that 2 declined to respond to the door and I had grave apprehensions concerning his safety and well-being I would need to consider calling the emergency services and asking them to attend. Police have powers to enter the property Under section 17 of P</w:t>
            </w:r>
            <w:r>
              <w:rPr>
                <w:sz w:val="24"/>
                <w:szCs w:val="24"/>
              </w:rPr>
              <w:t xml:space="preserve">olice and Criminal Evidence Act, 1984. </w:t>
            </w:r>
          </w:p>
          <w:p w14:paraId="589334C1" w14:textId="77777777" w:rsidR="004F5407" w:rsidRDefault="004F5407" w:rsidP="00A31763">
            <w:pPr>
              <w:jc w:val="both"/>
              <w:rPr>
                <w:sz w:val="24"/>
                <w:szCs w:val="24"/>
              </w:rPr>
            </w:pPr>
          </w:p>
          <w:p w14:paraId="3AABF355" w14:textId="77777777" w:rsidR="00A31763" w:rsidRDefault="00A31763" w:rsidP="00A31763">
            <w:pPr>
              <w:jc w:val="both"/>
              <w:rPr>
                <w:sz w:val="24"/>
                <w:szCs w:val="24"/>
              </w:rPr>
            </w:pPr>
            <w:r>
              <w:rPr>
                <w:sz w:val="24"/>
                <w:szCs w:val="24"/>
              </w:rPr>
              <w:t xml:space="preserve">As 2 was well known to mental health services and had an established diagnosis of schizophrenia it was important to assess whether his current presentation was a caused by a relapse in his mental health. If it was deemed that 2 was experiencing a relapse in his mental </w:t>
            </w:r>
            <w:r>
              <w:rPr>
                <w:sz w:val="24"/>
                <w:szCs w:val="24"/>
              </w:rPr>
              <w:lastRenderedPageBreak/>
              <w:t xml:space="preserve">illness and was posing as risk to himself or others it may have been appropriate to seek a Mental Health Act (1983) assessment. This may also have been appropriate if 2 was refusing an admission to hospital. It is important to always look for the lease restrictive option and consider other support such as a crisis team, a review of social care needs, or family support. Under the Human Rights Act (1989) individuals have the right to their personal freedom, although this can be taken away if individuals need to be detained under the Mental Health Act. </w:t>
            </w:r>
          </w:p>
          <w:p w14:paraId="35D2566E" w14:textId="77777777" w:rsidR="004F5407" w:rsidRDefault="004F5407" w:rsidP="00A31763">
            <w:pPr>
              <w:jc w:val="both"/>
              <w:rPr>
                <w:color w:val="FF0000"/>
                <w:sz w:val="24"/>
                <w:szCs w:val="24"/>
              </w:rPr>
            </w:pPr>
          </w:p>
          <w:p w14:paraId="71A2DD44" w14:textId="77777777" w:rsidR="00A31763" w:rsidRDefault="00A31763" w:rsidP="00A31763">
            <w:pPr>
              <w:tabs>
                <w:tab w:val="left" w:pos="2520"/>
              </w:tabs>
              <w:jc w:val="both"/>
              <w:rPr>
                <w:sz w:val="24"/>
                <w:szCs w:val="24"/>
              </w:rPr>
            </w:pPr>
            <w:r>
              <w:rPr>
                <w:sz w:val="24"/>
                <w:szCs w:val="24"/>
              </w:rPr>
              <w:t xml:space="preserve">2’s bedroom was littered with rubbish, vomit and excrement. In the kitchen, there was evidence that 2 had not been eating as there were a number of unopened food products which were long past their use by date. 2 indicated that he had not been eating or drinking for a number of days, but could not provide a more specific timeline. Due to the nature of his presentation, I requested assistance from nursing colleagues in order to undertake physical observations as 2 declined ambulance. After physical observations were completed, the decision was made to call an ambulance as this was in 2’s best intertest and 2 was taken to the local hospital. It was evident that 2 had been severely neglecting himself, his property and his dog. In line with the Wales Safeguarding Procedures (SCW, 2024) I was required to determine if 2 was currently safe or whether he was in need of immediate protection. Due to 2 being taken to hospital this could be determined as a place of safety and I could liaise with health staff to ensure they were aware of 2’s current living conditions and if needed we would have to delay discharge until all assessments of need were completed. </w:t>
            </w:r>
          </w:p>
          <w:p w14:paraId="01889A04" w14:textId="77777777" w:rsidR="004F5407" w:rsidRDefault="004F5407" w:rsidP="00A31763">
            <w:pPr>
              <w:tabs>
                <w:tab w:val="left" w:pos="2520"/>
              </w:tabs>
              <w:jc w:val="both"/>
              <w:rPr>
                <w:sz w:val="24"/>
                <w:szCs w:val="24"/>
              </w:rPr>
            </w:pPr>
          </w:p>
          <w:p w14:paraId="100F6E4B" w14:textId="77777777" w:rsidR="00A31763" w:rsidRDefault="00A31763" w:rsidP="00A31763">
            <w:pPr>
              <w:jc w:val="both"/>
              <w:rPr>
                <w:sz w:val="24"/>
                <w:szCs w:val="24"/>
              </w:rPr>
            </w:pPr>
            <w:r>
              <w:rPr>
                <w:sz w:val="24"/>
                <w:szCs w:val="24"/>
              </w:rPr>
              <w:t xml:space="preserve">In accordance with the Wales Safeguarding Procedures and the Local authority self-neglect protocol, I arranged and attended a multi-agency planning meeting. The purpose of this meeting was to determine a plan for discharge. I invited current professionals involved and also perspective professionals and agencies. During this meeting we discussed 2’s current issues and how we could further support him in the community. It was identified that 2 was engaging well on the ward and with gentle prompting he was able to attend to his own self-care needs. He was fully compliant with his medication routine but was declining further investigations regarding his cancer diagnosis. It was decided that an occupational therapy referral would be made and this would enable us to identify support needed at home for 2 to continue to live as independently as he could. This support could be some adaptations to his property or in the firm of a full care package, this would depend of the outcome of the assessment. Although self-neglect is not identified as a key identifier of an adult at risk within the SSWBA14, I decided that a referral to safeguarding would be appropriate as it 2’s case may meet the safeguarding threshold because of vulnerability and risk. </w:t>
            </w:r>
          </w:p>
          <w:p w14:paraId="5BDE4688" w14:textId="77777777" w:rsidR="004F5407" w:rsidRDefault="004F5407" w:rsidP="00A31763">
            <w:pPr>
              <w:jc w:val="both"/>
              <w:rPr>
                <w:sz w:val="24"/>
                <w:szCs w:val="24"/>
              </w:rPr>
            </w:pPr>
          </w:p>
          <w:p w14:paraId="3B06FF00" w14:textId="77777777" w:rsidR="00A31763" w:rsidRDefault="00A31763" w:rsidP="00A31763">
            <w:pPr>
              <w:jc w:val="both"/>
              <w:rPr>
                <w:sz w:val="24"/>
                <w:szCs w:val="24"/>
              </w:rPr>
            </w:pPr>
            <w:r>
              <w:rPr>
                <w:sz w:val="24"/>
                <w:szCs w:val="24"/>
              </w:rPr>
              <w:t xml:space="preserve">Following one of the key principles of the SSWBA14 ‘A Person-Centred Approach’ I would identify what outcomes 2 would like to achieve and each professional’s role. This person-centred approach ensures that professionals do not make decisions based solely on their own judgement, but rather place individuals at the core of their own care and recognise their expertise in their own lives (SCW,2024). Through effective communication I was able to work towards 2’s own personal outcomes and ensure professionals involved were working towards those desired outcomes. I took the time to develop an understanding of 2’s desired outcomes, one of which was that he would like to be able to return to his home address and live as independently as he could. We identified his strengths, needs and risks. I was aware through </w:t>
            </w:r>
            <w:r>
              <w:rPr>
                <w:sz w:val="24"/>
                <w:szCs w:val="24"/>
              </w:rPr>
              <w:lastRenderedPageBreak/>
              <w:t xml:space="preserve">this process I would need to balance empowerment and risk. There was significant evidence to suggest the risk of self-neglect would return when 2 was back in his own environment, my role would now be to empower 2 to be able to return home but to also mitigate any further risk of harm through self-neglect. Using Ledford et </w:t>
            </w:r>
            <w:proofErr w:type="spellStart"/>
            <w:r>
              <w:rPr>
                <w:sz w:val="24"/>
                <w:szCs w:val="24"/>
              </w:rPr>
              <w:t>al’s</w:t>
            </w:r>
            <w:proofErr w:type="spellEnd"/>
            <w:r>
              <w:rPr>
                <w:sz w:val="24"/>
                <w:szCs w:val="24"/>
              </w:rPr>
              <w:t xml:space="preserve"> Empowerment model (2013) I worked together with 2 to identify resources which are needed to help empower him, and create strategies to influence change and reduce the risk of harm. </w:t>
            </w:r>
          </w:p>
          <w:p w14:paraId="59C76B70" w14:textId="77777777" w:rsidR="004F5407" w:rsidRDefault="004F5407" w:rsidP="00A31763">
            <w:pPr>
              <w:jc w:val="both"/>
              <w:rPr>
                <w:sz w:val="24"/>
                <w:szCs w:val="24"/>
              </w:rPr>
            </w:pPr>
          </w:p>
          <w:p w14:paraId="16716EFB" w14:textId="77777777" w:rsidR="00A31763" w:rsidRDefault="00A31763" w:rsidP="00A31763">
            <w:pPr>
              <w:jc w:val="both"/>
              <w:rPr>
                <w:sz w:val="24"/>
                <w:szCs w:val="24"/>
              </w:rPr>
            </w:pPr>
            <w:r>
              <w:rPr>
                <w:sz w:val="24"/>
                <w:szCs w:val="24"/>
              </w:rPr>
              <w:t xml:space="preserve">This case highlighted the importance of each professional role within the care planning process. Social Workers are expected to work in partnership with other professionals all while recognising and respecting each other’s role (SCW, 2017). </w:t>
            </w:r>
          </w:p>
          <w:p w14:paraId="18BB4DB5" w14:textId="77777777" w:rsidR="00A31763" w:rsidRDefault="00A31763" w:rsidP="00A31763">
            <w:pPr>
              <w:tabs>
                <w:tab w:val="left" w:pos="2520"/>
              </w:tabs>
              <w:jc w:val="both"/>
              <w:rPr>
                <w:sz w:val="24"/>
                <w:szCs w:val="24"/>
              </w:rPr>
            </w:pPr>
          </w:p>
          <w:p w14:paraId="64A0C6E8" w14:textId="77777777" w:rsidR="00A31763" w:rsidRDefault="00A31763" w:rsidP="00A31763">
            <w:pPr>
              <w:jc w:val="both"/>
              <w:rPr>
                <w:sz w:val="24"/>
                <w:szCs w:val="24"/>
              </w:rPr>
            </w:pPr>
            <w:r>
              <w:rPr>
                <w:bCs/>
                <w:kern w:val="28"/>
                <w:sz w:val="24"/>
                <w:szCs w:val="24"/>
              </w:rPr>
              <w:t xml:space="preserve">Following 2’s admission, it has been identified that he has been diagnosed with rectal cancer which goes some way in explaining the decline in his physical and mental health. During his stay in hospital 2 decided he no longer wanted any further input in the community for his cancer. He decided not to proceed with any further investigation or treatment. </w:t>
            </w:r>
            <w:r>
              <w:rPr>
                <w:sz w:val="24"/>
                <w:szCs w:val="24"/>
              </w:rPr>
              <w:t xml:space="preserve">When 2 made the decision not to access treatment for his cancer diagnosis I had to consider if 2 lacked capacity to make this choice and was his diagnosis of Schizophrenia impairing his ability to make wise choices. I would also need to consider if 2’s current mental state was impairing his current decision making and his capacity could also be fluctuating. Spencer Lane (2019) states fluctuating capacity refers to situations where a person’s decisions making ability varies. The individual may lack capacity at the time of assessment, but the result may be different if a second assessment is undertaken during a lucid interval. There are many reasons why individual’s capacity may fluctuate such as mental illness, dementia or brain injuries. In 2’s case his mental illness may be impairing his decision making. </w:t>
            </w:r>
          </w:p>
          <w:p w14:paraId="68B95BBF" w14:textId="77777777" w:rsidR="004F5407" w:rsidRPr="007666C6" w:rsidRDefault="004F5407" w:rsidP="00A31763">
            <w:pPr>
              <w:jc w:val="both"/>
              <w:rPr>
                <w:bCs/>
                <w:kern w:val="28"/>
                <w:sz w:val="24"/>
                <w:szCs w:val="24"/>
              </w:rPr>
            </w:pPr>
          </w:p>
          <w:p w14:paraId="06FBAE4B" w14:textId="77777777" w:rsidR="00A31763" w:rsidRDefault="00A31763" w:rsidP="00A31763">
            <w:pPr>
              <w:jc w:val="both"/>
              <w:rPr>
                <w:i/>
                <w:iCs/>
                <w:sz w:val="24"/>
                <w:szCs w:val="24"/>
              </w:rPr>
            </w:pPr>
            <w:r>
              <w:rPr>
                <w:sz w:val="24"/>
                <w:szCs w:val="24"/>
              </w:rPr>
              <w:t>I discussed the case with my team manager and other health agencies involved and the decision was made for a formal capacity assessment to be completed. The test for capacity in the Mental Capacity Act 2005 (MCA) is contained in section 2, this sets out the purpose of the act “</w:t>
            </w:r>
            <w:r w:rsidRPr="00AD0354">
              <w:rPr>
                <w:i/>
                <w:iCs/>
                <w:sz w:val="24"/>
                <w:szCs w:val="24"/>
              </w:rPr>
              <w:t>A person</w:t>
            </w:r>
            <w:r w:rsidRPr="00505C51">
              <w:rPr>
                <w:i/>
                <w:iCs/>
                <w:sz w:val="24"/>
                <w:szCs w:val="24"/>
              </w:rPr>
              <w:t xml:space="preserve"> lacks capacity in relation to a matter if at the material time he is unable to make a decision for himself in relation to the matter, because of an impairment, or a disturbance in the functioning of the mind or brain.”</w:t>
            </w:r>
          </w:p>
          <w:p w14:paraId="1A0D1123" w14:textId="77777777" w:rsidR="004F5407" w:rsidRPr="00505C51" w:rsidRDefault="004F5407" w:rsidP="00A31763">
            <w:pPr>
              <w:jc w:val="both"/>
              <w:rPr>
                <w:i/>
                <w:iCs/>
                <w:sz w:val="24"/>
                <w:szCs w:val="24"/>
              </w:rPr>
            </w:pPr>
          </w:p>
          <w:p w14:paraId="005A17F7" w14:textId="77777777" w:rsidR="00A31763" w:rsidRDefault="00A31763" w:rsidP="00A31763">
            <w:pPr>
              <w:jc w:val="both"/>
              <w:rPr>
                <w:sz w:val="24"/>
                <w:szCs w:val="24"/>
              </w:rPr>
            </w:pPr>
            <w:r>
              <w:rPr>
                <w:sz w:val="24"/>
                <w:szCs w:val="24"/>
              </w:rPr>
              <w:t>Once completed it was determined that 2 demonstrated the ability to understand the information that had been provided by health care professionals and myself, he was able to retain this information and communicate the important points relating to this decision and weigh up the pros and cons of making this choice. Not only did I need to identify 2’s ability to understand the information that he was being given but also if any of the decisions he was making were based on paranoid beliefs. Individuals with Schizophrenia can feel persecuted and overly suspicious (</w:t>
            </w:r>
            <w:proofErr w:type="spellStart"/>
            <w:r>
              <w:rPr>
                <w:sz w:val="24"/>
                <w:szCs w:val="24"/>
              </w:rPr>
              <w:t>Didbin</w:t>
            </w:r>
            <w:proofErr w:type="spellEnd"/>
            <w:r>
              <w:rPr>
                <w:sz w:val="24"/>
                <w:szCs w:val="24"/>
              </w:rPr>
              <w:t xml:space="preserve">, 2022). For example; If 2 had made suggestions that he wasn’t going to undergo treatment because he believed that the Doctor was trying to poison him, I would be questioning where these beliefs were coming from and whether it appropriate for 2 to also be reviewed medically by a psychiatrist. Many paranoid beliefs are fixed and are unable to be changed. Although sometimes these beliefs are able to be challenged and psychiatrist medication can help alleviate these beliefs. I also reassured 2 that if he changed his mind at any point, I would support him to access the treatment he required. </w:t>
            </w:r>
          </w:p>
          <w:p w14:paraId="1B56125C" w14:textId="77777777" w:rsidR="00A31763" w:rsidRDefault="00A31763" w:rsidP="00A31763">
            <w:pPr>
              <w:jc w:val="both"/>
              <w:rPr>
                <w:sz w:val="24"/>
                <w:szCs w:val="24"/>
              </w:rPr>
            </w:pPr>
            <w:r>
              <w:rPr>
                <w:sz w:val="24"/>
                <w:szCs w:val="24"/>
              </w:rPr>
              <w:lastRenderedPageBreak/>
              <w:t xml:space="preserve">Following the Mental Capacity Act 2005, 2 was deemed to have capacity to make this decision. Although as practitioners we may feel he is making an unwise decision. 2 has the right to make unwise choices. Although I had considered if 2 lacked capacity, Under the Mental Health Act (2005) I had to assume capacity until proven otherwise and ensure that it is subject focused. In relation to 2’s case I would be assessing his capacity in relation to him declining treatment for his cancer diagnosis. If there were concerns surrounding his capacity in other areas such as finances or treatment for his mental illness, these would also need each need a separate capacity assessment. </w:t>
            </w:r>
          </w:p>
          <w:p w14:paraId="500B0CAB" w14:textId="77777777" w:rsidR="00A31763" w:rsidRDefault="00A31763" w:rsidP="00A31763">
            <w:pPr>
              <w:jc w:val="both"/>
              <w:rPr>
                <w:sz w:val="24"/>
                <w:szCs w:val="24"/>
              </w:rPr>
            </w:pPr>
          </w:p>
          <w:p w14:paraId="52F1DBA7" w14:textId="77777777" w:rsidR="00A31763" w:rsidRDefault="00A31763" w:rsidP="00A31763">
            <w:pPr>
              <w:jc w:val="both"/>
              <w:rPr>
                <w:sz w:val="24"/>
                <w:szCs w:val="24"/>
              </w:rPr>
            </w:pPr>
            <w:r>
              <w:rPr>
                <w:sz w:val="24"/>
                <w:szCs w:val="24"/>
              </w:rPr>
              <w:t>If 2 was deemed to lack capacity, decisions made on behalf of a person without capacity should be made in their best interests, considering the person’s known wishes, beliefs and their general well-being (The Mental Capacity Act, 2005). To be able to ensure decisions are in 2’s best interest I would need to engage 2 in the decision-making process, listen to and take into account his views, wishes and feelings. This also upholds the standards and conduct of practice set out in s.1 of the Codes of Professional Practice for Social Care (2017) (COPP17) (Social Care Wales, 2017) (SCW,2017) ‘Working with individuals and carers in ways that respect their dignity, privacy, preferences, culture, language and rights, during this process it is important for 2 to have an advocate. There would have been a role for an independent mental capacity advocate (IMCA) (SCIE, 2010). Independent mental capacity advocates are appointed to support and represent individuals who lack capacity when making certain decisions.</w:t>
            </w:r>
          </w:p>
          <w:p w14:paraId="67763CE1" w14:textId="77777777" w:rsidR="004F5407" w:rsidRDefault="004F5407" w:rsidP="00A31763">
            <w:pPr>
              <w:jc w:val="both"/>
              <w:rPr>
                <w:sz w:val="24"/>
                <w:szCs w:val="24"/>
              </w:rPr>
            </w:pPr>
          </w:p>
          <w:p w14:paraId="23848636" w14:textId="77777777" w:rsidR="00A31763" w:rsidRDefault="00A31763" w:rsidP="00A31763">
            <w:pPr>
              <w:jc w:val="both"/>
              <w:rPr>
                <w:sz w:val="24"/>
                <w:szCs w:val="24"/>
              </w:rPr>
            </w:pPr>
            <w:r>
              <w:rPr>
                <w:sz w:val="24"/>
                <w:szCs w:val="24"/>
              </w:rPr>
              <w:t>If 2 lacked the capacity to make a decision and the decision needs to be made for them, the Mental Capacity Act (2005) states the decision must be made in their best interest. In certain cases, the restrictions placed upon an individual who lacks capacity may lead to a deprivation of liberty (Dols). If it is felt that this may be applicable the care provider or hospital have to apply to their local authority and the court of protection. Deprivation of Liberty Safeguards (</w:t>
            </w:r>
            <w:proofErr w:type="spellStart"/>
            <w:r>
              <w:rPr>
                <w:sz w:val="24"/>
                <w:szCs w:val="24"/>
              </w:rPr>
              <w:t>DoLS</w:t>
            </w:r>
            <w:proofErr w:type="spellEnd"/>
            <w:r>
              <w:rPr>
                <w:sz w:val="24"/>
                <w:szCs w:val="24"/>
              </w:rPr>
              <w:t>) are an amendment to MCA and are the current safeguards which protect a person who lacks capacity to consent to their care and treatment in order to keep them safe from harm (</w:t>
            </w:r>
            <w:proofErr w:type="spellStart"/>
            <w:r>
              <w:rPr>
                <w:sz w:val="24"/>
                <w:szCs w:val="24"/>
              </w:rPr>
              <w:t>DoLS</w:t>
            </w:r>
            <w:proofErr w:type="spellEnd"/>
            <w:r>
              <w:rPr>
                <w:sz w:val="24"/>
                <w:szCs w:val="24"/>
              </w:rPr>
              <w:t xml:space="preserve">). A decision will be made by The Court of Protection to authorise depriving a person of their liberty in their own home, a care home, or a hospital. </w:t>
            </w:r>
          </w:p>
          <w:p w14:paraId="3155812E" w14:textId="77777777" w:rsidR="004F5407" w:rsidRDefault="004F5407" w:rsidP="00A31763">
            <w:pPr>
              <w:jc w:val="both"/>
              <w:rPr>
                <w:sz w:val="24"/>
                <w:szCs w:val="24"/>
              </w:rPr>
            </w:pPr>
          </w:p>
          <w:p w14:paraId="2E1D98B7" w14:textId="77777777" w:rsidR="00A31763" w:rsidRDefault="00A31763" w:rsidP="00A31763">
            <w:pPr>
              <w:jc w:val="both"/>
              <w:rPr>
                <w:sz w:val="24"/>
                <w:szCs w:val="24"/>
              </w:rPr>
            </w:pPr>
            <w:r>
              <w:rPr>
                <w:sz w:val="24"/>
                <w:szCs w:val="24"/>
              </w:rPr>
              <w:t xml:space="preserve">There can be a lot of stigmas and stereotyping towards individuals with schizophrenia and this is widely related to it being misunderstood. This became apparent during 2’s time in hospital where I felt he was being discriminated against.  I was informed they would be considering moving 2 to a side room, when I asked why this was, I was informed due to his mental illness. I asked why this was being considered if there were no concerns regarding his mental health and he was also enjoying being in the company of others. I stated unless less they were identified risks him staying in a communal ward then they would need to consider if they were adhering to the Equality Act, 2010. I also asked them to have a conversation with 2 and consider what he wanted to ensure decisions were person centred. </w:t>
            </w:r>
          </w:p>
          <w:p w14:paraId="78AAFB5E" w14:textId="77777777" w:rsidR="004F5407" w:rsidRDefault="004F5407" w:rsidP="00A31763">
            <w:pPr>
              <w:jc w:val="both"/>
              <w:rPr>
                <w:sz w:val="24"/>
                <w:szCs w:val="24"/>
              </w:rPr>
            </w:pPr>
          </w:p>
          <w:p w14:paraId="38A0B569" w14:textId="77777777" w:rsidR="004F5407" w:rsidRDefault="00A31763" w:rsidP="00A31763">
            <w:pPr>
              <w:jc w:val="both"/>
              <w:rPr>
                <w:sz w:val="24"/>
                <w:szCs w:val="24"/>
              </w:rPr>
            </w:pPr>
            <w:r>
              <w:rPr>
                <w:sz w:val="24"/>
                <w:szCs w:val="24"/>
              </w:rPr>
              <w:t xml:space="preserve">Once all relevant assessments for care and planning were completed and 2 was deemed medically fit the planning for discharge started. This involved a multi-agency approach. Recognising and respecting the roles and expertise of other professionals and collaborating effectively with them is a fundamental principle of social work practice s.6 of COPP17 (SCW, </w:t>
            </w:r>
            <w:r>
              <w:rPr>
                <w:sz w:val="24"/>
                <w:szCs w:val="24"/>
              </w:rPr>
              <w:lastRenderedPageBreak/>
              <w:t>2017). During the occupational therapy assessments some areas were identified where 2 would need support to live independently. Such as such adaptations to his home and him having meals delivered that he could heat in the microwave.</w:t>
            </w:r>
          </w:p>
          <w:p w14:paraId="407868D1" w14:textId="527A4B1F" w:rsidR="00A31763" w:rsidRDefault="00A31763" w:rsidP="00A31763">
            <w:pPr>
              <w:jc w:val="both"/>
              <w:rPr>
                <w:sz w:val="24"/>
                <w:szCs w:val="24"/>
              </w:rPr>
            </w:pPr>
            <w:r>
              <w:rPr>
                <w:sz w:val="24"/>
                <w:szCs w:val="24"/>
              </w:rPr>
              <w:t xml:space="preserve"> </w:t>
            </w:r>
          </w:p>
          <w:p w14:paraId="6659E693" w14:textId="77777777" w:rsidR="00A31763" w:rsidRDefault="00A31763" w:rsidP="00A31763">
            <w:pPr>
              <w:jc w:val="both"/>
              <w:rPr>
                <w:sz w:val="24"/>
                <w:szCs w:val="24"/>
              </w:rPr>
            </w:pPr>
            <w:r>
              <w:rPr>
                <w:sz w:val="24"/>
                <w:szCs w:val="24"/>
              </w:rPr>
              <w:t>During my risk assessment I identified that 2 needed a more robust way to communicate with the outside world and that he was also unsure of what to do in an emergency situation. It had come to light that the emergency cords within his home were no longer working and that a falls alarm would also be appropriate. I ensured I discussed all these options with 2 along the way and that he was in agreement to these services. The Human Rights Act, 1998 states individuals have a right to a private life and if 2 decided he didn’t want further intrusion into his life and home he has the right to make this decision. I used the strengths perspective (</w:t>
            </w:r>
            <w:proofErr w:type="spellStart"/>
            <w:r>
              <w:rPr>
                <w:sz w:val="24"/>
                <w:szCs w:val="24"/>
              </w:rPr>
              <w:t>Saleebey</w:t>
            </w:r>
            <w:proofErr w:type="spellEnd"/>
            <w:r>
              <w:rPr>
                <w:sz w:val="24"/>
                <w:szCs w:val="24"/>
              </w:rPr>
              <w:t xml:space="preserve">, 1996) to help 2 identify his qualities and strengths. Using this theory, I needed to connect with 2 so he felt he was able to open up to me about his personal experience that may have led to his self-neglect. By recognising the negative and positive aspects of circumstances we would be able to identify positive ways of addressing these.  Limitations of this is that not everyone wants contact with services, or individuals aren’t always open and honest during these conversations and this can cause a sceptical approach. </w:t>
            </w:r>
          </w:p>
          <w:p w14:paraId="57E105F8" w14:textId="77777777" w:rsidR="004F5407" w:rsidRDefault="004F5407" w:rsidP="00A31763">
            <w:pPr>
              <w:jc w:val="both"/>
              <w:rPr>
                <w:sz w:val="24"/>
                <w:szCs w:val="24"/>
              </w:rPr>
            </w:pPr>
          </w:p>
          <w:p w14:paraId="21EF8EA3" w14:textId="77777777" w:rsidR="00A31763" w:rsidRDefault="00A31763" w:rsidP="00A31763">
            <w:pPr>
              <w:jc w:val="both"/>
              <w:rPr>
                <w:sz w:val="24"/>
                <w:szCs w:val="24"/>
              </w:rPr>
            </w:pPr>
            <w:r>
              <w:rPr>
                <w:sz w:val="24"/>
                <w:szCs w:val="24"/>
              </w:rPr>
              <w:t xml:space="preserve">Throughout this case study I have demonstrated my knowledge of safeguarding procedures and kept my practice person-centred. I have achieved this by ensuring 2 has had full involvement in decision making and we have worked towards outcomes he would like to achieve all while managing risk. </w:t>
            </w:r>
          </w:p>
          <w:p w14:paraId="476A611F" w14:textId="77777777" w:rsidR="004F5407" w:rsidRDefault="004F5407" w:rsidP="00A31763">
            <w:pPr>
              <w:jc w:val="both"/>
              <w:rPr>
                <w:sz w:val="24"/>
                <w:szCs w:val="24"/>
              </w:rPr>
            </w:pPr>
          </w:p>
          <w:p w14:paraId="7E3FD901" w14:textId="77777777" w:rsidR="00A31763" w:rsidRDefault="00A31763" w:rsidP="00A31763">
            <w:pPr>
              <w:jc w:val="both"/>
              <w:rPr>
                <w:sz w:val="24"/>
                <w:szCs w:val="24"/>
              </w:rPr>
            </w:pPr>
            <w:r>
              <w:rPr>
                <w:sz w:val="24"/>
                <w:szCs w:val="24"/>
              </w:rPr>
              <w:t>(3601)</w:t>
            </w:r>
          </w:p>
          <w:p w14:paraId="7274FABD" w14:textId="77777777" w:rsidR="00A31763" w:rsidRPr="00976CD4" w:rsidRDefault="00A31763" w:rsidP="00A31763">
            <w:pPr>
              <w:jc w:val="both"/>
              <w:rPr>
                <w:sz w:val="24"/>
                <w:szCs w:val="24"/>
              </w:rPr>
            </w:pPr>
          </w:p>
          <w:p w14:paraId="0CC41CC6" w14:textId="77777777" w:rsidR="00A31763" w:rsidRPr="00976CD4" w:rsidRDefault="00A31763" w:rsidP="00A31763">
            <w:pPr>
              <w:jc w:val="both"/>
              <w:rPr>
                <w:sz w:val="24"/>
                <w:szCs w:val="24"/>
              </w:rPr>
            </w:pPr>
            <w:r>
              <w:rPr>
                <w:sz w:val="24"/>
                <w:szCs w:val="24"/>
              </w:rPr>
              <w:t xml:space="preserve">         </w:t>
            </w:r>
          </w:p>
          <w:p w14:paraId="4EC1F643" w14:textId="77777777" w:rsidR="00437C95" w:rsidRPr="00437C95" w:rsidRDefault="00437C95"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C95"/>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407"/>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8C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1763"/>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17DB"/>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3791</Words>
  <Characters>19163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Mason (BCUHB - Mental Health &amp; Learning Disabilities)</cp:lastModifiedBy>
  <cp:revision>3</cp:revision>
  <cp:lastPrinted>2020-02-11T19:20:00Z</cp:lastPrinted>
  <dcterms:created xsi:type="dcterms:W3CDTF">2024-10-07T18:46:00Z</dcterms:created>
  <dcterms:modified xsi:type="dcterms:W3CDTF">2024-10-07T18:47:00Z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