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27C" w:rsidRPr="008F026B" w:rsidRDefault="00A9527C" w:rsidP="00A9527C">
      <w:pPr>
        <w:spacing w:line="480" w:lineRule="auto"/>
      </w:pPr>
    </w:p>
    <w:p w:rsidR="00A9527C" w:rsidRPr="008F026B" w:rsidRDefault="00A9527C" w:rsidP="00A9527C">
      <w:pPr>
        <w:spacing w:line="480" w:lineRule="auto"/>
      </w:pPr>
    </w:p>
    <w:p w:rsidR="00A9527C" w:rsidRPr="008F026B" w:rsidRDefault="00A9527C" w:rsidP="00A9527C">
      <w:pPr>
        <w:spacing w:line="480" w:lineRule="auto"/>
      </w:pPr>
    </w:p>
    <w:p w:rsidR="007B13F1" w:rsidRPr="007B13F1" w:rsidRDefault="007B13F1" w:rsidP="007B13F1">
      <w:pPr>
        <w:autoSpaceDE w:val="0"/>
        <w:autoSpaceDN w:val="0"/>
        <w:adjustRightInd w:val="0"/>
        <w:jc w:val="center"/>
        <w:rPr>
          <w:rStyle w:val="SubtleEmphasis"/>
          <w:color w:val="auto"/>
          <w:sz w:val="44"/>
          <w:szCs w:val="44"/>
        </w:rPr>
      </w:pPr>
      <w:r w:rsidRPr="007B13F1">
        <w:rPr>
          <w:rStyle w:val="SubtleEmphasis"/>
          <w:color w:val="auto"/>
          <w:sz w:val="44"/>
          <w:szCs w:val="44"/>
        </w:rPr>
        <w:t>THE IMPORTANCE OF EMPLIABILITY SKILLS IN THE WORKPLACE TODAY</w:t>
      </w:r>
    </w:p>
    <w:p w:rsidR="00A9527C" w:rsidRPr="008F026B" w:rsidRDefault="00A9527C" w:rsidP="00A9527C">
      <w:pPr>
        <w:spacing w:line="480" w:lineRule="auto"/>
      </w:pPr>
    </w:p>
    <w:p w:rsidR="00A9527C" w:rsidRPr="008F026B" w:rsidRDefault="00A9527C" w:rsidP="00A9527C">
      <w:pPr>
        <w:spacing w:line="480" w:lineRule="auto"/>
      </w:pPr>
    </w:p>
    <w:p w:rsidR="00A9527C" w:rsidRPr="008F026B" w:rsidRDefault="00A9527C" w:rsidP="00A9527C">
      <w:pPr>
        <w:spacing w:line="480" w:lineRule="auto"/>
      </w:pPr>
    </w:p>
    <w:p w:rsidR="00A9527C" w:rsidRPr="008F026B" w:rsidRDefault="00A9527C" w:rsidP="00A9527C">
      <w:pPr>
        <w:spacing w:line="480" w:lineRule="auto"/>
      </w:pPr>
    </w:p>
    <w:p w:rsidR="00A9527C" w:rsidRDefault="007B13F1" w:rsidP="007B13F1">
      <w:pPr>
        <w:tabs>
          <w:tab w:val="left" w:pos="4136"/>
        </w:tabs>
        <w:spacing w:line="480" w:lineRule="auto"/>
        <w:jc w:val="center"/>
      </w:pPr>
      <w:r>
        <w:t>Academic and Employability Skills</w:t>
      </w:r>
    </w:p>
    <w:p w:rsidR="007B13F1" w:rsidRDefault="007B13F1" w:rsidP="007B13F1">
      <w:pPr>
        <w:tabs>
          <w:tab w:val="left" w:pos="4136"/>
        </w:tabs>
        <w:spacing w:line="480" w:lineRule="auto"/>
        <w:jc w:val="center"/>
      </w:pPr>
      <w:r>
        <w:t>BMSW4001</w:t>
      </w:r>
    </w:p>
    <w:p w:rsidR="007B13F1" w:rsidRDefault="007B13F1" w:rsidP="007B13F1">
      <w:pPr>
        <w:tabs>
          <w:tab w:val="left" w:pos="4136"/>
        </w:tabs>
        <w:spacing w:line="480" w:lineRule="auto"/>
        <w:jc w:val="center"/>
      </w:pPr>
    </w:p>
    <w:p w:rsidR="007B13F1" w:rsidRDefault="007B13F1" w:rsidP="007B13F1">
      <w:pPr>
        <w:tabs>
          <w:tab w:val="left" w:pos="4136"/>
        </w:tabs>
        <w:spacing w:line="480" w:lineRule="auto"/>
        <w:jc w:val="center"/>
      </w:pPr>
    </w:p>
    <w:p w:rsidR="007B13F1" w:rsidRDefault="007B13F1" w:rsidP="007B13F1">
      <w:pPr>
        <w:tabs>
          <w:tab w:val="left" w:pos="4136"/>
        </w:tabs>
        <w:spacing w:line="480" w:lineRule="auto"/>
        <w:jc w:val="center"/>
      </w:pPr>
    </w:p>
    <w:p w:rsidR="007B13F1" w:rsidRDefault="007B13F1" w:rsidP="007B13F1">
      <w:pPr>
        <w:tabs>
          <w:tab w:val="left" w:pos="4136"/>
        </w:tabs>
        <w:spacing w:line="480" w:lineRule="auto"/>
        <w:jc w:val="center"/>
      </w:pPr>
    </w:p>
    <w:p w:rsidR="007B13F1" w:rsidRDefault="007B13F1" w:rsidP="007B13F1">
      <w:pPr>
        <w:tabs>
          <w:tab w:val="left" w:pos="4136"/>
        </w:tabs>
        <w:spacing w:line="480" w:lineRule="auto"/>
        <w:jc w:val="center"/>
      </w:pPr>
    </w:p>
    <w:p w:rsidR="007B13F1" w:rsidRDefault="007B13F1" w:rsidP="007B13F1">
      <w:pPr>
        <w:tabs>
          <w:tab w:val="left" w:pos="4136"/>
        </w:tabs>
        <w:spacing w:line="480" w:lineRule="auto"/>
        <w:jc w:val="center"/>
      </w:pPr>
    </w:p>
    <w:p w:rsidR="007B13F1" w:rsidRDefault="007B13F1" w:rsidP="007B13F1">
      <w:pPr>
        <w:tabs>
          <w:tab w:val="left" w:pos="4136"/>
        </w:tabs>
        <w:spacing w:line="480" w:lineRule="auto"/>
        <w:jc w:val="center"/>
      </w:pPr>
    </w:p>
    <w:p w:rsidR="007B13F1" w:rsidRDefault="007B13F1" w:rsidP="007B13F1">
      <w:pPr>
        <w:tabs>
          <w:tab w:val="left" w:pos="4136"/>
        </w:tabs>
        <w:spacing w:line="480" w:lineRule="auto"/>
        <w:jc w:val="center"/>
      </w:pPr>
    </w:p>
    <w:p w:rsidR="007B13F1" w:rsidRDefault="007B13F1" w:rsidP="007B13F1">
      <w:pPr>
        <w:spacing w:line="276" w:lineRule="auto"/>
        <w:jc w:val="center"/>
      </w:pPr>
    </w:p>
    <w:p w:rsidR="007B13F1" w:rsidRDefault="007B13F1" w:rsidP="007B13F1">
      <w:pPr>
        <w:spacing w:line="276" w:lineRule="auto"/>
        <w:jc w:val="center"/>
      </w:pPr>
    </w:p>
    <w:p w:rsidR="007B13F1" w:rsidRDefault="007B13F1" w:rsidP="007B13F1">
      <w:pPr>
        <w:spacing w:line="276" w:lineRule="auto"/>
        <w:jc w:val="center"/>
      </w:pPr>
    </w:p>
    <w:p w:rsidR="007B13F1" w:rsidRDefault="007B13F1" w:rsidP="007B13F1">
      <w:pPr>
        <w:spacing w:line="276" w:lineRule="auto"/>
        <w:jc w:val="center"/>
      </w:pPr>
    </w:p>
    <w:p w:rsidR="007B13F1" w:rsidRDefault="007B13F1" w:rsidP="007B13F1">
      <w:pPr>
        <w:spacing w:line="276" w:lineRule="auto"/>
        <w:jc w:val="center"/>
      </w:pPr>
      <w:r>
        <w:t>Anca Lavinia Moraru</w:t>
      </w:r>
    </w:p>
    <w:p w:rsidR="007B13F1" w:rsidRDefault="007B13F1" w:rsidP="007B13F1">
      <w:pPr>
        <w:spacing w:line="276" w:lineRule="auto"/>
        <w:jc w:val="center"/>
      </w:pPr>
      <w:r>
        <w:t>Student number: 1909931</w:t>
      </w:r>
    </w:p>
    <w:p w:rsidR="007B13F1" w:rsidRDefault="007B13F1" w:rsidP="007B13F1">
      <w:pPr>
        <w:spacing w:line="276" w:lineRule="auto"/>
        <w:jc w:val="center"/>
      </w:pPr>
      <w:r>
        <w:t>26/02/2020</w:t>
      </w:r>
    </w:p>
    <w:p w:rsidR="007B13F1" w:rsidRDefault="007B13F1" w:rsidP="007B13F1">
      <w:pPr>
        <w:tabs>
          <w:tab w:val="left" w:pos="4136"/>
        </w:tabs>
        <w:spacing w:line="480" w:lineRule="auto"/>
        <w:jc w:val="center"/>
      </w:pPr>
      <w:r>
        <w:t>Univers</w:t>
      </w:r>
      <w:bookmarkStart w:id="0" w:name="_Toc55653790"/>
      <w:r>
        <w:t>ity of Wales Trinity Saint Dav</w:t>
      </w:r>
    </w:p>
    <w:p w:rsidR="00A9527C" w:rsidRPr="007B13F1" w:rsidRDefault="00F83DEB" w:rsidP="007B13F1">
      <w:pPr>
        <w:tabs>
          <w:tab w:val="left" w:pos="4136"/>
        </w:tabs>
        <w:spacing w:line="480" w:lineRule="auto"/>
        <w:rPr>
          <w:b/>
        </w:rPr>
      </w:pPr>
      <w:r w:rsidRPr="007B13F1">
        <w:rPr>
          <w:b/>
        </w:rPr>
        <w:lastRenderedPageBreak/>
        <w:t>Introduction</w:t>
      </w:r>
      <w:bookmarkEnd w:id="0"/>
    </w:p>
    <w:p w:rsidR="00A9527C" w:rsidRPr="00F471A1" w:rsidRDefault="00F83DEB" w:rsidP="00A9527C">
      <w:pPr>
        <w:pStyle w:val="NormalWeb"/>
        <w:shd w:val="clear" w:color="auto" w:fill="FFFFFF"/>
        <w:spacing w:before="0" w:beforeAutospacing="0" w:after="0" w:afterAutospacing="0" w:line="480" w:lineRule="auto"/>
        <w:ind w:firstLine="720"/>
        <w:jc w:val="both"/>
      </w:pPr>
      <w:r>
        <w:t>In the current digital era, it is extremely challenging for an individual to stand out in the job market because of the increase in demand for employability competencies in the workplace today. Nowadays employers not only demand skills relevant to job role instead also look for employability skills as a key element of competency of the potential candidate during the interview process</w:t>
      </w:r>
      <w:r w:rsidR="001E40D7">
        <w:t xml:space="preserve"> (Robinson, 2000)</w:t>
      </w:r>
      <w:r>
        <w:t>. In the past, software specialists had easily landed multiple employment opportunities, however, now it is quite tough to excel in their jobs. The core reason behind embracing such change is prompt technological evolution. So, recruiters primarily focus on employability skills in the process of hiring for picking out the suitable applicant aligned with the job demands and flexible to adaptability. These transferable competencies move beyond qualifications as well as experience. These skills are linked to the intellectual capital, knowledge and professional attitudes that must be held by an individual to be employed by an employer. Crucial employability skills are useful to exchange innovative and unique ideas that initiate creative workplace practices and may enhance the overall performance of the business</w:t>
      </w:r>
      <w:r w:rsidR="001E40D7">
        <w:t xml:space="preserve"> (Overtoon, 2000)</w:t>
      </w:r>
      <w:r>
        <w:t>. Individuals can approach and communicate to professionals in a particular industry which is a substantial step in professional growth</w:t>
      </w:r>
      <w:r w:rsidR="004F685C">
        <w:t xml:space="preserve"> (McLaughlin, 1995)</w:t>
      </w:r>
      <w:r>
        <w:t xml:space="preserve">. </w:t>
      </w:r>
    </w:p>
    <w:p w:rsidR="00A9527C" w:rsidRDefault="00F83DEB" w:rsidP="00A9527C">
      <w:pPr>
        <w:pStyle w:val="Heading1"/>
      </w:pPr>
      <w:bookmarkStart w:id="1" w:name="_Toc55653791"/>
      <w:r>
        <w:t>Main Findings</w:t>
      </w:r>
      <w:bookmarkEnd w:id="1"/>
    </w:p>
    <w:p w:rsidR="00A9527C" w:rsidRDefault="00F83DEB" w:rsidP="00A9527C">
      <w:pPr>
        <w:spacing w:line="480" w:lineRule="auto"/>
        <w:ind w:firstLine="720"/>
        <w:jc w:val="both"/>
        <w:rPr>
          <w:color w:val="222222"/>
          <w:szCs w:val="20"/>
          <w:shd w:val="clear" w:color="auto" w:fill="FFFFFF"/>
        </w:rPr>
      </w:pPr>
      <w:r>
        <w:t>Adopting employability competencies helps various business units to make better-informed strategic and managerial decisions that are related to corporate objectives</w:t>
      </w:r>
      <w:r w:rsidR="002E4070">
        <w:t xml:space="preserve"> (Zinser, 2003)</w:t>
      </w:r>
      <w:r>
        <w:t xml:space="preserve">. It significantly results in the creation of new opportunities for corporations, mitigates costs and identifies inefficiencies in reengineering. This </w:t>
      </w:r>
      <w:r>
        <w:lastRenderedPageBreak/>
        <w:t xml:space="preserve">competency framework encourages teamwork for sustaining the competitive advantage as well as establishing long-term organizational culture improvements. </w:t>
      </w:r>
      <w:r w:rsidRPr="00026448">
        <w:rPr>
          <w:color w:val="222222"/>
          <w:szCs w:val="20"/>
          <w:shd w:val="clear" w:color="auto" w:fill="FFFFFF"/>
        </w:rPr>
        <w:t>If we look upon our surroundings, the business world has completely transformed due to technological innovation. So, readiness for training in the workplace is beneficial for both employers as well as employees. Those who possess skills of job readiness are substantially equipped to grow as they hold what it takes to carry out job duties. These skills also enhance the proficiency and confidence of employees to excel in growth opportunities. Similarly, diversity training is another valuable tool for attracting and retaining the best employees. It creates more positive professional relationships and improves productivity within the team to boost performance. Cross-training for employees is important to enhance the business profitability and customer experience. It enables employees to expand their skills and comprehensive knowledge of work. One of the most cost-effective approaches for training is E-learning that assists in saving a considerable amount on the accommodation and travel costs of employees and trainers. Even experiential programs could be of multiple types, ranging from classrooms to camp learning. The concentration on linking dynamic and participatory experiences with reflection develops learning and enables employees to gain innovative expertise and knowledge.</w:t>
      </w:r>
    </w:p>
    <w:p w:rsidR="00A9527C" w:rsidRDefault="00F83DEB" w:rsidP="00A9527C">
      <w:pPr>
        <w:spacing w:line="480" w:lineRule="auto"/>
        <w:ind w:firstLine="720"/>
        <w:jc w:val="both"/>
        <w:rPr>
          <w:color w:val="222222"/>
          <w:szCs w:val="20"/>
          <w:shd w:val="clear" w:color="auto" w:fill="FFFFFF"/>
        </w:rPr>
      </w:pPr>
      <w:r w:rsidRPr="00026448">
        <w:rPr>
          <w:color w:val="222222"/>
          <w:szCs w:val="20"/>
          <w:shd w:val="clear" w:color="auto" w:fill="FFFFFF"/>
        </w:rPr>
        <w:t xml:space="preserve">Moreover, team leader training and readability are extremely desirable to incorporate changes in the external environment. Thus, a thorough organizational analysis could be a crucial tactic for business management for identifying problems and inefficiencies that hinder the corporate goals and need to be addressed. Person analysis is considered as a core phase of TNA i.e., training needs analysis that directs at classifying which employees within a company should get training and what kind of training should </w:t>
      </w:r>
      <w:r w:rsidRPr="00026448">
        <w:rPr>
          <w:color w:val="222222"/>
          <w:szCs w:val="20"/>
          <w:shd w:val="clear" w:color="auto" w:fill="FFFFFF"/>
        </w:rPr>
        <w:lastRenderedPageBreak/>
        <w:t>be received by them. In this way, individuals would be able to meet the desire performance goals</w:t>
      </w:r>
      <w:r>
        <w:rPr>
          <w:color w:val="222222"/>
          <w:szCs w:val="20"/>
          <w:shd w:val="clear" w:color="auto" w:fill="FFFFFF"/>
        </w:rPr>
        <w:t xml:space="preserve"> and can boost their employability skills</w:t>
      </w:r>
      <w:r w:rsidRPr="00026448">
        <w:rPr>
          <w:color w:val="222222"/>
          <w:szCs w:val="20"/>
          <w:shd w:val="clear" w:color="auto" w:fill="FFFFFF"/>
        </w:rPr>
        <w:t>. Additionally,</w:t>
      </w:r>
      <w:r>
        <w:rPr>
          <w:color w:val="222222"/>
          <w:szCs w:val="20"/>
          <w:shd w:val="clear" w:color="auto" w:fill="FFFFFF"/>
        </w:rPr>
        <w:t xml:space="preserve"> </w:t>
      </w:r>
      <w:r w:rsidRPr="00026448">
        <w:rPr>
          <w:color w:val="222222"/>
          <w:szCs w:val="20"/>
          <w:shd w:val="clear" w:color="auto" w:fill="FFFFFF"/>
        </w:rPr>
        <w:t>virtual reality technology is designed for creating immersive experiences</w:t>
      </w:r>
      <w:r>
        <w:rPr>
          <w:color w:val="222222"/>
          <w:szCs w:val="20"/>
          <w:shd w:val="clear" w:color="auto" w:fill="FFFFFF"/>
        </w:rPr>
        <w:t xml:space="preserve"> through employability skills</w:t>
      </w:r>
      <w:r w:rsidRPr="00026448">
        <w:rPr>
          <w:color w:val="222222"/>
          <w:szCs w:val="20"/>
          <w:shd w:val="clear" w:color="auto" w:fill="FFFFFF"/>
        </w:rPr>
        <w:t xml:space="preserve"> that could assist in learning as well as entertain consumers. </w:t>
      </w:r>
      <w:r>
        <w:rPr>
          <w:color w:val="222222"/>
          <w:szCs w:val="20"/>
          <w:shd w:val="clear" w:color="auto" w:fill="FFFFFF"/>
        </w:rPr>
        <w:t>Such</w:t>
      </w:r>
      <w:r w:rsidRPr="00026448">
        <w:rPr>
          <w:color w:val="222222"/>
          <w:szCs w:val="20"/>
          <w:shd w:val="clear" w:color="auto" w:fill="FFFFFF"/>
        </w:rPr>
        <w:t xml:space="preserve"> </w:t>
      </w:r>
      <w:r>
        <w:rPr>
          <w:color w:val="222222"/>
          <w:szCs w:val="20"/>
          <w:shd w:val="clear" w:color="auto" w:fill="FFFFFF"/>
        </w:rPr>
        <w:t xml:space="preserve">competencies </w:t>
      </w:r>
      <w:r w:rsidRPr="00026448">
        <w:rPr>
          <w:color w:val="222222"/>
          <w:szCs w:val="20"/>
          <w:shd w:val="clear" w:color="auto" w:fill="FFFFFF"/>
        </w:rPr>
        <w:t>could be applied in diversified industries including pharmaceutical, military, architecture, and so on.</w:t>
      </w:r>
    </w:p>
    <w:p w:rsidR="00060259" w:rsidRPr="00060259" w:rsidRDefault="00F83DEB" w:rsidP="00060259">
      <w:pPr>
        <w:spacing w:line="480" w:lineRule="auto"/>
        <w:jc w:val="both"/>
        <w:rPr>
          <w:b/>
          <w:bCs/>
          <w:i/>
          <w:iCs/>
          <w:color w:val="222222"/>
          <w:szCs w:val="20"/>
          <w:shd w:val="clear" w:color="auto" w:fill="FFFFFF"/>
        </w:rPr>
      </w:pPr>
      <w:r w:rsidRPr="00060259">
        <w:rPr>
          <w:b/>
          <w:bCs/>
          <w:i/>
          <w:iCs/>
          <w:color w:val="222222"/>
          <w:szCs w:val="20"/>
          <w:shd w:val="clear" w:color="auto" w:fill="FFFFFF"/>
        </w:rPr>
        <w:t>Emotional Intelligence</w:t>
      </w:r>
    </w:p>
    <w:p w:rsidR="00A9527C" w:rsidRDefault="00F83DEB" w:rsidP="00A9527C">
      <w:pPr>
        <w:spacing w:line="480" w:lineRule="auto"/>
        <w:ind w:firstLine="720"/>
      </w:pPr>
      <w:r>
        <w:t>E</w:t>
      </w:r>
      <w:r w:rsidRPr="00737D72">
        <w:t xml:space="preserve">motional intelligence </w:t>
      </w:r>
      <w:r>
        <w:t>is considered an important employability skill</w:t>
      </w:r>
      <w:r w:rsidRPr="00737D72">
        <w:t xml:space="preserve"> since every one of us undergoes diverse emotional experiences in our lives daily. </w:t>
      </w:r>
      <w:r>
        <w:t>I</w:t>
      </w:r>
      <w:r w:rsidRPr="00737D72">
        <w:t>t is the ability to understand and respond to a certain situation that we experience</w:t>
      </w:r>
      <w:r w:rsidR="002E4070">
        <w:t xml:space="preserve"> (Salovey, 1990)</w:t>
      </w:r>
      <w:r w:rsidRPr="00737D72">
        <w:t xml:space="preserve">. </w:t>
      </w:r>
      <w:r>
        <w:t>E</w:t>
      </w:r>
      <w:r w:rsidRPr="00737D72">
        <w:t xml:space="preserve">motional intelligence </w:t>
      </w:r>
      <w:r>
        <w:t xml:space="preserve">is related </w:t>
      </w:r>
      <w:r w:rsidRPr="00737D72">
        <w:t>to effective leadership, whereby by showing empathy, care, and compassion to the</w:t>
      </w:r>
      <w:r>
        <w:t>ir</w:t>
      </w:r>
      <w:r w:rsidRPr="00737D72">
        <w:t xml:space="preserve"> team members, </w:t>
      </w:r>
      <w:r>
        <w:t xml:space="preserve">team </w:t>
      </w:r>
      <w:r w:rsidRPr="00737D72">
        <w:t>leaders can build a sense of trust, harmony, and passion among their employees</w:t>
      </w:r>
      <w:r w:rsidR="002E4070">
        <w:t xml:space="preserve"> (Mayer, 2000)</w:t>
      </w:r>
      <w:r w:rsidRPr="00737D72">
        <w:t xml:space="preserve">. </w:t>
      </w:r>
      <w:r>
        <w:t>W</w:t>
      </w:r>
      <w:r w:rsidRPr="00737D72">
        <w:t>hen it comes to developing and expressing emotional intelligence</w:t>
      </w:r>
      <w:r>
        <w:t>, four basic skills are elaborated in a competency framework</w:t>
      </w:r>
      <w:r w:rsidRPr="00272AF9">
        <w:t xml:space="preserve"> </w:t>
      </w:r>
      <w:r w:rsidRPr="00737D72">
        <w:t xml:space="preserve">that includes: self-awareness, self-management included in personal competence and social awareness and relationship management included in social competence. A good </w:t>
      </w:r>
      <w:r>
        <w:t>employee</w:t>
      </w:r>
      <w:r w:rsidRPr="00737D72">
        <w:t xml:space="preserve"> not only understands what emotions he or she needs to express at a given moment but can also relate to the emotions of others around them and take decisions or actions in a way that satisfy both their interest and the interest of people in their surroundings. </w:t>
      </w:r>
      <w:r>
        <w:t xml:space="preserve">This employability skill aims to step </w:t>
      </w:r>
      <w:r w:rsidRPr="00737D72">
        <w:t xml:space="preserve">towards a collaborative environment where individuals </w:t>
      </w:r>
      <w:r>
        <w:t xml:space="preserve">can explore creativity. </w:t>
      </w:r>
      <w:r w:rsidRPr="00737D72">
        <w:t xml:space="preserve">Apart from creating an interactive professional environment, emotional intelligence also provides multiple </w:t>
      </w:r>
      <w:r w:rsidRPr="00737D72">
        <w:lastRenderedPageBreak/>
        <w:t>bodily benefits including decreased stress, blood pressure and anxiety levels allowing a more relaxed mind and sound body.</w:t>
      </w:r>
    </w:p>
    <w:p w:rsidR="00BC4FA3" w:rsidRPr="00BC4FA3" w:rsidRDefault="00F83DEB" w:rsidP="00BC4FA3">
      <w:pPr>
        <w:spacing w:line="480" w:lineRule="auto"/>
        <w:jc w:val="both"/>
        <w:rPr>
          <w:b/>
          <w:bCs/>
          <w:i/>
          <w:iCs/>
          <w:color w:val="000000"/>
        </w:rPr>
      </w:pPr>
      <w:r w:rsidRPr="00BC4FA3">
        <w:rPr>
          <w:b/>
          <w:bCs/>
          <w:i/>
          <w:iCs/>
          <w:color w:val="000000"/>
        </w:rPr>
        <w:t>Ethical Behavior</w:t>
      </w:r>
    </w:p>
    <w:p w:rsidR="00A9527C" w:rsidRDefault="00F83DEB" w:rsidP="00BC4FA3">
      <w:pPr>
        <w:spacing w:line="480" w:lineRule="auto"/>
        <w:ind w:firstLine="720"/>
        <w:jc w:val="both"/>
        <w:rPr>
          <w:color w:val="000000"/>
        </w:rPr>
      </w:pPr>
      <w:r>
        <w:rPr>
          <w:color w:val="000000"/>
        </w:rPr>
        <w:t>Ethical behaviour is a highly desirable employability skill in the current era. It results in the creation of a decent corporate culture where employees are provided with an opportunity to make their decisions ethically. Such practices also enable an individual to build the business in such a way that it can sustain itself within the competitive market</w:t>
      </w:r>
      <w:r w:rsidR="00BC468A">
        <w:rPr>
          <w:color w:val="000000"/>
        </w:rPr>
        <w:t xml:space="preserve"> (Kent, 2000)</w:t>
      </w:r>
      <w:r>
        <w:rPr>
          <w:color w:val="000000"/>
        </w:rPr>
        <w:t xml:space="preserve">. Furthermore, it also has some features that help the companies take care of all stakeholders' requirements, and it also helps maintain ethical and legal stability within an organization. Additionally, transparency is required by an employee that exhibits how the personnel of an organization deal with their matters and to what extent their decisions are honest and </w:t>
      </w:r>
      <w:r w:rsidRPr="00E073F1">
        <w:rPr>
          <w:color w:val="000000"/>
        </w:rPr>
        <w:t>efficient</w:t>
      </w:r>
      <w:r w:rsidR="00BC468A" w:rsidRPr="00E073F1">
        <w:rPr>
          <w:color w:val="000000"/>
        </w:rPr>
        <w:t xml:space="preserve"> (</w:t>
      </w:r>
      <w:r w:rsidR="00E073F1" w:rsidRPr="00E073F1">
        <w:rPr>
          <w:color w:val="222222"/>
          <w:shd w:val="clear" w:color="auto" w:fill="FFFFFF"/>
        </w:rPr>
        <w:t>Treviño, 2014)</w:t>
      </w:r>
      <w:r w:rsidRPr="00E073F1">
        <w:rPr>
          <w:color w:val="000000"/>
        </w:rPr>
        <w:t>.</w:t>
      </w:r>
      <w:r>
        <w:rPr>
          <w:color w:val="000000"/>
        </w:rPr>
        <w:t xml:space="preserve"> Transparency also talks about the desire to open up by interacting with the stakeholders and providing them with all the necessary details regarding the running business. It helps an organization develop an appropriate relationship among the company's employees as they are provided with every detail that they wanted to know. The building of a strong relationship among the company's management and employee further allows them to communicate with each other openly.</w:t>
      </w:r>
    </w:p>
    <w:p w:rsidR="00BC4FA3" w:rsidRPr="00BC4FA3" w:rsidRDefault="00F83DEB" w:rsidP="00BC4FA3">
      <w:pPr>
        <w:spacing w:line="480" w:lineRule="auto"/>
        <w:jc w:val="both"/>
        <w:rPr>
          <w:b/>
          <w:bCs/>
          <w:i/>
          <w:iCs/>
          <w:color w:val="000000"/>
        </w:rPr>
      </w:pPr>
      <w:r w:rsidRPr="00BC4FA3">
        <w:rPr>
          <w:b/>
          <w:bCs/>
          <w:i/>
          <w:iCs/>
          <w:color w:val="000000"/>
        </w:rPr>
        <w:t>Transparency</w:t>
      </w:r>
    </w:p>
    <w:p w:rsidR="00A9527C" w:rsidRPr="00AA3DCB" w:rsidRDefault="00F83DEB" w:rsidP="00A9527C">
      <w:pPr>
        <w:spacing w:line="480" w:lineRule="auto"/>
        <w:ind w:firstLine="360"/>
        <w:jc w:val="both"/>
        <w:rPr>
          <w:color w:val="000000"/>
        </w:rPr>
      </w:pPr>
      <w:r>
        <w:rPr>
          <w:color w:val="000000"/>
        </w:rPr>
        <w:t xml:space="preserve"> Transparency does not only depict the opening of company' internal matters such as salaries discloser, financial assets, and the daily expenditures of the company; instead, it provides a broader picture of the company's external relations and the way it deals with the other companies in the market to carry out routine-based operations</w:t>
      </w:r>
      <w:r w:rsidR="0069518B">
        <w:rPr>
          <w:color w:val="000000"/>
        </w:rPr>
        <w:t xml:space="preserve"> (Zhu, 2004)</w:t>
      </w:r>
      <w:r>
        <w:rPr>
          <w:color w:val="000000"/>
        </w:rPr>
        <w:t xml:space="preserve">. It is a vital employability skill that enables the workforce to understand how an organizational </w:t>
      </w:r>
      <w:r>
        <w:rPr>
          <w:color w:val="000000"/>
        </w:rPr>
        <w:lastRenderedPageBreak/>
        <w:t>leader takes its decision and the aspects which have been considered while taking this decision. Transparency also plays a vital role in developing a shield against frauds and other unethical acts within the organization. The companies adopt the approach of transparency as it can help them in communicating with the employees, policymaking, and implementation of the operations in such a manner that, along with being productive, it is also transparent to all the members of an organization. This would further be helpful for the company to accomplish its targets, which further helps in achieving the desired competitive advantage in the market.</w:t>
      </w:r>
      <w:r w:rsidRPr="00997517">
        <w:rPr>
          <w:color w:val="0E101A"/>
        </w:rPr>
        <w:t>  </w:t>
      </w:r>
      <w:r>
        <w:rPr>
          <w:color w:val="0E101A"/>
        </w:rPr>
        <w:t xml:space="preserve">Ethical leadership can help maintain transparency within the company, and it is key for a company to sustain itself in the competitive market. Both the new and existing business is running on the principle of transparency to achieve a more competitive advantage in the market compared to the other companies. </w:t>
      </w:r>
    </w:p>
    <w:p w:rsidR="00A9527C" w:rsidRDefault="00F83DEB" w:rsidP="00A9527C">
      <w:pPr>
        <w:shd w:val="clear" w:color="auto" w:fill="FFFFFF"/>
        <w:spacing w:line="480" w:lineRule="auto"/>
        <w:ind w:firstLine="360"/>
        <w:jc w:val="both"/>
        <w:rPr>
          <w:color w:val="000000"/>
          <w:shd w:val="clear" w:color="auto" w:fill="FFFFFF"/>
        </w:rPr>
      </w:pPr>
      <w:r>
        <w:rPr>
          <w:color w:val="202124"/>
        </w:rPr>
        <w:t xml:space="preserve">Besides, </w:t>
      </w:r>
      <w:r w:rsidRPr="00CD331F">
        <w:rPr>
          <w:color w:val="202124"/>
        </w:rPr>
        <w:t xml:space="preserve">RFID has positively influenced businesses through enhancing customer satisfaction and strengthening consumer loyalty which led to boost the revenue of the business. </w:t>
      </w:r>
      <w:r>
        <w:rPr>
          <w:color w:val="202124"/>
        </w:rPr>
        <w:t xml:space="preserve">The use of this latest technology is highly desirable in the job market and takes an individual to a successful career path. </w:t>
      </w:r>
      <w:r w:rsidRPr="00CD331F">
        <w:rPr>
          <w:color w:val="202124"/>
        </w:rPr>
        <w:t xml:space="preserve">RFID technology is also beneficial to protect businesses against forgeries that are considered to be a crucial threat to the revenues of businesses. Besides, RFID has upgraded an accounting system that would improve the way for accountants to work in future. Due to RFID, inventory could be tracked automatically as it moves through a business. Also, tracking speed and accuracy is increased that has eliminated the requirement for methods of manual inventory tracking. So, RFID is quite convenient in improving inventory control and tracking, long-term asset identification as well as improves decision making and manufacturing process. Through RFID, businesses could enhance asset accounting using ad hoc along with </w:t>
      </w:r>
      <w:r w:rsidRPr="00CD331F">
        <w:rPr>
          <w:color w:val="202124"/>
        </w:rPr>
        <w:lastRenderedPageBreak/>
        <w:t xml:space="preserve">customized data reports on locations, status, history and trends. RFID might ultimately make the task easier for the accountants </w:t>
      </w:r>
      <w:r w:rsidRPr="00CD331F">
        <w:rPr>
          <w:color w:val="000000"/>
          <w:shd w:val="clear" w:color="auto" w:fill="FFFFFF"/>
        </w:rPr>
        <w:t>while also leading to more accurate financial reporting/management for your business in the years to come.</w:t>
      </w:r>
    </w:p>
    <w:p w:rsidR="00A9527C" w:rsidRDefault="00F83DEB" w:rsidP="00A9527C">
      <w:pPr>
        <w:spacing w:line="480" w:lineRule="auto"/>
        <w:ind w:firstLine="360"/>
        <w:jc w:val="both"/>
      </w:pPr>
      <w:r w:rsidRPr="00EA2FE9">
        <w:t xml:space="preserve">According to the gap analysis report, discrepancies between the current state and future desired states have been identified. This gap analysis demonstrates a breakdown of existing HRIS as compared to the advanced HRIS required to attain key business objectives. It also pinpoints future employees and skill deficiencies within the organization. It assists to set the company up for a durable, sustainable advantage. The gap analysis has highlighted the future hiring requirements that would be more strategic to make the best utilization of the intellectual capital i.e., skilled employees using the software. Hence, rather than pacing blindly into an indefinite future, human resource management would have a precise idea of where the organization has been headed. Also, how to move ahead together to prioritize needs. The discrepancy exists due to the record processing inefficiencies that were only accessible to large organizations and not to smaller firms. </w:t>
      </w:r>
    </w:p>
    <w:p w:rsidR="00A9527C" w:rsidRDefault="00F83DEB" w:rsidP="00A9527C">
      <w:pPr>
        <w:spacing w:line="480" w:lineRule="auto"/>
        <w:ind w:firstLine="360"/>
        <w:jc w:val="both"/>
      </w:pPr>
      <w:r w:rsidRPr="00EA2FE9">
        <w:t>Traditional HRIS has been completely evolved with the advent of the Oracle cloud. This innovative model provides different tools for solving such obstacles to meet new technical and business conditions. Most of the practical issues in operations research could be demonstrated through cloud computing. Oracle is suitable for clouding tools that are comprehensively Web-oriented as well as a natural way of creating virtual SOA at every organizational level.</w:t>
      </w:r>
      <w:r>
        <w:t xml:space="preserve"> Similarly, nowadays accountants are using </w:t>
      </w:r>
      <w:r w:rsidRPr="00CD331F">
        <w:t>Accounting Information System (AIS)</w:t>
      </w:r>
      <w:r>
        <w:t xml:space="preserve"> </w:t>
      </w:r>
      <w:r w:rsidRPr="00CD331F">
        <w:t xml:space="preserve">for collecting, processing and analyzing financial and accounting data, for decision making. If the quality of the database is not up to the mark </w:t>
      </w:r>
      <w:r w:rsidRPr="00CD331F">
        <w:lastRenderedPageBreak/>
        <w:t>it may result in giving an incorrect report. So</w:t>
      </w:r>
      <w:r>
        <w:t>, this employability skill of using</w:t>
      </w:r>
      <w:r w:rsidRPr="00CD331F">
        <w:t xml:space="preserve"> the database has a very vital role in an Accounting Information System.</w:t>
      </w:r>
    </w:p>
    <w:p w:rsidR="00BC4FA3" w:rsidRPr="00BC4FA3" w:rsidRDefault="00F83DEB" w:rsidP="00BC4FA3">
      <w:pPr>
        <w:spacing w:line="480" w:lineRule="auto"/>
        <w:jc w:val="both"/>
        <w:rPr>
          <w:b/>
          <w:bCs/>
          <w:i/>
          <w:iCs/>
        </w:rPr>
      </w:pPr>
      <w:r w:rsidRPr="00BC4FA3">
        <w:rPr>
          <w:b/>
          <w:bCs/>
          <w:i/>
          <w:iCs/>
        </w:rPr>
        <w:t>Stress Management</w:t>
      </w:r>
    </w:p>
    <w:p w:rsidR="00A9527C" w:rsidRDefault="00F83DEB" w:rsidP="00A9527C">
      <w:pPr>
        <w:pStyle w:val="m-y-0"/>
        <w:shd w:val="clear" w:color="auto" w:fill="FFFFFF"/>
        <w:spacing w:before="0" w:beforeAutospacing="0" w:after="0" w:afterAutospacing="0" w:line="480" w:lineRule="auto"/>
        <w:ind w:firstLine="720"/>
        <w:jc w:val="both"/>
        <w:textAlignment w:val="baseline"/>
      </w:pPr>
      <w:r>
        <w:t xml:space="preserve">Stress management is considered a crucial employability skill required in the job market. Workers could be adversely affected due to stress that ultimately results in poor performance. Stress causes high error rates and reduces the productivity of an employee. Thus, stress management skill reveals the collaborative behaviour of employees to manage workload stress under teamworking. One of the effective ways for managing workplace stress is to have open communication that enables every subordinate to take guidance from the coworker. If employees can tackle workplace stress, they can easily maintain work-life balance and bring their best in the achievement of organizational goals. Stress management solves key potential challenges and reflects the real worth of an individual. Stress-free behaviour ensures consistency and objectivity in the quality of work. </w:t>
      </w:r>
    </w:p>
    <w:p w:rsidR="00C515FE" w:rsidRPr="00C515FE" w:rsidRDefault="00F83DEB" w:rsidP="00C515FE">
      <w:pPr>
        <w:pStyle w:val="m-y-0"/>
        <w:shd w:val="clear" w:color="auto" w:fill="FFFFFF"/>
        <w:spacing w:before="0" w:beforeAutospacing="0" w:after="0" w:afterAutospacing="0" w:line="480" w:lineRule="auto"/>
        <w:jc w:val="both"/>
        <w:textAlignment w:val="baseline"/>
        <w:rPr>
          <w:b/>
          <w:bCs/>
          <w:i/>
          <w:iCs/>
        </w:rPr>
      </w:pPr>
      <w:r w:rsidRPr="00C515FE">
        <w:rPr>
          <w:b/>
          <w:bCs/>
          <w:i/>
          <w:iCs/>
        </w:rPr>
        <w:t>Time Management</w:t>
      </w:r>
    </w:p>
    <w:p w:rsidR="00A9527C" w:rsidRDefault="00F83DEB" w:rsidP="00A9527C">
      <w:pPr>
        <w:spacing w:line="480" w:lineRule="auto"/>
        <w:ind w:firstLine="720"/>
        <w:jc w:val="both"/>
      </w:pPr>
      <w:r>
        <w:t xml:space="preserve">For having successful career development, an individual must possess time management skills. This skill is defined as productively utilizing and planning the time to perform specific tasks. Those who can efficiently manage their time are quite smart to get more work done in the limited time frame. On the other hand, individuals who are unable to reflect effective time management skills and fail to work under pressure can face difficulty to survive in the competitive corporate world. Hence, it is essential to thoroughly grasp the concept of urgent tasks and important tasks to avoid the late deadlines of the projects. High attention is required in important tasks because they hold </w:t>
      </w:r>
      <w:r>
        <w:lastRenderedPageBreak/>
        <w:t xml:space="preserve">a substantial rank. </w:t>
      </w:r>
      <w:r w:rsidR="00C515FE">
        <w:t>Whereas</w:t>
      </w:r>
      <w:r>
        <w:t xml:space="preserve"> urgent tasks need to be done immediately on high priority and are not of great significance. </w:t>
      </w:r>
    </w:p>
    <w:p w:rsidR="00C515FE" w:rsidRPr="00C515FE" w:rsidRDefault="00F83DEB" w:rsidP="00C515FE">
      <w:pPr>
        <w:spacing w:line="480" w:lineRule="auto"/>
        <w:jc w:val="both"/>
        <w:rPr>
          <w:b/>
          <w:bCs/>
          <w:i/>
          <w:iCs/>
        </w:rPr>
      </w:pPr>
      <w:r w:rsidRPr="00C515FE">
        <w:rPr>
          <w:b/>
          <w:bCs/>
          <w:i/>
          <w:iCs/>
        </w:rPr>
        <w:t>Resilience</w:t>
      </w:r>
    </w:p>
    <w:p w:rsidR="00A9527C" w:rsidRDefault="00F83DEB" w:rsidP="00A9527C">
      <w:pPr>
        <w:pStyle w:val="m-y-0"/>
        <w:shd w:val="clear" w:color="auto" w:fill="FFFFFF"/>
        <w:spacing w:before="0" w:beforeAutospacing="0" w:after="0" w:afterAutospacing="0" w:line="480" w:lineRule="auto"/>
        <w:ind w:firstLine="720"/>
        <w:jc w:val="both"/>
        <w:textAlignment w:val="baseline"/>
      </w:pPr>
      <w:r>
        <w:t>Resilience is known as one of the core employability skills that can prove to be quite beneficial for an employee to work efficiently in its workplace. It is a kind of skills that depends upon some other skill sets as well and these skills include rational cognitive skills</w:t>
      </w:r>
      <w:r w:rsidR="0069518B">
        <w:t xml:space="preserve"> (Linnenluecke, 2017)</w:t>
      </w:r>
      <w:r>
        <w:t xml:space="preserve">. Moreover, there are some other sources of support as well such as the psychological and physical health associations of the people around that employee. Resilience is quite useful when an individual has to deal with a tough situation in his/her workplace. Employers can estimate the proficiencies and the knowledge of an employee by creating a competency map. The map will provide a thorough analysis regarding the skills possessed by an individual according to the eligibility criteria of a certain designation. </w:t>
      </w:r>
      <w:r w:rsidRPr="00A721E3">
        <w:t xml:space="preserve">It also the employees an opportunity to find out what kind of skills they are equipped with. Are they possessed with the desired skills for a position or is there any room for further improvement? This map compares the abilities according to the job requirements due to which it is helpful for an individual to carry out a personal assessment. </w:t>
      </w:r>
    </w:p>
    <w:p w:rsidR="00C515FE" w:rsidRDefault="00F83DEB">
      <w:pPr>
        <w:spacing w:after="200" w:line="276" w:lineRule="auto"/>
        <w:rPr>
          <w:b/>
          <w:bCs/>
          <w:i/>
          <w:iCs/>
        </w:rPr>
      </w:pPr>
      <w:r>
        <w:rPr>
          <w:b/>
          <w:bCs/>
          <w:i/>
          <w:iCs/>
        </w:rPr>
        <w:br w:type="page"/>
      </w:r>
    </w:p>
    <w:p w:rsidR="00A9527C" w:rsidRPr="00631DD2" w:rsidRDefault="00F83DEB" w:rsidP="00A9527C">
      <w:pPr>
        <w:pStyle w:val="m-y-0"/>
        <w:shd w:val="clear" w:color="auto" w:fill="FFFFFF"/>
        <w:spacing w:before="0" w:beforeAutospacing="0" w:after="0" w:afterAutospacing="0" w:line="480" w:lineRule="auto"/>
        <w:jc w:val="both"/>
        <w:textAlignment w:val="baseline"/>
        <w:rPr>
          <w:b/>
          <w:bCs/>
          <w:i/>
          <w:iCs/>
        </w:rPr>
      </w:pPr>
      <w:r w:rsidRPr="00631DD2">
        <w:rPr>
          <w:b/>
          <w:bCs/>
          <w:i/>
          <w:iCs/>
        </w:rPr>
        <w:lastRenderedPageBreak/>
        <w:t>Conclusion</w:t>
      </w:r>
    </w:p>
    <w:p w:rsidR="00A9527C" w:rsidRPr="00F714D9" w:rsidRDefault="00F83DEB" w:rsidP="00A9527C">
      <w:pPr>
        <w:pStyle w:val="Bibliography"/>
        <w:spacing w:line="480" w:lineRule="auto"/>
        <w:ind w:firstLine="720"/>
        <w:jc w:val="both"/>
        <w:rPr>
          <w:bCs/>
        </w:rPr>
      </w:pPr>
      <w:r>
        <w:rPr>
          <w:bCs/>
        </w:rPr>
        <w:t xml:space="preserve">Employability skill is a term that refers to the ability of an individual to deal with tough situations and to provide innovative solutions to the prevailing issues within the organization. It is deduced from the human capital theory that a useful human resource is a key aspect that can contribute towards the progress and betterment of an organization. A skilful employee can help their organization in many ways by working with efficiency to enhance the overall productivity of the company and to make the operational process more efficacious. Numerous strategies can be adopted by an employee to enhance its employability skills.  Moreover, it is a set of skill that can help an employee to increase their knowledge and get an in-depth insight regarding the required skill set that can help an organization to achieve the desired advantage in the competitive market. Every employee has a different way of adopting and comprehending things and different approaches can be used by the employees to learn about employability skills. </w:t>
      </w:r>
      <w:r w:rsidRPr="00F714D9">
        <w:rPr>
          <w:bCs/>
        </w:rPr>
        <w:t xml:space="preserve"> </w:t>
      </w:r>
      <w:r>
        <w:rPr>
          <w:bCs/>
        </w:rPr>
        <w:t xml:space="preserve">The first and foremost step in this regard is to create awareness. If an employee is aware of the fact that he/she is not equipped with an efficient set of skills, then it can motivate them to learn unique and creative skills to sustain in today's world of competition.  </w:t>
      </w:r>
      <w:r w:rsidRPr="00F714D9">
        <w:rPr>
          <w:bCs/>
        </w:rPr>
        <w:t xml:space="preserve">  This can be easily done by </w:t>
      </w:r>
      <w:r>
        <w:rPr>
          <w:bCs/>
        </w:rPr>
        <w:t xml:space="preserve">recognizing </w:t>
      </w:r>
      <w:r w:rsidRPr="00F714D9">
        <w:rPr>
          <w:bCs/>
        </w:rPr>
        <w:t xml:space="preserve">his or her </w:t>
      </w:r>
      <w:r>
        <w:rPr>
          <w:bCs/>
        </w:rPr>
        <w:t xml:space="preserve">faults. The next step to be implemented in this regard is relinquishing. This can be made possible if the employees do not repeat their previous mistakes and should have the desire to improve their skills. </w:t>
      </w:r>
      <w:r w:rsidRPr="00F714D9">
        <w:rPr>
          <w:bCs/>
        </w:rPr>
        <w:t xml:space="preserve"> </w:t>
      </w:r>
      <w:r>
        <w:rPr>
          <w:bCs/>
        </w:rPr>
        <w:t xml:space="preserve">Relearning is the last thing that can be implemented by an individual to improve his employability skills. Relearning is a term that refers to the learning of new and innovative skills that can improve the efficacy of an overall skill set that is being possessed by individuals Furthermore, the managers of the company should motivate their employees to enhance </w:t>
      </w:r>
      <w:r>
        <w:rPr>
          <w:bCs/>
        </w:rPr>
        <w:lastRenderedPageBreak/>
        <w:t xml:space="preserve">their skills that can prove to be quite advantageous to boost the overall operational efficiency of an organization. </w:t>
      </w:r>
    </w:p>
    <w:p w:rsidR="00A9527C" w:rsidRDefault="00A9527C" w:rsidP="00A9527C">
      <w:pPr>
        <w:spacing w:line="480" w:lineRule="auto"/>
        <w:jc w:val="both"/>
      </w:pPr>
    </w:p>
    <w:p w:rsidR="00A9527C" w:rsidRDefault="00A9527C" w:rsidP="00A9527C">
      <w:pPr>
        <w:spacing w:line="480" w:lineRule="auto"/>
        <w:ind w:firstLine="720"/>
        <w:jc w:val="both"/>
      </w:pPr>
    </w:p>
    <w:p w:rsidR="00A9527C" w:rsidRDefault="00A9527C" w:rsidP="00A9527C">
      <w:pPr>
        <w:spacing w:line="480" w:lineRule="auto"/>
        <w:ind w:firstLine="720"/>
        <w:jc w:val="both"/>
      </w:pPr>
    </w:p>
    <w:p w:rsidR="00A9527C" w:rsidRDefault="00A9527C" w:rsidP="00A9527C">
      <w:pPr>
        <w:spacing w:line="480" w:lineRule="auto"/>
        <w:ind w:firstLine="720"/>
        <w:jc w:val="both"/>
      </w:pPr>
    </w:p>
    <w:p w:rsidR="00A9527C" w:rsidRPr="00C70479" w:rsidRDefault="00A9527C" w:rsidP="00A9527C">
      <w:pPr>
        <w:spacing w:line="480" w:lineRule="auto"/>
        <w:ind w:firstLine="720"/>
        <w:rPr>
          <w:b/>
        </w:rPr>
      </w:pPr>
    </w:p>
    <w:p w:rsidR="00A9527C" w:rsidRPr="00DC3420" w:rsidRDefault="00A9527C" w:rsidP="00A9527C">
      <w:pPr>
        <w:spacing w:line="480" w:lineRule="auto"/>
        <w:ind w:left="720" w:hanging="720"/>
        <w:rPr>
          <w:color w:val="000000" w:themeColor="text1"/>
        </w:rPr>
      </w:pPr>
    </w:p>
    <w:p w:rsidR="00A9527C" w:rsidRPr="008F026B" w:rsidRDefault="00A9527C" w:rsidP="00A9527C">
      <w:pPr>
        <w:spacing w:line="480" w:lineRule="auto"/>
      </w:pPr>
    </w:p>
    <w:p w:rsidR="00C515FE" w:rsidRDefault="00F83DEB">
      <w:pPr>
        <w:spacing w:after="200" w:line="276" w:lineRule="auto"/>
      </w:pPr>
      <w:r>
        <w:br w:type="page"/>
      </w:r>
    </w:p>
    <w:p w:rsidR="008C77DF" w:rsidRDefault="00F83DEB" w:rsidP="00A9527C">
      <w:pPr>
        <w:rPr>
          <w:b/>
          <w:bCs/>
          <w:i/>
          <w:iCs/>
        </w:rPr>
      </w:pPr>
      <w:r w:rsidRPr="00C515FE">
        <w:rPr>
          <w:b/>
          <w:bCs/>
          <w:i/>
          <w:iCs/>
        </w:rPr>
        <w:lastRenderedPageBreak/>
        <w:t>Bibliography</w:t>
      </w:r>
    </w:p>
    <w:p w:rsidR="001E40D7" w:rsidRDefault="001E40D7" w:rsidP="00A9527C">
      <w:pPr>
        <w:rPr>
          <w:b/>
          <w:bCs/>
          <w:i/>
          <w:iCs/>
        </w:rPr>
      </w:pPr>
    </w:p>
    <w:p w:rsidR="001E40D7" w:rsidRPr="0069518B" w:rsidRDefault="00F83DEB" w:rsidP="0069518B">
      <w:pPr>
        <w:spacing w:line="480" w:lineRule="auto"/>
        <w:rPr>
          <w:color w:val="222222"/>
          <w:shd w:val="clear" w:color="auto" w:fill="FFFFFF"/>
        </w:rPr>
      </w:pPr>
      <w:r w:rsidRPr="0069518B">
        <w:rPr>
          <w:color w:val="222222"/>
          <w:shd w:val="clear" w:color="auto" w:fill="FFFFFF"/>
        </w:rPr>
        <w:t>Robinson, J.P., 2000. What are employability skills. </w:t>
      </w:r>
      <w:r w:rsidRPr="0069518B">
        <w:rPr>
          <w:i/>
          <w:iCs/>
          <w:color w:val="222222"/>
          <w:shd w:val="clear" w:color="auto" w:fill="FFFFFF"/>
        </w:rPr>
        <w:t>The workplace</w:t>
      </w:r>
      <w:r w:rsidRPr="0069518B">
        <w:rPr>
          <w:color w:val="222222"/>
          <w:shd w:val="clear" w:color="auto" w:fill="FFFFFF"/>
        </w:rPr>
        <w:t>, </w:t>
      </w:r>
      <w:r w:rsidRPr="0069518B">
        <w:rPr>
          <w:i/>
          <w:iCs/>
          <w:color w:val="222222"/>
          <w:shd w:val="clear" w:color="auto" w:fill="FFFFFF"/>
        </w:rPr>
        <w:t>1</w:t>
      </w:r>
      <w:r w:rsidRPr="0069518B">
        <w:rPr>
          <w:color w:val="222222"/>
          <w:shd w:val="clear" w:color="auto" w:fill="FFFFFF"/>
        </w:rPr>
        <w:t>(3), pp.1-3.</w:t>
      </w:r>
    </w:p>
    <w:p w:rsidR="001E40D7" w:rsidRPr="0069518B" w:rsidRDefault="00F83DEB" w:rsidP="0069518B">
      <w:pPr>
        <w:spacing w:line="480" w:lineRule="auto"/>
        <w:rPr>
          <w:color w:val="222222"/>
          <w:shd w:val="clear" w:color="auto" w:fill="FFFFFF"/>
        </w:rPr>
      </w:pPr>
      <w:r w:rsidRPr="0069518B">
        <w:rPr>
          <w:color w:val="222222"/>
          <w:shd w:val="clear" w:color="auto" w:fill="FFFFFF"/>
        </w:rPr>
        <w:t>Overtoom, C., 2000. </w:t>
      </w:r>
      <w:r w:rsidRPr="0069518B">
        <w:rPr>
          <w:i/>
          <w:iCs/>
          <w:color w:val="222222"/>
          <w:shd w:val="clear" w:color="auto" w:fill="FFFFFF"/>
        </w:rPr>
        <w:t>Employability skills: An update</w:t>
      </w:r>
      <w:r w:rsidRPr="0069518B">
        <w:rPr>
          <w:color w:val="222222"/>
          <w:shd w:val="clear" w:color="auto" w:fill="FFFFFF"/>
        </w:rPr>
        <w:t>. ERIC Clearinghouse.</w:t>
      </w:r>
    </w:p>
    <w:p w:rsidR="004F685C" w:rsidRPr="0069518B" w:rsidRDefault="00F83DEB" w:rsidP="0069518B">
      <w:pPr>
        <w:spacing w:line="480" w:lineRule="auto"/>
        <w:rPr>
          <w:color w:val="222222"/>
          <w:shd w:val="clear" w:color="auto" w:fill="FFFFFF"/>
        </w:rPr>
      </w:pPr>
      <w:r w:rsidRPr="0069518B">
        <w:rPr>
          <w:color w:val="222222"/>
          <w:shd w:val="clear" w:color="auto" w:fill="FFFFFF"/>
        </w:rPr>
        <w:t>McLaughlin, M., 1995. Employability Skills Profile: What Are Employers Looking For?.</w:t>
      </w:r>
    </w:p>
    <w:p w:rsidR="002E4070" w:rsidRPr="0069518B" w:rsidRDefault="00F83DEB" w:rsidP="0069518B">
      <w:pPr>
        <w:spacing w:line="480" w:lineRule="auto"/>
        <w:rPr>
          <w:color w:val="222222"/>
          <w:shd w:val="clear" w:color="auto" w:fill="FFFFFF"/>
        </w:rPr>
      </w:pPr>
      <w:r w:rsidRPr="0069518B">
        <w:rPr>
          <w:color w:val="222222"/>
          <w:shd w:val="clear" w:color="auto" w:fill="FFFFFF"/>
        </w:rPr>
        <w:t>Zinser, R., 2003. Developing career and employability skills: A US case study. </w:t>
      </w:r>
      <w:r w:rsidRPr="0069518B">
        <w:rPr>
          <w:i/>
          <w:iCs/>
          <w:color w:val="222222"/>
          <w:shd w:val="clear" w:color="auto" w:fill="FFFFFF"/>
        </w:rPr>
        <w:t>Education+ Training</w:t>
      </w:r>
      <w:r w:rsidRPr="0069518B">
        <w:rPr>
          <w:color w:val="222222"/>
          <w:shd w:val="clear" w:color="auto" w:fill="FFFFFF"/>
        </w:rPr>
        <w:t>.</w:t>
      </w:r>
    </w:p>
    <w:p w:rsidR="002E4070" w:rsidRPr="0069518B" w:rsidRDefault="00F83DEB" w:rsidP="0069518B">
      <w:pPr>
        <w:spacing w:line="480" w:lineRule="auto"/>
        <w:rPr>
          <w:color w:val="222222"/>
          <w:shd w:val="clear" w:color="auto" w:fill="FFFFFF"/>
        </w:rPr>
      </w:pPr>
      <w:r w:rsidRPr="0069518B">
        <w:rPr>
          <w:color w:val="222222"/>
          <w:shd w:val="clear" w:color="auto" w:fill="FFFFFF"/>
        </w:rPr>
        <w:t>Salovey, P. and Mayer, J.D., 1990. Emotional intelligence. </w:t>
      </w:r>
      <w:r w:rsidRPr="0069518B">
        <w:rPr>
          <w:i/>
          <w:iCs/>
          <w:color w:val="222222"/>
          <w:shd w:val="clear" w:color="auto" w:fill="FFFFFF"/>
        </w:rPr>
        <w:t>Imagination, cognition and personality</w:t>
      </w:r>
      <w:r w:rsidRPr="0069518B">
        <w:rPr>
          <w:color w:val="222222"/>
          <w:shd w:val="clear" w:color="auto" w:fill="FFFFFF"/>
        </w:rPr>
        <w:t>, </w:t>
      </w:r>
      <w:r w:rsidRPr="0069518B">
        <w:rPr>
          <w:i/>
          <w:iCs/>
          <w:color w:val="222222"/>
          <w:shd w:val="clear" w:color="auto" w:fill="FFFFFF"/>
        </w:rPr>
        <w:t>9</w:t>
      </w:r>
      <w:r w:rsidRPr="0069518B">
        <w:rPr>
          <w:color w:val="222222"/>
          <w:shd w:val="clear" w:color="auto" w:fill="FFFFFF"/>
        </w:rPr>
        <w:t>(3), pp.185-211.</w:t>
      </w:r>
    </w:p>
    <w:p w:rsidR="002E4070" w:rsidRPr="0069518B" w:rsidRDefault="00F83DEB" w:rsidP="0069518B">
      <w:pPr>
        <w:spacing w:line="480" w:lineRule="auto"/>
        <w:rPr>
          <w:color w:val="222222"/>
          <w:shd w:val="clear" w:color="auto" w:fill="FFFFFF"/>
        </w:rPr>
      </w:pPr>
      <w:r w:rsidRPr="0069518B">
        <w:rPr>
          <w:color w:val="222222"/>
          <w:shd w:val="clear" w:color="auto" w:fill="FFFFFF"/>
        </w:rPr>
        <w:t>Mayer, J.D., Salovey, P., Caruso, D.R. and Sternberg, R.J., 2000. Models of emotional intelligence. </w:t>
      </w:r>
      <w:r w:rsidRPr="0069518B">
        <w:rPr>
          <w:i/>
          <w:iCs/>
          <w:color w:val="222222"/>
          <w:shd w:val="clear" w:color="auto" w:fill="FFFFFF"/>
        </w:rPr>
        <w:t>Emotional intelligence: Key readings on the Mayer and Salovey model</w:t>
      </w:r>
      <w:r w:rsidRPr="0069518B">
        <w:rPr>
          <w:color w:val="222222"/>
          <w:shd w:val="clear" w:color="auto" w:fill="FFFFFF"/>
        </w:rPr>
        <w:t>, pp.81-119.</w:t>
      </w:r>
    </w:p>
    <w:p w:rsidR="00BC468A" w:rsidRPr="0069518B" w:rsidRDefault="00F83DEB" w:rsidP="0069518B">
      <w:pPr>
        <w:spacing w:line="480" w:lineRule="auto"/>
        <w:rPr>
          <w:color w:val="222222"/>
          <w:shd w:val="clear" w:color="auto" w:fill="FFFFFF"/>
        </w:rPr>
      </w:pPr>
      <w:r w:rsidRPr="0069518B">
        <w:rPr>
          <w:color w:val="222222"/>
          <w:shd w:val="clear" w:color="auto" w:fill="FFFFFF"/>
        </w:rPr>
        <w:t>Kent, G., 2000. Ethical principles. </w:t>
      </w:r>
      <w:r w:rsidRPr="0069518B">
        <w:rPr>
          <w:i/>
          <w:iCs/>
          <w:color w:val="222222"/>
          <w:shd w:val="clear" w:color="auto" w:fill="FFFFFF"/>
        </w:rPr>
        <w:t>Research training for social scientists. London: Sage</w:t>
      </w:r>
      <w:r w:rsidRPr="0069518B">
        <w:rPr>
          <w:color w:val="222222"/>
          <w:shd w:val="clear" w:color="auto" w:fill="FFFFFF"/>
        </w:rPr>
        <w:t>, pp.61-7.</w:t>
      </w:r>
    </w:p>
    <w:p w:rsidR="00E073F1" w:rsidRPr="0069518B" w:rsidRDefault="00F83DEB" w:rsidP="0069518B">
      <w:pPr>
        <w:spacing w:line="480" w:lineRule="auto"/>
        <w:rPr>
          <w:color w:val="222222"/>
          <w:shd w:val="clear" w:color="auto" w:fill="FFFFFF"/>
        </w:rPr>
      </w:pPr>
      <w:r w:rsidRPr="0069518B">
        <w:rPr>
          <w:color w:val="222222"/>
          <w:shd w:val="clear" w:color="auto" w:fill="FFFFFF"/>
        </w:rPr>
        <w:t>Treviño, L.K., Den Nieuwenboer, N.A. and Kish-Gephart, J.J., 2014. (Un) ethical behavior in organizations. </w:t>
      </w:r>
      <w:r w:rsidRPr="0069518B">
        <w:rPr>
          <w:i/>
          <w:iCs/>
          <w:color w:val="222222"/>
          <w:shd w:val="clear" w:color="auto" w:fill="FFFFFF"/>
        </w:rPr>
        <w:t>Annual review of psychology</w:t>
      </w:r>
      <w:r w:rsidRPr="0069518B">
        <w:rPr>
          <w:color w:val="222222"/>
          <w:shd w:val="clear" w:color="auto" w:fill="FFFFFF"/>
        </w:rPr>
        <w:t>, </w:t>
      </w:r>
      <w:r w:rsidRPr="0069518B">
        <w:rPr>
          <w:i/>
          <w:iCs/>
          <w:color w:val="222222"/>
          <w:shd w:val="clear" w:color="auto" w:fill="FFFFFF"/>
        </w:rPr>
        <w:t>65</w:t>
      </w:r>
      <w:r w:rsidRPr="0069518B">
        <w:rPr>
          <w:color w:val="222222"/>
          <w:shd w:val="clear" w:color="auto" w:fill="FFFFFF"/>
        </w:rPr>
        <w:t>, pp.635-660.</w:t>
      </w:r>
    </w:p>
    <w:p w:rsidR="0069518B" w:rsidRPr="0069518B" w:rsidRDefault="00F83DEB" w:rsidP="0069518B">
      <w:pPr>
        <w:spacing w:line="480" w:lineRule="auto"/>
        <w:rPr>
          <w:color w:val="222222"/>
          <w:shd w:val="clear" w:color="auto" w:fill="FFFFFF"/>
        </w:rPr>
      </w:pPr>
      <w:r w:rsidRPr="0069518B">
        <w:rPr>
          <w:color w:val="222222"/>
          <w:shd w:val="clear" w:color="auto" w:fill="FFFFFF"/>
        </w:rPr>
        <w:t>Zhu, K., 2004. Information transparency of business-to-business electronic markets: A game-theoretic analysis. </w:t>
      </w:r>
      <w:r w:rsidRPr="0069518B">
        <w:rPr>
          <w:i/>
          <w:iCs/>
          <w:color w:val="222222"/>
          <w:shd w:val="clear" w:color="auto" w:fill="FFFFFF"/>
        </w:rPr>
        <w:t>Management science</w:t>
      </w:r>
      <w:r w:rsidRPr="0069518B">
        <w:rPr>
          <w:color w:val="222222"/>
          <w:shd w:val="clear" w:color="auto" w:fill="FFFFFF"/>
        </w:rPr>
        <w:t>, </w:t>
      </w:r>
      <w:r w:rsidRPr="0069518B">
        <w:rPr>
          <w:i/>
          <w:iCs/>
          <w:color w:val="222222"/>
          <w:shd w:val="clear" w:color="auto" w:fill="FFFFFF"/>
        </w:rPr>
        <w:t>50</w:t>
      </w:r>
      <w:r w:rsidRPr="0069518B">
        <w:rPr>
          <w:color w:val="222222"/>
          <w:shd w:val="clear" w:color="auto" w:fill="FFFFFF"/>
        </w:rPr>
        <w:t>(5), pp.670-685.</w:t>
      </w:r>
    </w:p>
    <w:p w:rsidR="0069518B" w:rsidRPr="0069518B" w:rsidRDefault="00F83DEB" w:rsidP="0069518B">
      <w:pPr>
        <w:spacing w:line="480" w:lineRule="auto"/>
        <w:rPr>
          <w:b/>
          <w:bCs/>
          <w:i/>
          <w:iCs/>
          <w:sz w:val="32"/>
          <w:szCs w:val="32"/>
        </w:rPr>
      </w:pPr>
      <w:r w:rsidRPr="0069518B">
        <w:rPr>
          <w:color w:val="222222"/>
          <w:shd w:val="clear" w:color="auto" w:fill="FFFFFF"/>
        </w:rPr>
        <w:t>Linnenluecke, M.K., 2017. Resilience in business and management research: A review of influential publications and a research agenda. </w:t>
      </w:r>
      <w:r w:rsidRPr="0069518B">
        <w:rPr>
          <w:i/>
          <w:iCs/>
          <w:color w:val="222222"/>
          <w:shd w:val="clear" w:color="auto" w:fill="FFFFFF"/>
        </w:rPr>
        <w:t>International Journal of Management Reviews</w:t>
      </w:r>
      <w:r w:rsidRPr="0069518B">
        <w:rPr>
          <w:color w:val="222222"/>
          <w:shd w:val="clear" w:color="auto" w:fill="FFFFFF"/>
        </w:rPr>
        <w:t>, </w:t>
      </w:r>
      <w:r w:rsidRPr="0069518B">
        <w:rPr>
          <w:i/>
          <w:iCs/>
          <w:color w:val="222222"/>
          <w:shd w:val="clear" w:color="auto" w:fill="FFFFFF"/>
        </w:rPr>
        <w:t>19</w:t>
      </w:r>
      <w:r w:rsidRPr="0069518B">
        <w:rPr>
          <w:color w:val="222222"/>
          <w:shd w:val="clear" w:color="auto" w:fill="FFFFFF"/>
        </w:rPr>
        <w:t>(1), pp.4-30.</w:t>
      </w:r>
    </w:p>
    <w:sectPr w:rsidR="0069518B" w:rsidRPr="0069518B" w:rsidSect="00AF5531">
      <w:pgSz w:w="12240" w:h="15840"/>
      <w:pgMar w:top="1440" w:right="1361" w:bottom="1440" w:left="226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5892" w:rsidRDefault="005D5892" w:rsidP="00BC0910">
      <w:r>
        <w:separator/>
      </w:r>
    </w:p>
  </w:endnote>
  <w:endnote w:type="continuationSeparator" w:id="0">
    <w:p w:rsidR="005D5892" w:rsidRDefault="005D5892" w:rsidP="00BC091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5892" w:rsidRDefault="005D5892" w:rsidP="00BC0910">
      <w:r>
        <w:separator/>
      </w:r>
    </w:p>
  </w:footnote>
  <w:footnote w:type="continuationSeparator" w:id="0">
    <w:p w:rsidR="005D5892" w:rsidRDefault="005D5892" w:rsidP="00BC091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A5039"/>
    <w:rsid w:val="00026448"/>
    <w:rsid w:val="00050744"/>
    <w:rsid w:val="00060259"/>
    <w:rsid w:val="00111E17"/>
    <w:rsid w:val="001E40D7"/>
    <w:rsid w:val="00272AF9"/>
    <w:rsid w:val="002E4070"/>
    <w:rsid w:val="00327012"/>
    <w:rsid w:val="00383E0C"/>
    <w:rsid w:val="003B6D5C"/>
    <w:rsid w:val="004F685C"/>
    <w:rsid w:val="005D5892"/>
    <w:rsid w:val="005F5679"/>
    <w:rsid w:val="00602C65"/>
    <w:rsid w:val="00631DD2"/>
    <w:rsid w:val="00665CEC"/>
    <w:rsid w:val="0069518B"/>
    <w:rsid w:val="006E2EA2"/>
    <w:rsid w:val="00737D72"/>
    <w:rsid w:val="007B13F1"/>
    <w:rsid w:val="00866DB1"/>
    <w:rsid w:val="008C77DF"/>
    <w:rsid w:val="008F026B"/>
    <w:rsid w:val="00921C52"/>
    <w:rsid w:val="00997517"/>
    <w:rsid w:val="009E40B5"/>
    <w:rsid w:val="00A456C9"/>
    <w:rsid w:val="00A721E3"/>
    <w:rsid w:val="00A730E1"/>
    <w:rsid w:val="00A9527C"/>
    <w:rsid w:val="00AA3DCB"/>
    <w:rsid w:val="00AA5039"/>
    <w:rsid w:val="00B86751"/>
    <w:rsid w:val="00BC0910"/>
    <w:rsid w:val="00BC283E"/>
    <w:rsid w:val="00BC468A"/>
    <w:rsid w:val="00BC4FA3"/>
    <w:rsid w:val="00C515FE"/>
    <w:rsid w:val="00C70479"/>
    <w:rsid w:val="00C85385"/>
    <w:rsid w:val="00CD331F"/>
    <w:rsid w:val="00CF3011"/>
    <w:rsid w:val="00DC3420"/>
    <w:rsid w:val="00E073F1"/>
    <w:rsid w:val="00E52546"/>
    <w:rsid w:val="00EA2FE9"/>
    <w:rsid w:val="00EE4669"/>
    <w:rsid w:val="00F471A1"/>
    <w:rsid w:val="00F714D9"/>
    <w:rsid w:val="00F83DE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03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A5039"/>
    <w:pPr>
      <w:spacing w:line="480" w:lineRule="auto"/>
      <w:outlineLvl w:val="0"/>
    </w:pPr>
    <w:rPr>
      <w:b/>
      <w:i/>
    </w:rPr>
  </w:style>
  <w:style w:type="paragraph" w:styleId="Heading2">
    <w:name w:val="heading 2"/>
    <w:basedOn w:val="Normal"/>
    <w:next w:val="Normal"/>
    <w:link w:val="Heading2Char"/>
    <w:uiPriority w:val="9"/>
    <w:semiHidden/>
    <w:unhideWhenUsed/>
    <w:qFormat/>
    <w:rsid w:val="00A9527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039"/>
    <w:rPr>
      <w:rFonts w:ascii="Times New Roman" w:eastAsia="Times New Roman" w:hAnsi="Times New Roman" w:cs="Times New Roman"/>
      <w:b/>
      <w:i/>
      <w:sz w:val="24"/>
      <w:szCs w:val="24"/>
    </w:rPr>
  </w:style>
  <w:style w:type="paragraph" w:styleId="Bibliography">
    <w:name w:val="Bibliography"/>
    <w:basedOn w:val="Normal"/>
    <w:next w:val="Normal"/>
    <w:uiPriority w:val="37"/>
    <w:unhideWhenUsed/>
    <w:rsid w:val="00AA5039"/>
  </w:style>
  <w:style w:type="paragraph" w:customStyle="1" w:styleId="m-y-0">
    <w:name w:val="m-y-0"/>
    <w:basedOn w:val="Normal"/>
    <w:rsid w:val="00AA5039"/>
    <w:pPr>
      <w:spacing w:before="100" w:beforeAutospacing="1" w:after="100" w:afterAutospacing="1"/>
    </w:pPr>
  </w:style>
  <w:style w:type="character" w:customStyle="1" w:styleId="Heading2Char">
    <w:name w:val="Heading 2 Char"/>
    <w:basedOn w:val="DefaultParagraphFont"/>
    <w:link w:val="Heading2"/>
    <w:uiPriority w:val="9"/>
    <w:semiHidden/>
    <w:rsid w:val="00A9527C"/>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rsid w:val="00A9527C"/>
    <w:pPr>
      <w:tabs>
        <w:tab w:val="center" w:pos="4320"/>
        <w:tab w:val="right" w:pos="8640"/>
      </w:tabs>
    </w:pPr>
  </w:style>
  <w:style w:type="character" w:customStyle="1" w:styleId="HeaderChar">
    <w:name w:val="Header Char"/>
    <w:basedOn w:val="DefaultParagraphFont"/>
    <w:link w:val="Header"/>
    <w:rsid w:val="00A9527C"/>
    <w:rPr>
      <w:rFonts w:ascii="Times New Roman" w:eastAsia="Times New Roman" w:hAnsi="Times New Roman" w:cs="Times New Roman"/>
      <w:sz w:val="24"/>
      <w:szCs w:val="24"/>
    </w:rPr>
  </w:style>
  <w:style w:type="character" w:styleId="PageNumber">
    <w:name w:val="page number"/>
    <w:basedOn w:val="DefaultParagraphFont"/>
    <w:rsid w:val="00A9527C"/>
  </w:style>
  <w:style w:type="paragraph" w:styleId="Title">
    <w:name w:val="Title"/>
    <w:basedOn w:val="Normal"/>
    <w:next w:val="Normal"/>
    <w:link w:val="TitleChar"/>
    <w:qFormat/>
    <w:rsid w:val="00A9527C"/>
    <w:pPr>
      <w:tabs>
        <w:tab w:val="left" w:pos="4136"/>
      </w:tabs>
      <w:spacing w:line="480" w:lineRule="auto"/>
      <w:jc w:val="center"/>
    </w:pPr>
  </w:style>
  <w:style w:type="character" w:customStyle="1" w:styleId="TitleChar">
    <w:name w:val="Title Char"/>
    <w:basedOn w:val="DefaultParagraphFont"/>
    <w:link w:val="Title"/>
    <w:rsid w:val="00A9527C"/>
    <w:rPr>
      <w:rFonts w:ascii="Times New Roman" w:eastAsia="Times New Roman" w:hAnsi="Times New Roman" w:cs="Times New Roman"/>
      <w:sz w:val="24"/>
      <w:szCs w:val="24"/>
    </w:rPr>
  </w:style>
  <w:style w:type="paragraph" w:styleId="NormalWeb">
    <w:name w:val="Normal (Web)"/>
    <w:basedOn w:val="Normal"/>
    <w:uiPriority w:val="99"/>
    <w:unhideWhenUsed/>
    <w:rsid w:val="00A9527C"/>
    <w:pPr>
      <w:spacing w:before="100" w:beforeAutospacing="1" w:after="100" w:afterAutospacing="1"/>
    </w:pPr>
  </w:style>
  <w:style w:type="paragraph" w:styleId="Footer">
    <w:name w:val="footer"/>
    <w:basedOn w:val="Normal"/>
    <w:link w:val="FooterChar"/>
    <w:uiPriority w:val="99"/>
    <w:unhideWhenUsed/>
    <w:rsid w:val="00A9527C"/>
    <w:pPr>
      <w:tabs>
        <w:tab w:val="center" w:pos="4513"/>
        <w:tab w:val="right" w:pos="9026"/>
      </w:tabs>
    </w:pPr>
  </w:style>
  <w:style w:type="character" w:customStyle="1" w:styleId="FooterChar">
    <w:name w:val="Footer Char"/>
    <w:basedOn w:val="DefaultParagraphFont"/>
    <w:link w:val="Footer"/>
    <w:uiPriority w:val="99"/>
    <w:rsid w:val="00A9527C"/>
    <w:rPr>
      <w:rFonts w:ascii="Times New Roman" w:eastAsia="Times New Roman" w:hAnsi="Times New Roman" w:cs="Times New Roman"/>
      <w:sz w:val="24"/>
      <w:szCs w:val="24"/>
    </w:rPr>
  </w:style>
  <w:style w:type="character" w:styleId="SubtleEmphasis">
    <w:name w:val="Subtle Emphasis"/>
    <w:basedOn w:val="DefaultParagraphFont"/>
    <w:uiPriority w:val="19"/>
    <w:qFormat/>
    <w:rsid w:val="007B13F1"/>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BAP18</b:Tag>
    <b:SourceType>InternetSite</b:SourceType>
    <b:Guid>{FB19AA80-B843-4656-B35C-F2BE18CB0B0B}</b:Guid>
    <b:Title>Introduction to Malnutrition</b:Title>
    <b:Year>2018</b:Year>
    <b:YearAccessed>2019</b:YearAccessed>
    <b:MonthAccessed>May</b:MonthAccessed>
    <b:DayAccessed>11</b:DayAccessed>
    <b:URL>https://www.bapen.org.uk/malnutrition-undernutrition/introduction-to-malnutrition?start=2</b:URL>
    <b:Author>
      <b:Author>
        <b:Corporate>BAPEN</b:Corporate>
      </b:Author>
    </b:Author>
    <b:RefOrder>1</b:RefOrder>
  </b:Source>
  <b:Source>
    <b:Tag>GNR18</b:Tag>
    <b:SourceType>Report</b:SourceType>
    <b:Guid>{AF077F5E-C967-43BA-9EB5-6B0394493A05}</b:Guid>
    <b:Title>Global Nutrition Report: India</b:Title>
    <b:Year>2018</b:Year>
    <b:URL>https://globalnutritionreport.org/documents/91/India.pdf</b:URL>
    <b:Publisher>Development Initiatives Poverty Research Ltd</b:Publisher>
    <b:Author>
      <b:Author>
        <b:Corporate>GNR</b:Corporate>
      </b:Author>
    </b:Author>
    <b:RefOrder>2</b:RefOrder>
  </b:Source>
  <b:Source>
    <b:Tag>WHO10</b:Tag>
    <b:SourceType>Report</b:SourceType>
    <b:Guid>{712904B0-8B72-48C1-83D1-B778ED6E283A}</b:Guid>
    <b:Title>Nutrition at a Glance: India</b:Title>
    <b:Year>2010</b:Year>
    <b:Publisher>The World Bank</b:Publisher>
    <b:Author>
      <b:Author>
        <b:Corporate>WHO</b:Corporate>
      </b:Author>
    </b:Author>
    <b:URL>http://siteresources.worldbank.org/NUTRITION/Resources/281846-1271963823772/India.pdf</b:URL>
    <b:RefOrder>3</b:RefOrder>
  </b:Source>
  <b:Source>
    <b:Tag>Wor13</b:Tag>
    <b:SourceType>InternetSite</b:SourceType>
    <b:Guid>{CDA3EA01-E4C2-4EB4-814A-02AFA757267F}</b:Guid>
    <b:Author>
      <b:Author>
        <b:Corporate>World Bank</b:Corporate>
      </b:Author>
    </b:Author>
    <b:Title>Helping India Combat Persistently High Rates of Malnutrition</b:Title>
    <b:Year>2013</b:Year>
    <b:YearAccessed>2019</b:YearAccessed>
    <b:MonthAccessed>May</b:MonthAccessed>
    <b:DayAccessed>11</b:DayAccessed>
    <b:URL>http://www.worldbank.org/en/news/feature/2013/05/13/helping-india-combat-persistently-high-rates-of-malnutrition</b:URL>
    <b:RefOrder>4</b:RefOrder>
  </b:Source>
  <b:Source>
    <b:Tag>Hul16</b:Tag>
    <b:SourceType>InternetSite</b:SourceType>
    <b:Guid>{43145590-38DB-4CE0-AB70-3120F3B2BE79}</b:Guid>
    <b:Title>Child Undernutrition in India: A Gender Issue</b:Title>
    <b:Year>2016</b:Year>
    <b:Author>
      <b:Author>
        <b:NameList>
          <b:Person>
            <b:Last>Hulshof</b:Last>
            <b:First>Karin</b:First>
          </b:Person>
        </b:NameList>
      </b:Author>
    </b:Author>
    <b:YearAccessed>2019</b:YearAccessed>
    <b:MonthAccessed>May</b:MonthAccessed>
    <b:DayAccessed>11</b:DayAccessed>
    <b:URL>http://unicef.in/Story/108/Child-Undernutrition-in-India-A-Gender-Issue</b:URL>
    <b:RefOrder>5</b:RefOrder>
  </b:Source>
  <b:Source>
    <b:Tag>Nar18</b:Tag>
    <b:SourceType>JournalArticle</b:SourceType>
    <b:Guid>{D2DFC13B-18C1-4056-B8F6-CBC46DD12A32}</b:Guid>
    <b:Author>
      <b:Author>
        <b:NameList>
          <b:Person>
            <b:Last>Narayan</b:Last>
            <b:First>Jitendra</b:First>
          </b:Person>
          <b:Person>
            <b:Last>John</b:Last>
            <b:First>Denny</b:First>
          </b:Person>
          <b:Person>
            <b:Last>Ramadas</b:Last>
            <b:First>Nirupama</b:First>
          </b:Person>
        </b:NameList>
      </b:Author>
    </b:Author>
    <b:Title>Malnutrition in India: status and government</b:Title>
    <b:JournalName>Journal of Public Healh Policy</b:JournalName>
    <b:Year>2018</b:Year>
    <b:Pages>126-141</b:Pages>
    <b:Volume>40</b:Volume>
    <b:Issue>1</b:Issue>
    <b:URL>https://doi.org/10.1057/s41271-018-0149-5</b:URL>
    <b:RefOrder>6</b:RefOrder>
  </b:Source>
  <b:Source>
    <b:Tag>UNI13</b:Tag>
    <b:SourceType>Report</b:SourceType>
    <b:Guid>{59059934-B3E5-46F6-A5AE-98915ECB1D3A}</b:Guid>
    <b:Title>Improving Child Nutrition: The achievable imperative for global progress</b:Title>
    <b:Year>2013</b:Year>
    <b:URL>https://www.unicef.org/gambia/Improving_Child_Nutrition_-_the_achievable_imperative_for_global_progress.pdf</b:URL>
    <b:Author>
      <b:Author>
        <b:Corporate>UNICEF</b:Corporate>
      </b:Author>
    </b:Author>
    <b:Publisher>United Nations Children’s Fund</b:Publisher>
    <b:City>New York, NY</b:City>
    <b:RefOrder>7</b:RefOrder>
  </b:Source>
  <b:Source>
    <b:Tag>Kan10</b:Tag>
    <b:SourceType>JournalArticle</b:SourceType>
    <b:Guid>{AC06D878-9D43-43F3-8D81-E09CF287F241}</b:Guid>
    <b:Title>Nutritional status of children in India: household socio-economic condition as the contextual determinant</b:Title>
    <b:Year>2010</b:Year>
    <b:Author>
      <b:Author>
        <b:NameList>
          <b:Person>
            <b:Last>Kanjilal</b:Last>
            <b:First>Barun</b:First>
          </b:Person>
          <b:Person>
            <b:Last>Mazumdar</b:Last>
            <b:First>Papiya</b:First>
            <b:Middle>Guha</b:Middle>
          </b:Person>
          <b:Person>
            <b:Last>Mukherjee</b:Last>
            <b:First>Moumita</b:First>
          </b:Person>
          <b:Person>
            <b:Last>Rahman</b:Last>
            <b:First>M</b:First>
            <b:Middle>Hafizur</b:Middle>
          </b:Person>
        </b:NameList>
      </b:Author>
    </b:Author>
    <b:JournalName>International Journal for Equity in Health</b:JournalName>
    <b:Pages>1-13</b:Pages>
    <b:Volume>9</b:Volume>
    <b:Issue>19</b:Issue>
    <b:URL>https://dx.doi.org/10.1186%2F1475-9276-9-19</b:URL>
    <b:RefOrder>8</b:RefOrder>
  </b:Source>
  <b:Source>
    <b:Tag>Pat14</b:Tag>
    <b:SourceType>JournalArticle</b:SourceType>
    <b:Guid>{E61B4805-11F1-4C98-82CD-92E7D6EA44CD}</b:Guid>
    <b:Author>
      <b:Author>
        <b:NameList>
          <b:Person>
            <b:Last>Patil</b:Last>
            <b:First>YP</b:First>
          </b:Person>
          <b:Person>
            <b:Last>Shinde</b:Last>
            <b:First>RL</b:First>
          </b:Person>
        </b:NameList>
      </b:Author>
    </b:Author>
    <b:Title>Undernutrition among Indian men: a study based on NFHS-3.</b:Title>
    <b:JournalName>American Journal of Men's Health</b:JournalName>
    <b:Year>2014</b:Year>
    <b:Pages>492-502</b:Pages>
    <b:Volume>8</b:Volume>
    <b:Issue>6</b:Issue>
    <b:DOI>10.1177/1557988314525193</b:DOI>
    <b:RefOrder>9</b:RefOrder>
  </b:Source>
  <b:Source>
    <b:Tag>MYo11</b:Tag>
    <b:SourceType>JournalArticle</b:SourceType>
    <b:Guid>{89034E79-0D3F-4268-9DDE-2FD49C520A84}</b:Guid>
    <b:Author>
      <b:Author>
        <b:NameList>
          <b:Person>
            <b:Last>M. Yount</b:Last>
            <b:First>Kathryn</b:First>
          </b:Person>
          <b:Person>
            <b:Last>DiGirolamo</b:Last>
            <b:First>Ann</b:First>
            <b:Middle>M.</b:Middle>
          </b:Person>
          <b:Person>
            <b:Last>Ramakrishnan</b:Last>
            <b:First>Usha</b:First>
          </b:Person>
        </b:NameList>
      </b:Author>
    </b:Author>
    <b:Title>Impacts of domestic violence on child growth and nutrition: A conceptual review of the pathways of influence</b:Title>
    <b:JournalName>Social Science &amp; Medicine</b:JournalName>
    <b:Year>2011</b:Year>
    <b:Pages>1534-1554</b:Pages>
    <b:Volume>72</b:Volume>
    <b:Issue>9</b:Issue>
    <b:URL>https://doi.org/10.1016/j.socscimed.2011.02.042</b:URL>
    <b:RefOrder>10</b:RefOrder>
  </b:Source>
  <b:Source>
    <b:Tag>Ans15</b:Tag>
    <b:SourceType>BookSection</b:SourceType>
    <b:Guid>{56065A97-5C3A-413E-B8C3-B18B94AD051B}</b:Guid>
    <b:Title>Childhood Malnutrition in India</b:Title>
    <b:Year>2015</b:Year>
    <b:Publisher>Springer Publishing Company</b:Publisher>
    <b:City>New York, NY</b:City>
    <b:Author>
      <b:Author>
        <b:NameList>
          <b:Person>
            <b:Last>Bengre</b:Last>
            <b:First>Ansuya</b:First>
          </b:Person>
        </b:NameList>
      </b:Author>
      <b:Editor>
        <b:NameList>
          <b:Person>
            <b:Last>Breakey</b:Last>
            <b:First>Suellen</b:First>
          </b:Person>
          <b:Person>
            <b:Last>Meedzan</b:Last>
            <b:First>Nancy</b:First>
            <b:Middle>L.</b:Middle>
          </b:Person>
          <b:Person>
            <b:Last>Corless</b:Last>
            <b:First>Inge</b:First>
            <b:Middle>B.</b:Middle>
          </b:Person>
          <b:Person>
            <b:Last>Nicholas</b:Last>
            <b:First>Patrice</b:First>
            <b:Middle>K.</b:Middle>
          </b:Person>
        </b:NameList>
      </b:Editor>
    </b:Author>
    <b:BookTitle>Global Health Nursing in the 21st Century</b:BookTitle>
    <b:Pages>281-305</b:Pages>
    <b:RefOrder>11</b:RefOrder>
  </b:Source>
  <b:Source>
    <b:Tag>Sah16</b:Tag>
    <b:SourceType>JournalArticle</b:SourceType>
    <b:Guid>{67620171-DD3C-4B1A-8CD9-760347861F3D}</b:Guid>
    <b:Title>Operational Assessment of ICDS Scheme at Grass Root Level in a Rural Area of Eastern India: Time to Introspect</b:Title>
    <b:Year>2016</b:Year>
    <b:Pages>28-32</b:Pages>
    <b:Author>
      <b:Author>
        <b:NameList>
          <b:Person>
            <b:Last>Sahoo</b:Last>
            <b:First>Jyotiranjan</b:First>
          </b:Person>
          <b:Person>
            <b:Last>Mahajan</b:Last>
            <b:First>Preetam</b:First>
            <b:Middle>B</b:Middle>
          </b:Person>
          <b:Person>
            <b:Last>Paul</b:Last>
            <b:First>Sourabh</b:First>
          </b:Person>
          <b:Person>
            <b:Last>Bhatia</b:Last>
            <b:First>Vikas</b:First>
          </b:Person>
          <b:Person>
            <b:Last>Patra</b:Last>
            <b:First>Abhinash</b:First>
            <b:Middle>K</b:Middle>
          </b:Person>
          <b:Person>
            <b:Last>Hembram</b:Last>
            <b:First>Dilip</b:First>
            <b:Middle>Kumar</b:Middle>
          </b:Person>
        </b:NameList>
      </b:Author>
    </b:Author>
    <b:JournalName>Journal of Clinical &amp; Diagnostic Research</b:JournalName>
    <b:Volume>10</b:Volume>
    <b:Issue>12</b:Issue>
    <b:URL>https://dx.doi.org/10.7860%2FJCDR%2F2016%2F23059.9041</b:URL>
    <b:RefOrder>12</b:RefOrder>
  </b:Source>
  <b:Source>
    <b:Tag>Wor12</b:Tag>
    <b:SourceType>Report</b:SourceType>
    <b:Guid>{854A9FBE-8961-4DE5-A488-A5011124C501}</b:Guid>
    <b:Title>India - Integrated Child Development Services (ICDS) Systems Strengthening and Nutrition Improvement Program</b:Title>
    <b:Year>2012</b:Year>
    <b:URL>http://documents.worldbank.org/curated/en/991941468258860237/pdf/593880PAD0P12100900IDA0R20120020101.pdf</b:URL>
    <b:Author>
      <b:Author>
        <b:Corporate>World Bank</b:Corporate>
      </b:Author>
    </b:Author>
    <b:Publisher>World Bank</b:Publisher>
    <b:City>Washington, DC</b:City>
    <b:ThesisType>ISSNIP Project</b:ThesisType>
    <b:RefOrder>13</b:RefOrder>
  </b:Source>
  <b:Source>
    <b:Tag>Sal18</b:Tag>
    <b:SourceType>InternetSite</b:SourceType>
    <b:Guid>{E8F22738-0BE5-4FC7-8B09-4C2C4B53264B}</b:Guid>
    <b:Title>How Do We Address the Alarmingly High Malnutrition Rate in India?</b:Title>
    <b:Year>2018</b:Year>
    <b:Author>
      <b:Author>
        <b:NameList>
          <b:Person>
            <b:Last>Gautam</b:Last>
            <b:First>Saloni</b:First>
          </b:Person>
          <b:Person>
            <b:Last>Mishra</b:Last>
            <b:First>Pushpendra</b:First>
            <b:Middle>Kumar</b:Middle>
          </b:Person>
        </b:NameList>
      </b:Author>
    </b:Author>
    <b:YearAccessed>2019</b:YearAccessed>
    <b:MonthAccessed>May</b:MonthAccessed>
    <b:DayAccessed>11</b:DayAccessed>
    <b:URL>https://fit.thequint.com/health-news/malnutrition-in-india</b:URL>
    <b:RefOrder>14</b:RefOrder>
  </b:Source>
</b:Sources>
</file>

<file path=customXml/itemProps1.xml><?xml version="1.0" encoding="utf-8"?>
<ds:datastoreItem xmlns:ds="http://schemas.openxmlformats.org/officeDocument/2006/customXml" ds:itemID="{C9B515B7-4492-45E1-80EE-4BD2671BA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12</Pages>
  <Words>2641</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AQIB</dc:creator>
  <cp:lastModifiedBy>catalin dumitru</cp:lastModifiedBy>
  <cp:revision>5</cp:revision>
  <dcterms:created xsi:type="dcterms:W3CDTF">2021-02-21T05:28:00Z</dcterms:created>
  <dcterms:modified xsi:type="dcterms:W3CDTF">2021-02-25T23:22:00Z</dcterms:modified>
</cp:coreProperties>
</file>