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77D5AC" w14:textId="77777777" w:rsidR="009F4891" w:rsidRPr="00920522" w:rsidRDefault="009F4891" w:rsidP="00E24AD4">
      <w:pPr>
        <w:jc w:val="center"/>
        <w:outlineLvl w:val="0"/>
        <w:rPr>
          <w:b/>
        </w:rPr>
      </w:pPr>
      <w:r w:rsidRPr="00920522">
        <w:rPr>
          <w:b/>
        </w:rPr>
        <w:t>SHIFTING RELATIONS IN BRONZE AGE GAZA</w:t>
      </w:r>
    </w:p>
    <w:p w14:paraId="724D0571" w14:textId="77777777" w:rsidR="009F4891" w:rsidRDefault="009F4891"/>
    <w:p w14:paraId="0FD6B7B7" w14:textId="77777777" w:rsidR="009F4891" w:rsidRDefault="009F4891" w:rsidP="00461483">
      <w:pPr>
        <w:spacing w:line="360" w:lineRule="auto"/>
      </w:pPr>
    </w:p>
    <w:p w14:paraId="3B529E1B" w14:textId="77777777" w:rsidR="009F4891" w:rsidRDefault="009F4891" w:rsidP="00E24AD4">
      <w:pPr>
        <w:spacing w:line="360" w:lineRule="auto"/>
        <w:outlineLvl w:val="0"/>
      </w:pPr>
      <w:r>
        <w:t>ABSTRACT</w:t>
      </w:r>
    </w:p>
    <w:p w14:paraId="6B88353E" w14:textId="2755EB70" w:rsidR="009F4891" w:rsidRDefault="009F4891" w:rsidP="00461483">
      <w:pPr>
        <w:spacing w:line="360" w:lineRule="auto"/>
      </w:pPr>
      <w:r>
        <w:t xml:space="preserve">The East Mediterranean of the second millennium BC was a vast cultural melting pot: peoples of the Aegean, </w:t>
      </w:r>
      <w:smartTag w:uri="urn:schemas-microsoft-com:office:smarttags" w:element="country-region">
        <w:r>
          <w:t>Egypt</w:t>
        </w:r>
      </w:smartTag>
      <w:r>
        <w:t xml:space="preserve">, Anatolia and the </w:t>
      </w:r>
      <w:smartTag w:uri="urn:schemas-microsoft-com:office:smarttags" w:element="place">
        <w:r>
          <w:t>Levant</w:t>
        </w:r>
      </w:smartTag>
      <w:r>
        <w:t xml:space="preserve"> coming into contact with each other through varied trading ventures and colonial enterprises. </w:t>
      </w:r>
      <w:smartTag w:uri="urn:schemas-microsoft-com:office:smarttags" w:element="City">
        <w:smartTag w:uri="urn:schemas-microsoft-com:office:smarttags" w:element="place">
          <w:r>
            <w:t>Gaza</w:t>
          </w:r>
        </w:smartTag>
      </w:smartTag>
      <w:r>
        <w:t xml:space="preserve"> played a significant economic and political role within this cultural world. Lying as it does at the Palestinian end of the Ways of Horus – the land route between Egypt and the Levant </w:t>
      </w:r>
      <w:r w:rsidR="00F570D4">
        <w:t>– the</w:t>
      </w:r>
      <w:r>
        <w:t xml:space="preserve"> region effectively served as a gateway community between the Asiatic landmass, Egypt (and Africa), and the Mediterranean basin. Material culture, embedded as it is in human action, plays a key role in the creation, negotiation and transformation of social relations</w:t>
      </w:r>
      <w:r w:rsidR="00276D29">
        <w:t xml:space="preserve"> (Knapp 2012; Stockhammer 2013)</w:t>
      </w:r>
      <w:r>
        <w:t>.</w:t>
      </w:r>
      <w:r w:rsidRPr="00CF4E05">
        <w:t xml:space="preserve"> </w:t>
      </w:r>
      <w:r>
        <w:t>Identified as a contact zone – being key to Egyptian colonial activity in the Levant</w:t>
      </w:r>
      <w:r w:rsidR="00276D29">
        <w:t xml:space="preserve"> (Higginbotham 2000)</w:t>
      </w:r>
      <w:r>
        <w:t xml:space="preserve"> – we would expect to see interesting patterns in the development of social practices and material identities in the Gaza region, along with the creation of new social and material traditions. This paper will explore how the second millennium inhabitants of the region appropriated the exotic in the negotiation of identity. </w:t>
      </w:r>
      <w:r w:rsidRPr="00CD7406">
        <w:t xml:space="preserve">Specifically it will examine the social life of various categories of artefact </w:t>
      </w:r>
      <w:r>
        <w:t>at the key sites of Tell el-‘Ajjul, Deir al-Balah and al-Moghraqa</w:t>
      </w:r>
      <w:r w:rsidR="00276D29">
        <w:t xml:space="preserve"> (Dothan 1979, Petrie 1931, 1933; Steel et al. 2004a, 2004b, Tufnell 1984)</w:t>
      </w:r>
    </w:p>
    <w:p w14:paraId="636F77A5" w14:textId="77777777" w:rsidR="009F4891" w:rsidRDefault="009F4891" w:rsidP="00461483">
      <w:pPr>
        <w:spacing w:line="360" w:lineRule="auto"/>
      </w:pPr>
    </w:p>
    <w:p w14:paraId="788FAF81" w14:textId="1C5083ED" w:rsidR="009F4891" w:rsidRPr="00F570D4" w:rsidRDefault="00F570D4" w:rsidP="00461483">
      <w:pPr>
        <w:spacing w:line="360" w:lineRule="auto"/>
        <w:rPr>
          <w:b/>
          <w:bCs/>
        </w:rPr>
      </w:pPr>
      <w:r w:rsidRPr="00F570D4">
        <w:rPr>
          <w:b/>
          <w:bCs/>
        </w:rPr>
        <w:t>Bibliography</w:t>
      </w:r>
    </w:p>
    <w:p w14:paraId="0C8531AA" w14:textId="23435F9C" w:rsidR="00F570D4" w:rsidRDefault="00F570D4" w:rsidP="00F570D4">
      <w:pPr>
        <w:spacing w:line="360" w:lineRule="auto"/>
        <w:ind w:left="709" w:hanging="709"/>
        <w:rPr>
          <w:lang w:val="en-US"/>
        </w:rPr>
      </w:pPr>
      <w:r w:rsidRPr="00F570D4">
        <w:t>Dothan</w:t>
      </w:r>
      <w:r w:rsidRPr="00EF6502">
        <w:rPr>
          <w:lang w:val="en-US"/>
        </w:rPr>
        <w:t>, T</w:t>
      </w:r>
      <w:r>
        <w:rPr>
          <w:lang w:val="en-US"/>
        </w:rPr>
        <w:t>rudie</w:t>
      </w:r>
      <w:r w:rsidRPr="00EF6502">
        <w:rPr>
          <w:lang w:val="en-US"/>
        </w:rPr>
        <w:t>.</w:t>
      </w:r>
      <w:r>
        <w:rPr>
          <w:lang w:val="en-US"/>
        </w:rPr>
        <w:t xml:space="preserve"> </w:t>
      </w:r>
      <w:r w:rsidRPr="00EF6502">
        <w:rPr>
          <w:lang w:val="en-US"/>
        </w:rPr>
        <w:t>1979</w:t>
      </w:r>
      <w:r>
        <w:rPr>
          <w:lang w:val="en-US"/>
        </w:rPr>
        <w:t xml:space="preserve">. </w:t>
      </w:r>
      <w:r w:rsidRPr="00EF6502">
        <w:rPr>
          <w:i/>
          <w:lang w:val="en-US"/>
        </w:rPr>
        <w:t>Excavations at the Cemetery of Deir el-Balah</w:t>
      </w:r>
      <w:r w:rsidRPr="00EF6502">
        <w:rPr>
          <w:lang w:val="en-US"/>
        </w:rPr>
        <w:t>. Qedem 10. Jerusalem: The Israel Museum.</w:t>
      </w:r>
    </w:p>
    <w:p w14:paraId="4B383730" w14:textId="5C0B14C2" w:rsidR="00F570D4" w:rsidRDefault="00F570D4" w:rsidP="00F570D4">
      <w:pPr>
        <w:spacing w:line="360" w:lineRule="auto"/>
        <w:ind w:left="709" w:hanging="709"/>
        <w:rPr>
          <w:lang w:val="en-US"/>
        </w:rPr>
      </w:pPr>
      <w:r w:rsidRPr="00F570D4">
        <w:t>Higginbotham</w:t>
      </w:r>
      <w:r w:rsidRPr="00EF6502">
        <w:rPr>
          <w:lang w:val="en-US"/>
        </w:rPr>
        <w:t>, C</w:t>
      </w:r>
      <w:r>
        <w:rPr>
          <w:lang w:val="en-US"/>
        </w:rPr>
        <w:t>arolyn</w:t>
      </w:r>
      <w:r w:rsidRPr="00EF6502">
        <w:rPr>
          <w:lang w:val="en-US"/>
        </w:rPr>
        <w:t xml:space="preserve"> R.</w:t>
      </w:r>
      <w:r>
        <w:rPr>
          <w:lang w:val="en-US"/>
        </w:rPr>
        <w:t xml:space="preserve"> </w:t>
      </w:r>
      <w:r w:rsidRPr="00EF6502">
        <w:rPr>
          <w:lang w:val="en-US"/>
        </w:rPr>
        <w:t>2000</w:t>
      </w:r>
      <w:r>
        <w:rPr>
          <w:lang w:val="en-US"/>
        </w:rPr>
        <w:t xml:space="preserve">. </w:t>
      </w:r>
      <w:r w:rsidRPr="00EF6502">
        <w:rPr>
          <w:i/>
          <w:lang w:val="en-US"/>
        </w:rPr>
        <w:t>Eyptianization and Elite Emulation in Ramesside Palestine: Governance and Accommodation on the Imperial Periphery</w:t>
      </w:r>
      <w:r w:rsidRPr="00EF6502">
        <w:rPr>
          <w:lang w:val="en-US"/>
        </w:rPr>
        <w:t>. Leiden, Boston, Köln: Brill.</w:t>
      </w:r>
    </w:p>
    <w:p w14:paraId="1270527A" w14:textId="77777777" w:rsidR="00F570D4" w:rsidRDefault="00F570D4" w:rsidP="00F570D4">
      <w:pPr>
        <w:spacing w:line="360" w:lineRule="auto"/>
        <w:ind w:left="709" w:hanging="709"/>
        <w:rPr>
          <w:lang w:val="en-US"/>
        </w:rPr>
      </w:pPr>
      <w:r w:rsidRPr="00F570D4">
        <w:t>Knapp</w:t>
      </w:r>
      <w:r>
        <w:rPr>
          <w:lang w:val="en-US"/>
        </w:rPr>
        <w:t>, Arthur B. 2012. “</w:t>
      </w:r>
      <w:r w:rsidRPr="005B3ED9">
        <w:rPr>
          <w:lang w:val="en-US"/>
        </w:rPr>
        <w:t>Matter of Fact: Transcultural Contacts in the Late Bronze</w:t>
      </w:r>
      <w:r>
        <w:rPr>
          <w:lang w:val="en-US"/>
        </w:rPr>
        <w:t xml:space="preserve"> </w:t>
      </w:r>
      <w:r w:rsidRPr="005B3ED9">
        <w:rPr>
          <w:lang w:val="en-US"/>
        </w:rPr>
        <w:t>Age Eastern Mediterranean</w:t>
      </w:r>
      <w:r>
        <w:rPr>
          <w:lang w:val="en-US"/>
        </w:rPr>
        <w:t xml:space="preserve">.” In </w:t>
      </w:r>
      <w:r w:rsidRPr="00AC510D">
        <w:rPr>
          <w:lang w:val="en-US"/>
        </w:rPr>
        <w:t>J</w:t>
      </w:r>
      <w:r>
        <w:rPr>
          <w:lang w:val="en-US"/>
        </w:rPr>
        <w:t>oseph</w:t>
      </w:r>
      <w:r w:rsidRPr="00AC510D">
        <w:rPr>
          <w:lang w:val="en-US"/>
        </w:rPr>
        <w:t xml:space="preserve"> Maran and </w:t>
      </w:r>
      <w:r>
        <w:rPr>
          <w:lang w:val="en-US"/>
        </w:rPr>
        <w:t>Philipp</w:t>
      </w:r>
      <w:r w:rsidRPr="00AC510D">
        <w:rPr>
          <w:lang w:val="en-US"/>
        </w:rPr>
        <w:t xml:space="preserve"> W. Stockhammer</w:t>
      </w:r>
      <w:r>
        <w:rPr>
          <w:lang w:val="en-US"/>
        </w:rPr>
        <w:t xml:space="preserve"> (eds), </w:t>
      </w:r>
      <w:r w:rsidRPr="00AC510D">
        <w:rPr>
          <w:i/>
          <w:lang w:val="en-US"/>
        </w:rPr>
        <w:t>Materiality and Social Practice: Transformative Capacities of Intercultural Encounters</w:t>
      </w:r>
      <w:r>
        <w:rPr>
          <w:lang w:val="en-US"/>
        </w:rPr>
        <w:t>, 32</w:t>
      </w:r>
      <w:r w:rsidRPr="00EF6502">
        <w:rPr>
          <w:lang w:val="en-US"/>
        </w:rPr>
        <w:t>–</w:t>
      </w:r>
      <w:r>
        <w:rPr>
          <w:lang w:val="en-US"/>
        </w:rPr>
        <w:t>50. Oxford: Oxbow Books.</w:t>
      </w:r>
    </w:p>
    <w:p w14:paraId="533D2755" w14:textId="77777777" w:rsidR="00F570D4" w:rsidRPr="00EF6502" w:rsidRDefault="00F570D4" w:rsidP="00F570D4">
      <w:pPr>
        <w:spacing w:line="360" w:lineRule="auto"/>
        <w:ind w:left="709" w:hanging="709"/>
        <w:rPr>
          <w:lang w:val="en-US"/>
        </w:rPr>
      </w:pPr>
      <w:r w:rsidRPr="00EF6502">
        <w:rPr>
          <w:lang w:val="en-US"/>
        </w:rPr>
        <w:lastRenderedPageBreak/>
        <w:t>Petrie, W</w:t>
      </w:r>
      <w:r>
        <w:rPr>
          <w:lang w:val="en-US"/>
        </w:rPr>
        <w:t>illiam</w:t>
      </w:r>
      <w:r w:rsidRPr="00EF6502">
        <w:rPr>
          <w:lang w:val="en-US"/>
        </w:rPr>
        <w:t xml:space="preserve"> M.F.</w:t>
      </w:r>
      <w:r>
        <w:rPr>
          <w:lang w:val="en-US"/>
        </w:rPr>
        <w:t xml:space="preserve"> </w:t>
      </w:r>
      <w:r w:rsidRPr="00EF6502">
        <w:rPr>
          <w:lang w:val="en-US"/>
        </w:rPr>
        <w:t>1931</w:t>
      </w:r>
      <w:r>
        <w:rPr>
          <w:lang w:val="en-US"/>
        </w:rPr>
        <w:t xml:space="preserve">. </w:t>
      </w:r>
      <w:r w:rsidRPr="00EF6502">
        <w:rPr>
          <w:i/>
          <w:lang w:val="en-US"/>
        </w:rPr>
        <w:t xml:space="preserve">Ancient Gaza </w:t>
      </w:r>
      <w:r w:rsidRPr="001D0177">
        <w:rPr>
          <w:lang w:val="en-US"/>
        </w:rPr>
        <w:t>I</w:t>
      </w:r>
      <w:r>
        <w:rPr>
          <w:lang w:val="en-US"/>
        </w:rPr>
        <w:t>.</w:t>
      </w:r>
      <w:r w:rsidRPr="00EF6502">
        <w:rPr>
          <w:lang w:val="en-US"/>
        </w:rPr>
        <w:t xml:space="preserve"> </w:t>
      </w:r>
      <w:r w:rsidRPr="00EF6502">
        <w:rPr>
          <w:i/>
          <w:lang w:val="en-US"/>
        </w:rPr>
        <w:t>Tell el Ajjul</w:t>
      </w:r>
      <w:r w:rsidRPr="00EF6502">
        <w:rPr>
          <w:lang w:val="en-US"/>
        </w:rPr>
        <w:t>. London: Publications of the Egyptian Research Account and British School of Archaeology in Egypt 53.</w:t>
      </w:r>
    </w:p>
    <w:p w14:paraId="5D2CB77C" w14:textId="77777777" w:rsidR="00F570D4" w:rsidRPr="00EF6502" w:rsidRDefault="00F570D4" w:rsidP="00F570D4">
      <w:pPr>
        <w:spacing w:line="360" w:lineRule="auto"/>
        <w:ind w:left="709" w:hanging="709"/>
        <w:rPr>
          <w:lang w:val="en-US"/>
        </w:rPr>
      </w:pPr>
      <w:r w:rsidRPr="00EF6502">
        <w:rPr>
          <w:lang w:val="en-US"/>
        </w:rPr>
        <w:t>Petrie, W</w:t>
      </w:r>
      <w:r>
        <w:rPr>
          <w:lang w:val="en-US"/>
        </w:rPr>
        <w:t>illiam</w:t>
      </w:r>
      <w:r w:rsidRPr="00EF6502">
        <w:rPr>
          <w:lang w:val="en-US"/>
        </w:rPr>
        <w:t xml:space="preserve"> M.F.</w:t>
      </w:r>
      <w:r>
        <w:rPr>
          <w:lang w:val="en-US"/>
        </w:rPr>
        <w:t xml:space="preserve"> </w:t>
      </w:r>
      <w:r w:rsidRPr="00EF6502">
        <w:rPr>
          <w:lang w:val="en-US"/>
        </w:rPr>
        <w:t>1933</w:t>
      </w:r>
      <w:r>
        <w:rPr>
          <w:lang w:val="en-US"/>
        </w:rPr>
        <w:t xml:space="preserve">. </w:t>
      </w:r>
      <w:r w:rsidRPr="00EF6502">
        <w:rPr>
          <w:i/>
          <w:lang w:val="en-US"/>
        </w:rPr>
        <w:t xml:space="preserve">Ancient Gaza </w:t>
      </w:r>
      <w:r w:rsidRPr="001D0177">
        <w:rPr>
          <w:lang w:val="en-US"/>
        </w:rPr>
        <w:t>III</w:t>
      </w:r>
      <w:r>
        <w:rPr>
          <w:lang w:val="en-US"/>
        </w:rPr>
        <w:t>.</w:t>
      </w:r>
      <w:r w:rsidRPr="00EF6502">
        <w:rPr>
          <w:lang w:val="en-US"/>
        </w:rPr>
        <w:t xml:space="preserve"> </w:t>
      </w:r>
      <w:r w:rsidRPr="00EF6502">
        <w:rPr>
          <w:i/>
          <w:lang w:val="en-US"/>
        </w:rPr>
        <w:t>Tell el Ajjul</w:t>
      </w:r>
      <w:r w:rsidRPr="00EF6502">
        <w:rPr>
          <w:lang w:val="en-US"/>
        </w:rPr>
        <w:t>. London: Publications of the Egyptian Research Account and British School of Archaeology in Egypt 55.</w:t>
      </w:r>
    </w:p>
    <w:p w14:paraId="3CBD262F" w14:textId="77777777" w:rsidR="00F570D4" w:rsidRPr="00EF6502" w:rsidRDefault="00F570D4" w:rsidP="00F570D4">
      <w:pPr>
        <w:spacing w:line="360" w:lineRule="auto"/>
        <w:ind w:left="709" w:hanging="709"/>
        <w:rPr>
          <w:iCs/>
          <w:lang w:val="en-US"/>
        </w:rPr>
      </w:pPr>
      <w:r w:rsidRPr="00F570D4">
        <w:rPr>
          <w:lang w:val="en-US"/>
        </w:rPr>
        <w:t>Steel</w:t>
      </w:r>
      <w:r w:rsidRPr="00EF6502">
        <w:rPr>
          <w:iCs/>
          <w:lang w:val="en-US"/>
        </w:rPr>
        <w:t>, L</w:t>
      </w:r>
      <w:r>
        <w:rPr>
          <w:iCs/>
          <w:lang w:val="en-US"/>
        </w:rPr>
        <w:t>ouise, Joanne</w:t>
      </w:r>
      <w:r w:rsidRPr="00EF6502">
        <w:rPr>
          <w:iCs/>
          <w:lang w:val="en-US"/>
        </w:rPr>
        <w:t xml:space="preserve"> Clarke, </w:t>
      </w:r>
      <w:r>
        <w:rPr>
          <w:iCs/>
          <w:lang w:val="en-US"/>
        </w:rPr>
        <w:t xml:space="preserve">Moain </w:t>
      </w:r>
      <w:r w:rsidRPr="00EF6502">
        <w:rPr>
          <w:iCs/>
          <w:lang w:val="en-US"/>
        </w:rPr>
        <w:t xml:space="preserve">Sadeq, </w:t>
      </w:r>
      <w:r>
        <w:rPr>
          <w:iCs/>
          <w:lang w:val="en-US"/>
        </w:rPr>
        <w:t xml:space="preserve">William P. </w:t>
      </w:r>
      <w:r w:rsidRPr="00EF6502">
        <w:rPr>
          <w:iCs/>
          <w:lang w:val="en-US"/>
        </w:rPr>
        <w:t xml:space="preserve">Manley, </w:t>
      </w:r>
      <w:r>
        <w:rPr>
          <w:iCs/>
          <w:lang w:val="en-US"/>
        </w:rPr>
        <w:t>Andrew</w:t>
      </w:r>
      <w:r w:rsidRPr="00EF6502">
        <w:rPr>
          <w:iCs/>
          <w:lang w:val="en-US"/>
        </w:rPr>
        <w:t xml:space="preserve"> McCarthy and </w:t>
      </w:r>
      <w:r>
        <w:rPr>
          <w:iCs/>
          <w:lang w:val="en-US"/>
        </w:rPr>
        <w:t xml:space="preserve">Neil </w:t>
      </w:r>
      <w:r w:rsidRPr="00EF6502">
        <w:rPr>
          <w:iCs/>
          <w:lang w:val="en-US"/>
        </w:rPr>
        <w:t>Munro</w:t>
      </w:r>
      <w:r>
        <w:rPr>
          <w:iCs/>
          <w:lang w:val="en-US"/>
        </w:rPr>
        <w:t xml:space="preserve">. </w:t>
      </w:r>
      <w:r w:rsidRPr="00EF6502">
        <w:rPr>
          <w:iCs/>
          <w:lang w:val="en-US"/>
        </w:rPr>
        <w:t>2004a</w:t>
      </w:r>
      <w:r>
        <w:rPr>
          <w:iCs/>
          <w:lang w:val="en-US"/>
        </w:rPr>
        <w:t>. “</w:t>
      </w:r>
      <w:r w:rsidRPr="00EF6502">
        <w:rPr>
          <w:iCs/>
          <w:lang w:val="en-US"/>
        </w:rPr>
        <w:t>Gaza Research Project: Report of the 1999 and 2000 Seasons at Moghraqa.</w:t>
      </w:r>
      <w:r>
        <w:rPr>
          <w:iCs/>
          <w:lang w:val="en-US"/>
        </w:rPr>
        <w:t>”</w:t>
      </w:r>
      <w:r w:rsidRPr="00EF6502">
        <w:rPr>
          <w:iCs/>
          <w:lang w:val="en-US"/>
        </w:rPr>
        <w:t xml:space="preserve"> </w:t>
      </w:r>
      <w:r w:rsidRPr="00EF6502">
        <w:rPr>
          <w:i/>
          <w:lang w:val="en-US"/>
        </w:rPr>
        <w:t>Levant</w:t>
      </w:r>
      <w:r w:rsidRPr="00EF6502">
        <w:rPr>
          <w:iCs/>
          <w:lang w:val="en-US"/>
        </w:rPr>
        <w:t xml:space="preserve"> 36: 37–88.</w:t>
      </w:r>
    </w:p>
    <w:p w14:paraId="6E74814E" w14:textId="71AEA694" w:rsidR="00F570D4" w:rsidRPr="00EF6502" w:rsidRDefault="00F570D4" w:rsidP="00F570D4">
      <w:pPr>
        <w:spacing w:line="360" w:lineRule="auto"/>
        <w:ind w:left="709" w:hanging="709"/>
        <w:rPr>
          <w:iCs/>
          <w:lang w:val="en-US"/>
        </w:rPr>
      </w:pPr>
      <w:r w:rsidRPr="00F570D4">
        <w:rPr>
          <w:lang w:val="en-US"/>
        </w:rPr>
        <w:t>Steel</w:t>
      </w:r>
      <w:r w:rsidRPr="00EF6502">
        <w:rPr>
          <w:iCs/>
          <w:lang w:val="en-US"/>
        </w:rPr>
        <w:t>, L</w:t>
      </w:r>
      <w:r>
        <w:rPr>
          <w:iCs/>
          <w:lang w:val="en-US"/>
        </w:rPr>
        <w:t xml:space="preserve">ouise, William P. </w:t>
      </w:r>
      <w:r w:rsidRPr="00EF6502">
        <w:rPr>
          <w:iCs/>
          <w:lang w:val="en-US"/>
        </w:rPr>
        <w:t xml:space="preserve">Manley, </w:t>
      </w:r>
      <w:r>
        <w:rPr>
          <w:iCs/>
          <w:lang w:val="en-US"/>
        </w:rPr>
        <w:t>Joanne</w:t>
      </w:r>
      <w:r w:rsidRPr="00EF6502">
        <w:rPr>
          <w:iCs/>
          <w:lang w:val="en-US"/>
        </w:rPr>
        <w:t xml:space="preserve"> Clarke and </w:t>
      </w:r>
      <w:r>
        <w:rPr>
          <w:iCs/>
          <w:lang w:val="en-US"/>
        </w:rPr>
        <w:t xml:space="preserve">Moain </w:t>
      </w:r>
      <w:r w:rsidRPr="00EF6502">
        <w:rPr>
          <w:iCs/>
          <w:lang w:val="en-US"/>
        </w:rPr>
        <w:t>Sadeq.</w:t>
      </w:r>
      <w:r>
        <w:rPr>
          <w:iCs/>
          <w:lang w:val="en-US"/>
        </w:rPr>
        <w:t xml:space="preserve"> </w:t>
      </w:r>
      <w:r w:rsidRPr="00EF6502">
        <w:rPr>
          <w:iCs/>
          <w:lang w:val="en-US"/>
        </w:rPr>
        <w:t>2004b</w:t>
      </w:r>
      <w:r>
        <w:rPr>
          <w:iCs/>
          <w:lang w:val="en-US"/>
        </w:rPr>
        <w:t>. “</w:t>
      </w:r>
      <w:r w:rsidRPr="00EF6502">
        <w:rPr>
          <w:iCs/>
          <w:lang w:val="en-US"/>
        </w:rPr>
        <w:t>Egyptian ‘Funerary Cones’ from el-Moghraqa, Gaza.</w:t>
      </w:r>
      <w:r>
        <w:rPr>
          <w:iCs/>
          <w:lang w:val="en-US"/>
        </w:rPr>
        <w:t>”</w:t>
      </w:r>
      <w:r w:rsidRPr="00EF6502">
        <w:rPr>
          <w:iCs/>
          <w:lang w:val="en-US"/>
        </w:rPr>
        <w:t xml:space="preserve"> </w:t>
      </w:r>
      <w:r w:rsidRPr="00EF6502">
        <w:rPr>
          <w:i/>
          <w:iCs/>
          <w:lang w:val="en-US"/>
        </w:rPr>
        <w:t>Antiquaries Journal</w:t>
      </w:r>
      <w:r w:rsidRPr="00EF6502">
        <w:rPr>
          <w:iCs/>
          <w:lang w:val="en-US"/>
        </w:rPr>
        <w:t xml:space="preserve"> 84: 319–32.</w:t>
      </w:r>
    </w:p>
    <w:p w14:paraId="348610DF" w14:textId="4943BF68" w:rsidR="00F570D4" w:rsidRDefault="00F570D4" w:rsidP="00F570D4">
      <w:pPr>
        <w:spacing w:line="360" w:lineRule="auto"/>
        <w:ind w:left="709" w:hanging="709"/>
        <w:rPr>
          <w:lang w:val="en-US"/>
        </w:rPr>
      </w:pPr>
      <w:r w:rsidRPr="00EF6502">
        <w:rPr>
          <w:lang w:val="en-US"/>
        </w:rPr>
        <w:t>Stockhammer, P</w:t>
      </w:r>
      <w:r>
        <w:rPr>
          <w:lang w:val="en-US"/>
        </w:rPr>
        <w:t>hilipp</w:t>
      </w:r>
      <w:r w:rsidRPr="00EF6502">
        <w:rPr>
          <w:lang w:val="en-US"/>
        </w:rPr>
        <w:t xml:space="preserve"> W.</w:t>
      </w:r>
      <w:r>
        <w:rPr>
          <w:lang w:val="en-US"/>
        </w:rPr>
        <w:t xml:space="preserve"> 2013. “</w:t>
      </w:r>
      <w:r w:rsidRPr="005155A1">
        <w:rPr>
          <w:lang w:val="en-US"/>
        </w:rPr>
        <w:t>From Hybridity to Entanglement, From Essentialism</w:t>
      </w:r>
      <w:r>
        <w:rPr>
          <w:lang w:val="en-US"/>
        </w:rPr>
        <w:t xml:space="preserve"> </w:t>
      </w:r>
      <w:r w:rsidRPr="005155A1">
        <w:rPr>
          <w:lang w:val="en-US"/>
        </w:rPr>
        <w:t>to Practice</w:t>
      </w:r>
      <w:r>
        <w:rPr>
          <w:lang w:val="en-US"/>
        </w:rPr>
        <w:t xml:space="preserve">.” </w:t>
      </w:r>
      <w:hyperlink r:id="rId7" w:history="1">
        <w:r w:rsidRPr="00024AA1">
          <w:rPr>
            <w:i/>
            <w:lang w:val="en-US"/>
          </w:rPr>
          <w:t>Archaeological Review from Cambridge</w:t>
        </w:r>
        <w:r w:rsidRPr="005155A1">
          <w:rPr>
            <w:lang w:val="en-US"/>
          </w:rPr>
          <w:t xml:space="preserve"> 28</w:t>
        </w:r>
        <w:r>
          <w:rPr>
            <w:lang w:val="en-US"/>
          </w:rPr>
          <w:t>(</w:t>
        </w:r>
        <w:r w:rsidRPr="005155A1">
          <w:rPr>
            <w:lang w:val="en-US"/>
          </w:rPr>
          <w:t>1</w:t>
        </w:r>
      </w:hyperlink>
      <w:r>
        <w:rPr>
          <w:lang w:val="en-US"/>
        </w:rPr>
        <w:t>): 11-28.</w:t>
      </w:r>
    </w:p>
    <w:p w14:paraId="35C86AB9" w14:textId="77777777" w:rsidR="00F570D4" w:rsidRPr="00EF6502" w:rsidRDefault="00F570D4" w:rsidP="00F570D4">
      <w:pPr>
        <w:spacing w:line="360" w:lineRule="auto"/>
        <w:ind w:left="709" w:hanging="709"/>
        <w:rPr>
          <w:lang w:val="en-US"/>
        </w:rPr>
      </w:pPr>
      <w:r w:rsidRPr="00EF6502">
        <w:rPr>
          <w:lang w:val="en-US"/>
        </w:rPr>
        <w:t>Tufnell, O</w:t>
      </w:r>
      <w:r>
        <w:rPr>
          <w:lang w:val="en-US"/>
        </w:rPr>
        <w:t xml:space="preserve">lga. </w:t>
      </w:r>
      <w:r w:rsidRPr="00EF6502">
        <w:rPr>
          <w:lang w:val="en-US"/>
        </w:rPr>
        <w:t>1984</w:t>
      </w:r>
      <w:r>
        <w:rPr>
          <w:lang w:val="en-US"/>
        </w:rPr>
        <w:t xml:space="preserve">. </w:t>
      </w:r>
      <w:r w:rsidRPr="00EF6502">
        <w:rPr>
          <w:i/>
          <w:lang w:val="en-US"/>
        </w:rPr>
        <w:t>Studies on Scarab Seals</w:t>
      </w:r>
      <w:r w:rsidRPr="00EF6502">
        <w:rPr>
          <w:lang w:val="en-US"/>
        </w:rPr>
        <w:t xml:space="preserve"> </w:t>
      </w:r>
      <w:r w:rsidRPr="00EF6502">
        <w:rPr>
          <w:i/>
          <w:lang w:val="en-US"/>
        </w:rPr>
        <w:t>II:</w:t>
      </w:r>
      <w:r w:rsidRPr="00EF6502">
        <w:rPr>
          <w:lang w:val="en-US"/>
        </w:rPr>
        <w:t xml:space="preserve"> </w:t>
      </w:r>
      <w:r w:rsidRPr="00EF6502">
        <w:rPr>
          <w:i/>
          <w:lang w:val="en-US"/>
        </w:rPr>
        <w:t>Scarabs Seals and Their Contribution to History in the Early Second Millennium B.C.</w:t>
      </w:r>
      <w:r w:rsidRPr="00EF6502">
        <w:rPr>
          <w:lang w:val="en-US"/>
        </w:rPr>
        <w:t xml:space="preserve"> Warminster: Aris and Phillips Ltd.</w:t>
      </w:r>
    </w:p>
    <w:p w14:paraId="4712C2CF" w14:textId="77777777" w:rsidR="00F570D4" w:rsidRPr="005155A1" w:rsidRDefault="00F570D4" w:rsidP="00F570D4">
      <w:pPr>
        <w:spacing w:line="360" w:lineRule="auto"/>
        <w:ind w:left="709" w:hanging="709"/>
        <w:rPr>
          <w:lang w:val="en-US"/>
        </w:rPr>
      </w:pPr>
    </w:p>
    <w:p w14:paraId="0A02F1FE" w14:textId="77777777" w:rsidR="009F4891" w:rsidRDefault="009F4891" w:rsidP="00F570D4">
      <w:pPr>
        <w:pStyle w:val="BodyText"/>
        <w:spacing w:before="0"/>
        <w:ind w:left="709" w:hanging="709"/>
        <w:rPr>
          <w:rFonts w:ascii="Times New Roman" w:hAnsi="Times New Roman"/>
          <w:color w:val="1F497D"/>
        </w:rPr>
      </w:pPr>
    </w:p>
    <w:p w14:paraId="445E61D8" w14:textId="595F13D2" w:rsidR="009F4891" w:rsidRPr="00507530" w:rsidRDefault="009F4891" w:rsidP="00F570D4">
      <w:pPr>
        <w:spacing w:after="120" w:line="360" w:lineRule="auto"/>
        <w:ind w:left="709" w:hanging="709"/>
        <w:outlineLvl w:val="0"/>
      </w:pPr>
    </w:p>
    <w:sectPr w:rsidR="009F4891" w:rsidRPr="00507530" w:rsidSect="00626076">
      <w:footerReference w:type="default" r:id="rId8"/>
      <w:pgSz w:w="11907" w:h="16840" w:code="9"/>
      <w:pgMar w:top="1797" w:right="1440" w:bottom="1797" w:left="1440" w:header="709" w:footer="709" w:gutter="0"/>
      <w:cols w:space="708"/>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A6D8EA" w14:textId="77777777" w:rsidR="0028556A" w:rsidRDefault="0028556A" w:rsidP="00F84CAB">
      <w:r>
        <w:separator/>
      </w:r>
    </w:p>
  </w:endnote>
  <w:endnote w:type="continuationSeparator" w:id="0">
    <w:p w14:paraId="47DAB242" w14:textId="77777777" w:rsidR="0028556A" w:rsidRDefault="0028556A" w:rsidP="00F84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C1ECEC" w14:textId="77777777" w:rsidR="009F4891" w:rsidRDefault="00676A3E">
    <w:pPr>
      <w:pStyle w:val="Footer"/>
      <w:jc w:val="right"/>
    </w:pPr>
    <w:r>
      <w:fldChar w:fldCharType="begin"/>
    </w:r>
    <w:r w:rsidR="00585CF7">
      <w:instrText xml:space="preserve"> PAGE   \* MERGEFORMAT </w:instrText>
    </w:r>
    <w:r>
      <w:fldChar w:fldCharType="separate"/>
    </w:r>
    <w:r w:rsidR="00173FFE">
      <w:rPr>
        <w:noProof/>
      </w:rPr>
      <w:t>12</w:t>
    </w:r>
    <w:r>
      <w:rPr>
        <w:noProof/>
      </w:rPr>
      <w:fldChar w:fldCharType="end"/>
    </w:r>
  </w:p>
  <w:p w14:paraId="2AAABD8D" w14:textId="77777777" w:rsidR="009F4891" w:rsidRDefault="009F48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DC6C8A" w14:textId="77777777" w:rsidR="0028556A" w:rsidRDefault="0028556A" w:rsidP="00F84CAB">
      <w:r>
        <w:separator/>
      </w:r>
    </w:p>
  </w:footnote>
  <w:footnote w:type="continuationSeparator" w:id="0">
    <w:p w14:paraId="3B4A95C5" w14:textId="77777777" w:rsidR="0028556A" w:rsidRDefault="0028556A" w:rsidP="00F84C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F0409"/>
    <w:lvl w:ilvl="0">
      <w:start w:val="1"/>
      <w:numFmt w:val="decimal"/>
      <w:lvlText w:val="%1."/>
      <w:lvlJc w:val="left"/>
      <w:pPr>
        <w:tabs>
          <w:tab w:val="num" w:pos="360"/>
        </w:tabs>
        <w:ind w:left="36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522"/>
    <w:rsid w:val="00013B84"/>
    <w:rsid w:val="00026DB2"/>
    <w:rsid w:val="00027857"/>
    <w:rsid w:val="00032A92"/>
    <w:rsid w:val="000431F5"/>
    <w:rsid w:val="0004540A"/>
    <w:rsid w:val="000552B0"/>
    <w:rsid w:val="00066797"/>
    <w:rsid w:val="00074908"/>
    <w:rsid w:val="000835A2"/>
    <w:rsid w:val="00094237"/>
    <w:rsid w:val="00094429"/>
    <w:rsid w:val="000944F9"/>
    <w:rsid w:val="000A160B"/>
    <w:rsid w:val="000A17C9"/>
    <w:rsid w:val="000A1E0A"/>
    <w:rsid w:val="000A222C"/>
    <w:rsid w:val="000B1EAA"/>
    <w:rsid w:val="000F0F88"/>
    <w:rsid w:val="000F40F3"/>
    <w:rsid w:val="000F542D"/>
    <w:rsid w:val="001134FE"/>
    <w:rsid w:val="0011351B"/>
    <w:rsid w:val="00122268"/>
    <w:rsid w:val="00123161"/>
    <w:rsid w:val="00132368"/>
    <w:rsid w:val="00136C43"/>
    <w:rsid w:val="001536F6"/>
    <w:rsid w:val="0017267D"/>
    <w:rsid w:val="00173FFE"/>
    <w:rsid w:val="001755B1"/>
    <w:rsid w:val="00180963"/>
    <w:rsid w:val="001923B0"/>
    <w:rsid w:val="001A30C5"/>
    <w:rsid w:val="001B6E7E"/>
    <w:rsid w:val="001E0C0C"/>
    <w:rsid w:val="001E3B0C"/>
    <w:rsid w:val="001F35CB"/>
    <w:rsid w:val="001F40B0"/>
    <w:rsid w:val="00201068"/>
    <w:rsid w:val="002045C1"/>
    <w:rsid w:val="002110EC"/>
    <w:rsid w:val="00224A6F"/>
    <w:rsid w:val="00225185"/>
    <w:rsid w:val="0022666C"/>
    <w:rsid w:val="00234A9B"/>
    <w:rsid w:val="00247F98"/>
    <w:rsid w:val="0026020F"/>
    <w:rsid w:val="00276D29"/>
    <w:rsid w:val="0028556A"/>
    <w:rsid w:val="002877C7"/>
    <w:rsid w:val="00293731"/>
    <w:rsid w:val="00293C65"/>
    <w:rsid w:val="002A0F84"/>
    <w:rsid w:val="002A5E8E"/>
    <w:rsid w:val="002A7C57"/>
    <w:rsid w:val="002B2CF6"/>
    <w:rsid w:val="002D0DE6"/>
    <w:rsid w:val="002D2B25"/>
    <w:rsid w:val="002D54C5"/>
    <w:rsid w:val="002E5E37"/>
    <w:rsid w:val="00321029"/>
    <w:rsid w:val="00321AB1"/>
    <w:rsid w:val="00330F6B"/>
    <w:rsid w:val="00335C5E"/>
    <w:rsid w:val="00344768"/>
    <w:rsid w:val="00363275"/>
    <w:rsid w:val="003904E8"/>
    <w:rsid w:val="003A2E54"/>
    <w:rsid w:val="003F46F9"/>
    <w:rsid w:val="003F72F8"/>
    <w:rsid w:val="00424E9A"/>
    <w:rsid w:val="00430FC0"/>
    <w:rsid w:val="004335E9"/>
    <w:rsid w:val="00442D36"/>
    <w:rsid w:val="004452FC"/>
    <w:rsid w:val="00452B9E"/>
    <w:rsid w:val="00461078"/>
    <w:rsid w:val="00461483"/>
    <w:rsid w:val="00462033"/>
    <w:rsid w:val="00466F5B"/>
    <w:rsid w:val="0046757F"/>
    <w:rsid w:val="004B0303"/>
    <w:rsid w:val="004D0345"/>
    <w:rsid w:val="004D6678"/>
    <w:rsid w:val="004E1A92"/>
    <w:rsid w:val="004F2175"/>
    <w:rsid w:val="005035D6"/>
    <w:rsid w:val="0050471D"/>
    <w:rsid w:val="00507530"/>
    <w:rsid w:val="005149A3"/>
    <w:rsid w:val="00523975"/>
    <w:rsid w:val="0052457C"/>
    <w:rsid w:val="005407C7"/>
    <w:rsid w:val="0054170E"/>
    <w:rsid w:val="00543E7A"/>
    <w:rsid w:val="00576A19"/>
    <w:rsid w:val="00580C66"/>
    <w:rsid w:val="00585CC0"/>
    <w:rsid w:val="00585CF7"/>
    <w:rsid w:val="00586FBC"/>
    <w:rsid w:val="005A2FDC"/>
    <w:rsid w:val="005A4286"/>
    <w:rsid w:val="005B1860"/>
    <w:rsid w:val="005C4D24"/>
    <w:rsid w:val="005C4E60"/>
    <w:rsid w:val="005D2A87"/>
    <w:rsid w:val="005E1FE3"/>
    <w:rsid w:val="005E47D3"/>
    <w:rsid w:val="005F3B0F"/>
    <w:rsid w:val="005F41BD"/>
    <w:rsid w:val="005F550A"/>
    <w:rsid w:val="005F7C01"/>
    <w:rsid w:val="006203C5"/>
    <w:rsid w:val="00626076"/>
    <w:rsid w:val="00634D12"/>
    <w:rsid w:val="00644021"/>
    <w:rsid w:val="00666E17"/>
    <w:rsid w:val="006765EA"/>
    <w:rsid w:val="00676A3E"/>
    <w:rsid w:val="00690050"/>
    <w:rsid w:val="00693CDE"/>
    <w:rsid w:val="006A12BA"/>
    <w:rsid w:val="006B2A62"/>
    <w:rsid w:val="006B4426"/>
    <w:rsid w:val="006B59C9"/>
    <w:rsid w:val="006D54EE"/>
    <w:rsid w:val="006D5977"/>
    <w:rsid w:val="006E0BA1"/>
    <w:rsid w:val="006F2B70"/>
    <w:rsid w:val="006F404C"/>
    <w:rsid w:val="006F6F2B"/>
    <w:rsid w:val="00704ED8"/>
    <w:rsid w:val="007323EE"/>
    <w:rsid w:val="0073240E"/>
    <w:rsid w:val="00734A31"/>
    <w:rsid w:val="00742C70"/>
    <w:rsid w:val="0075128C"/>
    <w:rsid w:val="007769AD"/>
    <w:rsid w:val="00776BE3"/>
    <w:rsid w:val="00777AE8"/>
    <w:rsid w:val="00780677"/>
    <w:rsid w:val="00781933"/>
    <w:rsid w:val="0079479E"/>
    <w:rsid w:val="0079594D"/>
    <w:rsid w:val="007B5686"/>
    <w:rsid w:val="007C090E"/>
    <w:rsid w:val="007C6728"/>
    <w:rsid w:val="007C7562"/>
    <w:rsid w:val="007C79C7"/>
    <w:rsid w:val="007E26BD"/>
    <w:rsid w:val="007F3627"/>
    <w:rsid w:val="007F6A1B"/>
    <w:rsid w:val="00800C9E"/>
    <w:rsid w:val="0080180D"/>
    <w:rsid w:val="00804FE7"/>
    <w:rsid w:val="0081376D"/>
    <w:rsid w:val="00832640"/>
    <w:rsid w:val="00832B58"/>
    <w:rsid w:val="00842EAE"/>
    <w:rsid w:val="0084499B"/>
    <w:rsid w:val="00853217"/>
    <w:rsid w:val="008553F6"/>
    <w:rsid w:val="0086651D"/>
    <w:rsid w:val="00876392"/>
    <w:rsid w:val="00882440"/>
    <w:rsid w:val="00882643"/>
    <w:rsid w:val="008915A9"/>
    <w:rsid w:val="00891EFA"/>
    <w:rsid w:val="008C14E4"/>
    <w:rsid w:val="008E17E4"/>
    <w:rsid w:val="008F11D8"/>
    <w:rsid w:val="008F185B"/>
    <w:rsid w:val="008F3D36"/>
    <w:rsid w:val="00917DB4"/>
    <w:rsid w:val="00920522"/>
    <w:rsid w:val="0092519A"/>
    <w:rsid w:val="00927FA1"/>
    <w:rsid w:val="00973A33"/>
    <w:rsid w:val="00991C6C"/>
    <w:rsid w:val="009B5738"/>
    <w:rsid w:val="009D2C94"/>
    <w:rsid w:val="009F4891"/>
    <w:rsid w:val="00A11088"/>
    <w:rsid w:val="00A22B6F"/>
    <w:rsid w:val="00A417D9"/>
    <w:rsid w:val="00A60AFC"/>
    <w:rsid w:val="00A67272"/>
    <w:rsid w:val="00A74B6A"/>
    <w:rsid w:val="00A816C5"/>
    <w:rsid w:val="00A94138"/>
    <w:rsid w:val="00AA0112"/>
    <w:rsid w:val="00AB1896"/>
    <w:rsid w:val="00AB30F1"/>
    <w:rsid w:val="00AC21DD"/>
    <w:rsid w:val="00AD525D"/>
    <w:rsid w:val="00AD794B"/>
    <w:rsid w:val="00B04D84"/>
    <w:rsid w:val="00B127AA"/>
    <w:rsid w:val="00B15D47"/>
    <w:rsid w:val="00B15EAC"/>
    <w:rsid w:val="00B24540"/>
    <w:rsid w:val="00B42918"/>
    <w:rsid w:val="00B469D0"/>
    <w:rsid w:val="00B53059"/>
    <w:rsid w:val="00B64B68"/>
    <w:rsid w:val="00B65E89"/>
    <w:rsid w:val="00B71CC8"/>
    <w:rsid w:val="00B7352A"/>
    <w:rsid w:val="00B81914"/>
    <w:rsid w:val="00B82C3A"/>
    <w:rsid w:val="00B847B5"/>
    <w:rsid w:val="00B86E30"/>
    <w:rsid w:val="00BA07F0"/>
    <w:rsid w:val="00BD2451"/>
    <w:rsid w:val="00BD283D"/>
    <w:rsid w:val="00BD7E62"/>
    <w:rsid w:val="00BE2180"/>
    <w:rsid w:val="00BE7AF3"/>
    <w:rsid w:val="00BF102C"/>
    <w:rsid w:val="00BF4A94"/>
    <w:rsid w:val="00C10FFE"/>
    <w:rsid w:val="00C227CF"/>
    <w:rsid w:val="00C82A4C"/>
    <w:rsid w:val="00C94428"/>
    <w:rsid w:val="00CB76C7"/>
    <w:rsid w:val="00CC040C"/>
    <w:rsid w:val="00CC7AAA"/>
    <w:rsid w:val="00CD7406"/>
    <w:rsid w:val="00CE4D8A"/>
    <w:rsid w:val="00CF0E5E"/>
    <w:rsid w:val="00CF4E05"/>
    <w:rsid w:val="00D01485"/>
    <w:rsid w:val="00D209C6"/>
    <w:rsid w:val="00D22E18"/>
    <w:rsid w:val="00D24C47"/>
    <w:rsid w:val="00D36BFD"/>
    <w:rsid w:val="00D46963"/>
    <w:rsid w:val="00D50D49"/>
    <w:rsid w:val="00D544F5"/>
    <w:rsid w:val="00D6422B"/>
    <w:rsid w:val="00D911C4"/>
    <w:rsid w:val="00D920FC"/>
    <w:rsid w:val="00D93A55"/>
    <w:rsid w:val="00D971CD"/>
    <w:rsid w:val="00DA0470"/>
    <w:rsid w:val="00DA4529"/>
    <w:rsid w:val="00DB1435"/>
    <w:rsid w:val="00DB575B"/>
    <w:rsid w:val="00DC0C95"/>
    <w:rsid w:val="00DC161C"/>
    <w:rsid w:val="00DC6A3E"/>
    <w:rsid w:val="00DD14D0"/>
    <w:rsid w:val="00DD40F4"/>
    <w:rsid w:val="00DD48E9"/>
    <w:rsid w:val="00DE1D68"/>
    <w:rsid w:val="00DE3E6A"/>
    <w:rsid w:val="00DF2693"/>
    <w:rsid w:val="00E00D7C"/>
    <w:rsid w:val="00E05A3C"/>
    <w:rsid w:val="00E06F36"/>
    <w:rsid w:val="00E24AD4"/>
    <w:rsid w:val="00E32704"/>
    <w:rsid w:val="00E37D92"/>
    <w:rsid w:val="00E37DFB"/>
    <w:rsid w:val="00E45EE5"/>
    <w:rsid w:val="00E4662D"/>
    <w:rsid w:val="00E73685"/>
    <w:rsid w:val="00E818DA"/>
    <w:rsid w:val="00E8199E"/>
    <w:rsid w:val="00E81E55"/>
    <w:rsid w:val="00E843E4"/>
    <w:rsid w:val="00E920D9"/>
    <w:rsid w:val="00E95BAD"/>
    <w:rsid w:val="00EA77D8"/>
    <w:rsid w:val="00EB529F"/>
    <w:rsid w:val="00EC1401"/>
    <w:rsid w:val="00EC1749"/>
    <w:rsid w:val="00EC50CE"/>
    <w:rsid w:val="00EE3806"/>
    <w:rsid w:val="00EE6C03"/>
    <w:rsid w:val="00F01AA9"/>
    <w:rsid w:val="00F077B4"/>
    <w:rsid w:val="00F07E1E"/>
    <w:rsid w:val="00F20844"/>
    <w:rsid w:val="00F23D15"/>
    <w:rsid w:val="00F245D2"/>
    <w:rsid w:val="00F27DE3"/>
    <w:rsid w:val="00F330FC"/>
    <w:rsid w:val="00F44000"/>
    <w:rsid w:val="00F4753B"/>
    <w:rsid w:val="00F53ACC"/>
    <w:rsid w:val="00F570D4"/>
    <w:rsid w:val="00F70415"/>
    <w:rsid w:val="00F72A28"/>
    <w:rsid w:val="00F75EA5"/>
    <w:rsid w:val="00F84CAB"/>
    <w:rsid w:val="00F87195"/>
    <w:rsid w:val="00F93BFB"/>
    <w:rsid w:val="00F96CFB"/>
    <w:rsid w:val="00F976AE"/>
    <w:rsid w:val="00FA4F8A"/>
    <w:rsid w:val="00FB7E2E"/>
    <w:rsid w:val="00FC0C18"/>
    <w:rsid w:val="00FC2F40"/>
    <w:rsid w:val="00FD2534"/>
    <w:rsid w:val="00FD32FF"/>
    <w:rsid w:val="00FD78FA"/>
    <w:rsid w:val="00FE6FA5"/>
    <w:rsid w:val="00FE7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3600ABD1"/>
  <w15:docId w15:val="{D086A0AD-3296-425D-B1FA-4C616CE30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rsid w:val="00E24AD4"/>
    <w:rPr>
      <w:rFonts w:ascii="Tahoma" w:hAnsi="Tahoma"/>
      <w:sz w:val="16"/>
      <w:szCs w:val="16"/>
    </w:rPr>
  </w:style>
  <w:style w:type="character" w:customStyle="1" w:styleId="DocumentMapChar">
    <w:name w:val="Document Map Char"/>
    <w:basedOn w:val="DefaultParagraphFont"/>
    <w:link w:val="DocumentMap"/>
    <w:uiPriority w:val="99"/>
    <w:locked/>
    <w:rsid w:val="00E24AD4"/>
    <w:rPr>
      <w:rFonts w:ascii="Tahoma" w:hAnsi="Tahoma"/>
      <w:sz w:val="16"/>
      <w:lang w:eastAsia="en-US"/>
    </w:rPr>
  </w:style>
  <w:style w:type="character" w:styleId="Hyperlink">
    <w:name w:val="Hyperlink"/>
    <w:basedOn w:val="DefaultParagraphFont"/>
    <w:uiPriority w:val="99"/>
    <w:rsid w:val="00EB529F"/>
    <w:rPr>
      <w:color w:val="0000FF"/>
      <w:u w:val="single"/>
    </w:rPr>
  </w:style>
  <w:style w:type="paragraph" w:styleId="BodyText">
    <w:name w:val="Body Text"/>
    <w:basedOn w:val="Normal"/>
    <w:link w:val="BodyTextChar"/>
    <w:uiPriority w:val="99"/>
    <w:rsid w:val="00FD2534"/>
    <w:pPr>
      <w:spacing w:before="120" w:line="360" w:lineRule="exact"/>
    </w:pPr>
    <w:rPr>
      <w:rFonts w:ascii="Times" w:hAnsi="Times"/>
    </w:rPr>
  </w:style>
  <w:style w:type="character" w:customStyle="1" w:styleId="BodyTextChar">
    <w:name w:val="Body Text Char"/>
    <w:basedOn w:val="DefaultParagraphFont"/>
    <w:link w:val="BodyText"/>
    <w:uiPriority w:val="99"/>
    <w:locked/>
    <w:rsid w:val="00FD2534"/>
    <w:rPr>
      <w:rFonts w:ascii="Times" w:hAnsi="Times"/>
      <w:sz w:val="24"/>
      <w:lang w:eastAsia="en-US"/>
    </w:rPr>
  </w:style>
  <w:style w:type="character" w:styleId="EndnoteReference">
    <w:name w:val="endnote reference"/>
    <w:basedOn w:val="DefaultParagraphFont"/>
    <w:uiPriority w:val="99"/>
    <w:rsid w:val="00FD2534"/>
    <w:rPr>
      <w:vertAlign w:val="superscript"/>
    </w:rPr>
  </w:style>
  <w:style w:type="character" w:styleId="HTMLCite">
    <w:name w:val="HTML Cite"/>
    <w:basedOn w:val="DefaultParagraphFont"/>
    <w:uiPriority w:val="99"/>
    <w:unhideWhenUsed/>
    <w:rsid w:val="007323EE"/>
    <w:rPr>
      <w:i/>
    </w:rPr>
  </w:style>
  <w:style w:type="paragraph" w:styleId="Header">
    <w:name w:val="header"/>
    <w:basedOn w:val="Normal"/>
    <w:link w:val="HeaderChar"/>
    <w:uiPriority w:val="99"/>
    <w:rsid w:val="00F84CAB"/>
    <w:pPr>
      <w:tabs>
        <w:tab w:val="center" w:pos="4513"/>
        <w:tab w:val="right" w:pos="9026"/>
      </w:tabs>
    </w:pPr>
  </w:style>
  <w:style w:type="character" w:customStyle="1" w:styleId="HeaderChar">
    <w:name w:val="Header Char"/>
    <w:basedOn w:val="DefaultParagraphFont"/>
    <w:link w:val="Header"/>
    <w:uiPriority w:val="99"/>
    <w:locked/>
    <w:rsid w:val="00F84CAB"/>
    <w:rPr>
      <w:sz w:val="24"/>
      <w:lang w:eastAsia="en-US"/>
    </w:rPr>
  </w:style>
  <w:style w:type="paragraph" w:styleId="Footer">
    <w:name w:val="footer"/>
    <w:basedOn w:val="Normal"/>
    <w:link w:val="FooterChar"/>
    <w:uiPriority w:val="99"/>
    <w:rsid w:val="00F84CAB"/>
    <w:pPr>
      <w:tabs>
        <w:tab w:val="center" w:pos="4513"/>
        <w:tab w:val="right" w:pos="9026"/>
      </w:tabs>
    </w:pPr>
  </w:style>
  <w:style w:type="character" w:customStyle="1" w:styleId="FooterChar">
    <w:name w:val="Footer Char"/>
    <w:basedOn w:val="DefaultParagraphFont"/>
    <w:link w:val="Footer"/>
    <w:uiPriority w:val="99"/>
    <w:locked/>
    <w:rsid w:val="00F84CAB"/>
    <w:rPr>
      <w:sz w:val="24"/>
      <w:lang w:eastAsia="en-US"/>
    </w:rPr>
  </w:style>
  <w:style w:type="paragraph" w:styleId="Title">
    <w:name w:val="Title"/>
    <w:basedOn w:val="Normal"/>
    <w:link w:val="TitleChar"/>
    <w:uiPriority w:val="10"/>
    <w:qFormat/>
    <w:rsid w:val="00734A31"/>
    <w:pPr>
      <w:autoSpaceDE w:val="0"/>
      <w:autoSpaceDN w:val="0"/>
      <w:jc w:val="center"/>
    </w:pPr>
    <w:rPr>
      <w:rFonts w:ascii="Times" w:hAnsi="Times"/>
      <w:b/>
      <w:bCs/>
      <w:lang w:eastAsia="fr-FR"/>
    </w:rPr>
  </w:style>
  <w:style w:type="character" w:customStyle="1" w:styleId="TitleChar">
    <w:name w:val="Title Char"/>
    <w:basedOn w:val="DefaultParagraphFont"/>
    <w:link w:val="Title"/>
    <w:uiPriority w:val="10"/>
    <w:locked/>
    <w:rsid w:val="00734A31"/>
    <w:rPr>
      <w:rFonts w:ascii="Times" w:hAnsi="Times"/>
      <w:b/>
      <w:sz w:val="24"/>
      <w:lang w:eastAsia="fr-FR"/>
    </w:rPr>
  </w:style>
  <w:style w:type="paragraph" w:styleId="EndnoteText">
    <w:name w:val="endnote text"/>
    <w:basedOn w:val="Normal"/>
    <w:link w:val="EndnoteTextChar"/>
    <w:uiPriority w:val="99"/>
    <w:rsid w:val="00734A31"/>
    <w:pPr>
      <w:spacing w:before="120" w:line="360" w:lineRule="exact"/>
      <w:ind w:left="567" w:hanging="567"/>
    </w:pPr>
    <w:rPr>
      <w:rFonts w:ascii="Times" w:hAnsi="Times"/>
    </w:rPr>
  </w:style>
  <w:style w:type="character" w:customStyle="1" w:styleId="EndnoteTextChar">
    <w:name w:val="Endnote Text Char"/>
    <w:basedOn w:val="DefaultParagraphFont"/>
    <w:link w:val="EndnoteText"/>
    <w:uiPriority w:val="99"/>
    <w:locked/>
    <w:rsid w:val="00734A31"/>
    <w:rPr>
      <w:rFonts w:ascii="Times" w:hAnsi="Times"/>
      <w:sz w:val="24"/>
      <w:lang w:eastAsia="en-US"/>
    </w:rPr>
  </w:style>
  <w:style w:type="character" w:styleId="Strong">
    <w:name w:val="Strong"/>
    <w:basedOn w:val="DefaultParagraphFont"/>
    <w:uiPriority w:val="22"/>
    <w:qFormat/>
    <w:rsid w:val="00734A31"/>
    <w:rPr>
      <w:b/>
    </w:rPr>
  </w:style>
  <w:style w:type="paragraph" w:styleId="BalloonText">
    <w:name w:val="Balloon Text"/>
    <w:basedOn w:val="Normal"/>
    <w:link w:val="BalloonTextChar"/>
    <w:uiPriority w:val="99"/>
    <w:rsid w:val="00734A31"/>
    <w:rPr>
      <w:rFonts w:ascii="Tahoma" w:hAnsi="Tahoma"/>
      <w:sz w:val="16"/>
      <w:szCs w:val="16"/>
    </w:rPr>
  </w:style>
  <w:style w:type="character" w:customStyle="1" w:styleId="BalloonTextChar">
    <w:name w:val="Balloon Text Char"/>
    <w:basedOn w:val="DefaultParagraphFont"/>
    <w:link w:val="BalloonText"/>
    <w:uiPriority w:val="99"/>
    <w:locked/>
    <w:rsid w:val="00734A31"/>
    <w:rPr>
      <w:rFonts w:ascii="Tahoma" w:hAnsi="Tahoma"/>
      <w:sz w:val="16"/>
      <w:lang w:eastAsia="en-US"/>
    </w:rPr>
  </w:style>
  <w:style w:type="character" w:styleId="Emphasis">
    <w:name w:val="Emphasis"/>
    <w:basedOn w:val="DefaultParagraphFont"/>
    <w:uiPriority w:val="20"/>
    <w:qFormat/>
    <w:rsid w:val="00B04D84"/>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2429329">
      <w:marLeft w:val="0"/>
      <w:marRight w:val="0"/>
      <w:marTop w:val="0"/>
      <w:marBottom w:val="0"/>
      <w:divBdr>
        <w:top w:val="none" w:sz="0" w:space="0" w:color="auto"/>
        <w:left w:val="none" w:sz="0" w:space="0" w:color="auto"/>
        <w:bottom w:val="none" w:sz="0" w:space="0" w:color="auto"/>
        <w:right w:val="none" w:sz="0" w:space="0" w:color="auto"/>
      </w:divBdr>
      <w:divsChild>
        <w:div w:id="1572429332">
          <w:marLeft w:val="0"/>
          <w:marRight w:val="0"/>
          <w:marTop w:val="0"/>
          <w:marBottom w:val="0"/>
          <w:divBdr>
            <w:top w:val="none" w:sz="0" w:space="0" w:color="auto"/>
            <w:left w:val="none" w:sz="0" w:space="0" w:color="auto"/>
            <w:bottom w:val="none" w:sz="0" w:space="0" w:color="auto"/>
            <w:right w:val="none" w:sz="0" w:space="0" w:color="auto"/>
          </w:divBdr>
          <w:divsChild>
            <w:div w:id="1572429351">
              <w:marLeft w:val="0"/>
              <w:marRight w:val="0"/>
              <w:marTop w:val="0"/>
              <w:marBottom w:val="0"/>
              <w:divBdr>
                <w:top w:val="none" w:sz="0" w:space="0" w:color="auto"/>
                <w:left w:val="none" w:sz="0" w:space="0" w:color="auto"/>
                <w:bottom w:val="none" w:sz="0" w:space="0" w:color="auto"/>
                <w:right w:val="none" w:sz="0" w:space="0" w:color="auto"/>
              </w:divBdr>
              <w:divsChild>
                <w:div w:id="1572429342">
                  <w:marLeft w:val="0"/>
                  <w:marRight w:val="0"/>
                  <w:marTop w:val="0"/>
                  <w:marBottom w:val="0"/>
                  <w:divBdr>
                    <w:top w:val="none" w:sz="0" w:space="0" w:color="auto"/>
                    <w:left w:val="none" w:sz="0" w:space="0" w:color="auto"/>
                    <w:bottom w:val="none" w:sz="0" w:space="0" w:color="auto"/>
                    <w:right w:val="none" w:sz="0" w:space="0" w:color="auto"/>
                  </w:divBdr>
                  <w:divsChild>
                    <w:div w:id="1572429340">
                      <w:marLeft w:val="0"/>
                      <w:marRight w:val="0"/>
                      <w:marTop w:val="0"/>
                      <w:marBottom w:val="0"/>
                      <w:divBdr>
                        <w:top w:val="none" w:sz="0" w:space="0" w:color="auto"/>
                        <w:left w:val="none" w:sz="0" w:space="0" w:color="auto"/>
                        <w:bottom w:val="none" w:sz="0" w:space="0" w:color="auto"/>
                        <w:right w:val="none" w:sz="0" w:space="0" w:color="auto"/>
                      </w:divBdr>
                      <w:divsChild>
                        <w:div w:id="1572429336">
                          <w:marLeft w:val="0"/>
                          <w:marRight w:val="0"/>
                          <w:marTop w:val="0"/>
                          <w:marBottom w:val="0"/>
                          <w:divBdr>
                            <w:top w:val="none" w:sz="0" w:space="0" w:color="auto"/>
                            <w:left w:val="none" w:sz="0" w:space="0" w:color="auto"/>
                            <w:bottom w:val="none" w:sz="0" w:space="0" w:color="auto"/>
                            <w:right w:val="none" w:sz="0" w:space="0" w:color="auto"/>
                          </w:divBdr>
                          <w:divsChild>
                            <w:div w:id="1572429348">
                              <w:marLeft w:val="0"/>
                              <w:marRight w:val="0"/>
                              <w:marTop w:val="0"/>
                              <w:marBottom w:val="0"/>
                              <w:divBdr>
                                <w:top w:val="none" w:sz="0" w:space="0" w:color="auto"/>
                                <w:left w:val="none" w:sz="0" w:space="0" w:color="auto"/>
                                <w:bottom w:val="none" w:sz="0" w:space="0" w:color="auto"/>
                                <w:right w:val="none" w:sz="0" w:space="0" w:color="auto"/>
                              </w:divBdr>
                              <w:divsChild>
                                <w:div w:id="1572429346">
                                  <w:marLeft w:val="0"/>
                                  <w:marRight w:val="0"/>
                                  <w:marTop w:val="0"/>
                                  <w:marBottom w:val="0"/>
                                  <w:divBdr>
                                    <w:top w:val="none" w:sz="0" w:space="0" w:color="auto"/>
                                    <w:left w:val="none" w:sz="0" w:space="0" w:color="auto"/>
                                    <w:bottom w:val="none" w:sz="0" w:space="0" w:color="auto"/>
                                    <w:right w:val="none" w:sz="0" w:space="0" w:color="auto"/>
                                  </w:divBdr>
                                  <w:divsChild>
                                    <w:div w:id="1572429334">
                                      <w:marLeft w:val="0"/>
                                      <w:marRight w:val="0"/>
                                      <w:marTop w:val="0"/>
                                      <w:marBottom w:val="0"/>
                                      <w:divBdr>
                                        <w:top w:val="none" w:sz="0" w:space="0" w:color="auto"/>
                                        <w:left w:val="none" w:sz="0" w:space="0" w:color="auto"/>
                                        <w:bottom w:val="none" w:sz="0" w:space="0" w:color="auto"/>
                                        <w:right w:val="none" w:sz="0" w:space="0" w:color="auto"/>
                                      </w:divBdr>
                                      <w:divsChild>
                                        <w:div w:id="1572429337">
                                          <w:marLeft w:val="0"/>
                                          <w:marRight w:val="0"/>
                                          <w:marTop w:val="0"/>
                                          <w:marBottom w:val="0"/>
                                          <w:divBdr>
                                            <w:top w:val="none" w:sz="0" w:space="0" w:color="auto"/>
                                            <w:left w:val="none" w:sz="0" w:space="0" w:color="auto"/>
                                            <w:bottom w:val="none" w:sz="0" w:space="0" w:color="auto"/>
                                            <w:right w:val="none" w:sz="0" w:space="0" w:color="auto"/>
                                          </w:divBdr>
                                          <w:divsChild>
                                            <w:div w:id="1572429335">
                                              <w:marLeft w:val="0"/>
                                              <w:marRight w:val="0"/>
                                              <w:marTop w:val="0"/>
                                              <w:marBottom w:val="0"/>
                                              <w:divBdr>
                                                <w:top w:val="none" w:sz="0" w:space="0" w:color="auto"/>
                                                <w:left w:val="none" w:sz="0" w:space="0" w:color="auto"/>
                                                <w:bottom w:val="none" w:sz="0" w:space="0" w:color="auto"/>
                                                <w:right w:val="none" w:sz="0" w:space="0" w:color="auto"/>
                                              </w:divBdr>
                                            </w:div>
                                            <w:div w:id="1572429343">
                                              <w:marLeft w:val="0"/>
                                              <w:marRight w:val="0"/>
                                              <w:marTop w:val="0"/>
                                              <w:marBottom w:val="0"/>
                                              <w:divBdr>
                                                <w:top w:val="none" w:sz="0" w:space="0" w:color="auto"/>
                                                <w:left w:val="none" w:sz="0" w:space="0" w:color="auto"/>
                                                <w:bottom w:val="none" w:sz="0" w:space="0" w:color="auto"/>
                                                <w:right w:val="none" w:sz="0" w:space="0" w:color="auto"/>
                                              </w:divBdr>
                                              <w:divsChild>
                                                <w:div w:id="1572429352">
                                                  <w:marLeft w:val="0"/>
                                                  <w:marRight w:val="0"/>
                                                  <w:marTop w:val="0"/>
                                                  <w:marBottom w:val="0"/>
                                                  <w:divBdr>
                                                    <w:top w:val="none" w:sz="0" w:space="0" w:color="auto"/>
                                                    <w:left w:val="none" w:sz="0" w:space="0" w:color="auto"/>
                                                    <w:bottom w:val="none" w:sz="0" w:space="0" w:color="auto"/>
                                                    <w:right w:val="none" w:sz="0" w:space="0" w:color="auto"/>
                                                  </w:divBdr>
                                                </w:div>
                                                <w:div w:id="157242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72429339">
      <w:marLeft w:val="0"/>
      <w:marRight w:val="0"/>
      <w:marTop w:val="0"/>
      <w:marBottom w:val="0"/>
      <w:divBdr>
        <w:top w:val="none" w:sz="0" w:space="0" w:color="auto"/>
        <w:left w:val="none" w:sz="0" w:space="0" w:color="auto"/>
        <w:bottom w:val="none" w:sz="0" w:space="0" w:color="auto"/>
        <w:right w:val="none" w:sz="0" w:space="0" w:color="auto"/>
      </w:divBdr>
      <w:divsChild>
        <w:div w:id="1572429345">
          <w:marLeft w:val="0"/>
          <w:marRight w:val="0"/>
          <w:marTop w:val="0"/>
          <w:marBottom w:val="0"/>
          <w:divBdr>
            <w:top w:val="none" w:sz="0" w:space="0" w:color="auto"/>
            <w:left w:val="none" w:sz="0" w:space="0" w:color="auto"/>
            <w:bottom w:val="none" w:sz="0" w:space="0" w:color="auto"/>
            <w:right w:val="none" w:sz="0" w:space="0" w:color="auto"/>
          </w:divBdr>
          <w:divsChild>
            <w:div w:id="1572429331">
              <w:marLeft w:val="0"/>
              <w:marRight w:val="0"/>
              <w:marTop w:val="0"/>
              <w:marBottom w:val="0"/>
              <w:divBdr>
                <w:top w:val="none" w:sz="0" w:space="0" w:color="auto"/>
                <w:left w:val="none" w:sz="0" w:space="0" w:color="auto"/>
                <w:bottom w:val="none" w:sz="0" w:space="0" w:color="auto"/>
                <w:right w:val="none" w:sz="0" w:space="0" w:color="auto"/>
              </w:divBdr>
              <w:divsChild>
                <w:div w:id="1572429354">
                  <w:marLeft w:val="0"/>
                  <w:marRight w:val="0"/>
                  <w:marTop w:val="0"/>
                  <w:marBottom w:val="0"/>
                  <w:divBdr>
                    <w:top w:val="none" w:sz="0" w:space="0" w:color="auto"/>
                    <w:left w:val="none" w:sz="0" w:space="0" w:color="auto"/>
                    <w:bottom w:val="none" w:sz="0" w:space="0" w:color="auto"/>
                    <w:right w:val="none" w:sz="0" w:space="0" w:color="auto"/>
                  </w:divBdr>
                  <w:divsChild>
                    <w:div w:id="1572429355">
                      <w:marLeft w:val="0"/>
                      <w:marRight w:val="0"/>
                      <w:marTop w:val="0"/>
                      <w:marBottom w:val="0"/>
                      <w:divBdr>
                        <w:top w:val="none" w:sz="0" w:space="0" w:color="auto"/>
                        <w:left w:val="none" w:sz="0" w:space="0" w:color="auto"/>
                        <w:bottom w:val="none" w:sz="0" w:space="0" w:color="auto"/>
                        <w:right w:val="none" w:sz="0" w:space="0" w:color="auto"/>
                      </w:divBdr>
                      <w:divsChild>
                        <w:div w:id="1572429347">
                          <w:marLeft w:val="0"/>
                          <w:marRight w:val="0"/>
                          <w:marTop w:val="0"/>
                          <w:marBottom w:val="0"/>
                          <w:divBdr>
                            <w:top w:val="none" w:sz="0" w:space="0" w:color="auto"/>
                            <w:left w:val="none" w:sz="0" w:space="0" w:color="auto"/>
                            <w:bottom w:val="none" w:sz="0" w:space="0" w:color="auto"/>
                            <w:right w:val="none" w:sz="0" w:space="0" w:color="auto"/>
                          </w:divBdr>
                          <w:divsChild>
                            <w:div w:id="1572429333">
                              <w:marLeft w:val="0"/>
                              <w:marRight w:val="0"/>
                              <w:marTop w:val="0"/>
                              <w:marBottom w:val="0"/>
                              <w:divBdr>
                                <w:top w:val="none" w:sz="0" w:space="0" w:color="auto"/>
                                <w:left w:val="none" w:sz="0" w:space="0" w:color="auto"/>
                                <w:bottom w:val="none" w:sz="0" w:space="0" w:color="auto"/>
                                <w:right w:val="none" w:sz="0" w:space="0" w:color="auto"/>
                              </w:divBdr>
                              <w:divsChild>
                                <w:div w:id="1572429344">
                                  <w:marLeft w:val="0"/>
                                  <w:marRight w:val="0"/>
                                  <w:marTop w:val="0"/>
                                  <w:marBottom w:val="0"/>
                                  <w:divBdr>
                                    <w:top w:val="none" w:sz="0" w:space="0" w:color="auto"/>
                                    <w:left w:val="none" w:sz="0" w:space="0" w:color="auto"/>
                                    <w:bottom w:val="none" w:sz="0" w:space="0" w:color="auto"/>
                                    <w:right w:val="none" w:sz="0" w:space="0" w:color="auto"/>
                                  </w:divBdr>
                                  <w:divsChild>
                                    <w:div w:id="1572429349">
                                      <w:marLeft w:val="0"/>
                                      <w:marRight w:val="0"/>
                                      <w:marTop w:val="0"/>
                                      <w:marBottom w:val="0"/>
                                      <w:divBdr>
                                        <w:top w:val="none" w:sz="0" w:space="0" w:color="auto"/>
                                        <w:left w:val="none" w:sz="0" w:space="0" w:color="auto"/>
                                        <w:bottom w:val="none" w:sz="0" w:space="0" w:color="auto"/>
                                        <w:right w:val="none" w:sz="0" w:space="0" w:color="auto"/>
                                      </w:divBdr>
                                      <w:divsChild>
                                        <w:div w:id="1572429328">
                                          <w:marLeft w:val="0"/>
                                          <w:marRight w:val="0"/>
                                          <w:marTop w:val="0"/>
                                          <w:marBottom w:val="0"/>
                                          <w:divBdr>
                                            <w:top w:val="none" w:sz="0" w:space="0" w:color="auto"/>
                                            <w:left w:val="none" w:sz="0" w:space="0" w:color="auto"/>
                                            <w:bottom w:val="none" w:sz="0" w:space="0" w:color="auto"/>
                                            <w:right w:val="none" w:sz="0" w:space="0" w:color="auto"/>
                                          </w:divBdr>
                                          <w:divsChild>
                                            <w:div w:id="1572429330">
                                              <w:marLeft w:val="0"/>
                                              <w:marRight w:val="0"/>
                                              <w:marTop w:val="0"/>
                                              <w:marBottom w:val="0"/>
                                              <w:divBdr>
                                                <w:top w:val="none" w:sz="0" w:space="0" w:color="auto"/>
                                                <w:left w:val="none" w:sz="0" w:space="0" w:color="auto"/>
                                                <w:bottom w:val="none" w:sz="0" w:space="0" w:color="auto"/>
                                                <w:right w:val="none" w:sz="0" w:space="0" w:color="auto"/>
                                              </w:divBdr>
                                            </w:div>
                                            <w:div w:id="1572429338">
                                              <w:marLeft w:val="0"/>
                                              <w:marRight w:val="0"/>
                                              <w:marTop w:val="0"/>
                                              <w:marBottom w:val="0"/>
                                              <w:divBdr>
                                                <w:top w:val="none" w:sz="0" w:space="0" w:color="auto"/>
                                                <w:left w:val="none" w:sz="0" w:space="0" w:color="auto"/>
                                                <w:bottom w:val="none" w:sz="0" w:space="0" w:color="auto"/>
                                                <w:right w:val="none" w:sz="0" w:space="0" w:color="auto"/>
                                              </w:divBdr>
                                              <w:divsChild>
                                                <w:div w:id="1572429350">
                                                  <w:marLeft w:val="0"/>
                                                  <w:marRight w:val="0"/>
                                                  <w:marTop w:val="0"/>
                                                  <w:marBottom w:val="0"/>
                                                  <w:divBdr>
                                                    <w:top w:val="none" w:sz="0" w:space="0" w:color="auto"/>
                                                    <w:left w:val="none" w:sz="0" w:space="0" w:color="auto"/>
                                                    <w:bottom w:val="none" w:sz="0" w:space="0" w:color="auto"/>
                                                    <w:right w:val="none" w:sz="0" w:space="0" w:color="auto"/>
                                                  </w:divBdr>
                                                </w:div>
                                                <w:div w:id="157242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72429357">
      <w:marLeft w:val="0"/>
      <w:marRight w:val="0"/>
      <w:marTop w:val="0"/>
      <w:marBottom w:val="0"/>
      <w:divBdr>
        <w:top w:val="none" w:sz="0" w:space="0" w:color="auto"/>
        <w:left w:val="none" w:sz="0" w:space="0" w:color="auto"/>
        <w:bottom w:val="none" w:sz="0" w:space="0" w:color="auto"/>
        <w:right w:val="none" w:sz="0" w:space="0" w:color="auto"/>
      </w:divBdr>
      <w:divsChild>
        <w:div w:id="1572429341">
          <w:marLeft w:val="0"/>
          <w:marRight w:val="0"/>
          <w:marTop w:val="75"/>
          <w:marBottom w:val="75"/>
          <w:divBdr>
            <w:top w:val="none" w:sz="0" w:space="0" w:color="auto"/>
            <w:left w:val="none" w:sz="0" w:space="0" w:color="auto"/>
            <w:bottom w:val="none" w:sz="0" w:space="0" w:color="auto"/>
            <w:right w:val="none" w:sz="0" w:space="0" w:color="auto"/>
          </w:divBdr>
          <w:divsChild>
            <w:div w:id="157242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cademia.edu/3514661/2013_Stockhammer_P.W._From_Hybridity_to_Entanglement_from_Essentialism_to_Practise._In_P._van_Pelt_Hrsg._Archaeology_and_Cultural_Mixture._Archaeological_Review_from_Cambridge_28_1_Cambridge_2013_11_2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446</Words>
  <Characters>2786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Shifting Relations in Bronze Age Gaza</vt:lpstr>
    </vt:vector>
  </TitlesOfParts>
  <Company>Gilfach</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Shifting Relations in Bronze Age Gaza</dc:title>
  <dc:creator>Steve Thomas</dc:creator>
  <cp:lastModifiedBy>Louise Steel</cp:lastModifiedBy>
  <cp:revision>3</cp:revision>
  <cp:lastPrinted>2012-02-06T17:12:00Z</cp:lastPrinted>
  <dcterms:created xsi:type="dcterms:W3CDTF">2020-10-04T12:48:00Z</dcterms:created>
  <dcterms:modified xsi:type="dcterms:W3CDTF">2020-10-16T15:14:00Z</dcterms:modified>
</cp:coreProperties>
</file>