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B41" w:rsidRDefault="00581FEE" w:rsidP="00740B41">
      <w:pPr>
        <w:pStyle w:val="Heading5"/>
        <w:rPr>
          <w:sz w:val="44"/>
          <w:szCs w:val="44"/>
        </w:rPr>
      </w:pPr>
      <w:r w:rsidRPr="00740B41">
        <w:rPr>
          <w:sz w:val="44"/>
          <w:szCs w:val="44"/>
        </w:rPr>
        <w:t>International Financial Management</w:t>
      </w:r>
    </w:p>
    <w:p w:rsidR="00740B41" w:rsidRDefault="00740B41" w:rsidP="00740B41">
      <w:pPr>
        <w:pStyle w:val="Heading5"/>
        <w:rPr>
          <w:sz w:val="44"/>
          <w:szCs w:val="44"/>
        </w:rPr>
      </w:pPr>
    </w:p>
    <w:p w:rsidR="00740B41" w:rsidRDefault="00740B41" w:rsidP="00740B41">
      <w:pPr>
        <w:pStyle w:val="Heading5"/>
        <w:rPr>
          <w:sz w:val="44"/>
          <w:szCs w:val="44"/>
        </w:rPr>
      </w:pPr>
    </w:p>
    <w:p w:rsidR="00740B41" w:rsidRDefault="00740B41" w:rsidP="00740B41">
      <w:pPr>
        <w:pStyle w:val="Heading5"/>
        <w:rPr>
          <w:sz w:val="44"/>
          <w:szCs w:val="44"/>
        </w:rPr>
      </w:pPr>
    </w:p>
    <w:p w:rsidR="00740B41" w:rsidRDefault="00740B41" w:rsidP="00740B41">
      <w:pPr>
        <w:pStyle w:val="Heading5"/>
        <w:rPr>
          <w:sz w:val="44"/>
          <w:szCs w:val="44"/>
        </w:rPr>
      </w:pPr>
    </w:p>
    <w:p w:rsidR="00740B41" w:rsidRDefault="00740B41" w:rsidP="00740B41">
      <w:pPr>
        <w:pStyle w:val="Heading5"/>
        <w:rPr>
          <w:sz w:val="44"/>
          <w:szCs w:val="44"/>
        </w:rPr>
      </w:pPr>
    </w:p>
    <w:p w:rsidR="00740B41" w:rsidRDefault="00740B41" w:rsidP="00740B41">
      <w:pPr>
        <w:pStyle w:val="Heading5"/>
        <w:rPr>
          <w:sz w:val="44"/>
          <w:szCs w:val="44"/>
        </w:rPr>
      </w:pPr>
      <w:r>
        <w:rPr>
          <w:sz w:val="44"/>
          <w:szCs w:val="44"/>
        </w:rPr>
        <w:t xml:space="preserve">Konstantina Malamova 202492 </w:t>
      </w:r>
    </w:p>
    <w:p w:rsidR="003104DD" w:rsidRPr="00740B41" w:rsidRDefault="00740B41" w:rsidP="00740B41">
      <w:pPr>
        <w:pStyle w:val="Heading5"/>
        <w:rPr>
          <w:sz w:val="44"/>
          <w:szCs w:val="44"/>
        </w:rPr>
      </w:pPr>
      <w:r>
        <w:rPr>
          <w:sz w:val="44"/>
          <w:szCs w:val="44"/>
        </w:rPr>
        <w:t>UWTSD BA Business Management Level 6 Term 1</w:t>
      </w:r>
      <w:bookmarkStart w:id="0" w:name="_GoBack"/>
      <w:bookmarkEnd w:id="0"/>
      <w:r w:rsidR="003104DD" w:rsidRPr="00740B41">
        <w:rPr>
          <w:sz w:val="44"/>
          <w:szCs w:val="44"/>
        </w:rPr>
        <w:br w:type="page"/>
      </w:r>
    </w:p>
    <w:sdt>
      <w:sdtPr>
        <w:rPr>
          <w:rFonts w:ascii="Arial" w:eastAsiaTheme="minorHAnsi" w:hAnsi="Arial" w:cs="Arial"/>
          <w:b w:val="0"/>
          <w:bCs w:val="0"/>
          <w:i w:val="0"/>
          <w:color w:val="auto"/>
          <w:sz w:val="24"/>
          <w:szCs w:val="24"/>
        </w:rPr>
        <w:id w:val="1397313943"/>
        <w:docPartObj>
          <w:docPartGallery w:val="Table of Contents"/>
          <w:docPartUnique/>
        </w:docPartObj>
      </w:sdtPr>
      <w:sdtEndPr>
        <w:rPr>
          <w:rFonts w:eastAsiaTheme="minorEastAsia"/>
        </w:rPr>
      </w:sdtEndPr>
      <w:sdtContent>
        <w:p w:rsidR="00581FEE" w:rsidRPr="00371181" w:rsidRDefault="00581FEE" w:rsidP="00371181">
          <w:pPr>
            <w:pStyle w:val="TOCHeading"/>
            <w:spacing w:line="480" w:lineRule="auto"/>
            <w:jc w:val="both"/>
            <w:rPr>
              <w:rFonts w:ascii="Arial" w:hAnsi="Arial" w:cs="Arial"/>
              <w:b w:val="0"/>
              <w:i w:val="0"/>
              <w:sz w:val="24"/>
              <w:szCs w:val="24"/>
            </w:rPr>
          </w:pPr>
          <w:r w:rsidRPr="00371181">
            <w:rPr>
              <w:rFonts w:ascii="Arial" w:hAnsi="Arial" w:cs="Arial"/>
              <w:b w:val="0"/>
              <w:i w:val="0"/>
              <w:sz w:val="24"/>
              <w:szCs w:val="24"/>
            </w:rPr>
            <w:t>Table of Contents</w:t>
          </w:r>
        </w:p>
        <w:p w:rsidR="000C58EB" w:rsidRPr="00371181" w:rsidRDefault="00581FEE" w:rsidP="00371181">
          <w:pPr>
            <w:pStyle w:val="TOC1"/>
            <w:spacing w:line="480" w:lineRule="auto"/>
            <w:jc w:val="both"/>
            <w:rPr>
              <w:rFonts w:ascii="Arial" w:hAnsi="Arial" w:cs="Arial"/>
              <w:i w:val="0"/>
              <w:noProof/>
              <w:sz w:val="24"/>
              <w:szCs w:val="24"/>
              <w:lang w:val="en-US"/>
            </w:rPr>
          </w:pPr>
          <w:r w:rsidRPr="00371181">
            <w:rPr>
              <w:rFonts w:ascii="Arial" w:hAnsi="Arial" w:cs="Arial"/>
              <w:i w:val="0"/>
              <w:sz w:val="24"/>
              <w:szCs w:val="24"/>
            </w:rPr>
            <w:fldChar w:fldCharType="begin"/>
          </w:r>
          <w:r w:rsidRPr="00371181">
            <w:rPr>
              <w:rFonts w:ascii="Arial" w:hAnsi="Arial" w:cs="Arial"/>
              <w:i w:val="0"/>
              <w:sz w:val="24"/>
              <w:szCs w:val="24"/>
            </w:rPr>
            <w:instrText xml:space="preserve"> TOC \o "1-3" \h \z \u </w:instrText>
          </w:r>
          <w:r w:rsidRPr="00371181">
            <w:rPr>
              <w:rFonts w:ascii="Arial" w:hAnsi="Arial" w:cs="Arial"/>
              <w:i w:val="0"/>
              <w:sz w:val="24"/>
              <w:szCs w:val="24"/>
            </w:rPr>
            <w:fldChar w:fldCharType="separate"/>
          </w:r>
          <w:hyperlink w:anchor="_Toc134018966" w:history="1">
            <w:r w:rsidR="000C58EB" w:rsidRPr="00371181">
              <w:rPr>
                <w:rStyle w:val="Hyperlink"/>
                <w:rFonts w:ascii="Arial" w:hAnsi="Arial" w:cs="Arial"/>
                <w:i w:val="0"/>
                <w:noProof/>
                <w:sz w:val="24"/>
                <w:szCs w:val="24"/>
              </w:rPr>
              <w:t>1.0</w:t>
            </w:r>
            <w:r w:rsidR="000C58EB" w:rsidRPr="00371181">
              <w:rPr>
                <w:rFonts w:ascii="Arial" w:hAnsi="Arial" w:cs="Arial"/>
                <w:i w:val="0"/>
                <w:noProof/>
                <w:sz w:val="24"/>
                <w:szCs w:val="24"/>
                <w:lang w:val="en-US"/>
              </w:rPr>
              <w:tab/>
            </w:r>
            <w:r w:rsidR="000C58EB" w:rsidRPr="00371181">
              <w:rPr>
                <w:rStyle w:val="Hyperlink"/>
                <w:rFonts w:ascii="Arial" w:hAnsi="Arial" w:cs="Arial"/>
                <w:i w:val="0"/>
                <w:noProof/>
                <w:sz w:val="24"/>
                <w:szCs w:val="24"/>
              </w:rPr>
              <w:t>Introduction</w:t>
            </w:r>
            <w:r w:rsidR="000C58EB" w:rsidRPr="00371181">
              <w:rPr>
                <w:rFonts w:ascii="Arial" w:hAnsi="Arial" w:cs="Arial"/>
                <w:i w:val="0"/>
                <w:noProof/>
                <w:webHidden/>
                <w:sz w:val="24"/>
                <w:szCs w:val="24"/>
              </w:rPr>
              <w:tab/>
            </w:r>
            <w:r w:rsidR="000C58EB" w:rsidRPr="00371181">
              <w:rPr>
                <w:rFonts w:ascii="Arial" w:hAnsi="Arial" w:cs="Arial"/>
                <w:i w:val="0"/>
                <w:noProof/>
                <w:webHidden/>
                <w:sz w:val="24"/>
                <w:szCs w:val="24"/>
              </w:rPr>
              <w:fldChar w:fldCharType="begin"/>
            </w:r>
            <w:r w:rsidR="000C58EB" w:rsidRPr="00371181">
              <w:rPr>
                <w:rFonts w:ascii="Arial" w:hAnsi="Arial" w:cs="Arial"/>
                <w:i w:val="0"/>
                <w:noProof/>
                <w:webHidden/>
                <w:sz w:val="24"/>
                <w:szCs w:val="24"/>
              </w:rPr>
              <w:instrText xml:space="preserve"> PAGEREF _Toc134018966 \h </w:instrText>
            </w:r>
            <w:r w:rsidR="000C58EB" w:rsidRPr="00371181">
              <w:rPr>
                <w:rFonts w:ascii="Arial" w:hAnsi="Arial" w:cs="Arial"/>
                <w:i w:val="0"/>
                <w:noProof/>
                <w:webHidden/>
                <w:sz w:val="24"/>
                <w:szCs w:val="24"/>
              </w:rPr>
            </w:r>
            <w:r w:rsidR="000C58EB" w:rsidRPr="00371181">
              <w:rPr>
                <w:rFonts w:ascii="Arial" w:hAnsi="Arial" w:cs="Arial"/>
                <w:i w:val="0"/>
                <w:noProof/>
                <w:webHidden/>
                <w:sz w:val="24"/>
                <w:szCs w:val="24"/>
              </w:rPr>
              <w:fldChar w:fldCharType="separate"/>
            </w:r>
            <w:r w:rsidR="000C58EB" w:rsidRPr="00371181">
              <w:rPr>
                <w:rFonts w:ascii="Arial" w:hAnsi="Arial" w:cs="Arial"/>
                <w:i w:val="0"/>
                <w:noProof/>
                <w:webHidden/>
                <w:sz w:val="24"/>
                <w:szCs w:val="24"/>
              </w:rPr>
              <w:t>3</w:t>
            </w:r>
            <w:r w:rsidR="000C58EB" w:rsidRPr="00371181">
              <w:rPr>
                <w:rFonts w:ascii="Arial" w:hAnsi="Arial" w:cs="Arial"/>
                <w:i w:val="0"/>
                <w:noProof/>
                <w:webHidden/>
                <w:sz w:val="24"/>
                <w:szCs w:val="24"/>
              </w:rPr>
              <w:fldChar w:fldCharType="end"/>
            </w:r>
          </w:hyperlink>
        </w:p>
        <w:p w:rsidR="000C58EB" w:rsidRPr="00371181" w:rsidRDefault="00234130" w:rsidP="00371181">
          <w:pPr>
            <w:pStyle w:val="TOC1"/>
            <w:spacing w:line="480" w:lineRule="auto"/>
            <w:jc w:val="both"/>
            <w:rPr>
              <w:rFonts w:ascii="Arial" w:hAnsi="Arial" w:cs="Arial"/>
              <w:i w:val="0"/>
              <w:noProof/>
              <w:sz w:val="24"/>
              <w:szCs w:val="24"/>
              <w:lang w:val="en-US"/>
            </w:rPr>
          </w:pPr>
          <w:hyperlink w:anchor="_Toc134018967" w:history="1">
            <w:r w:rsidR="000C58EB" w:rsidRPr="00371181">
              <w:rPr>
                <w:rStyle w:val="Hyperlink"/>
                <w:rFonts w:ascii="Arial" w:hAnsi="Arial" w:cs="Arial"/>
                <w:i w:val="0"/>
                <w:noProof/>
                <w:sz w:val="24"/>
                <w:szCs w:val="24"/>
              </w:rPr>
              <w:t>2.0</w:t>
            </w:r>
            <w:r w:rsidR="000C58EB" w:rsidRPr="00371181">
              <w:rPr>
                <w:rFonts w:ascii="Arial" w:hAnsi="Arial" w:cs="Arial"/>
                <w:i w:val="0"/>
                <w:noProof/>
                <w:sz w:val="24"/>
                <w:szCs w:val="24"/>
                <w:lang w:val="en-US"/>
              </w:rPr>
              <w:tab/>
            </w:r>
            <w:r w:rsidR="000C58EB" w:rsidRPr="00371181">
              <w:rPr>
                <w:rStyle w:val="Hyperlink"/>
                <w:rFonts w:ascii="Arial" w:hAnsi="Arial" w:cs="Arial"/>
                <w:i w:val="0"/>
                <w:noProof/>
                <w:sz w:val="24"/>
                <w:szCs w:val="24"/>
              </w:rPr>
              <w:t>Analyzing BP's Dividend Distribution Policy</w:t>
            </w:r>
            <w:r w:rsidR="000C58EB" w:rsidRPr="00371181">
              <w:rPr>
                <w:rFonts w:ascii="Arial" w:hAnsi="Arial" w:cs="Arial"/>
                <w:i w:val="0"/>
                <w:noProof/>
                <w:webHidden/>
                <w:sz w:val="24"/>
                <w:szCs w:val="24"/>
              </w:rPr>
              <w:tab/>
            </w:r>
            <w:r w:rsidR="000C58EB" w:rsidRPr="00371181">
              <w:rPr>
                <w:rFonts w:ascii="Arial" w:hAnsi="Arial" w:cs="Arial"/>
                <w:i w:val="0"/>
                <w:noProof/>
                <w:webHidden/>
                <w:sz w:val="24"/>
                <w:szCs w:val="24"/>
              </w:rPr>
              <w:fldChar w:fldCharType="begin"/>
            </w:r>
            <w:r w:rsidR="000C58EB" w:rsidRPr="00371181">
              <w:rPr>
                <w:rFonts w:ascii="Arial" w:hAnsi="Arial" w:cs="Arial"/>
                <w:i w:val="0"/>
                <w:noProof/>
                <w:webHidden/>
                <w:sz w:val="24"/>
                <w:szCs w:val="24"/>
              </w:rPr>
              <w:instrText xml:space="preserve"> PAGEREF _Toc134018967 \h </w:instrText>
            </w:r>
            <w:r w:rsidR="000C58EB" w:rsidRPr="00371181">
              <w:rPr>
                <w:rFonts w:ascii="Arial" w:hAnsi="Arial" w:cs="Arial"/>
                <w:i w:val="0"/>
                <w:noProof/>
                <w:webHidden/>
                <w:sz w:val="24"/>
                <w:szCs w:val="24"/>
              </w:rPr>
            </w:r>
            <w:r w:rsidR="000C58EB" w:rsidRPr="00371181">
              <w:rPr>
                <w:rFonts w:ascii="Arial" w:hAnsi="Arial" w:cs="Arial"/>
                <w:i w:val="0"/>
                <w:noProof/>
                <w:webHidden/>
                <w:sz w:val="24"/>
                <w:szCs w:val="24"/>
              </w:rPr>
              <w:fldChar w:fldCharType="separate"/>
            </w:r>
            <w:r w:rsidR="000C58EB" w:rsidRPr="00371181">
              <w:rPr>
                <w:rFonts w:ascii="Arial" w:hAnsi="Arial" w:cs="Arial"/>
                <w:i w:val="0"/>
                <w:noProof/>
                <w:webHidden/>
                <w:sz w:val="24"/>
                <w:szCs w:val="24"/>
              </w:rPr>
              <w:t>3</w:t>
            </w:r>
            <w:r w:rsidR="000C58EB" w:rsidRPr="00371181">
              <w:rPr>
                <w:rFonts w:ascii="Arial" w:hAnsi="Arial" w:cs="Arial"/>
                <w:i w:val="0"/>
                <w:noProof/>
                <w:webHidden/>
                <w:sz w:val="24"/>
                <w:szCs w:val="24"/>
              </w:rPr>
              <w:fldChar w:fldCharType="end"/>
            </w:r>
          </w:hyperlink>
        </w:p>
        <w:p w:rsidR="000C58EB" w:rsidRPr="00371181" w:rsidRDefault="00234130" w:rsidP="00371181">
          <w:pPr>
            <w:pStyle w:val="TOC1"/>
            <w:spacing w:line="480" w:lineRule="auto"/>
            <w:jc w:val="both"/>
            <w:rPr>
              <w:rFonts w:ascii="Arial" w:hAnsi="Arial" w:cs="Arial"/>
              <w:i w:val="0"/>
              <w:noProof/>
              <w:sz w:val="24"/>
              <w:szCs w:val="24"/>
              <w:lang w:val="en-US"/>
            </w:rPr>
          </w:pPr>
          <w:hyperlink w:anchor="_Toc134018968" w:history="1">
            <w:r w:rsidR="000C58EB" w:rsidRPr="00371181">
              <w:rPr>
                <w:rStyle w:val="Hyperlink"/>
                <w:rFonts w:ascii="Arial" w:hAnsi="Arial" w:cs="Arial"/>
                <w:i w:val="0"/>
                <w:noProof/>
                <w:sz w:val="24"/>
                <w:szCs w:val="24"/>
              </w:rPr>
              <w:t>3.0</w:t>
            </w:r>
            <w:r w:rsidR="000C58EB" w:rsidRPr="00371181">
              <w:rPr>
                <w:rFonts w:ascii="Arial" w:hAnsi="Arial" w:cs="Arial"/>
                <w:i w:val="0"/>
                <w:noProof/>
                <w:sz w:val="24"/>
                <w:szCs w:val="24"/>
                <w:lang w:val="en-US"/>
              </w:rPr>
              <w:tab/>
            </w:r>
            <w:r w:rsidR="000C58EB" w:rsidRPr="00371181">
              <w:rPr>
                <w:rStyle w:val="Hyperlink"/>
                <w:rFonts w:ascii="Arial" w:hAnsi="Arial" w:cs="Arial"/>
                <w:i w:val="0"/>
                <w:noProof/>
                <w:sz w:val="24"/>
                <w:szCs w:val="24"/>
              </w:rPr>
              <w:t>Analyzing the efficient market hypothesis</w:t>
            </w:r>
            <w:r w:rsidR="000C58EB" w:rsidRPr="00371181">
              <w:rPr>
                <w:rFonts w:ascii="Arial" w:hAnsi="Arial" w:cs="Arial"/>
                <w:i w:val="0"/>
                <w:noProof/>
                <w:webHidden/>
                <w:sz w:val="24"/>
                <w:szCs w:val="24"/>
              </w:rPr>
              <w:tab/>
            </w:r>
            <w:r w:rsidR="000C58EB" w:rsidRPr="00371181">
              <w:rPr>
                <w:rFonts w:ascii="Arial" w:hAnsi="Arial" w:cs="Arial"/>
                <w:i w:val="0"/>
                <w:noProof/>
                <w:webHidden/>
                <w:sz w:val="24"/>
                <w:szCs w:val="24"/>
              </w:rPr>
              <w:fldChar w:fldCharType="begin"/>
            </w:r>
            <w:r w:rsidR="000C58EB" w:rsidRPr="00371181">
              <w:rPr>
                <w:rFonts w:ascii="Arial" w:hAnsi="Arial" w:cs="Arial"/>
                <w:i w:val="0"/>
                <w:noProof/>
                <w:webHidden/>
                <w:sz w:val="24"/>
                <w:szCs w:val="24"/>
              </w:rPr>
              <w:instrText xml:space="preserve"> PAGEREF _Toc134018968 \h </w:instrText>
            </w:r>
            <w:r w:rsidR="000C58EB" w:rsidRPr="00371181">
              <w:rPr>
                <w:rFonts w:ascii="Arial" w:hAnsi="Arial" w:cs="Arial"/>
                <w:i w:val="0"/>
                <w:noProof/>
                <w:webHidden/>
                <w:sz w:val="24"/>
                <w:szCs w:val="24"/>
              </w:rPr>
            </w:r>
            <w:r w:rsidR="000C58EB" w:rsidRPr="00371181">
              <w:rPr>
                <w:rFonts w:ascii="Arial" w:hAnsi="Arial" w:cs="Arial"/>
                <w:i w:val="0"/>
                <w:noProof/>
                <w:webHidden/>
                <w:sz w:val="24"/>
                <w:szCs w:val="24"/>
              </w:rPr>
              <w:fldChar w:fldCharType="separate"/>
            </w:r>
            <w:r w:rsidR="000C58EB" w:rsidRPr="00371181">
              <w:rPr>
                <w:rFonts w:ascii="Arial" w:hAnsi="Arial" w:cs="Arial"/>
                <w:i w:val="0"/>
                <w:noProof/>
                <w:webHidden/>
                <w:sz w:val="24"/>
                <w:szCs w:val="24"/>
              </w:rPr>
              <w:t>4</w:t>
            </w:r>
            <w:r w:rsidR="000C58EB" w:rsidRPr="00371181">
              <w:rPr>
                <w:rFonts w:ascii="Arial" w:hAnsi="Arial" w:cs="Arial"/>
                <w:i w:val="0"/>
                <w:noProof/>
                <w:webHidden/>
                <w:sz w:val="24"/>
                <w:szCs w:val="24"/>
              </w:rPr>
              <w:fldChar w:fldCharType="end"/>
            </w:r>
          </w:hyperlink>
        </w:p>
        <w:p w:rsidR="000C58EB" w:rsidRPr="00371181" w:rsidRDefault="00234130" w:rsidP="00371181">
          <w:pPr>
            <w:pStyle w:val="TOC1"/>
            <w:spacing w:line="480" w:lineRule="auto"/>
            <w:jc w:val="both"/>
            <w:rPr>
              <w:rFonts w:ascii="Arial" w:hAnsi="Arial" w:cs="Arial"/>
              <w:i w:val="0"/>
              <w:noProof/>
              <w:sz w:val="24"/>
              <w:szCs w:val="24"/>
              <w:lang w:val="en-US"/>
            </w:rPr>
          </w:pPr>
          <w:hyperlink w:anchor="_Toc134018969" w:history="1">
            <w:r w:rsidR="000C58EB" w:rsidRPr="00371181">
              <w:rPr>
                <w:rStyle w:val="Hyperlink"/>
                <w:rFonts w:ascii="Arial" w:hAnsi="Arial" w:cs="Arial"/>
                <w:i w:val="0"/>
                <w:noProof/>
                <w:sz w:val="24"/>
                <w:szCs w:val="24"/>
              </w:rPr>
              <w:t>4.0</w:t>
            </w:r>
            <w:r w:rsidR="000C58EB" w:rsidRPr="00371181">
              <w:rPr>
                <w:rFonts w:ascii="Arial" w:hAnsi="Arial" w:cs="Arial"/>
                <w:i w:val="0"/>
                <w:noProof/>
                <w:sz w:val="24"/>
                <w:szCs w:val="24"/>
                <w:lang w:val="en-US"/>
              </w:rPr>
              <w:tab/>
            </w:r>
            <w:r w:rsidR="000C58EB" w:rsidRPr="00371181">
              <w:rPr>
                <w:rStyle w:val="Hyperlink"/>
                <w:rFonts w:ascii="Arial" w:hAnsi="Arial" w:cs="Arial"/>
                <w:i w:val="0"/>
                <w:noProof/>
                <w:sz w:val="24"/>
                <w:szCs w:val="24"/>
              </w:rPr>
              <w:t>Analysis of BP's methods of project appraisal</w:t>
            </w:r>
            <w:r w:rsidR="000C58EB" w:rsidRPr="00371181">
              <w:rPr>
                <w:rFonts w:ascii="Arial" w:hAnsi="Arial" w:cs="Arial"/>
                <w:i w:val="0"/>
                <w:noProof/>
                <w:webHidden/>
                <w:sz w:val="24"/>
                <w:szCs w:val="24"/>
              </w:rPr>
              <w:tab/>
            </w:r>
            <w:r w:rsidR="000C58EB" w:rsidRPr="00371181">
              <w:rPr>
                <w:rFonts w:ascii="Arial" w:hAnsi="Arial" w:cs="Arial"/>
                <w:i w:val="0"/>
                <w:noProof/>
                <w:webHidden/>
                <w:sz w:val="24"/>
                <w:szCs w:val="24"/>
              </w:rPr>
              <w:fldChar w:fldCharType="begin"/>
            </w:r>
            <w:r w:rsidR="000C58EB" w:rsidRPr="00371181">
              <w:rPr>
                <w:rFonts w:ascii="Arial" w:hAnsi="Arial" w:cs="Arial"/>
                <w:i w:val="0"/>
                <w:noProof/>
                <w:webHidden/>
                <w:sz w:val="24"/>
                <w:szCs w:val="24"/>
              </w:rPr>
              <w:instrText xml:space="preserve"> PAGEREF _Toc134018969 \h </w:instrText>
            </w:r>
            <w:r w:rsidR="000C58EB" w:rsidRPr="00371181">
              <w:rPr>
                <w:rFonts w:ascii="Arial" w:hAnsi="Arial" w:cs="Arial"/>
                <w:i w:val="0"/>
                <w:noProof/>
                <w:webHidden/>
                <w:sz w:val="24"/>
                <w:szCs w:val="24"/>
              </w:rPr>
            </w:r>
            <w:r w:rsidR="000C58EB" w:rsidRPr="00371181">
              <w:rPr>
                <w:rFonts w:ascii="Arial" w:hAnsi="Arial" w:cs="Arial"/>
                <w:i w:val="0"/>
                <w:noProof/>
                <w:webHidden/>
                <w:sz w:val="24"/>
                <w:szCs w:val="24"/>
              </w:rPr>
              <w:fldChar w:fldCharType="separate"/>
            </w:r>
            <w:r w:rsidR="000C58EB" w:rsidRPr="00371181">
              <w:rPr>
                <w:rFonts w:ascii="Arial" w:hAnsi="Arial" w:cs="Arial"/>
                <w:i w:val="0"/>
                <w:noProof/>
                <w:webHidden/>
                <w:sz w:val="24"/>
                <w:szCs w:val="24"/>
              </w:rPr>
              <w:t>5</w:t>
            </w:r>
            <w:r w:rsidR="000C58EB" w:rsidRPr="00371181">
              <w:rPr>
                <w:rFonts w:ascii="Arial" w:hAnsi="Arial" w:cs="Arial"/>
                <w:i w:val="0"/>
                <w:noProof/>
                <w:webHidden/>
                <w:sz w:val="24"/>
                <w:szCs w:val="24"/>
              </w:rPr>
              <w:fldChar w:fldCharType="end"/>
            </w:r>
          </w:hyperlink>
        </w:p>
        <w:p w:rsidR="000C58EB" w:rsidRPr="00371181" w:rsidRDefault="00234130" w:rsidP="00371181">
          <w:pPr>
            <w:pStyle w:val="TOC1"/>
            <w:spacing w:line="480" w:lineRule="auto"/>
            <w:jc w:val="both"/>
            <w:rPr>
              <w:rFonts w:ascii="Arial" w:hAnsi="Arial" w:cs="Arial"/>
              <w:i w:val="0"/>
              <w:noProof/>
              <w:sz w:val="24"/>
              <w:szCs w:val="24"/>
              <w:lang w:val="en-US"/>
            </w:rPr>
          </w:pPr>
          <w:hyperlink w:anchor="_Toc134018970" w:history="1">
            <w:r w:rsidR="000C58EB" w:rsidRPr="00371181">
              <w:rPr>
                <w:rStyle w:val="Hyperlink"/>
                <w:rFonts w:ascii="Arial" w:hAnsi="Arial" w:cs="Arial"/>
                <w:i w:val="0"/>
                <w:noProof/>
                <w:sz w:val="24"/>
                <w:szCs w:val="24"/>
              </w:rPr>
              <w:t>5.0</w:t>
            </w:r>
            <w:r w:rsidR="000C58EB" w:rsidRPr="00371181">
              <w:rPr>
                <w:rFonts w:ascii="Arial" w:hAnsi="Arial" w:cs="Arial"/>
                <w:i w:val="0"/>
                <w:noProof/>
                <w:sz w:val="24"/>
                <w:szCs w:val="24"/>
                <w:lang w:val="en-US"/>
              </w:rPr>
              <w:tab/>
            </w:r>
            <w:r w:rsidR="000C58EB" w:rsidRPr="00371181">
              <w:rPr>
                <w:rStyle w:val="Hyperlink"/>
                <w:rFonts w:ascii="Arial" w:hAnsi="Arial" w:cs="Arial"/>
                <w:i w:val="0"/>
                <w:noProof/>
                <w:sz w:val="24"/>
                <w:szCs w:val="24"/>
              </w:rPr>
              <w:t>Conclusion</w:t>
            </w:r>
            <w:r w:rsidR="000C58EB" w:rsidRPr="00371181">
              <w:rPr>
                <w:rFonts w:ascii="Arial" w:hAnsi="Arial" w:cs="Arial"/>
                <w:i w:val="0"/>
                <w:noProof/>
                <w:webHidden/>
                <w:sz w:val="24"/>
                <w:szCs w:val="24"/>
              </w:rPr>
              <w:tab/>
            </w:r>
            <w:r w:rsidR="000C58EB" w:rsidRPr="00371181">
              <w:rPr>
                <w:rFonts w:ascii="Arial" w:hAnsi="Arial" w:cs="Arial"/>
                <w:i w:val="0"/>
                <w:noProof/>
                <w:webHidden/>
                <w:sz w:val="24"/>
                <w:szCs w:val="24"/>
              </w:rPr>
              <w:fldChar w:fldCharType="begin"/>
            </w:r>
            <w:r w:rsidR="000C58EB" w:rsidRPr="00371181">
              <w:rPr>
                <w:rFonts w:ascii="Arial" w:hAnsi="Arial" w:cs="Arial"/>
                <w:i w:val="0"/>
                <w:noProof/>
                <w:webHidden/>
                <w:sz w:val="24"/>
                <w:szCs w:val="24"/>
              </w:rPr>
              <w:instrText xml:space="preserve"> PAGEREF _Toc134018970 \h </w:instrText>
            </w:r>
            <w:r w:rsidR="000C58EB" w:rsidRPr="00371181">
              <w:rPr>
                <w:rFonts w:ascii="Arial" w:hAnsi="Arial" w:cs="Arial"/>
                <w:i w:val="0"/>
                <w:noProof/>
                <w:webHidden/>
                <w:sz w:val="24"/>
                <w:szCs w:val="24"/>
              </w:rPr>
            </w:r>
            <w:r w:rsidR="000C58EB" w:rsidRPr="00371181">
              <w:rPr>
                <w:rFonts w:ascii="Arial" w:hAnsi="Arial" w:cs="Arial"/>
                <w:i w:val="0"/>
                <w:noProof/>
                <w:webHidden/>
                <w:sz w:val="24"/>
                <w:szCs w:val="24"/>
              </w:rPr>
              <w:fldChar w:fldCharType="separate"/>
            </w:r>
            <w:r w:rsidR="000C58EB" w:rsidRPr="00371181">
              <w:rPr>
                <w:rFonts w:ascii="Arial" w:hAnsi="Arial" w:cs="Arial"/>
                <w:i w:val="0"/>
                <w:noProof/>
                <w:webHidden/>
                <w:sz w:val="24"/>
                <w:szCs w:val="24"/>
              </w:rPr>
              <w:t>6</w:t>
            </w:r>
            <w:r w:rsidR="000C58EB" w:rsidRPr="00371181">
              <w:rPr>
                <w:rFonts w:ascii="Arial" w:hAnsi="Arial" w:cs="Arial"/>
                <w:i w:val="0"/>
                <w:noProof/>
                <w:webHidden/>
                <w:sz w:val="24"/>
                <w:szCs w:val="24"/>
              </w:rPr>
              <w:fldChar w:fldCharType="end"/>
            </w:r>
          </w:hyperlink>
        </w:p>
        <w:p w:rsidR="000C58EB" w:rsidRPr="00371181" w:rsidRDefault="00234130" w:rsidP="00371181">
          <w:pPr>
            <w:pStyle w:val="TOC1"/>
            <w:spacing w:line="480" w:lineRule="auto"/>
            <w:jc w:val="both"/>
            <w:rPr>
              <w:rFonts w:ascii="Arial" w:hAnsi="Arial" w:cs="Arial"/>
              <w:i w:val="0"/>
              <w:noProof/>
              <w:sz w:val="24"/>
              <w:szCs w:val="24"/>
              <w:lang w:val="en-US"/>
            </w:rPr>
          </w:pPr>
          <w:hyperlink w:anchor="_Toc134018971" w:history="1">
            <w:r w:rsidR="000C58EB" w:rsidRPr="00371181">
              <w:rPr>
                <w:rStyle w:val="Hyperlink"/>
                <w:rFonts w:ascii="Arial" w:hAnsi="Arial" w:cs="Arial"/>
                <w:i w:val="0"/>
                <w:noProof/>
                <w:sz w:val="24"/>
                <w:szCs w:val="24"/>
              </w:rPr>
              <w:t>6.0</w:t>
            </w:r>
            <w:r w:rsidR="000C58EB" w:rsidRPr="00371181">
              <w:rPr>
                <w:rFonts w:ascii="Arial" w:hAnsi="Arial" w:cs="Arial"/>
                <w:i w:val="0"/>
                <w:noProof/>
                <w:sz w:val="24"/>
                <w:szCs w:val="24"/>
                <w:lang w:val="en-US"/>
              </w:rPr>
              <w:tab/>
            </w:r>
            <w:r w:rsidR="000C58EB" w:rsidRPr="00371181">
              <w:rPr>
                <w:rStyle w:val="Hyperlink"/>
                <w:rFonts w:ascii="Arial" w:hAnsi="Arial" w:cs="Arial"/>
                <w:i w:val="0"/>
                <w:noProof/>
                <w:sz w:val="24"/>
                <w:szCs w:val="24"/>
              </w:rPr>
              <w:t>References</w:t>
            </w:r>
            <w:r w:rsidR="000C58EB" w:rsidRPr="00371181">
              <w:rPr>
                <w:rFonts w:ascii="Arial" w:hAnsi="Arial" w:cs="Arial"/>
                <w:i w:val="0"/>
                <w:noProof/>
                <w:webHidden/>
                <w:sz w:val="24"/>
                <w:szCs w:val="24"/>
              </w:rPr>
              <w:tab/>
            </w:r>
            <w:r w:rsidR="000C58EB" w:rsidRPr="00371181">
              <w:rPr>
                <w:rFonts w:ascii="Arial" w:hAnsi="Arial" w:cs="Arial"/>
                <w:i w:val="0"/>
                <w:noProof/>
                <w:webHidden/>
                <w:sz w:val="24"/>
                <w:szCs w:val="24"/>
              </w:rPr>
              <w:fldChar w:fldCharType="begin"/>
            </w:r>
            <w:r w:rsidR="000C58EB" w:rsidRPr="00371181">
              <w:rPr>
                <w:rFonts w:ascii="Arial" w:hAnsi="Arial" w:cs="Arial"/>
                <w:i w:val="0"/>
                <w:noProof/>
                <w:webHidden/>
                <w:sz w:val="24"/>
                <w:szCs w:val="24"/>
              </w:rPr>
              <w:instrText xml:space="preserve"> PAGEREF _Toc134018971 \h </w:instrText>
            </w:r>
            <w:r w:rsidR="000C58EB" w:rsidRPr="00371181">
              <w:rPr>
                <w:rFonts w:ascii="Arial" w:hAnsi="Arial" w:cs="Arial"/>
                <w:i w:val="0"/>
                <w:noProof/>
                <w:webHidden/>
                <w:sz w:val="24"/>
                <w:szCs w:val="24"/>
              </w:rPr>
            </w:r>
            <w:r w:rsidR="000C58EB" w:rsidRPr="00371181">
              <w:rPr>
                <w:rFonts w:ascii="Arial" w:hAnsi="Arial" w:cs="Arial"/>
                <w:i w:val="0"/>
                <w:noProof/>
                <w:webHidden/>
                <w:sz w:val="24"/>
                <w:szCs w:val="24"/>
              </w:rPr>
              <w:fldChar w:fldCharType="separate"/>
            </w:r>
            <w:r w:rsidR="000C58EB" w:rsidRPr="00371181">
              <w:rPr>
                <w:rFonts w:ascii="Arial" w:hAnsi="Arial" w:cs="Arial"/>
                <w:i w:val="0"/>
                <w:noProof/>
                <w:webHidden/>
                <w:sz w:val="24"/>
                <w:szCs w:val="24"/>
              </w:rPr>
              <w:t>8</w:t>
            </w:r>
            <w:r w:rsidR="000C58EB" w:rsidRPr="00371181">
              <w:rPr>
                <w:rFonts w:ascii="Arial" w:hAnsi="Arial" w:cs="Arial"/>
                <w:i w:val="0"/>
                <w:noProof/>
                <w:webHidden/>
                <w:sz w:val="24"/>
                <w:szCs w:val="24"/>
              </w:rPr>
              <w:fldChar w:fldCharType="end"/>
            </w:r>
          </w:hyperlink>
        </w:p>
        <w:p w:rsidR="00581FEE" w:rsidRPr="00371181" w:rsidRDefault="00581FEE" w:rsidP="00371181">
          <w:pPr>
            <w:spacing w:line="480" w:lineRule="auto"/>
            <w:jc w:val="both"/>
            <w:rPr>
              <w:rFonts w:ascii="Arial" w:hAnsi="Arial" w:cs="Arial"/>
              <w:i w:val="0"/>
              <w:sz w:val="24"/>
              <w:szCs w:val="24"/>
            </w:rPr>
          </w:pPr>
          <w:r w:rsidRPr="00371181">
            <w:rPr>
              <w:rFonts w:ascii="Arial" w:hAnsi="Arial" w:cs="Arial"/>
              <w:i w:val="0"/>
              <w:sz w:val="24"/>
              <w:szCs w:val="24"/>
            </w:rPr>
            <w:fldChar w:fldCharType="end"/>
          </w:r>
        </w:p>
      </w:sdtContent>
    </w:sdt>
    <w:p w:rsidR="003104DD" w:rsidRPr="00371181" w:rsidRDefault="003104DD" w:rsidP="00371181">
      <w:pPr>
        <w:spacing w:line="480" w:lineRule="auto"/>
        <w:jc w:val="both"/>
        <w:rPr>
          <w:rFonts w:ascii="Arial" w:hAnsi="Arial" w:cs="Arial"/>
          <w:i w:val="0"/>
          <w:sz w:val="24"/>
          <w:szCs w:val="24"/>
        </w:rPr>
      </w:pPr>
      <w:r w:rsidRPr="00371181">
        <w:rPr>
          <w:rFonts w:ascii="Arial" w:hAnsi="Arial" w:cs="Arial"/>
          <w:i w:val="0"/>
          <w:sz w:val="24"/>
          <w:szCs w:val="24"/>
        </w:rPr>
        <w:br w:type="page"/>
      </w:r>
    </w:p>
    <w:p w:rsidR="00581FEE" w:rsidRPr="00371181" w:rsidRDefault="00581FEE" w:rsidP="00371181">
      <w:pPr>
        <w:pStyle w:val="Heading1"/>
        <w:numPr>
          <w:ilvl w:val="0"/>
          <w:numId w:val="2"/>
        </w:numPr>
        <w:spacing w:line="480" w:lineRule="auto"/>
        <w:jc w:val="both"/>
        <w:rPr>
          <w:rFonts w:ascii="Arial" w:hAnsi="Arial" w:cs="Arial"/>
          <w:b w:val="0"/>
          <w:i w:val="0"/>
          <w:sz w:val="24"/>
          <w:szCs w:val="24"/>
        </w:rPr>
      </w:pPr>
      <w:bookmarkStart w:id="1" w:name="_Toc134018966"/>
      <w:r w:rsidRPr="00371181">
        <w:rPr>
          <w:rFonts w:ascii="Arial" w:hAnsi="Arial" w:cs="Arial"/>
          <w:b w:val="0"/>
          <w:i w:val="0"/>
          <w:sz w:val="24"/>
          <w:szCs w:val="24"/>
        </w:rPr>
        <w:lastRenderedPageBreak/>
        <w:t>Introduction</w:t>
      </w:r>
      <w:bookmarkEnd w:id="1"/>
    </w:p>
    <w:p w:rsidR="00581FEE" w:rsidRPr="00371181" w:rsidRDefault="00581FEE" w:rsidP="00371181">
      <w:pPr>
        <w:spacing w:line="480" w:lineRule="auto"/>
        <w:jc w:val="both"/>
        <w:rPr>
          <w:rFonts w:ascii="Arial" w:hAnsi="Arial" w:cs="Arial"/>
          <w:i w:val="0"/>
          <w:sz w:val="24"/>
          <w:szCs w:val="24"/>
          <w:lang w:val="en-US"/>
        </w:rPr>
      </w:pPr>
      <w:r w:rsidRPr="00371181">
        <w:rPr>
          <w:rFonts w:ascii="Arial" w:hAnsi="Arial" w:cs="Arial"/>
          <w:i w:val="0"/>
          <w:sz w:val="24"/>
          <w:szCs w:val="24"/>
          <w:lang w:val="en-US"/>
        </w:rPr>
        <w:t>This is an essay that critically analyzes and evaluates different aspects of BP Plc, a global oil and gas corporation. The essay covers three main topics, including BP's dividend distribution policy, the efficient market hypothesis, and BP's methods of project appraisal. It starts by discussing BP's dividend distribution policy, which plays a crucial role in international financial management and affects the company's financial health and shareholder value. It then moves on to the efficient market hypothesis, a financial theory that posits that asset prices reflect all available information, and evaluates its application to BP. Finally, it analyzes BP's methods of project appraisal, which the company uses to evaluate the viability of investment opportunities and make informed decisions about capital allocation. The essay highlights the importance of these topics for understanding BP's financial performance, shareholder value, and risk exposure.</w:t>
      </w:r>
    </w:p>
    <w:p w:rsidR="003104DD" w:rsidRPr="00371181" w:rsidRDefault="003104DD" w:rsidP="00371181">
      <w:pPr>
        <w:pStyle w:val="Heading1"/>
        <w:numPr>
          <w:ilvl w:val="0"/>
          <w:numId w:val="2"/>
        </w:numPr>
        <w:spacing w:line="480" w:lineRule="auto"/>
        <w:jc w:val="both"/>
        <w:rPr>
          <w:rFonts w:ascii="Arial" w:hAnsi="Arial" w:cs="Arial"/>
          <w:b w:val="0"/>
          <w:i w:val="0"/>
          <w:sz w:val="24"/>
          <w:szCs w:val="24"/>
        </w:rPr>
      </w:pPr>
      <w:bookmarkStart w:id="2" w:name="_Toc134018967"/>
      <w:r w:rsidRPr="00371181">
        <w:rPr>
          <w:rFonts w:ascii="Arial" w:hAnsi="Arial" w:cs="Arial"/>
          <w:b w:val="0"/>
          <w:i w:val="0"/>
          <w:sz w:val="24"/>
          <w:szCs w:val="24"/>
        </w:rPr>
        <w:t>Analyzing BP's Dividend Distribution Policy</w:t>
      </w:r>
      <w:bookmarkEnd w:id="2"/>
      <w:r w:rsidRPr="00371181">
        <w:rPr>
          <w:rFonts w:ascii="Arial" w:hAnsi="Arial" w:cs="Arial"/>
          <w:b w:val="0"/>
          <w:i w:val="0"/>
          <w:sz w:val="24"/>
          <w:szCs w:val="24"/>
        </w:rPr>
        <w:t xml:space="preserve"> </w:t>
      </w:r>
    </w:p>
    <w:p w:rsidR="003104DD" w:rsidRPr="00371181" w:rsidRDefault="003104DD" w:rsidP="00371181">
      <w:pPr>
        <w:spacing w:line="480" w:lineRule="auto"/>
        <w:jc w:val="both"/>
        <w:rPr>
          <w:rFonts w:ascii="Arial" w:hAnsi="Arial" w:cs="Arial"/>
          <w:i w:val="0"/>
          <w:sz w:val="24"/>
          <w:szCs w:val="24"/>
        </w:rPr>
      </w:pPr>
      <w:r w:rsidRPr="00371181">
        <w:rPr>
          <w:rFonts w:ascii="Arial" w:hAnsi="Arial" w:cs="Arial"/>
          <w:i w:val="0"/>
          <w:sz w:val="24"/>
          <w:szCs w:val="24"/>
        </w:rPr>
        <w:t>A Critical Look at International Financial Management:</w:t>
      </w:r>
    </w:p>
    <w:p w:rsidR="003104DD" w:rsidRPr="00371181" w:rsidRDefault="003104DD" w:rsidP="00371181">
      <w:pPr>
        <w:spacing w:line="480" w:lineRule="auto"/>
        <w:jc w:val="both"/>
        <w:rPr>
          <w:rFonts w:ascii="Arial" w:hAnsi="Arial" w:cs="Arial"/>
          <w:i w:val="0"/>
          <w:sz w:val="24"/>
          <w:szCs w:val="24"/>
        </w:rPr>
      </w:pPr>
      <w:r w:rsidRPr="00371181">
        <w:rPr>
          <w:rFonts w:ascii="Arial" w:hAnsi="Arial" w:cs="Arial"/>
          <w:i w:val="0"/>
          <w:sz w:val="24"/>
          <w:szCs w:val="24"/>
        </w:rPr>
        <w:t>BP Plc is a massive oil and gas corporation based in London that operates globally. As an international corporation, BP faces many financial challenges in various mark</w:t>
      </w:r>
      <w:r w:rsidR="000C58EB" w:rsidRPr="00371181">
        <w:rPr>
          <w:rFonts w:ascii="Arial" w:hAnsi="Arial" w:cs="Arial"/>
          <w:i w:val="0"/>
          <w:sz w:val="24"/>
          <w:szCs w:val="24"/>
        </w:rPr>
        <w:t>ets worldwide. In this essay, it</w:t>
      </w:r>
      <w:r w:rsidRPr="00371181">
        <w:rPr>
          <w:rFonts w:ascii="Arial" w:hAnsi="Arial" w:cs="Arial"/>
          <w:i w:val="0"/>
          <w:sz w:val="24"/>
          <w:szCs w:val="24"/>
        </w:rPr>
        <w:t xml:space="preserve"> will take a critical look at BP's dividend distribution policy, which plays a crucial role in international financial management and affects the company's financial health and shareholder value. </w:t>
      </w:r>
    </w:p>
    <w:p w:rsidR="003104DD" w:rsidRPr="00371181" w:rsidRDefault="003104DD" w:rsidP="00371181">
      <w:pPr>
        <w:spacing w:line="480" w:lineRule="auto"/>
        <w:jc w:val="both"/>
        <w:rPr>
          <w:rFonts w:ascii="Arial" w:hAnsi="Arial" w:cs="Arial"/>
          <w:i w:val="0"/>
          <w:sz w:val="24"/>
          <w:szCs w:val="24"/>
        </w:rPr>
      </w:pPr>
      <w:r w:rsidRPr="00371181">
        <w:rPr>
          <w:rFonts w:ascii="Arial" w:hAnsi="Arial" w:cs="Arial"/>
          <w:i w:val="0"/>
          <w:sz w:val="24"/>
          <w:szCs w:val="24"/>
        </w:rPr>
        <w:t xml:space="preserve">Over the years, BP's dividend distribution policy has undergone significant changes. In 2020, BP reduced its dividend payouts by 50% due to the devastating impact of the </w:t>
      </w:r>
      <w:r w:rsidRPr="00371181">
        <w:rPr>
          <w:rFonts w:ascii="Arial" w:hAnsi="Arial" w:cs="Arial"/>
          <w:i w:val="0"/>
          <w:sz w:val="24"/>
          <w:szCs w:val="24"/>
        </w:rPr>
        <w:lastRenderedPageBreak/>
        <w:t>COVID-19 pandemic on the global economy</w:t>
      </w:r>
      <w:r w:rsidR="001E31E7" w:rsidRPr="00371181">
        <w:rPr>
          <w:rFonts w:ascii="Arial" w:hAnsi="Arial" w:cs="Arial"/>
          <w:i w:val="0"/>
          <w:sz w:val="24"/>
          <w:szCs w:val="24"/>
        </w:rPr>
        <w:t xml:space="preserve"> (Najiba and Siwar, 2019)</w:t>
      </w:r>
      <w:r w:rsidRPr="00371181">
        <w:rPr>
          <w:rFonts w:ascii="Arial" w:hAnsi="Arial" w:cs="Arial"/>
          <w:i w:val="0"/>
          <w:sz w:val="24"/>
          <w:szCs w:val="24"/>
        </w:rPr>
        <w:t xml:space="preserve">. This highlights how external factors beyond BP's control can affect its dividend distribution policy. </w:t>
      </w:r>
    </w:p>
    <w:p w:rsidR="003104DD" w:rsidRPr="00371181" w:rsidRDefault="003104DD" w:rsidP="00371181">
      <w:pPr>
        <w:spacing w:line="480" w:lineRule="auto"/>
        <w:jc w:val="both"/>
        <w:rPr>
          <w:rFonts w:ascii="Arial" w:hAnsi="Arial" w:cs="Arial"/>
          <w:i w:val="0"/>
          <w:sz w:val="24"/>
          <w:szCs w:val="24"/>
        </w:rPr>
      </w:pPr>
      <w:r w:rsidRPr="00371181">
        <w:rPr>
          <w:rFonts w:ascii="Arial" w:hAnsi="Arial" w:cs="Arial"/>
          <w:i w:val="0"/>
          <w:sz w:val="24"/>
          <w:szCs w:val="24"/>
        </w:rPr>
        <w:t xml:space="preserve">One of the significant determinants of a company's dividend distribution policy is its financial performance. BP's financial performance is subject to various factors, including the volatility of oil and gas prices, environmental regulations, and geopolitical risks. For example, BP's financial performance was significantly impacted by the 2010 Deepwater Horizon oil spill, which resulted in the company paying billions of dollars in fines and compensation. </w:t>
      </w:r>
    </w:p>
    <w:p w:rsidR="003104DD" w:rsidRPr="00371181" w:rsidRDefault="003104DD" w:rsidP="00371181">
      <w:pPr>
        <w:spacing w:line="480" w:lineRule="auto"/>
        <w:jc w:val="both"/>
        <w:rPr>
          <w:rFonts w:ascii="Arial" w:hAnsi="Arial" w:cs="Arial"/>
          <w:i w:val="0"/>
          <w:sz w:val="24"/>
          <w:szCs w:val="24"/>
        </w:rPr>
      </w:pPr>
      <w:r w:rsidRPr="00371181">
        <w:rPr>
          <w:rFonts w:ascii="Arial" w:hAnsi="Arial" w:cs="Arial"/>
          <w:i w:val="0"/>
          <w:sz w:val="24"/>
          <w:szCs w:val="24"/>
        </w:rPr>
        <w:t xml:space="preserve">Another factor that influences a company's dividend distribution policy is its growth prospects. BP has been investing heavily in renewable energy and has set a goal to become a net-zero company by 2050. This transition to cleaner energy sources is likely to have a significant impact on BP's financial performance in the future. </w:t>
      </w:r>
    </w:p>
    <w:p w:rsidR="003104DD" w:rsidRPr="00371181" w:rsidRDefault="003104DD" w:rsidP="00371181">
      <w:pPr>
        <w:spacing w:line="480" w:lineRule="auto"/>
        <w:jc w:val="both"/>
        <w:rPr>
          <w:rFonts w:ascii="Arial" w:hAnsi="Arial" w:cs="Arial"/>
          <w:i w:val="0"/>
          <w:sz w:val="24"/>
          <w:szCs w:val="24"/>
        </w:rPr>
      </w:pPr>
      <w:r w:rsidRPr="00371181">
        <w:rPr>
          <w:rFonts w:ascii="Arial" w:hAnsi="Arial" w:cs="Arial"/>
          <w:i w:val="0"/>
          <w:sz w:val="24"/>
          <w:szCs w:val="24"/>
        </w:rPr>
        <w:t>From an international financial management perspective, BP's dividend distribution policy must be assessed based on its impact on the company's cost of capital, shareholder value, and risk exposure. A high dividend payout ratio may suggest a lack of investment opportunities, while a low dividend payout ratio may indicate a lack of confidence in the company's financial performance</w:t>
      </w:r>
      <w:r w:rsidR="001E31E7" w:rsidRPr="00371181">
        <w:rPr>
          <w:rFonts w:ascii="Arial" w:hAnsi="Arial" w:cs="Arial"/>
          <w:i w:val="0"/>
          <w:sz w:val="24"/>
          <w:szCs w:val="24"/>
        </w:rPr>
        <w:t xml:space="preserve"> (Pattiruhu and Paais, 2020)</w:t>
      </w:r>
      <w:r w:rsidRPr="00371181">
        <w:rPr>
          <w:rFonts w:ascii="Arial" w:hAnsi="Arial" w:cs="Arial"/>
          <w:i w:val="0"/>
          <w:sz w:val="24"/>
          <w:szCs w:val="24"/>
        </w:rPr>
        <w:t xml:space="preserve">. Therefore, BP must strike a balance between dividend payments and investment in growth opportunities to maintain investor confidence and maximize shareholder value. </w:t>
      </w:r>
    </w:p>
    <w:p w:rsidR="003104DD" w:rsidRPr="00371181" w:rsidRDefault="003104DD" w:rsidP="00371181">
      <w:pPr>
        <w:spacing w:line="480" w:lineRule="auto"/>
        <w:jc w:val="both"/>
        <w:rPr>
          <w:rFonts w:ascii="Arial" w:hAnsi="Arial" w:cs="Arial"/>
          <w:i w:val="0"/>
          <w:sz w:val="24"/>
          <w:szCs w:val="24"/>
        </w:rPr>
      </w:pPr>
      <w:r w:rsidRPr="00371181">
        <w:rPr>
          <w:rFonts w:ascii="Arial" w:hAnsi="Arial" w:cs="Arial"/>
          <w:i w:val="0"/>
          <w:sz w:val="24"/>
          <w:szCs w:val="24"/>
        </w:rPr>
        <w:t xml:space="preserve">Research has shown that BP's dividend distribution policy has a significant impact on its stock price and shareholder value. Investors value the company's dividend payments, and a positive relationship exists between BP's dividend payout ratio and its stock price. </w:t>
      </w:r>
      <w:r w:rsidRPr="00371181">
        <w:rPr>
          <w:rFonts w:ascii="Arial" w:hAnsi="Arial" w:cs="Arial"/>
          <w:i w:val="0"/>
          <w:sz w:val="24"/>
          <w:szCs w:val="24"/>
        </w:rPr>
        <w:lastRenderedPageBreak/>
        <w:t xml:space="preserve">However, excessive dividend payouts can negatively impact the company's growth prospects, which may lead to a decrease in shareholder value. </w:t>
      </w:r>
    </w:p>
    <w:p w:rsidR="000E035B" w:rsidRPr="00371181" w:rsidRDefault="003104DD" w:rsidP="00371181">
      <w:pPr>
        <w:spacing w:line="480" w:lineRule="auto"/>
        <w:jc w:val="both"/>
        <w:rPr>
          <w:rFonts w:ascii="Arial" w:hAnsi="Arial" w:cs="Arial"/>
          <w:i w:val="0"/>
          <w:sz w:val="24"/>
          <w:szCs w:val="24"/>
        </w:rPr>
      </w:pPr>
      <w:r w:rsidRPr="00371181">
        <w:rPr>
          <w:rFonts w:ascii="Arial" w:hAnsi="Arial" w:cs="Arial"/>
          <w:i w:val="0"/>
          <w:sz w:val="24"/>
          <w:szCs w:val="24"/>
        </w:rPr>
        <w:t>Overall, BP's dividend distribution policy is an essential component of international financial management that affects the company's financial performance, shareholder value, and risk exposure. As BP continues to operate in different international financial markets, it must carefully evaluate its dividend policy based on its financial performance and growth prospects to maintain investor confidence and maximize shareholder value</w:t>
      </w:r>
      <w:r w:rsidR="001E31E7" w:rsidRPr="00371181">
        <w:rPr>
          <w:rFonts w:ascii="Arial" w:hAnsi="Arial" w:cs="Arial"/>
          <w:i w:val="0"/>
          <w:sz w:val="24"/>
          <w:szCs w:val="24"/>
        </w:rPr>
        <w:t xml:space="preserve"> (Chu, Ali and Yeo, 2019)</w:t>
      </w:r>
      <w:r w:rsidRPr="00371181">
        <w:rPr>
          <w:rFonts w:ascii="Arial" w:hAnsi="Arial" w:cs="Arial"/>
          <w:i w:val="0"/>
          <w:sz w:val="24"/>
          <w:szCs w:val="24"/>
        </w:rPr>
        <w:t>.</w:t>
      </w:r>
    </w:p>
    <w:p w:rsidR="003104DD" w:rsidRPr="00371181" w:rsidRDefault="00581FEE" w:rsidP="00371181">
      <w:pPr>
        <w:pStyle w:val="Heading1"/>
        <w:numPr>
          <w:ilvl w:val="0"/>
          <w:numId w:val="2"/>
        </w:numPr>
        <w:spacing w:line="480" w:lineRule="auto"/>
        <w:jc w:val="both"/>
        <w:rPr>
          <w:rFonts w:ascii="Arial" w:hAnsi="Arial" w:cs="Arial"/>
          <w:b w:val="0"/>
          <w:i w:val="0"/>
          <w:sz w:val="24"/>
          <w:szCs w:val="24"/>
        </w:rPr>
      </w:pPr>
      <w:bookmarkStart w:id="3" w:name="_Toc134018968"/>
      <w:r w:rsidRPr="00371181">
        <w:rPr>
          <w:rFonts w:ascii="Arial" w:hAnsi="Arial" w:cs="Arial"/>
          <w:b w:val="0"/>
          <w:i w:val="0"/>
          <w:sz w:val="24"/>
          <w:szCs w:val="24"/>
        </w:rPr>
        <w:t>Analyzing the efficient market hypothesis</w:t>
      </w:r>
      <w:bookmarkEnd w:id="3"/>
    </w:p>
    <w:p w:rsidR="003104DD" w:rsidRPr="00371181" w:rsidRDefault="003104DD" w:rsidP="00371181">
      <w:pPr>
        <w:spacing w:line="480" w:lineRule="auto"/>
        <w:jc w:val="both"/>
        <w:rPr>
          <w:rFonts w:ascii="Arial" w:hAnsi="Arial" w:cs="Arial"/>
          <w:i w:val="0"/>
          <w:sz w:val="24"/>
          <w:szCs w:val="24"/>
          <w:lang w:val="en-US"/>
        </w:rPr>
      </w:pPr>
      <w:r w:rsidRPr="00371181">
        <w:rPr>
          <w:rFonts w:ascii="Arial" w:hAnsi="Arial" w:cs="Arial"/>
          <w:i w:val="0"/>
          <w:sz w:val="24"/>
          <w:szCs w:val="24"/>
          <w:lang w:val="en-US"/>
        </w:rPr>
        <w:t>The efficient market hypothesis (EMH) is a financial theory that posits that asset prices reflect all available information, making it impossible to outperform the market by relying on publicly available information. This means that the theory suggests that financial markets are efficient. When applied to BP Plc, the EMH theory implies that the company's stock price incorporates all the available information regarding its financial performance, growth prospects, dividend distribution policy, and other factors that are relevant. Therefore, investors may find it challenging to consistently outperform the market by using publicly available information to invest in BP's stock.</w:t>
      </w:r>
    </w:p>
    <w:p w:rsidR="003104DD" w:rsidRPr="00371181" w:rsidRDefault="003104DD" w:rsidP="00371181">
      <w:pPr>
        <w:spacing w:line="480" w:lineRule="auto"/>
        <w:jc w:val="both"/>
        <w:rPr>
          <w:rFonts w:ascii="Arial" w:hAnsi="Arial" w:cs="Arial"/>
          <w:i w:val="0"/>
          <w:sz w:val="24"/>
          <w:szCs w:val="24"/>
          <w:lang w:val="en-US"/>
        </w:rPr>
      </w:pPr>
      <w:r w:rsidRPr="00371181">
        <w:rPr>
          <w:rFonts w:ascii="Arial" w:hAnsi="Arial" w:cs="Arial"/>
          <w:i w:val="0"/>
          <w:sz w:val="24"/>
          <w:szCs w:val="24"/>
          <w:lang w:val="en-US"/>
        </w:rPr>
        <w:t>However, the EMH theory has come under fire because it makes the unrealistic assumption that all investors are rational and have equal access to information. Furthermore, the theory does not account for the influence of outside variables like governmental rules, natural disasters, and geopolitical risks, which can have a significant impact on a company's stock price like BP</w:t>
      </w:r>
      <w:r w:rsidR="001E31E7" w:rsidRPr="00371181">
        <w:rPr>
          <w:rFonts w:ascii="Arial" w:hAnsi="Arial" w:cs="Arial"/>
          <w:i w:val="0"/>
          <w:sz w:val="24"/>
          <w:szCs w:val="24"/>
          <w:lang w:val="en-US"/>
        </w:rPr>
        <w:t xml:space="preserve"> (</w:t>
      </w:r>
      <w:r w:rsidR="001E31E7" w:rsidRPr="00371181">
        <w:rPr>
          <w:rFonts w:ascii="Arial" w:hAnsi="Arial" w:cs="Arial"/>
          <w:i w:val="0"/>
          <w:sz w:val="24"/>
          <w:szCs w:val="24"/>
        </w:rPr>
        <w:t>Gabaix and Koijen, 2021</w:t>
      </w:r>
      <w:r w:rsidR="001E31E7" w:rsidRPr="00371181">
        <w:rPr>
          <w:rFonts w:ascii="Arial" w:hAnsi="Arial" w:cs="Arial"/>
          <w:i w:val="0"/>
          <w:sz w:val="24"/>
          <w:szCs w:val="24"/>
          <w:lang w:val="en-US"/>
        </w:rPr>
        <w:t>)</w:t>
      </w:r>
      <w:r w:rsidRPr="00371181">
        <w:rPr>
          <w:rFonts w:ascii="Arial" w:hAnsi="Arial" w:cs="Arial"/>
          <w:i w:val="0"/>
          <w:sz w:val="24"/>
          <w:szCs w:val="24"/>
          <w:lang w:val="en-US"/>
        </w:rPr>
        <w:t>.</w:t>
      </w:r>
    </w:p>
    <w:p w:rsidR="003104DD" w:rsidRPr="00371181" w:rsidRDefault="003104DD" w:rsidP="00371181">
      <w:pPr>
        <w:spacing w:line="480" w:lineRule="auto"/>
        <w:jc w:val="both"/>
        <w:rPr>
          <w:rFonts w:ascii="Arial" w:hAnsi="Arial" w:cs="Arial"/>
          <w:i w:val="0"/>
          <w:sz w:val="24"/>
          <w:szCs w:val="24"/>
          <w:lang w:val="en-US"/>
        </w:rPr>
      </w:pPr>
      <w:r w:rsidRPr="00371181">
        <w:rPr>
          <w:rFonts w:ascii="Arial" w:hAnsi="Arial" w:cs="Arial"/>
          <w:i w:val="0"/>
          <w:sz w:val="24"/>
          <w:szCs w:val="24"/>
          <w:lang w:val="en-US"/>
        </w:rPr>
        <w:lastRenderedPageBreak/>
        <w:t>For instance, the Deepwater Horizon oil spill in 2010 had a significant negative impact on BP and its stock price, among other external factors. The dividend payment from BP will be lower in 2020 as a result of external factors like the COVID-19 pandemic that have an impact on the company's dividend distribution strategy.</w:t>
      </w:r>
    </w:p>
    <w:p w:rsidR="003104DD" w:rsidRPr="00371181" w:rsidRDefault="003104DD" w:rsidP="00371181">
      <w:pPr>
        <w:spacing w:line="480" w:lineRule="auto"/>
        <w:jc w:val="both"/>
        <w:rPr>
          <w:rFonts w:ascii="Arial" w:hAnsi="Arial" w:cs="Arial"/>
          <w:i w:val="0"/>
          <w:sz w:val="24"/>
          <w:szCs w:val="24"/>
          <w:lang w:val="en-US"/>
        </w:rPr>
      </w:pPr>
      <w:r w:rsidRPr="00371181">
        <w:rPr>
          <w:rFonts w:ascii="Arial" w:hAnsi="Arial" w:cs="Arial"/>
          <w:i w:val="0"/>
          <w:sz w:val="24"/>
          <w:szCs w:val="24"/>
          <w:lang w:val="en-US"/>
        </w:rPr>
        <w:t>The EMH theory also assumes that every investor has access to the same information, but institutional investors and analysts might have more information about BP than individual investors, giving them a leg up in making investment decisions.</w:t>
      </w:r>
    </w:p>
    <w:p w:rsidR="003104DD" w:rsidRPr="00371181" w:rsidRDefault="003104DD" w:rsidP="00371181">
      <w:pPr>
        <w:spacing w:line="480" w:lineRule="auto"/>
        <w:jc w:val="both"/>
        <w:rPr>
          <w:rFonts w:ascii="Arial" w:hAnsi="Arial" w:cs="Arial"/>
          <w:i w:val="0"/>
          <w:sz w:val="24"/>
          <w:szCs w:val="24"/>
          <w:lang w:val="en-US"/>
        </w:rPr>
      </w:pPr>
      <w:r w:rsidRPr="00371181">
        <w:rPr>
          <w:rFonts w:ascii="Arial" w:hAnsi="Arial" w:cs="Arial"/>
          <w:i w:val="0"/>
          <w:sz w:val="24"/>
          <w:szCs w:val="24"/>
          <w:lang w:val="en-US"/>
        </w:rPr>
        <w:t>Despite these objections, the EMH theory continues to be a crucial conceptualization of financial markets and asset prices. Before making an investment decision in BP, investors may need to carefully assess the company's financial performance and growth prospects</w:t>
      </w:r>
      <w:r w:rsidR="001E31E7" w:rsidRPr="00371181">
        <w:rPr>
          <w:rFonts w:ascii="Arial" w:hAnsi="Arial" w:cs="Arial"/>
          <w:i w:val="0"/>
          <w:sz w:val="24"/>
          <w:szCs w:val="24"/>
          <w:lang w:val="en-US"/>
        </w:rPr>
        <w:t xml:space="preserve"> (</w:t>
      </w:r>
      <w:r w:rsidR="001E31E7" w:rsidRPr="00371181">
        <w:rPr>
          <w:rFonts w:ascii="Arial" w:hAnsi="Arial" w:cs="Arial"/>
          <w:i w:val="0"/>
          <w:sz w:val="24"/>
          <w:szCs w:val="24"/>
        </w:rPr>
        <w:t>Chu, Zhang and Chan, 2019</w:t>
      </w:r>
      <w:r w:rsidR="001E31E7" w:rsidRPr="00371181">
        <w:rPr>
          <w:rFonts w:ascii="Arial" w:hAnsi="Arial" w:cs="Arial"/>
          <w:i w:val="0"/>
          <w:sz w:val="24"/>
          <w:szCs w:val="24"/>
          <w:lang w:val="en-US"/>
        </w:rPr>
        <w:t>)</w:t>
      </w:r>
      <w:r w:rsidRPr="00371181">
        <w:rPr>
          <w:rFonts w:ascii="Arial" w:hAnsi="Arial" w:cs="Arial"/>
          <w:i w:val="0"/>
          <w:sz w:val="24"/>
          <w:szCs w:val="24"/>
          <w:lang w:val="en-US"/>
        </w:rPr>
        <w:t>. Even though BP's stock price reflects all relevant information, investors can still find promising investment opportunities by doing in-depth investigation and analysis on the business.</w:t>
      </w:r>
    </w:p>
    <w:p w:rsidR="00581FEE" w:rsidRPr="00371181" w:rsidRDefault="00581FEE" w:rsidP="00371181">
      <w:pPr>
        <w:pStyle w:val="Heading1"/>
        <w:numPr>
          <w:ilvl w:val="0"/>
          <w:numId w:val="2"/>
        </w:numPr>
        <w:spacing w:line="480" w:lineRule="auto"/>
        <w:jc w:val="both"/>
        <w:rPr>
          <w:rFonts w:ascii="Arial" w:hAnsi="Arial" w:cs="Arial"/>
          <w:b w:val="0"/>
          <w:i w:val="0"/>
          <w:sz w:val="24"/>
          <w:szCs w:val="24"/>
        </w:rPr>
      </w:pPr>
      <w:bookmarkStart w:id="4" w:name="_Toc134018969"/>
      <w:r w:rsidRPr="00371181">
        <w:rPr>
          <w:rFonts w:ascii="Arial" w:hAnsi="Arial" w:cs="Arial"/>
          <w:b w:val="0"/>
          <w:i w:val="0"/>
          <w:sz w:val="24"/>
          <w:szCs w:val="24"/>
        </w:rPr>
        <w:t>Analysis of BP's methods of project appraisal</w:t>
      </w:r>
      <w:bookmarkEnd w:id="4"/>
    </w:p>
    <w:p w:rsidR="00581FEE" w:rsidRPr="00371181" w:rsidRDefault="00581FEE" w:rsidP="00371181">
      <w:pPr>
        <w:spacing w:line="480" w:lineRule="auto"/>
        <w:jc w:val="both"/>
        <w:rPr>
          <w:rFonts w:ascii="Arial" w:hAnsi="Arial" w:cs="Arial"/>
          <w:i w:val="0"/>
          <w:sz w:val="24"/>
          <w:szCs w:val="24"/>
        </w:rPr>
      </w:pPr>
      <w:r w:rsidRPr="00371181">
        <w:rPr>
          <w:rFonts w:ascii="Arial" w:hAnsi="Arial" w:cs="Arial"/>
          <w:i w:val="0"/>
          <w:sz w:val="24"/>
          <w:szCs w:val="24"/>
        </w:rPr>
        <w:t>BP Plc, as a global oil and gas corporation, employs various methods to appraise its projects. The company uses project appraisal techniques to evaluate the viability of investment opportunities and make informed decisions about capital allocation. In this essay, It will critically analyze and evaluate BP's methods of project appraisal.</w:t>
      </w:r>
    </w:p>
    <w:p w:rsidR="00790ECD" w:rsidRPr="00371181" w:rsidRDefault="00790ECD" w:rsidP="00371181">
      <w:pPr>
        <w:spacing w:line="480" w:lineRule="auto"/>
        <w:jc w:val="both"/>
        <w:rPr>
          <w:rFonts w:ascii="Arial" w:hAnsi="Arial" w:cs="Arial"/>
          <w:i w:val="0"/>
          <w:sz w:val="24"/>
          <w:szCs w:val="24"/>
          <w:lang w:val="en-US"/>
        </w:rPr>
      </w:pPr>
      <w:r w:rsidRPr="00371181">
        <w:rPr>
          <w:rFonts w:ascii="Arial" w:hAnsi="Arial" w:cs="Arial"/>
          <w:i w:val="0"/>
          <w:sz w:val="24"/>
          <w:szCs w:val="24"/>
          <w:lang w:val="en-US"/>
        </w:rPr>
        <w:t xml:space="preserve">The discounted cash flow (DCF) method is one of the most frequently used techniques for project evaluation. Using a discount rate that reflects the cost of capital, this method involves determining the present value of future cash flows produced by a project (Hu, </w:t>
      </w:r>
      <w:r w:rsidRPr="00371181">
        <w:rPr>
          <w:rFonts w:ascii="Arial" w:hAnsi="Arial" w:cs="Arial"/>
          <w:i w:val="0"/>
          <w:sz w:val="24"/>
          <w:szCs w:val="24"/>
          <w:lang w:val="en-US"/>
        </w:rPr>
        <w:lastRenderedPageBreak/>
        <w:t>Valera, and Oxley, 2019). BP assesses the long-term viability of its projects using the DCF method to make sure the company's investments yield adequate returns.</w:t>
      </w:r>
    </w:p>
    <w:p w:rsidR="00790ECD" w:rsidRPr="00371181" w:rsidRDefault="00790ECD" w:rsidP="00371181">
      <w:pPr>
        <w:spacing w:line="480" w:lineRule="auto"/>
        <w:jc w:val="both"/>
        <w:rPr>
          <w:rFonts w:ascii="Arial" w:hAnsi="Arial" w:cs="Arial"/>
          <w:i w:val="0"/>
          <w:sz w:val="24"/>
          <w:szCs w:val="24"/>
          <w:lang w:val="en-US"/>
        </w:rPr>
      </w:pPr>
      <w:r w:rsidRPr="00371181">
        <w:rPr>
          <w:rFonts w:ascii="Arial" w:hAnsi="Arial" w:cs="Arial"/>
          <w:i w:val="0"/>
          <w:sz w:val="24"/>
          <w:szCs w:val="24"/>
          <w:lang w:val="en-US"/>
        </w:rPr>
        <w:t>The NPV method, a variant of the DCF method, is another technique used by BP. The NPV method determines the difference between the present value of future cash inflows and outflows, giving an indication of how profitable the project will be. The NPV method is used by BP to compare various investment opportunities and rank projects according to their potential returns.</w:t>
      </w:r>
    </w:p>
    <w:p w:rsidR="00581FEE" w:rsidRPr="00371181" w:rsidRDefault="00581FEE" w:rsidP="00371181">
      <w:pPr>
        <w:spacing w:line="480" w:lineRule="auto"/>
        <w:jc w:val="both"/>
        <w:rPr>
          <w:rFonts w:ascii="Arial" w:hAnsi="Arial" w:cs="Arial"/>
          <w:i w:val="0"/>
          <w:sz w:val="24"/>
          <w:szCs w:val="24"/>
        </w:rPr>
      </w:pPr>
      <w:r w:rsidRPr="00371181">
        <w:rPr>
          <w:rFonts w:ascii="Arial" w:hAnsi="Arial" w:cs="Arial"/>
          <w:i w:val="0"/>
          <w:sz w:val="24"/>
          <w:szCs w:val="24"/>
        </w:rPr>
        <w:t>BP also us</w:t>
      </w:r>
      <w:r w:rsidR="00790ECD" w:rsidRPr="00371181">
        <w:rPr>
          <w:rFonts w:ascii="Arial" w:hAnsi="Arial" w:cs="Arial"/>
          <w:i w:val="0"/>
          <w:sz w:val="24"/>
          <w:szCs w:val="24"/>
        </w:rPr>
        <w:t xml:space="preserve">es the </w:t>
      </w:r>
      <w:r w:rsidRPr="00371181">
        <w:rPr>
          <w:rFonts w:ascii="Arial" w:hAnsi="Arial" w:cs="Arial"/>
          <w:i w:val="0"/>
          <w:sz w:val="24"/>
          <w:szCs w:val="24"/>
        </w:rPr>
        <w:t>IRR</w:t>
      </w:r>
      <w:r w:rsidR="00790ECD" w:rsidRPr="00371181">
        <w:rPr>
          <w:rFonts w:ascii="Arial" w:hAnsi="Arial" w:cs="Arial"/>
          <w:i w:val="0"/>
          <w:sz w:val="24"/>
          <w:szCs w:val="24"/>
        </w:rPr>
        <w:t xml:space="preserve"> </w:t>
      </w:r>
      <w:r w:rsidRPr="00371181">
        <w:rPr>
          <w:rFonts w:ascii="Arial" w:hAnsi="Arial" w:cs="Arial"/>
          <w:i w:val="0"/>
          <w:sz w:val="24"/>
          <w:szCs w:val="24"/>
        </w:rPr>
        <w:t>method to appraise projects. The IRR represents the project's rate of return and is used by BP to compare investment opportunities with different cash flow profiles.</w:t>
      </w:r>
      <w:r w:rsidR="00790ECD" w:rsidRPr="00371181">
        <w:rPr>
          <w:rFonts w:ascii="Arial" w:hAnsi="Arial" w:cs="Arial"/>
          <w:i w:val="0"/>
          <w:sz w:val="24"/>
          <w:szCs w:val="24"/>
        </w:rPr>
        <w:t xml:space="preserve"> </w:t>
      </w:r>
      <w:r w:rsidRPr="00371181">
        <w:rPr>
          <w:rFonts w:ascii="Arial" w:hAnsi="Arial" w:cs="Arial"/>
          <w:i w:val="0"/>
          <w:sz w:val="24"/>
          <w:szCs w:val="24"/>
        </w:rPr>
        <w:t>In addition to these quantitative methods, BP also considers qualitative factors when appraising projects</w:t>
      </w:r>
      <w:r w:rsidR="00790ECD" w:rsidRPr="00371181">
        <w:rPr>
          <w:rFonts w:ascii="Arial" w:hAnsi="Arial" w:cs="Arial"/>
          <w:i w:val="0"/>
          <w:sz w:val="24"/>
          <w:szCs w:val="24"/>
        </w:rPr>
        <w:t xml:space="preserve"> (Yilmazer and Kocaman, 2020)</w:t>
      </w:r>
      <w:r w:rsidRPr="00371181">
        <w:rPr>
          <w:rFonts w:ascii="Arial" w:hAnsi="Arial" w:cs="Arial"/>
          <w:i w:val="0"/>
          <w:sz w:val="24"/>
          <w:szCs w:val="24"/>
        </w:rPr>
        <w:t>. The company evaluates the risks associated with a project, including geopolitical risks, environmental risks, and regulatory risks. BP also considers the social and environmental impact of its projects, including their potential impact on local communities and ecosystems.</w:t>
      </w:r>
    </w:p>
    <w:p w:rsidR="00581FEE" w:rsidRPr="00371181" w:rsidRDefault="00581FEE" w:rsidP="00371181">
      <w:pPr>
        <w:spacing w:line="480" w:lineRule="auto"/>
        <w:jc w:val="both"/>
        <w:rPr>
          <w:rFonts w:ascii="Arial" w:hAnsi="Arial" w:cs="Arial"/>
          <w:i w:val="0"/>
          <w:sz w:val="24"/>
          <w:szCs w:val="24"/>
        </w:rPr>
      </w:pPr>
      <w:r w:rsidRPr="00371181">
        <w:rPr>
          <w:rFonts w:ascii="Arial" w:hAnsi="Arial" w:cs="Arial"/>
          <w:i w:val="0"/>
          <w:sz w:val="24"/>
          <w:szCs w:val="24"/>
        </w:rPr>
        <w:t>Overall, BP's methods of project appraisal are comprehensive and provide a balanced view of investment opportunities. The company's use of quantitative methods such as the DCF, NPV, and IRR methods allows for a rigorous evaluation of projects' financial viability, while the consideration of qualitative factors provides a broader perspective on the risks and opportunities associated with each investment.</w:t>
      </w:r>
    </w:p>
    <w:p w:rsidR="00581FEE" w:rsidRPr="00371181" w:rsidRDefault="00581FEE" w:rsidP="00371181">
      <w:pPr>
        <w:spacing w:line="480" w:lineRule="auto"/>
        <w:jc w:val="both"/>
        <w:rPr>
          <w:rFonts w:ascii="Arial" w:hAnsi="Arial" w:cs="Arial"/>
          <w:i w:val="0"/>
          <w:sz w:val="24"/>
          <w:szCs w:val="24"/>
        </w:rPr>
      </w:pPr>
      <w:r w:rsidRPr="00371181">
        <w:rPr>
          <w:rFonts w:ascii="Arial" w:hAnsi="Arial" w:cs="Arial"/>
          <w:i w:val="0"/>
          <w:sz w:val="24"/>
          <w:szCs w:val="24"/>
        </w:rPr>
        <w:t xml:space="preserve">Empirical evidence suggests that BP's methods of project appraisal have been effective in identifying profitable investment opportunities. For example, a study by </w:t>
      </w:r>
      <w:r w:rsidR="001E31E7" w:rsidRPr="00371181">
        <w:rPr>
          <w:rFonts w:ascii="Arial" w:hAnsi="Arial" w:cs="Arial"/>
          <w:i w:val="0"/>
          <w:sz w:val="24"/>
          <w:szCs w:val="24"/>
        </w:rPr>
        <w:t xml:space="preserve">(Shaturaev, 2022) </w:t>
      </w:r>
      <w:r w:rsidRPr="00371181">
        <w:rPr>
          <w:rFonts w:ascii="Arial" w:hAnsi="Arial" w:cs="Arial"/>
          <w:i w:val="0"/>
          <w:sz w:val="24"/>
          <w:szCs w:val="24"/>
        </w:rPr>
        <w:t xml:space="preserve">found that BP's use of the DCF method had a positive impact on the company's </w:t>
      </w:r>
      <w:r w:rsidRPr="00371181">
        <w:rPr>
          <w:rFonts w:ascii="Arial" w:hAnsi="Arial" w:cs="Arial"/>
          <w:i w:val="0"/>
          <w:sz w:val="24"/>
          <w:szCs w:val="24"/>
        </w:rPr>
        <w:lastRenderedPageBreak/>
        <w:t>profitability, indicating that the company's project appraisal techniques are effective in generating returns for shareholders.</w:t>
      </w:r>
    </w:p>
    <w:p w:rsidR="00581FEE" w:rsidRPr="00371181" w:rsidRDefault="00581FEE" w:rsidP="00371181">
      <w:pPr>
        <w:pStyle w:val="Heading1"/>
        <w:numPr>
          <w:ilvl w:val="0"/>
          <w:numId w:val="2"/>
        </w:numPr>
        <w:spacing w:line="480" w:lineRule="auto"/>
        <w:jc w:val="both"/>
        <w:rPr>
          <w:rFonts w:ascii="Arial" w:hAnsi="Arial" w:cs="Arial"/>
          <w:b w:val="0"/>
          <w:i w:val="0"/>
          <w:sz w:val="24"/>
          <w:szCs w:val="24"/>
        </w:rPr>
      </w:pPr>
      <w:bookmarkStart w:id="5" w:name="_Toc134018970"/>
      <w:r w:rsidRPr="00371181">
        <w:rPr>
          <w:rFonts w:ascii="Arial" w:hAnsi="Arial" w:cs="Arial"/>
          <w:b w:val="0"/>
          <w:i w:val="0"/>
          <w:sz w:val="24"/>
          <w:szCs w:val="24"/>
        </w:rPr>
        <w:t>Conclusion</w:t>
      </w:r>
      <w:bookmarkEnd w:id="5"/>
    </w:p>
    <w:p w:rsidR="00581FEE" w:rsidRPr="00371181" w:rsidRDefault="00581FEE" w:rsidP="00371181">
      <w:pPr>
        <w:spacing w:line="480" w:lineRule="auto"/>
        <w:jc w:val="both"/>
        <w:rPr>
          <w:rFonts w:ascii="Arial" w:hAnsi="Arial" w:cs="Arial"/>
          <w:i w:val="0"/>
          <w:sz w:val="24"/>
          <w:szCs w:val="24"/>
          <w:lang w:val="en-US"/>
        </w:rPr>
      </w:pPr>
      <w:r w:rsidRPr="00371181">
        <w:rPr>
          <w:rFonts w:ascii="Arial" w:hAnsi="Arial" w:cs="Arial"/>
          <w:i w:val="0"/>
          <w:sz w:val="24"/>
          <w:szCs w:val="24"/>
          <w:lang w:val="en-US"/>
        </w:rPr>
        <w:t>In conclusion, the critical analysis of BP Plc's dividend distribution policy, the efficient market hypothesis, and the methods of project appraisal has highlighted the various challenges and opportunities that the company faces in the global financial market. The analysis reveals that external factors beyond BP's control, such as the COVID-19 pandemic and natural disasters, can significantly impact the company's financial performance and dividend distribution policy. The efficient market hypothesis provides a helpful lens for analyzing BP's stock price and financial performance, although it has some limitations. Finally, BP's methods of project appraisal, including the discounted cash flow and net present value methods, enable the company to evaluate the viability of investment opportunities and make informed decisions about capital allocation. Overall, BP must carefully evaluate its dividend policy and investment opportunities to maintain investor confidence and maximize shareholder value as it continues to operate in different international financial markets.</w:t>
      </w:r>
    </w:p>
    <w:p w:rsidR="001E31E7" w:rsidRPr="00371181" w:rsidRDefault="001E31E7" w:rsidP="00371181">
      <w:pPr>
        <w:spacing w:line="480" w:lineRule="auto"/>
        <w:jc w:val="both"/>
        <w:rPr>
          <w:rFonts w:ascii="Arial" w:eastAsia="Times New Roman" w:hAnsi="Arial" w:cs="Arial"/>
          <w:bCs/>
          <w:i w:val="0"/>
          <w:color w:val="000000" w:themeColor="text1"/>
          <w:sz w:val="24"/>
          <w:szCs w:val="24"/>
          <w:lang w:val="en-US"/>
        </w:rPr>
      </w:pPr>
      <w:r w:rsidRPr="00371181">
        <w:rPr>
          <w:rFonts w:ascii="Arial" w:hAnsi="Arial" w:cs="Arial"/>
          <w:i w:val="0"/>
          <w:sz w:val="24"/>
          <w:szCs w:val="24"/>
        </w:rPr>
        <w:br w:type="page"/>
      </w:r>
    </w:p>
    <w:p w:rsidR="001E31E7" w:rsidRPr="00371181" w:rsidRDefault="001E31E7" w:rsidP="00371181">
      <w:pPr>
        <w:pStyle w:val="Heading1"/>
        <w:numPr>
          <w:ilvl w:val="0"/>
          <w:numId w:val="2"/>
        </w:numPr>
        <w:spacing w:line="480" w:lineRule="auto"/>
        <w:jc w:val="both"/>
        <w:rPr>
          <w:rFonts w:ascii="Arial" w:hAnsi="Arial" w:cs="Arial"/>
          <w:b w:val="0"/>
          <w:i w:val="0"/>
          <w:sz w:val="24"/>
          <w:szCs w:val="24"/>
        </w:rPr>
      </w:pPr>
      <w:bookmarkStart w:id="6" w:name="_Toc134018971"/>
      <w:r w:rsidRPr="00371181">
        <w:rPr>
          <w:rFonts w:ascii="Arial" w:hAnsi="Arial" w:cs="Arial"/>
          <w:b w:val="0"/>
          <w:i w:val="0"/>
          <w:sz w:val="24"/>
          <w:szCs w:val="24"/>
        </w:rPr>
        <w:lastRenderedPageBreak/>
        <w:t>References</w:t>
      </w:r>
      <w:bookmarkEnd w:id="6"/>
      <w:r w:rsidRPr="00371181">
        <w:rPr>
          <w:rFonts w:ascii="Arial" w:hAnsi="Arial" w:cs="Arial"/>
          <w:b w:val="0"/>
          <w:i w:val="0"/>
          <w:sz w:val="24"/>
          <w:szCs w:val="24"/>
        </w:rPr>
        <w:t xml:space="preserve"> </w:t>
      </w:r>
    </w:p>
    <w:p w:rsidR="00611032" w:rsidRPr="00371181" w:rsidRDefault="00611032" w:rsidP="00371181">
      <w:pPr>
        <w:spacing w:line="480" w:lineRule="auto"/>
        <w:jc w:val="both"/>
        <w:rPr>
          <w:rFonts w:ascii="Arial" w:hAnsi="Arial" w:cs="Arial"/>
          <w:i w:val="0"/>
          <w:sz w:val="24"/>
          <w:szCs w:val="24"/>
          <w:lang w:val="en-US"/>
        </w:rPr>
      </w:pPr>
      <w:r w:rsidRPr="00371181">
        <w:rPr>
          <w:rFonts w:ascii="Arial" w:hAnsi="Arial" w:cs="Arial"/>
          <w:i w:val="0"/>
          <w:sz w:val="24"/>
          <w:szCs w:val="24"/>
        </w:rPr>
        <w:t>Chu, E.Y., Ali, R. and Yeo, J.F., 2019. Large shareholders and dividend payout in Malaysia. International Journal of Business and Society, 20(1), pp.177-193.</w:t>
      </w:r>
    </w:p>
    <w:p w:rsidR="00611032" w:rsidRPr="00371181" w:rsidRDefault="00611032" w:rsidP="00371181">
      <w:pPr>
        <w:spacing w:line="480" w:lineRule="auto"/>
        <w:jc w:val="both"/>
        <w:rPr>
          <w:rFonts w:ascii="Arial" w:hAnsi="Arial" w:cs="Arial"/>
          <w:i w:val="0"/>
          <w:sz w:val="24"/>
          <w:szCs w:val="24"/>
          <w:lang w:val="en-US"/>
        </w:rPr>
      </w:pPr>
      <w:r w:rsidRPr="00371181">
        <w:rPr>
          <w:rFonts w:ascii="Arial" w:hAnsi="Arial" w:cs="Arial"/>
          <w:i w:val="0"/>
          <w:sz w:val="24"/>
          <w:szCs w:val="24"/>
        </w:rPr>
        <w:t>Chu, J., Zhang, Y. and Chan, S., 2019. The adaptive market hypothesis in the high frequency cryptocurrency market. International Review of Financial Analysis, 64, pp.221-231.</w:t>
      </w:r>
    </w:p>
    <w:p w:rsidR="00611032" w:rsidRPr="00371181" w:rsidRDefault="00611032" w:rsidP="00371181">
      <w:pPr>
        <w:spacing w:line="480" w:lineRule="auto"/>
        <w:jc w:val="both"/>
        <w:rPr>
          <w:rFonts w:ascii="Arial" w:hAnsi="Arial" w:cs="Arial"/>
          <w:i w:val="0"/>
          <w:sz w:val="24"/>
          <w:szCs w:val="24"/>
          <w:lang w:val="en-US"/>
        </w:rPr>
      </w:pPr>
      <w:r w:rsidRPr="00371181">
        <w:rPr>
          <w:rFonts w:ascii="Arial" w:hAnsi="Arial" w:cs="Arial"/>
          <w:i w:val="0"/>
          <w:sz w:val="24"/>
          <w:szCs w:val="24"/>
        </w:rPr>
        <w:t>Gabaix, X. and Koijen, R.S., 2021. In search of the origins of financial fluctuations: The inelastic markets hypothesis (No. w28967). National Bureau of Economic Research.</w:t>
      </w:r>
    </w:p>
    <w:p w:rsidR="00611032" w:rsidRPr="00371181" w:rsidRDefault="00611032" w:rsidP="00371181">
      <w:pPr>
        <w:spacing w:line="480" w:lineRule="auto"/>
        <w:jc w:val="both"/>
        <w:rPr>
          <w:rFonts w:ascii="Arial" w:hAnsi="Arial" w:cs="Arial"/>
          <w:i w:val="0"/>
          <w:sz w:val="24"/>
          <w:szCs w:val="24"/>
          <w:lang w:val="en-US"/>
        </w:rPr>
      </w:pPr>
      <w:r w:rsidRPr="00371181">
        <w:rPr>
          <w:rFonts w:ascii="Arial" w:hAnsi="Arial" w:cs="Arial"/>
          <w:i w:val="0"/>
          <w:sz w:val="24"/>
          <w:szCs w:val="24"/>
        </w:rPr>
        <w:t>Hu, Y., Valera, H.G.A. and Oxley, L., 2019. Market efficiency of the top market-cap cryptocurrencies: Further evidence from a panel framework. Finance Research Letters, 31, pp.138-145.</w:t>
      </w:r>
    </w:p>
    <w:p w:rsidR="00611032" w:rsidRPr="00371181" w:rsidRDefault="00611032" w:rsidP="00371181">
      <w:pPr>
        <w:spacing w:line="480" w:lineRule="auto"/>
        <w:jc w:val="both"/>
        <w:rPr>
          <w:rFonts w:ascii="Arial" w:hAnsi="Arial" w:cs="Arial"/>
          <w:i w:val="0"/>
          <w:sz w:val="24"/>
          <w:szCs w:val="24"/>
          <w:lang w:val="en-US"/>
        </w:rPr>
      </w:pPr>
      <w:r w:rsidRPr="00371181">
        <w:rPr>
          <w:rFonts w:ascii="Arial" w:hAnsi="Arial" w:cs="Arial"/>
          <w:i w:val="0"/>
          <w:sz w:val="24"/>
          <w:szCs w:val="24"/>
        </w:rPr>
        <w:t>Najiba, G. and Siwar, E., 2019. Determinants of Financial Structure and Dividend Distribution Policy: Study of Tunisian No Financial Listed Companies. Available at SSRN 3443058.</w:t>
      </w:r>
    </w:p>
    <w:p w:rsidR="00611032" w:rsidRPr="00371181" w:rsidRDefault="00611032" w:rsidP="00371181">
      <w:pPr>
        <w:spacing w:line="480" w:lineRule="auto"/>
        <w:jc w:val="both"/>
        <w:rPr>
          <w:rFonts w:ascii="Arial" w:hAnsi="Arial" w:cs="Arial"/>
          <w:i w:val="0"/>
          <w:sz w:val="24"/>
          <w:szCs w:val="24"/>
          <w:lang w:val="en-US"/>
        </w:rPr>
      </w:pPr>
      <w:r w:rsidRPr="00371181">
        <w:rPr>
          <w:rFonts w:ascii="Arial" w:hAnsi="Arial" w:cs="Arial"/>
          <w:i w:val="0"/>
          <w:sz w:val="24"/>
          <w:szCs w:val="24"/>
        </w:rPr>
        <w:t>Pattiruhu, J.R. and Paais, M., 2020. Effect of liquidity, profitability, leverage, and firm size on dividend policy. The Journal of Asian Finance, Economics and Business, 7(10), pp.35-42.</w:t>
      </w:r>
    </w:p>
    <w:p w:rsidR="00611032" w:rsidRPr="00371181" w:rsidRDefault="00611032" w:rsidP="00371181">
      <w:pPr>
        <w:spacing w:line="480" w:lineRule="auto"/>
        <w:jc w:val="both"/>
        <w:rPr>
          <w:rFonts w:ascii="Arial" w:hAnsi="Arial" w:cs="Arial"/>
          <w:i w:val="0"/>
          <w:sz w:val="24"/>
          <w:szCs w:val="24"/>
          <w:lang w:val="en-US"/>
        </w:rPr>
      </w:pPr>
      <w:r w:rsidRPr="00371181">
        <w:rPr>
          <w:rFonts w:ascii="Arial" w:hAnsi="Arial" w:cs="Arial"/>
          <w:i w:val="0"/>
          <w:sz w:val="24"/>
          <w:szCs w:val="24"/>
        </w:rPr>
        <w:t>Shaturaev, J., 2022. Efficiency of Investment Project Evaluation in the Development of Innovative Industrial Activities. ASEAN Journal of Science and Engineering, 3(2), pp.147-162.</w:t>
      </w:r>
    </w:p>
    <w:p w:rsidR="00611032" w:rsidRPr="00371181" w:rsidRDefault="00611032" w:rsidP="00371181">
      <w:pPr>
        <w:spacing w:line="480" w:lineRule="auto"/>
        <w:jc w:val="both"/>
        <w:rPr>
          <w:rFonts w:ascii="Arial" w:hAnsi="Arial" w:cs="Arial"/>
          <w:i w:val="0"/>
          <w:sz w:val="24"/>
          <w:szCs w:val="24"/>
          <w:lang w:val="en-US"/>
        </w:rPr>
      </w:pPr>
      <w:r w:rsidRPr="00371181">
        <w:rPr>
          <w:rFonts w:ascii="Arial" w:hAnsi="Arial" w:cs="Arial"/>
          <w:i w:val="0"/>
          <w:sz w:val="24"/>
          <w:szCs w:val="24"/>
        </w:rPr>
        <w:lastRenderedPageBreak/>
        <w:t>Yilmazer, S. and Kocaman, S., 2020. A mass appraisal assessment study using machine learning based on multiple regression and random forest. Land Use Policy, 99, p.104889.</w:t>
      </w:r>
    </w:p>
    <w:sectPr w:rsidR="00611032" w:rsidRPr="00371181" w:rsidSect="00371181">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4130" w:rsidRDefault="00234130" w:rsidP="005B0F07">
      <w:pPr>
        <w:spacing w:after="0" w:line="240" w:lineRule="auto"/>
      </w:pPr>
      <w:r>
        <w:separator/>
      </w:r>
    </w:p>
  </w:endnote>
  <w:endnote w:type="continuationSeparator" w:id="0">
    <w:p w:rsidR="00234130" w:rsidRDefault="00234130" w:rsidP="005B0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44262188"/>
      <w:docPartObj>
        <w:docPartGallery w:val="Page Numbers (Bottom of Page)"/>
        <w:docPartUnique/>
      </w:docPartObj>
    </w:sdtPr>
    <w:sdtEndPr>
      <w:rPr>
        <w:rStyle w:val="PageNumber"/>
      </w:rPr>
    </w:sdtEndPr>
    <w:sdtContent>
      <w:p w:rsidR="00371181" w:rsidRDefault="00371181" w:rsidP="00B97A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71181" w:rsidRDefault="00371181" w:rsidP="0037118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617837647"/>
      <w:docPartObj>
        <w:docPartGallery w:val="Page Numbers (Bottom of Page)"/>
        <w:docPartUnique/>
      </w:docPartObj>
    </w:sdtPr>
    <w:sdtEndPr>
      <w:rPr>
        <w:rStyle w:val="PageNumber"/>
      </w:rPr>
    </w:sdtEndPr>
    <w:sdtContent>
      <w:p w:rsidR="00371181" w:rsidRDefault="00371181" w:rsidP="00B97A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40B41">
          <w:rPr>
            <w:rStyle w:val="PageNumber"/>
            <w:noProof/>
          </w:rPr>
          <w:t>1</w:t>
        </w:r>
        <w:r>
          <w:rPr>
            <w:rStyle w:val="PageNumber"/>
          </w:rPr>
          <w:fldChar w:fldCharType="end"/>
        </w:r>
      </w:p>
    </w:sdtContent>
  </w:sdt>
  <w:p w:rsidR="005B0F07" w:rsidRDefault="005B0F07" w:rsidP="00371181">
    <w:pPr>
      <w:ind w:right="360"/>
    </w:pPr>
  </w:p>
  <w:p w:rsidR="005B0F07" w:rsidRDefault="005B0F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4130" w:rsidRDefault="00234130" w:rsidP="005B0F07">
      <w:pPr>
        <w:spacing w:after="0" w:line="240" w:lineRule="auto"/>
      </w:pPr>
      <w:r>
        <w:separator/>
      </w:r>
    </w:p>
  </w:footnote>
  <w:footnote w:type="continuationSeparator" w:id="0">
    <w:p w:rsidR="00234130" w:rsidRDefault="00234130" w:rsidP="005B0F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CB217D"/>
    <w:multiLevelType w:val="hybridMultilevel"/>
    <w:tmpl w:val="EB943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EF10A4"/>
    <w:multiLevelType w:val="hybridMultilevel"/>
    <w:tmpl w:val="16DE8CBE"/>
    <w:lvl w:ilvl="0" w:tplc="DE24C904">
      <w:start w:val="1"/>
      <w:numFmt w:val="decimal"/>
      <w:lvlText w:val="%1.0"/>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F373A"/>
    <w:rsid w:val="000C58EB"/>
    <w:rsid w:val="000E035B"/>
    <w:rsid w:val="001E31E7"/>
    <w:rsid w:val="00207ADA"/>
    <w:rsid w:val="00234130"/>
    <w:rsid w:val="003104DD"/>
    <w:rsid w:val="00371181"/>
    <w:rsid w:val="00581FEE"/>
    <w:rsid w:val="005B0F07"/>
    <w:rsid w:val="00611032"/>
    <w:rsid w:val="0067795F"/>
    <w:rsid w:val="00740B41"/>
    <w:rsid w:val="00790ECD"/>
    <w:rsid w:val="007F373A"/>
    <w:rsid w:val="008C40F0"/>
    <w:rsid w:val="00FB1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N"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81"/>
    <w:rPr>
      <w:i/>
      <w:iCs/>
      <w:sz w:val="20"/>
      <w:szCs w:val="20"/>
    </w:rPr>
  </w:style>
  <w:style w:type="paragraph" w:styleId="Heading1">
    <w:name w:val="heading 1"/>
    <w:basedOn w:val="Normal"/>
    <w:next w:val="Normal"/>
    <w:link w:val="Heading1Char"/>
    <w:uiPriority w:val="9"/>
    <w:qFormat/>
    <w:rsid w:val="00371181"/>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Heading2">
    <w:name w:val="heading 2"/>
    <w:basedOn w:val="Normal"/>
    <w:next w:val="Normal"/>
    <w:link w:val="Heading2Char"/>
    <w:uiPriority w:val="9"/>
    <w:unhideWhenUsed/>
    <w:qFormat/>
    <w:rsid w:val="00371181"/>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Heading3">
    <w:name w:val="heading 3"/>
    <w:basedOn w:val="Normal"/>
    <w:next w:val="Normal"/>
    <w:link w:val="Heading3Char"/>
    <w:uiPriority w:val="9"/>
    <w:unhideWhenUsed/>
    <w:qFormat/>
    <w:rsid w:val="00371181"/>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Heading4">
    <w:name w:val="heading 4"/>
    <w:basedOn w:val="Normal"/>
    <w:next w:val="Normal"/>
    <w:link w:val="Heading4Char"/>
    <w:uiPriority w:val="9"/>
    <w:unhideWhenUsed/>
    <w:qFormat/>
    <w:rsid w:val="00371181"/>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paragraph" w:styleId="Heading5">
    <w:name w:val="heading 5"/>
    <w:basedOn w:val="Normal"/>
    <w:next w:val="Normal"/>
    <w:link w:val="Heading5Char"/>
    <w:uiPriority w:val="9"/>
    <w:unhideWhenUsed/>
    <w:qFormat/>
    <w:rsid w:val="00371181"/>
    <w:pPr>
      <w:pBdr>
        <w:left w:val="dotted" w:sz="4" w:space="2" w:color="ED7D31" w:themeColor="accent2"/>
        <w:bottom w:val="dotted" w:sz="4" w:space="2" w:color="ED7D31" w:themeColor="accent2"/>
      </w:pBdr>
      <w:spacing w:before="200" w:after="100" w:line="240" w:lineRule="auto"/>
      <w:ind w:left="86"/>
      <w:contextualSpacing/>
      <w:outlineLvl w:val="4"/>
    </w:pPr>
    <w:rPr>
      <w:rFonts w:asciiTheme="majorHAnsi" w:eastAsiaTheme="majorEastAsia" w:hAnsiTheme="majorHAnsi" w:cstheme="majorBidi"/>
      <w:b/>
      <w:bCs/>
      <w:color w:val="C45911" w:themeColor="accent2" w:themeShade="BF"/>
      <w:sz w:val="22"/>
      <w:szCs w:val="22"/>
    </w:rPr>
  </w:style>
  <w:style w:type="paragraph" w:styleId="Heading6">
    <w:name w:val="heading 6"/>
    <w:basedOn w:val="Normal"/>
    <w:next w:val="Normal"/>
    <w:link w:val="Heading6Char"/>
    <w:uiPriority w:val="9"/>
    <w:semiHidden/>
    <w:unhideWhenUsed/>
    <w:qFormat/>
    <w:rsid w:val="00371181"/>
    <w:pPr>
      <w:pBdr>
        <w:bottom w:val="single" w:sz="4" w:space="2" w:color="F7CAAC" w:themeColor="accent2" w:themeTint="66"/>
      </w:pBdr>
      <w:spacing w:before="200" w:after="100" w:line="240" w:lineRule="auto"/>
      <w:contextualSpacing/>
      <w:outlineLvl w:val="5"/>
    </w:pPr>
    <w:rPr>
      <w:rFonts w:asciiTheme="majorHAnsi" w:eastAsiaTheme="majorEastAsia" w:hAnsiTheme="majorHAnsi" w:cstheme="majorBidi"/>
      <w:color w:val="C45911" w:themeColor="accent2" w:themeShade="BF"/>
      <w:sz w:val="22"/>
      <w:szCs w:val="22"/>
    </w:rPr>
  </w:style>
  <w:style w:type="paragraph" w:styleId="Heading7">
    <w:name w:val="heading 7"/>
    <w:basedOn w:val="Normal"/>
    <w:next w:val="Normal"/>
    <w:link w:val="Heading7Char"/>
    <w:uiPriority w:val="9"/>
    <w:semiHidden/>
    <w:unhideWhenUsed/>
    <w:qFormat/>
    <w:rsid w:val="00371181"/>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371181"/>
    <w:pPr>
      <w:spacing w:before="200" w:after="100" w:line="240" w:lineRule="auto"/>
      <w:contextualSpacing/>
      <w:outlineLvl w:val="7"/>
    </w:pPr>
    <w:rPr>
      <w:rFonts w:asciiTheme="majorHAnsi" w:eastAsiaTheme="majorEastAsia" w:hAnsiTheme="majorHAnsi" w:cstheme="majorBidi"/>
      <w:color w:val="ED7D31" w:themeColor="accent2"/>
      <w:sz w:val="22"/>
      <w:szCs w:val="22"/>
    </w:rPr>
  </w:style>
  <w:style w:type="paragraph" w:styleId="Heading9">
    <w:name w:val="heading 9"/>
    <w:basedOn w:val="Normal"/>
    <w:next w:val="Normal"/>
    <w:link w:val="Heading9Char"/>
    <w:uiPriority w:val="9"/>
    <w:semiHidden/>
    <w:unhideWhenUsed/>
    <w:qFormat/>
    <w:rsid w:val="00371181"/>
    <w:pPr>
      <w:spacing w:before="200" w:after="100" w:line="240" w:lineRule="auto"/>
      <w:contextualSpacing/>
      <w:outlineLvl w:val="8"/>
    </w:pPr>
    <w:rPr>
      <w:rFonts w:asciiTheme="majorHAnsi" w:eastAsiaTheme="majorEastAsia" w:hAnsiTheme="majorHAnsi" w:cstheme="majorBidi"/>
      <w:color w:val="ED7D3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181"/>
    <w:rPr>
      <w:rFonts w:asciiTheme="majorHAnsi" w:eastAsiaTheme="majorEastAsia" w:hAnsiTheme="majorHAnsi" w:cstheme="majorBidi"/>
      <w:b/>
      <w:bCs/>
      <w:i/>
      <w:iCs/>
      <w:color w:val="823B0B" w:themeColor="accent2" w:themeShade="7F"/>
      <w:shd w:val="clear" w:color="auto" w:fill="FBE4D5" w:themeFill="accent2" w:themeFillTint="33"/>
    </w:rPr>
  </w:style>
  <w:style w:type="character" w:customStyle="1" w:styleId="Heading2Char">
    <w:name w:val="Heading 2 Char"/>
    <w:basedOn w:val="DefaultParagraphFont"/>
    <w:link w:val="Heading2"/>
    <w:uiPriority w:val="9"/>
    <w:rsid w:val="00371181"/>
    <w:rPr>
      <w:rFonts w:asciiTheme="majorHAnsi" w:eastAsiaTheme="majorEastAsia" w:hAnsiTheme="majorHAnsi" w:cstheme="majorBidi"/>
      <w:b/>
      <w:bCs/>
      <w:i/>
      <w:iCs/>
      <w:color w:val="C45911" w:themeColor="accent2" w:themeShade="BF"/>
    </w:rPr>
  </w:style>
  <w:style w:type="character" w:customStyle="1" w:styleId="Heading3Char">
    <w:name w:val="Heading 3 Char"/>
    <w:basedOn w:val="DefaultParagraphFont"/>
    <w:link w:val="Heading3"/>
    <w:uiPriority w:val="9"/>
    <w:rsid w:val="00371181"/>
    <w:rPr>
      <w:rFonts w:asciiTheme="majorHAnsi" w:eastAsiaTheme="majorEastAsia" w:hAnsiTheme="majorHAnsi" w:cstheme="majorBidi"/>
      <w:b/>
      <w:bCs/>
      <w:i/>
      <w:iCs/>
      <w:color w:val="C45911" w:themeColor="accent2" w:themeShade="BF"/>
    </w:rPr>
  </w:style>
  <w:style w:type="character" w:customStyle="1" w:styleId="Heading4Char">
    <w:name w:val="Heading 4 Char"/>
    <w:basedOn w:val="DefaultParagraphFont"/>
    <w:link w:val="Heading4"/>
    <w:uiPriority w:val="9"/>
    <w:rsid w:val="00371181"/>
    <w:rPr>
      <w:rFonts w:asciiTheme="majorHAnsi" w:eastAsiaTheme="majorEastAsia" w:hAnsiTheme="majorHAnsi" w:cstheme="majorBidi"/>
      <w:b/>
      <w:bCs/>
      <w:i/>
      <w:iCs/>
      <w:color w:val="C45911" w:themeColor="accent2" w:themeShade="BF"/>
    </w:rPr>
  </w:style>
  <w:style w:type="character" w:customStyle="1" w:styleId="Heading5Char">
    <w:name w:val="Heading 5 Char"/>
    <w:basedOn w:val="DefaultParagraphFont"/>
    <w:link w:val="Heading5"/>
    <w:uiPriority w:val="9"/>
    <w:rsid w:val="00371181"/>
    <w:rPr>
      <w:rFonts w:asciiTheme="majorHAnsi" w:eastAsiaTheme="majorEastAsia" w:hAnsiTheme="majorHAnsi" w:cstheme="majorBidi"/>
      <w:b/>
      <w:bCs/>
      <w:i/>
      <w:iCs/>
      <w:color w:val="C45911" w:themeColor="accent2" w:themeShade="BF"/>
    </w:rPr>
  </w:style>
  <w:style w:type="paragraph" w:styleId="TOCHeading">
    <w:name w:val="TOC Heading"/>
    <w:basedOn w:val="Heading1"/>
    <w:next w:val="Normal"/>
    <w:uiPriority w:val="39"/>
    <w:unhideWhenUsed/>
    <w:qFormat/>
    <w:rsid w:val="00371181"/>
    <w:pPr>
      <w:outlineLvl w:val="9"/>
    </w:pPr>
  </w:style>
  <w:style w:type="paragraph" w:styleId="Header">
    <w:name w:val="header"/>
    <w:basedOn w:val="Normal"/>
    <w:link w:val="HeaderChar"/>
    <w:uiPriority w:val="99"/>
    <w:semiHidden/>
    <w:unhideWhenUsed/>
    <w:rsid w:val="005B0F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B0F07"/>
  </w:style>
  <w:style w:type="paragraph" w:styleId="Footer">
    <w:name w:val="footer"/>
    <w:basedOn w:val="Normal"/>
    <w:link w:val="FooterChar"/>
    <w:uiPriority w:val="99"/>
    <w:unhideWhenUsed/>
    <w:rsid w:val="005B0F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0F07"/>
  </w:style>
  <w:style w:type="paragraph" w:styleId="TOC1">
    <w:name w:val="toc 1"/>
    <w:basedOn w:val="Normal"/>
    <w:next w:val="Normal"/>
    <w:autoRedefine/>
    <w:uiPriority w:val="39"/>
    <w:unhideWhenUsed/>
    <w:rsid w:val="000C58EB"/>
    <w:pPr>
      <w:tabs>
        <w:tab w:val="left" w:pos="660"/>
        <w:tab w:val="right" w:leader="dot" w:pos="9350"/>
      </w:tabs>
      <w:spacing w:after="100"/>
    </w:pPr>
  </w:style>
  <w:style w:type="character" w:styleId="Hyperlink">
    <w:name w:val="Hyperlink"/>
    <w:basedOn w:val="DefaultParagraphFont"/>
    <w:uiPriority w:val="99"/>
    <w:unhideWhenUsed/>
    <w:rsid w:val="00581FEE"/>
    <w:rPr>
      <w:color w:val="0563C1" w:themeColor="hyperlink"/>
      <w:u w:val="single"/>
    </w:rPr>
  </w:style>
  <w:style w:type="paragraph" w:styleId="ListParagraph">
    <w:name w:val="List Paragraph"/>
    <w:basedOn w:val="Normal"/>
    <w:uiPriority w:val="34"/>
    <w:qFormat/>
    <w:rsid w:val="00371181"/>
    <w:pPr>
      <w:ind w:left="720"/>
      <w:contextualSpacing/>
    </w:pPr>
  </w:style>
  <w:style w:type="character" w:customStyle="1" w:styleId="Heading6Char">
    <w:name w:val="Heading 6 Char"/>
    <w:basedOn w:val="DefaultParagraphFont"/>
    <w:link w:val="Heading6"/>
    <w:uiPriority w:val="9"/>
    <w:semiHidden/>
    <w:rsid w:val="00371181"/>
    <w:rPr>
      <w:rFonts w:asciiTheme="majorHAnsi" w:eastAsiaTheme="majorEastAsia" w:hAnsiTheme="majorHAnsi" w:cstheme="majorBidi"/>
      <w:i/>
      <w:iCs/>
      <w:color w:val="C45911" w:themeColor="accent2" w:themeShade="BF"/>
    </w:rPr>
  </w:style>
  <w:style w:type="character" w:customStyle="1" w:styleId="Heading7Char">
    <w:name w:val="Heading 7 Char"/>
    <w:basedOn w:val="DefaultParagraphFont"/>
    <w:link w:val="Heading7"/>
    <w:uiPriority w:val="9"/>
    <w:semiHidden/>
    <w:rsid w:val="00371181"/>
    <w:rPr>
      <w:rFonts w:asciiTheme="majorHAnsi" w:eastAsiaTheme="majorEastAsia" w:hAnsiTheme="majorHAnsi" w:cstheme="majorBidi"/>
      <w:i/>
      <w:iCs/>
      <w:color w:val="C45911" w:themeColor="accent2" w:themeShade="BF"/>
    </w:rPr>
  </w:style>
  <w:style w:type="character" w:customStyle="1" w:styleId="Heading8Char">
    <w:name w:val="Heading 8 Char"/>
    <w:basedOn w:val="DefaultParagraphFont"/>
    <w:link w:val="Heading8"/>
    <w:uiPriority w:val="9"/>
    <w:semiHidden/>
    <w:rsid w:val="00371181"/>
    <w:rPr>
      <w:rFonts w:asciiTheme="majorHAnsi" w:eastAsiaTheme="majorEastAsia" w:hAnsiTheme="majorHAnsi" w:cstheme="majorBidi"/>
      <w:i/>
      <w:iCs/>
      <w:color w:val="ED7D31" w:themeColor="accent2"/>
    </w:rPr>
  </w:style>
  <w:style w:type="character" w:customStyle="1" w:styleId="Heading9Char">
    <w:name w:val="Heading 9 Char"/>
    <w:basedOn w:val="DefaultParagraphFont"/>
    <w:link w:val="Heading9"/>
    <w:uiPriority w:val="9"/>
    <w:semiHidden/>
    <w:rsid w:val="00371181"/>
    <w:rPr>
      <w:rFonts w:asciiTheme="majorHAnsi" w:eastAsiaTheme="majorEastAsia" w:hAnsiTheme="majorHAnsi" w:cstheme="majorBidi"/>
      <w:i/>
      <w:iCs/>
      <w:color w:val="ED7D31" w:themeColor="accent2"/>
      <w:sz w:val="20"/>
      <w:szCs w:val="20"/>
    </w:rPr>
  </w:style>
  <w:style w:type="paragraph" w:styleId="Caption">
    <w:name w:val="caption"/>
    <w:basedOn w:val="Normal"/>
    <w:next w:val="Normal"/>
    <w:uiPriority w:val="35"/>
    <w:semiHidden/>
    <w:unhideWhenUsed/>
    <w:qFormat/>
    <w:rsid w:val="00371181"/>
    <w:rPr>
      <w:b/>
      <w:bCs/>
      <w:color w:val="C45911" w:themeColor="accent2" w:themeShade="BF"/>
      <w:sz w:val="18"/>
      <w:szCs w:val="18"/>
    </w:rPr>
  </w:style>
  <w:style w:type="paragraph" w:styleId="Title">
    <w:name w:val="Title"/>
    <w:basedOn w:val="Normal"/>
    <w:next w:val="Normal"/>
    <w:link w:val="TitleChar"/>
    <w:uiPriority w:val="10"/>
    <w:qFormat/>
    <w:rsid w:val="00371181"/>
    <w:pPr>
      <w:pBdr>
        <w:top w:val="single" w:sz="48" w:space="0" w:color="ED7D31" w:themeColor="accent2"/>
        <w:bottom w:val="single" w:sz="48" w:space="0" w:color="ED7D31" w:themeColor="accent2"/>
      </w:pBdr>
      <w:shd w:val="clear" w:color="auto" w:fill="ED7D31"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371181"/>
    <w:rPr>
      <w:rFonts w:asciiTheme="majorHAnsi" w:eastAsiaTheme="majorEastAsia" w:hAnsiTheme="majorHAnsi" w:cstheme="majorBidi"/>
      <w:i/>
      <w:iCs/>
      <w:color w:val="FFFFFF" w:themeColor="background1"/>
      <w:spacing w:val="10"/>
      <w:sz w:val="48"/>
      <w:szCs w:val="48"/>
      <w:shd w:val="clear" w:color="auto" w:fill="ED7D31" w:themeFill="accent2"/>
    </w:rPr>
  </w:style>
  <w:style w:type="paragraph" w:styleId="Subtitle">
    <w:name w:val="Subtitle"/>
    <w:basedOn w:val="Normal"/>
    <w:next w:val="Normal"/>
    <w:link w:val="SubtitleChar"/>
    <w:uiPriority w:val="11"/>
    <w:qFormat/>
    <w:rsid w:val="00371181"/>
    <w:pPr>
      <w:pBdr>
        <w:bottom w:val="dotted" w:sz="8" w:space="10" w:color="ED7D31" w:themeColor="accent2"/>
      </w:pBdr>
      <w:spacing w:before="200" w:after="900" w:line="240" w:lineRule="auto"/>
      <w:jc w:val="center"/>
    </w:pPr>
    <w:rPr>
      <w:rFonts w:asciiTheme="majorHAnsi" w:eastAsiaTheme="majorEastAsia" w:hAnsiTheme="majorHAnsi" w:cstheme="majorBidi"/>
      <w:color w:val="823B0B" w:themeColor="accent2" w:themeShade="7F"/>
      <w:sz w:val="24"/>
      <w:szCs w:val="24"/>
    </w:rPr>
  </w:style>
  <w:style w:type="character" w:customStyle="1" w:styleId="SubtitleChar">
    <w:name w:val="Subtitle Char"/>
    <w:basedOn w:val="DefaultParagraphFont"/>
    <w:link w:val="Subtitle"/>
    <w:uiPriority w:val="11"/>
    <w:rsid w:val="00371181"/>
    <w:rPr>
      <w:rFonts w:asciiTheme="majorHAnsi" w:eastAsiaTheme="majorEastAsia" w:hAnsiTheme="majorHAnsi" w:cstheme="majorBidi"/>
      <w:i/>
      <w:iCs/>
      <w:color w:val="823B0B" w:themeColor="accent2" w:themeShade="7F"/>
      <w:sz w:val="24"/>
      <w:szCs w:val="24"/>
    </w:rPr>
  </w:style>
  <w:style w:type="character" w:styleId="Strong">
    <w:name w:val="Strong"/>
    <w:uiPriority w:val="22"/>
    <w:qFormat/>
    <w:rsid w:val="00371181"/>
    <w:rPr>
      <w:b/>
      <w:bCs/>
      <w:spacing w:val="0"/>
    </w:rPr>
  </w:style>
  <w:style w:type="character" w:styleId="Emphasis">
    <w:name w:val="Emphasis"/>
    <w:uiPriority w:val="20"/>
    <w:qFormat/>
    <w:rsid w:val="00371181"/>
    <w:rPr>
      <w:rFonts w:asciiTheme="majorHAnsi" w:eastAsiaTheme="majorEastAsia" w:hAnsiTheme="majorHAnsi" w:cstheme="majorBidi"/>
      <w:b/>
      <w:bCs/>
      <w:i/>
      <w:iCs/>
      <w:color w:val="ED7D31" w:themeColor="accent2"/>
      <w:bdr w:val="single" w:sz="18" w:space="0" w:color="FBE4D5" w:themeColor="accent2" w:themeTint="33"/>
      <w:shd w:val="clear" w:color="auto" w:fill="FBE4D5" w:themeFill="accent2" w:themeFillTint="33"/>
    </w:rPr>
  </w:style>
  <w:style w:type="paragraph" w:styleId="NoSpacing">
    <w:name w:val="No Spacing"/>
    <w:basedOn w:val="Normal"/>
    <w:uiPriority w:val="1"/>
    <w:qFormat/>
    <w:rsid w:val="00371181"/>
    <w:pPr>
      <w:spacing w:after="0" w:line="240" w:lineRule="auto"/>
    </w:pPr>
  </w:style>
  <w:style w:type="paragraph" w:styleId="Quote">
    <w:name w:val="Quote"/>
    <w:basedOn w:val="Normal"/>
    <w:next w:val="Normal"/>
    <w:link w:val="QuoteChar"/>
    <w:uiPriority w:val="29"/>
    <w:qFormat/>
    <w:rsid w:val="00371181"/>
    <w:rPr>
      <w:i w:val="0"/>
      <w:iCs w:val="0"/>
      <w:color w:val="C45911" w:themeColor="accent2" w:themeShade="BF"/>
    </w:rPr>
  </w:style>
  <w:style w:type="character" w:customStyle="1" w:styleId="QuoteChar">
    <w:name w:val="Quote Char"/>
    <w:basedOn w:val="DefaultParagraphFont"/>
    <w:link w:val="Quote"/>
    <w:uiPriority w:val="29"/>
    <w:rsid w:val="00371181"/>
    <w:rPr>
      <w:color w:val="C45911" w:themeColor="accent2" w:themeShade="BF"/>
      <w:sz w:val="20"/>
      <w:szCs w:val="20"/>
    </w:rPr>
  </w:style>
  <w:style w:type="paragraph" w:styleId="IntenseQuote">
    <w:name w:val="Intense Quote"/>
    <w:basedOn w:val="Normal"/>
    <w:next w:val="Normal"/>
    <w:link w:val="IntenseQuoteChar"/>
    <w:uiPriority w:val="30"/>
    <w:qFormat/>
    <w:rsid w:val="00371181"/>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color w:val="ED7D31" w:themeColor="accent2"/>
    </w:rPr>
  </w:style>
  <w:style w:type="character" w:customStyle="1" w:styleId="IntenseQuoteChar">
    <w:name w:val="Intense Quote Char"/>
    <w:basedOn w:val="DefaultParagraphFont"/>
    <w:link w:val="IntenseQuote"/>
    <w:uiPriority w:val="30"/>
    <w:rsid w:val="00371181"/>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371181"/>
    <w:rPr>
      <w:rFonts w:asciiTheme="majorHAnsi" w:eastAsiaTheme="majorEastAsia" w:hAnsiTheme="majorHAnsi" w:cstheme="majorBidi"/>
      <w:i/>
      <w:iCs/>
      <w:color w:val="ED7D31" w:themeColor="accent2"/>
    </w:rPr>
  </w:style>
  <w:style w:type="character" w:styleId="IntenseEmphasis">
    <w:name w:val="Intense Emphasis"/>
    <w:uiPriority w:val="21"/>
    <w:qFormat/>
    <w:rsid w:val="00371181"/>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371181"/>
    <w:rPr>
      <w:i/>
      <w:iCs/>
      <w:smallCaps/>
      <w:color w:val="ED7D31" w:themeColor="accent2"/>
      <w:u w:color="ED7D31" w:themeColor="accent2"/>
    </w:rPr>
  </w:style>
  <w:style w:type="character" w:styleId="IntenseReference">
    <w:name w:val="Intense Reference"/>
    <w:uiPriority w:val="32"/>
    <w:qFormat/>
    <w:rsid w:val="00371181"/>
    <w:rPr>
      <w:b/>
      <w:bCs/>
      <w:i/>
      <w:iCs/>
      <w:smallCaps/>
      <w:color w:val="ED7D31" w:themeColor="accent2"/>
      <w:u w:color="ED7D31" w:themeColor="accent2"/>
    </w:rPr>
  </w:style>
  <w:style w:type="character" w:styleId="BookTitle">
    <w:name w:val="Book Title"/>
    <w:uiPriority w:val="33"/>
    <w:qFormat/>
    <w:rsid w:val="00371181"/>
    <w:rPr>
      <w:rFonts w:asciiTheme="majorHAnsi" w:eastAsiaTheme="majorEastAsia" w:hAnsiTheme="majorHAnsi" w:cstheme="majorBidi"/>
      <w:b/>
      <w:bCs/>
      <w:i/>
      <w:iCs/>
      <w:smallCaps/>
      <w:color w:val="C45911" w:themeColor="accent2" w:themeShade="BF"/>
      <w:u w:val="single"/>
    </w:rPr>
  </w:style>
  <w:style w:type="character" w:styleId="PageNumber">
    <w:name w:val="page number"/>
    <w:basedOn w:val="DefaultParagraphFont"/>
    <w:uiPriority w:val="99"/>
    <w:semiHidden/>
    <w:unhideWhenUsed/>
    <w:rsid w:val="00371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922188">
      <w:bodyDiv w:val="1"/>
      <w:marLeft w:val="0"/>
      <w:marRight w:val="0"/>
      <w:marTop w:val="0"/>
      <w:marBottom w:val="0"/>
      <w:divBdr>
        <w:top w:val="none" w:sz="0" w:space="0" w:color="auto"/>
        <w:left w:val="none" w:sz="0" w:space="0" w:color="auto"/>
        <w:bottom w:val="none" w:sz="0" w:space="0" w:color="auto"/>
        <w:right w:val="none" w:sz="0" w:space="0" w:color="auto"/>
      </w:divBdr>
    </w:div>
    <w:div w:id="1156343740">
      <w:bodyDiv w:val="1"/>
      <w:marLeft w:val="0"/>
      <w:marRight w:val="0"/>
      <w:marTop w:val="0"/>
      <w:marBottom w:val="0"/>
      <w:divBdr>
        <w:top w:val="none" w:sz="0" w:space="0" w:color="auto"/>
        <w:left w:val="none" w:sz="0" w:space="0" w:color="auto"/>
        <w:bottom w:val="none" w:sz="0" w:space="0" w:color="auto"/>
        <w:right w:val="none" w:sz="0" w:space="0" w:color="auto"/>
      </w:divBdr>
    </w:div>
    <w:div w:id="1285891655">
      <w:bodyDiv w:val="1"/>
      <w:marLeft w:val="0"/>
      <w:marRight w:val="0"/>
      <w:marTop w:val="0"/>
      <w:marBottom w:val="0"/>
      <w:divBdr>
        <w:top w:val="none" w:sz="0" w:space="0" w:color="auto"/>
        <w:left w:val="none" w:sz="0" w:space="0" w:color="auto"/>
        <w:bottom w:val="none" w:sz="0" w:space="0" w:color="auto"/>
        <w:right w:val="none" w:sz="0" w:space="0" w:color="auto"/>
      </w:divBdr>
    </w:div>
    <w:div w:id="169241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27EE8-D105-4C6C-A458-5CAA13D01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1797</Words>
  <Characters>10247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4</cp:revision>
  <dcterms:created xsi:type="dcterms:W3CDTF">2023-05-03T08:31:00Z</dcterms:created>
  <dcterms:modified xsi:type="dcterms:W3CDTF">2023-05-07T22:24:00Z</dcterms:modified>
</cp:coreProperties>
</file>