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83C30" w14:textId="415B559F" w:rsidR="00063AF8" w:rsidRDefault="00063AF8" w:rsidP="00063AF8">
      <w:pPr>
        <w:jc w:val="center"/>
        <w:rPr>
          <w:sz w:val="52"/>
          <w:szCs w:val="52"/>
        </w:rPr>
      </w:pPr>
      <w:r w:rsidRPr="00B27704">
        <w:rPr>
          <w:sz w:val="52"/>
          <w:szCs w:val="52"/>
        </w:rPr>
        <w:t>BILL OFF RIGHTS BILL</w:t>
      </w:r>
    </w:p>
    <w:p w14:paraId="67F08D8D" w14:textId="12733D6E" w:rsidR="00C84E14" w:rsidRPr="00E92901" w:rsidRDefault="00C84E14" w:rsidP="00063AF8">
      <w:pPr>
        <w:jc w:val="center"/>
        <w:rPr>
          <w:sz w:val="28"/>
          <w:szCs w:val="28"/>
        </w:rPr>
      </w:pPr>
    </w:p>
    <w:p w14:paraId="0DF1E932" w14:textId="62B12546" w:rsidR="00BB27AA" w:rsidRDefault="003B5585" w:rsidP="00BB27AA">
      <w:pPr>
        <w:spacing w:after="0" w:line="240" w:lineRule="auto"/>
        <w:rPr>
          <w:rFonts w:ascii="Arial" w:hAnsi="Arial" w:cs="Arial"/>
          <w:sz w:val="28"/>
          <w:szCs w:val="28"/>
        </w:rPr>
      </w:pPr>
      <w:r w:rsidRPr="00E92901">
        <w:rPr>
          <w:rFonts w:ascii="Arial" w:eastAsia="Times New Roman" w:hAnsi="Arial" w:cs="Arial"/>
          <w:kern w:val="0"/>
          <w:sz w:val="28"/>
          <w:szCs w:val="28"/>
          <w:lang w:eastAsia="en-GB"/>
          <w14:ligatures w14:val="none"/>
        </w:rPr>
        <w:t>According to Stratford ( 2009,pg .23 )</w:t>
      </w:r>
      <w:r w:rsidR="00C84E14" w:rsidRPr="00C84E14">
        <w:rPr>
          <w:rFonts w:ascii="Arial" w:eastAsia="Times New Roman" w:hAnsi="Arial" w:cs="Arial"/>
          <w:kern w:val="0"/>
          <w:sz w:val="28"/>
          <w:szCs w:val="28"/>
          <w:lang w:eastAsia="en-GB"/>
          <w14:ligatures w14:val="none"/>
        </w:rPr>
        <w:t xml:space="preserve">On 10 August 2008 the Joint Committee on Human Rights of the House of Lords and House of Commons published a Bill of Rights for the UK (the Report). The report recommends that the UK adopt a Bill of Rights and Freedoms that "should be ambitious in nature and protect existing human rights". One of the most interesting parts of the report concerns the proposed approach to the treatment of social and economic rights in a future UK Bill of Rights. a "duty of progressive realization with a narrowly defined judicial function". This note summarizes the proposed approach, taking the right to education as a practical </w:t>
      </w:r>
      <w:r w:rsidR="003D5273" w:rsidRPr="00E92901">
        <w:rPr>
          <w:rFonts w:ascii="Arial" w:eastAsia="Times New Roman" w:hAnsi="Arial" w:cs="Arial"/>
          <w:kern w:val="0"/>
          <w:sz w:val="28"/>
          <w:szCs w:val="28"/>
          <w:lang w:eastAsia="en-GB"/>
          <w14:ligatures w14:val="none"/>
        </w:rPr>
        <w:t>example. The</w:t>
      </w:r>
      <w:r w:rsidR="00C84E14" w:rsidRPr="00C84E14">
        <w:rPr>
          <w:rFonts w:ascii="Arial" w:eastAsia="Times New Roman" w:hAnsi="Arial" w:cs="Arial"/>
          <w:kern w:val="0"/>
          <w:sz w:val="28"/>
          <w:szCs w:val="28"/>
          <w:lang w:eastAsia="en-GB"/>
          <w14:ligatures w14:val="none"/>
        </w:rPr>
        <w:t xml:space="preserve"> report recognizes that one of the major controversies in the Bill of Rights is whether it should include social and economic rights. Noting that "there is strong public support for the inclusion of the rights to health, housing and education," the authors suggest that the Bill of Rights should include the rights to education, health, housing and a decent standard of living first so-</w:t>
      </w:r>
      <w:r w:rsidR="003D5273" w:rsidRPr="00E92901">
        <w:rPr>
          <w:rFonts w:ascii="Arial" w:eastAsia="Times New Roman" w:hAnsi="Arial" w:cs="Arial"/>
          <w:kern w:val="0"/>
          <w:sz w:val="28"/>
          <w:szCs w:val="28"/>
          <w:lang w:eastAsia="en-GB"/>
          <w14:ligatures w14:val="none"/>
        </w:rPr>
        <w:t>called? third</w:t>
      </w:r>
      <w:r w:rsidR="00C84E14" w:rsidRPr="00C84E14">
        <w:rPr>
          <w:rFonts w:ascii="Arial" w:eastAsia="Times New Roman" w:hAnsi="Arial" w:cs="Arial"/>
          <w:kern w:val="0"/>
          <w:sz w:val="28"/>
          <w:szCs w:val="28"/>
          <w:lang w:eastAsia="en-GB"/>
          <w14:ligatures w14:val="none"/>
        </w:rPr>
        <w:t xml:space="preserve"> generation right? to ?a healthy and sustainable environment ?. Social and economic rights are of course politically very sensitive, as they can lead to a significant burden on public coffers. Roughly speaking, they can cost a lot of </w:t>
      </w:r>
      <w:r w:rsidR="003D5273" w:rsidRPr="00E92901">
        <w:rPr>
          <w:rFonts w:ascii="Arial" w:eastAsia="Times New Roman" w:hAnsi="Arial" w:cs="Arial"/>
          <w:kern w:val="0"/>
          <w:sz w:val="28"/>
          <w:szCs w:val="28"/>
          <w:lang w:eastAsia="en-GB"/>
          <w14:ligatures w14:val="none"/>
        </w:rPr>
        <w:t>money. They</w:t>
      </w:r>
      <w:r w:rsidR="00C84E14" w:rsidRPr="00C84E14">
        <w:rPr>
          <w:rFonts w:ascii="Arial" w:eastAsia="Times New Roman" w:hAnsi="Arial" w:cs="Arial"/>
          <w:kern w:val="0"/>
          <w:sz w:val="28"/>
          <w:szCs w:val="28"/>
          <w:lang w:eastAsia="en-GB"/>
          <w14:ligatures w14:val="none"/>
        </w:rPr>
        <w:t xml:space="preserve"> occur in areas where courts have often shown considerable restraint and so-called "</w:t>
      </w:r>
      <w:r w:rsidR="003D5273" w:rsidRPr="00E92901">
        <w:rPr>
          <w:rFonts w:ascii="Arial" w:eastAsia="Times New Roman" w:hAnsi="Arial" w:cs="Arial"/>
          <w:kern w:val="0"/>
          <w:sz w:val="28"/>
          <w:szCs w:val="28"/>
          <w:lang w:eastAsia="en-GB"/>
          <w14:ligatures w14:val="none"/>
        </w:rPr>
        <w:t>consideration.</w:t>
      </w:r>
      <w:r w:rsidR="003D5273" w:rsidRPr="00E92901">
        <w:rPr>
          <w:rFonts w:ascii="Arial" w:hAnsi="Arial" w:cs="Arial"/>
          <w:sz w:val="28"/>
          <w:szCs w:val="28"/>
        </w:rPr>
        <w:t xml:space="preserve"> The</w:t>
      </w:r>
      <w:r w:rsidR="00BB27AA" w:rsidRPr="00E92901">
        <w:rPr>
          <w:rFonts w:ascii="Arial" w:hAnsi="Arial" w:cs="Arial"/>
          <w:sz w:val="28"/>
          <w:szCs w:val="28"/>
        </w:rPr>
        <w:t xml:space="preserve"> Human Rights Act 1998 (HRA 1998) was introduced to implement the European National Convention on Human Rights (ECHR) so that Convention rights are translated into national law. of the ECHR is an international treaty that reflects the 1948 United Nations Universal Declaration of Human Rights. The UK ratified the ECHR in 1951, but it only became mandatory under UK law with the introduction of the HRA in 1998. Laws of Convention Article of the ECHR sets out the rights and freedoms that the parties must respect: Article 2 – Right to life </w:t>
      </w:r>
      <w:r w:rsidR="00BB27AA" w:rsidRPr="00E92901">
        <w:rPr>
          <w:rFonts w:ascii="Arial" w:hAnsi="Arial" w:cs="Arial"/>
          <w:sz w:val="28"/>
          <w:szCs w:val="28"/>
        </w:rPr>
        <w:t>,</w:t>
      </w:r>
      <w:r w:rsidR="00BB27AA" w:rsidRPr="00E92901">
        <w:rPr>
          <w:rFonts w:ascii="Arial" w:hAnsi="Arial" w:cs="Arial"/>
          <w:sz w:val="28"/>
          <w:szCs w:val="28"/>
        </w:rPr>
        <w:t xml:space="preserve"> Article 3 – Prohibition of torture </w:t>
      </w:r>
      <w:r w:rsidR="00BB27AA" w:rsidRPr="00E92901">
        <w:rPr>
          <w:rFonts w:ascii="Arial" w:hAnsi="Arial" w:cs="Arial"/>
          <w:sz w:val="28"/>
          <w:szCs w:val="28"/>
        </w:rPr>
        <w:t>,</w:t>
      </w:r>
      <w:r w:rsidR="00BB27AA" w:rsidRPr="00E92901">
        <w:rPr>
          <w:rFonts w:ascii="Arial" w:hAnsi="Arial" w:cs="Arial"/>
          <w:sz w:val="28"/>
          <w:szCs w:val="28"/>
        </w:rPr>
        <w:t xml:space="preserve">Article 4 – Prohibition of slavery and forced labour </w:t>
      </w:r>
      <w:r w:rsidR="00BB27AA" w:rsidRPr="00E92901">
        <w:rPr>
          <w:rFonts w:ascii="Arial" w:hAnsi="Arial" w:cs="Arial"/>
          <w:sz w:val="28"/>
          <w:szCs w:val="28"/>
        </w:rPr>
        <w:t>,</w:t>
      </w:r>
      <w:r w:rsidR="00BB27AA" w:rsidRPr="00E92901">
        <w:rPr>
          <w:rFonts w:ascii="Arial" w:hAnsi="Arial" w:cs="Arial"/>
          <w:sz w:val="28"/>
          <w:szCs w:val="28"/>
        </w:rPr>
        <w:t xml:space="preserve">Article 5 – Right to liberty and personal security </w:t>
      </w:r>
      <w:r w:rsidR="00BB27AA" w:rsidRPr="00E92901">
        <w:rPr>
          <w:rFonts w:ascii="Arial" w:hAnsi="Arial" w:cs="Arial"/>
          <w:sz w:val="28"/>
          <w:szCs w:val="28"/>
        </w:rPr>
        <w:t>,</w:t>
      </w:r>
      <w:r w:rsidR="00BB27AA" w:rsidRPr="00E92901">
        <w:rPr>
          <w:rFonts w:ascii="Arial" w:hAnsi="Arial" w:cs="Arial"/>
          <w:sz w:val="28"/>
          <w:szCs w:val="28"/>
        </w:rPr>
        <w:t xml:space="preserve">Article 6 – Right to a fair trial </w:t>
      </w:r>
      <w:r w:rsidR="00BB27AA" w:rsidRPr="00E92901">
        <w:rPr>
          <w:rFonts w:ascii="Arial" w:hAnsi="Arial" w:cs="Arial"/>
          <w:sz w:val="28"/>
          <w:szCs w:val="28"/>
        </w:rPr>
        <w:t>,</w:t>
      </w:r>
      <w:r w:rsidR="00BB27AA" w:rsidRPr="00E92901">
        <w:rPr>
          <w:rFonts w:ascii="Arial" w:hAnsi="Arial" w:cs="Arial"/>
          <w:sz w:val="28"/>
          <w:szCs w:val="28"/>
        </w:rPr>
        <w:t xml:space="preserve">Art. 7 - Without law there is no punishment </w:t>
      </w:r>
      <w:r w:rsidR="00BB27AA" w:rsidRPr="00E92901">
        <w:rPr>
          <w:rFonts w:ascii="Arial" w:hAnsi="Arial" w:cs="Arial"/>
          <w:sz w:val="28"/>
          <w:szCs w:val="28"/>
        </w:rPr>
        <w:t>,</w:t>
      </w:r>
      <w:r w:rsidR="00BB27AA" w:rsidRPr="00E92901">
        <w:rPr>
          <w:rFonts w:ascii="Arial" w:hAnsi="Arial" w:cs="Arial"/>
          <w:sz w:val="28"/>
          <w:szCs w:val="28"/>
        </w:rPr>
        <w:t xml:space="preserve"> Art. 8 – Right to respect for private and family life </w:t>
      </w:r>
      <w:r w:rsidR="00BB27AA" w:rsidRPr="00E92901">
        <w:rPr>
          <w:rFonts w:ascii="Arial" w:hAnsi="Arial" w:cs="Arial"/>
          <w:sz w:val="28"/>
          <w:szCs w:val="28"/>
        </w:rPr>
        <w:t>,</w:t>
      </w:r>
      <w:r w:rsidR="00BB27AA" w:rsidRPr="00E92901">
        <w:rPr>
          <w:rFonts w:ascii="Arial" w:hAnsi="Arial" w:cs="Arial"/>
          <w:sz w:val="28"/>
          <w:szCs w:val="28"/>
        </w:rPr>
        <w:t xml:space="preserve"> Art. 9 – Freedom of thought, conscience and religion </w:t>
      </w:r>
      <w:r w:rsidR="00BB27AA" w:rsidRPr="00E92901">
        <w:rPr>
          <w:rFonts w:ascii="Arial" w:hAnsi="Arial" w:cs="Arial"/>
          <w:sz w:val="28"/>
          <w:szCs w:val="28"/>
        </w:rPr>
        <w:t>,</w:t>
      </w:r>
      <w:r w:rsidR="00BB27AA" w:rsidRPr="00E92901">
        <w:rPr>
          <w:rFonts w:ascii="Arial" w:hAnsi="Arial" w:cs="Arial"/>
          <w:sz w:val="28"/>
          <w:szCs w:val="28"/>
        </w:rPr>
        <w:t xml:space="preserve">Article 10 – Freedom of expression </w:t>
      </w:r>
      <w:r w:rsidR="00BB27AA" w:rsidRPr="00E92901">
        <w:rPr>
          <w:rFonts w:ascii="Arial" w:hAnsi="Arial" w:cs="Arial"/>
          <w:sz w:val="28"/>
          <w:szCs w:val="28"/>
        </w:rPr>
        <w:t>,</w:t>
      </w:r>
      <w:r w:rsidR="00BB27AA" w:rsidRPr="00E92901">
        <w:rPr>
          <w:rFonts w:ascii="Arial" w:hAnsi="Arial" w:cs="Arial"/>
          <w:sz w:val="28"/>
          <w:szCs w:val="28"/>
        </w:rPr>
        <w:t xml:space="preserve">Article 11 – Freedom of association </w:t>
      </w:r>
      <w:r w:rsidR="00BB27AA" w:rsidRPr="00E92901">
        <w:rPr>
          <w:rFonts w:ascii="Arial" w:hAnsi="Arial" w:cs="Arial"/>
          <w:sz w:val="28"/>
          <w:szCs w:val="28"/>
        </w:rPr>
        <w:t>,</w:t>
      </w:r>
      <w:r w:rsidR="00BB27AA" w:rsidRPr="00E92901">
        <w:rPr>
          <w:rFonts w:ascii="Arial" w:hAnsi="Arial" w:cs="Arial"/>
          <w:sz w:val="28"/>
          <w:szCs w:val="28"/>
        </w:rPr>
        <w:t xml:space="preserve">Art. 12 – Right to marry </w:t>
      </w:r>
      <w:r w:rsidR="00BB27AA" w:rsidRPr="00E92901">
        <w:rPr>
          <w:rFonts w:ascii="Arial" w:hAnsi="Arial" w:cs="Arial"/>
          <w:sz w:val="28"/>
          <w:szCs w:val="28"/>
        </w:rPr>
        <w:t>,</w:t>
      </w:r>
      <w:r w:rsidR="00BB27AA" w:rsidRPr="00E92901">
        <w:rPr>
          <w:rFonts w:ascii="Arial" w:hAnsi="Arial" w:cs="Arial"/>
          <w:sz w:val="28"/>
          <w:szCs w:val="28"/>
        </w:rPr>
        <w:t xml:space="preserve">Article 14 – Prohibition of discrimination </w:t>
      </w:r>
      <w:r w:rsidR="00BB27AA" w:rsidRPr="00E92901">
        <w:rPr>
          <w:rFonts w:ascii="Arial" w:hAnsi="Arial" w:cs="Arial"/>
          <w:sz w:val="28"/>
          <w:szCs w:val="28"/>
        </w:rPr>
        <w:t>,</w:t>
      </w:r>
      <w:r w:rsidR="00BB27AA" w:rsidRPr="00E92901">
        <w:rPr>
          <w:rFonts w:ascii="Arial" w:hAnsi="Arial" w:cs="Arial"/>
          <w:sz w:val="28"/>
          <w:szCs w:val="28"/>
        </w:rPr>
        <w:t xml:space="preserve">Art. 16 - Restriction on the political activity of foreigners </w:t>
      </w:r>
      <w:r w:rsidR="00BB27AA" w:rsidRPr="00E92901">
        <w:rPr>
          <w:rFonts w:ascii="Arial" w:hAnsi="Arial" w:cs="Arial"/>
          <w:sz w:val="28"/>
          <w:szCs w:val="28"/>
        </w:rPr>
        <w:t>,</w:t>
      </w:r>
      <w:r w:rsidR="00BB27AA" w:rsidRPr="00E92901">
        <w:rPr>
          <w:rFonts w:ascii="Arial" w:hAnsi="Arial" w:cs="Arial"/>
          <w:sz w:val="28"/>
          <w:szCs w:val="28"/>
        </w:rPr>
        <w:t xml:space="preserve"> Article 17 – Prohibition on abuse of power </w:t>
      </w:r>
      <w:r w:rsidR="00BB27AA" w:rsidRPr="00E92901">
        <w:rPr>
          <w:rFonts w:ascii="Arial" w:hAnsi="Arial" w:cs="Arial"/>
          <w:sz w:val="28"/>
          <w:szCs w:val="28"/>
        </w:rPr>
        <w:t>,</w:t>
      </w:r>
      <w:r w:rsidR="00BB27AA" w:rsidRPr="00E92901">
        <w:rPr>
          <w:rFonts w:ascii="Arial" w:hAnsi="Arial" w:cs="Arial"/>
          <w:sz w:val="28"/>
          <w:szCs w:val="28"/>
        </w:rPr>
        <w:t xml:space="preserve"> Art. 18 – Restriction on the application of restrictions on rights </w:t>
      </w:r>
      <w:r w:rsidR="00BB27AA" w:rsidRPr="00E92901">
        <w:rPr>
          <w:rFonts w:ascii="Arial" w:hAnsi="Arial" w:cs="Arial"/>
          <w:sz w:val="28"/>
          <w:szCs w:val="28"/>
        </w:rPr>
        <w:t>,</w:t>
      </w:r>
      <w:r w:rsidR="00BB27AA" w:rsidRPr="00E92901">
        <w:rPr>
          <w:rFonts w:ascii="Arial" w:hAnsi="Arial" w:cs="Arial"/>
          <w:sz w:val="28"/>
          <w:szCs w:val="28"/>
        </w:rPr>
        <w:t xml:space="preserve">First Protocol: Article 1 – Protection of property </w:t>
      </w:r>
      <w:r w:rsidR="00BB27AA" w:rsidRPr="00E92901">
        <w:rPr>
          <w:rFonts w:ascii="Arial" w:hAnsi="Arial" w:cs="Arial"/>
          <w:sz w:val="28"/>
          <w:szCs w:val="28"/>
        </w:rPr>
        <w:t>,</w:t>
      </w:r>
      <w:r w:rsidR="00BB27AA" w:rsidRPr="00E92901">
        <w:rPr>
          <w:rFonts w:ascii="Arial" w:hAnsi="Arial" w:cs="Arial"/>
          <w:sz w:val="28"/>
          <w:szCs w:val="28"/>
        </w:rPr>
        <w:t xml:space="preserve"> Protocol I: Art. 2 – Right to education </w:t>
      </w:r>
      <w:r w:rsidR="00BB27AA" w:rsidRPr="00E92901">
        <w:rPr>
          <w:rFonts w:ascii="Arial" w:hAnsi="Arial" w:cs="Arial"/>
          <w:sz w:val="28"/>
          <w:szCs w:val="28"/>
        </w:rPr>
        <w:t>,</w:t>
      </w:r>
      <w:r w:rsidR="00BB27AA" w:rsidRPr="00E92901">
        <w:rPr>
          <w:rFonts w:ascii="Arial" w:hAnsi="Arial" w:cs="Arial"/>
          <w:sz w:val="28"/>
          <w:szCs w:val="28"/>
        </w:rPr>
        <w:t xml:space="preserve">First protocol: Art. 3 – Right to free elections </w:t>
      </w:r>
      <w:r w:rsidR="00BB27AA" w:rsidRPr="00E92901">
        <w:rPr>
          <w:rFonts w:ascii="Arial" w:hAnsi="Arial" w:cs="Arial"/>
          <w:sz w:val="28"/>
          <w:szCs w:val="28"/>
        </w:rPr>
        <w:t>,</w:t>
      </w:r>
      <w:r w:rsidR="00BB27AA" w:rsidRPr="00E92901">
        <w:rPr>
          <w:rFonts w:ascii="Arial" w:hAnsi="Arial" w:cs="Arial"/>
          <w:sz w:val="28"/>
          <w:szCs w:val="28"/>
        </w:rPr>
        <w:t xml:space="preserve"> 13 Protocol: Article 1 – Abolition of the death</w:t>
      </w:r>
      <w:r w:rsidR="00BB27AA" w:rsidRPr="00E92901">
        <w:rPr>
          <w:rFonts w:ascii="Arial" w:hAnsi="Arial" w:cs="Arial"/>
          <w:sz w:val="28"/>
          <w:szCs w:val="28"/>
        </w:rPr>
        <w:t>.</w:t>
      </w:r>
    </w:p>
    <w:p w14:paraId="40EFE7E4" w14:textId="1E57B726" w:rsidR="00E92901" w:rsidRPr="00E92901" w:rsidRDefault="00E92901" w:rsidP="00BB27AA">
      <w:pPr>
        <w:spacing w:after="0" w:line="240" w:lineRule="auto"/>
        <w:rPr>
          <w:rFonts w:ascii="Arial" w:hAnsi="Arial" w:cs="Arial"/>
          <w:sz w:val="28"/>
          <w:szCs w:val="28"/>
        </w:rPr>
      </w:pPr>
      <w:r w:rsidRPr="00E92901">
        <w:rPr>
          <w:rFonts w:ascii="Arial" w:hAnsi="Arial" w:cs="Arial"/>
          <w:sz w:val="28"/>
          <w:szCs w:val="28"/>
        </w:rPr>
        <w:lastRenderedPageBreak/>
        <w:t>Some Convention rights are absolute, meaning that they cannot be derogated from. Others are restricted, with the ECHR indicating the circumstances in which these rights may be legally affected: • Absolute rights: such as those provided for in Articles 3, 4, 7 – these rights must not be infringed upon •Limited rights: like those in Article 5 – these rights are subject to certain limitations in express and limited circumstances • Qualified rights: These include the interference with these rights provided for in Articles 8 to 11 and Articles 1 and 2 of the First Protocol, which are permissible only if this is based on legal provisions and is carried out to secure a permissible end set out in was in accordance with the relevant article and is necessary to satisfy a compelling social need, pursue a legitimate aim and be proportionate to the aims pursued For more information, see Practice Note: Convention Rights. Impact of HRA 1998 The impact of the 1998 HRA on UK domestic law has not been marginal and has involved the courts in a much more active and intense scrutiny of the executive than was required of them prior to October 2000. Existing legislation must be applied in a manner consistent with the rights set out in the 1998 HRA.</w:t>
      </w:r>
    </w:p>
    <w:p w14:paraId="63DA3F46" w14:textId="30962663" w:rsidR="00E92901" w:rsidRPr="00E92901" w:rsidRDefault="00E92901" w:rsidP="00BB27AA">
      <w:pPr>
        <w:spacing w:after="0" w:line="240" w:lineRule="auto"/>
        <w:rPr>
          <w:rFonts w:ascii="Arial" w:eastAsia="Times New Roman" w:hAnsi="Arial" w:cs="Arial"/>
          <w:kern w:val="0"/>
          <w:sz w:val="28"/>
          <w:szCs w:val="28"/>
          <w:lang w:eastAsia="en-GB"/>
          <w14:ligatures w14:val="none"/>
        </w:rPr>
      </w:pPr>
      <w:r w:rsidRPr="00E92901">
        <w:rPr>
          <w:rStyle w:val="match"/>
          <w:rFonts w:ascii="Arial" w:hAnsi="Arial" w:cs="Arial"/>
          <w:color w:val="333333"/>
          <w:sz w:val="28"/>
          <w:szCs w:val="28"/>
          <w:bdr w:val="none" w:sz="0" w:space="0" w:color="auto" w:frame="1"/>
        </w:rPr>
        <w:t xml:space="preserve">Public authorities have a duty to treat individuals in accordance with their rights under the Convention. Human rights apply in public authorities generally to the services they provide, including the provision of support to vulnerable persons, planning and authorisation, and may be subject to a judicial review process. For more information, see Practice Notes: Public Authorities under the Human Rights Act 1998, Dealing with Human Rights Challenges and Convention Rights – Derogations, Caveats and Margin Devaluation. While public authorities need to ensure that their decision-making processes respect the human rights of individuals, the rights of individuals often need to be balanced against the rights of others or the needs of the community at large. Any limitation must be proportionate to the achievement of the </w:t>
      </w:r>
      <w:r w:rsidRPr="00E92901">
        <w:rPr>
          <w:rStyle w:val="match"/>
          <w:rFonts w:ascii="Arial" w:hAnsi="Arial" w:cs="Arial"/>
          <w:color w:val="333333"/>
          <w:sz w:val="28"/>
          <w:szCs w:val="28"/>
          <w:bdr w:val="none" w:sz="0" w:space="0" w:color="auto" w:frame="1"/>
        </w:rPr>
        <w:t>objective. Public</w:t>
      </w:r>
      <w:r w:rsidRPr="00E92901">
        <w:rPr>
          <w:rStyle w:val="match"/>
          <w:rFonts w:ascii="Arial" w:hAnsi="Arial" w:cs="Arial"/>
          <w:color w:val="333333"/>
          <w:sz w:val="28"/>
          <w:szCs w:val="28"/>
          <w:bdr w:val="none" w:sz="0" w:space="0" w:color="auto" w:frame="1"/>
        </w:rPr>
        <w:t xml:space="preserve"> authorities are encouraged to develop a culture of human rights, including training for frontline managers and checklists for policymakers.</w:t>
      </w:r>
    </w:p>
    <w:p w14:paraId="491DA90B" w14:textId="77777777" w:rsidR="00BB27AA" w:rsidRDefault="00BB27AA" w:rsidP="00C84E14">
      <w:pPr>
        <w:rPr>
          <w:sz w:val="52"/>
          <w:szCs w:val="52"/>
        </w:rPr>
      </w:pPr>
    </w:p>
    <w:p w14:paraId="203DCD2F" w14:textId="7DF5354C" w:rsidR="00063AF8" w:rsidRDefault="00063AF8" w:rsidP="00063AF8">
      <w:pPr>
        <w:jc w:val="center"/>
        <w:rPr>
          <w:sz w:val="52"/>
          <w:szCs w:val="52"/>
        </w:rPr>
      </w:pPr>
    </w:p>
    <w:p w14:paraId="430AB1C6" w14:textId="77777777" w:rsidR="00063AF8" w:rsidRDefault="00063AF8" w:rsidP="00063AF8">
      <w:pPr>
        <w:jc w:val="center"/>
        <w:rPr>
          <w:sz w:val="52"/>
          <w:szCs w:val="52"/>
        </w:rPr>
      </w:pPr>
    </w:p>
    <w:p w14:paraId="03688F6C" w14:textId="77777777" w:rsidR="00C84E14" w:rsidRDefault="00C84E14" w:rsidP="00063AF8">
      <w:pPr>
        <w:jc w:val="center"/>
        <w:rPr>
          <w:sz w:val="24"/>
          <w:szCs w:val="24"/>
        </w:rPr>
      </w:pPr>
    </w:p>
    <w:p w14:paraId="4E7B91AD" w14:textId="77777777" w:rsidR="00C84E14" w:rsidRDefault="00C84E14" w:rsidP="00063AF8">
      <w:pPr>
        <w:jc w:val="center"/>
        <w:rPr>
          <w:sz w:val="24"/>
          <w:szCs w:val="24"/>
        </w:rPr>
      </w:pPr>
    </w:p>
    <w:p w14:paraId="4228D34F" w14:textId="77777777" w:rsidR="00C84E14" w:rsidRDefault="00C84E14" w:rsidP="00063AF8">
      <w:pPr>
        <w:jc w:val="center"/>
        <w:rPr>
          <w:sz w:val="24"/>
          <w:szCs w:val="24"/>
        </w:rPr>
      </w:pPr>
    </w:p>
    <w:p w14:paraId="1DACB639" w14:textId="77777777" w:rsidR="00C84E14" w:rsidRDefault="00C84E14" w:rsidP="00063AF8">
      <w:pPr>
        <w:jc w:val="center"/>
        <w:rPr>
          <w:sz w:val="24"/>
          <w:szCs w:val="24"/>
        </w:rPr>
      </w:pPr>
    </w:p>
    <w:p w14:paraId="3659564F" w14:textId="77777777" w:rsidR="00C84E14" w:rsidRDefault="00C84E14" w:rsidP="00063AF8">
      <w:pPr>
        <w:jc w:val="center"/>
        <w:rPr>
          <w:sz w:val="24"/>
          <w:szCs w:val="24"/>
        </w:rPr>
      </w:pPr>
    </w:p>
    <w:p w14:paraId="6865EF98" w14:textId="77777777" w:rsidR="00C84E14" w:rsidRDefault="00C84E14" w:rsidP="00063AF8">
      <w:pPr>
        <w:jc w:val="center"/>
        <w:rPr>
          <w:sz w:val="24"/>
          <w:szCs w:val="24"/>
        </w:rPr>
      </w:pPr>
    </w:p>
    <w:p w14:paraId="502ABE07" w14:textId="77777777" w:rsidR="00C84E14" w:rsidRDefault="00C84E14" w:rsidP="00063AF8">
      <w:pPr>
        <w:jc w:val="center"/>
        <w:rPr>
          <w:sz w:val="24"/>
          <w:szCs w:val="24"/>
        </w:rPr>
      </w:pPr>
    </w:p>
    <w:p w14:paraId="426EAE46" w14:textId="77777777" w:rsidR="00C84E14" w:rsidRDefault="00C84E14" w:rsidP="00063AF8">
      <w:pPr>
        <w:jc w:val="center"/>
        <w:rPr>
          <w:sz w:val="24"/>
          <w:szCs w:val="24"/>
        </w:rPr>
      </w:pPr>
    </w:p>
    <w:p w14:paraId="1820C10A" w14:textId="77777777" w:rsidR="00C84E14" w:rsidRDefault="00C84E14" w:rsidP="00063AF8">
      <w:pPr>
        <w:jc w:val="center"/>
        <w:rPr>
          <w:sz w:val="24"/>
          <w:szCs w:val="24"/>
        </w:rPr>
      </w:pPr>
    </w:p>
    <w:p w14:paraId="29E914E1" w14:textId="77777777" w:rsidR="00C84E14" w:rsidRDefault="00C84E14" w:rsidP="00063AF8">
      <w:pPr>
        <w:jc w:val="center"/>
        <w:rPr>
          <w:sz w:val="24"/>
          <w:szCs w:val="24"/>
        </w:rPr>
      </w:pPr>
    </w:p>
    <w:p w14:paraId="4B782A86" w14:textId="77777777" w:rsidR="00C84E14" w:rsidRDefault="00C84E14" w:rsidP="00063AF8">
      <w:pPr>
        <w:jc w:val="center"/>
        <w:rPr>
          <w:sz w:val="24"/>
          <w:szCs w:val="24"/>
        </w:rPr>
      </w:pPr>
    </w:p>
    <w:p w14:paraId="29E297AD" w14:textId="77777777" w:rsidR="00C84E14" w:rsidRDefault="00C84E14" w:rsidP="00063AF8">
      <w:pPr>
        <w:jc w:val="center"/>
        <w:rPr>
          <w:sz w:val="24"/>
          <w:szCs w:val="24"/>
        </w:rPr>
      </w:pPr>
    </w:p>
    <w:p w14:paraId="0DD3FC52" w14:textId="77777777" w:rsidR="00C84E14" w:rsidRDefault="00C84E14" w:rsidP="00063AF8">
      <w:pPr>
        <w:jc w:val="center"/>
        <w:rPr>
          <w:sz w:val="24"/>
          <w:szCs w:val="24"/>
        </w:rPr>
      </w:pPr>
    </w:p>
    <w:p w14:paraId="0B5DAE8C" w14:textId="77777777" w:rsidR="00C84E14" w:rsidRDefault="00C84E14" w:rsidP="00063AF8">
      <w:pPr>
        <w:jc w:val="center"/>
        <w:rPr>
          <w:sz w:val="24"/>
          <w:szCs w:val="24"/>
        </w:rPr>
      </w:pPr>
    </w:p>
    <w:p w14:paraId="604430DC" w14:textId="77777777" w:rsidR="00C84E14" w:rsidRDefault="00C84E14" w:rsidP="00063AF8">
      <w:pPr>
        <w:jc w:val="center"/>
        <w:rPr>
          <w:sz w:val="24"/>
          <w:szCs w:val="24"/>
        </w:rPr>
      </w:pPr>
    </w:p>
    <w:p w14:paraId="04DA2700" w14:textId="77777777" w:rsidR="00C84E14" w:rsidRDefault="00C84E14" w:rsidP="00063AF8">
      <w:pPr>
        <w:jc w:val="center"/>
        <w:rPr>
          <w:sz w:val="24"/>
          <w:szCs w:val="24"/>
        </w:rPr>
      </w:pPr>
    </w:p>
    <w:p w14:paraId="45D81D38" w14:textId="77777777" w:rsidR="00C84E14" w:rsidRDefault="00C84E14" w:rsidP="00063AF8">
      <w:pPr>
        <w:jc w:val="center"/>
        <w:rPr>
          <w:sz w:val="24"/>
          <w:szCs w:val="24"/>
        </w:rPr>
      </w:pPr>
    </w:p>
    <w:p w14:paraId="219E1629" w14:textId="77777777" w:rsidR="00C84E14" w:rsidRDefault="00C84E14" w:rsidP="00063AF8">
      <w:pPr>
        <w:jc w:val="center"/>
        <w:rPr>
          <w:sz w:val="24"/>
          <w:szCs w:val="24"/>
        </w:rPr>
      </w:pPr>
    </w:p>
    <w:p w14:paraId="448E7318" w14:textId="77777777" w:rsidR="00C84E14" w:rsidRDefault="00C84E14" w:rsidP="00063AF8">
      <w:pPr>
        <w:jc w:val="center"/>
        <w:rPr>
          <w:sz w:val="24"/>
          <w:szCs w:val="24"/>
        </w:rPr>
      </w:pPr>
    </w:p>
    <w:p w14:paraId="2DA16ACB" w14:textId="77777777" w:rsidR="00C84E14" w:rsidRDefault="00C84E14" w:rsidP="00063AF8">
      <w:pPr>
        <w:jc w:val="center"/>
        <w:rPr>
          <w:sz w:val="24"/>
          <w:szCs w:val="24"/>
        </w:rPr>
      </w:pPr>
    </w:p>
    <w:p w14:paraId="7A14E2CD" w14:textId="77777777" w:rsidR="00C84E14" w:rsidRDefault="00C84E14" w:rsidP="00063AF8">
      <w:pPr>
        <w:jc w:val="center"/>
        <w:rPr>
          <w:sz w:val="24"/>
          <w:szCs w:val="24"/>
        </w:rPr>
      </w:pPr>
    </w:p>
    <w:p w14:paraId="589E1F5B" w14:textId="77777777" w:rsidR="00C84E14" w:rsidRDefault="00C84E14" w:rsidP="00063AF8">
      <w:pPr>
        <w:jc w:val="center"/>
        <w:rPr>
          <w:sz w:val="24"/>
          <w:szCs w:val="24"/>
        </w:rPr>
      </w:pPr>
    </w:p>
    <w:p w14:paraId="54AFC72F" w14:textId="77777777" w:rsidR="00C84E14" w:rsidRDefault="00C84E14" w:rsidP="00063AF8">
      <w:pPr>
        <w:jc w:val="center"/>
        <w:rPr>
          <w:sz w:val="24"/>
          <w:szCs w:val="24"/>
        </w:rPr>
      </w:pPr>
    </w:p>
    <w:p w14:paraId="2107E301" w14:textId="77777777" w:rsidR="00C84E14" w:rsidRDefault="00C84E14" w:rsidP="00063AF8">
      <w:pPr>
        <w:jc w:val="center"/>
        <w:rPr>
          <w:sz w:val="24"/>
          <w:szCs w:val="24"/>
        </w:rPr>
      </w:pPr>
    </w:p>
    <w:p w14:paraId="76269627" w14:textId="77777777" w:rsidR="00C84E14" w:rsidRDefault="00C84E14" w:rsidP="00063AF8">
      <w:pPr>
        <w:jc w:val="center"/>
        <w:rPr>
          <w:sz w:val="24"/>
          <w:szCs w:val="24"/>
        </w:rPr>
      </w:pPr>
    </w:p>
    <w:p w14:paraId="3C0ACA09" w14:textId="77777777" w:rsidR="00063AF8" w:rsidRDefault="00063AF8" w:rsidP="00063AF8">
      <w:r>
        <w:br w:type="page"/>
      </w:r>
    </w:p>
    <w:p w14:paraId="4A7B1761" w14:textId="04F5A1A0" w:rsidR="00063AF8" w:rsidRDefault="00063AF8" w:rsidP="00063AF8"/>
    <w:p w14:paraId="5D463C70" w14:textId="77777777" w:rsidR="00063AF8" w:rsidRDefault="00063AF8"/>
    <w:p w14:paraId="35426423" w14:textId="77777777" w:rsidR="00063AF8" w:rsidRDefault="00063AF8"/>
    <w:p w14:paraId="12336A02" w14:textId="77777777" w:rsidR="00063AF8" w:rsidRDefault="00063AF8"/>
    <w:p w14:paraId="361F8C04" w14:textId="77777777" w:rsidR="00063AF8" w:rsidRDefault="00063AF8"/>
    <w:p w14:paraId="29257954" w14:textId="77777777" w:rsidR="00063AF8" w:rsidRDefault="00063AF8"/>
    <w:p w14:paraId="76778B3B" w14:textId="77777777" w:rsidR="00063AF8" w:rsidRDefault="00063AF8"/>
    <w:p w14:paraId="2B4873A7" w14:textId="77777777" w:rsidR="00063AF8" w:rsidRDefault="00063AF8"/>
    <w:p w14:paraId="59AD3D46" w14:textId="77777777" w:rsidR="00063AF8" w:rsidRDefault="00063AF8"/>
    <w:p w14:paraId="206CC7D2" w14:textId="158991DB" w:rsidR="001F7A37" w:rsidRDefault="00A95AEB">
      <w:r>
        <w:t xml:space="preserve">REFRENCES </w:t>
      </w:r>
    </w:p>
    <w:p w14:paraId="0849013D" w14:textId="77777777" w:rsidR="00A95AEB" w:rsidRDefault="00A95AEB" w:rsidP="00A95AEB">
      <w:pPr>
        <w:pStyle w:val="NormalWeb"/>
        <w:spacing w:before="0" w:beforeAutospacing="0" w:after="240" w:afterAutospacing="0" w:line="360" w:lineRule="auto"/>
        <w:rPr>
          <w:sz w:val="36"/>
          <w:szCs w:val="36"/>
        </w:rPr>
      </w:pPr>
      <w:r>
        <w:rPr>
          <w:sz w:val="36"/>
          <w:szCs w:val="36"/>
        </w:rPr>
        <w:t>Reference list</w:t>
      </w:r>
    </w:p>
    <w:p w14:paraId="73C12A4B" w14:textId="61E8D07D" w:rsidR="00A95AEB" w:rsidRDefault="00A95AEB" w:rsidP="00A95AEB">
      <w:pPr>
        <w:pStyle w:val="NormalWeb"/>
        <w:spacing w:before="0" w:beforeAutospacing="0" w:after="240" w:afterAutospacing="0" w:line="360" w:lineRule="auto"/>
      </w:pPr>
      <w:r>
        <w:t xml:space="preserve">Stratford, J. (2009). Joint Committee on Human Rights Report, A Bill of Rights for the UK?: Proposed Approach to Social and Economic Rights. </w:t>
      </w:r>
      <w:r>
        <w:rPr>
          <w:i/>
          <w:iCs/>
        </w:rPr>
        <w:t>Judicial Review</w:t>
      </w:r>
      <w:r>
        <w:t xml:space="preserve">, 14(1), pp.35–42. </w:t>
      </w:r>
      <w:proofErr w:type="spellStart"/>
      <w:r>
        <w:t>doi</w:t>
      </w:r>
      <w:proofErr w:type="spellEnd"/>
      <w:r>
        <w:t xml:space="preserve">: </w:t>
      </w:r>
      <w:hyperlink r:id="rId4" w:history="1">
        <w:r w:rsidR="00094F76" w:rsidRPr="008F5CBD">
          <w:rPr>
            <w:rStyle w:val="Hyperlink"/>
          </w:rPr>
          <w:t>https://doi.org/10.1080/10854681.2009.11426586</w:t>
        </w:r>
      </w:hyperlink>
      <w:r>
        <w:t>.</w:t>
      </w:r>
    </w:p>
    <w:p w14:paraId="0CE22127" w14:textId="048F09AC" w:rsidR="00094F76" w:rsidRDefault="00094F76" w:rsidP="00094F7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Uwtsd.ac.uk. (2023). Available at: </w:t>
      </w:r>
      <w:r w:rsidR="00000000">
        <w:fldChar w:fldCharType="begin"/>
      </w:r>
      <w:r w:rsidR="00000000">
        <w:instrText>HYPERLINK "https://plus-lexis-com.ezproxy.uwtsd.ac.uk/api/permalink/1f59096e-a6d6-4a02-bd69-d4cadbb4918e/?context=1001073"</w:instrText>
      </w:r>
      <w:r w:rsidR="00000000">
        <w:fldChar w:fldCharType="separate"/>
      </w:r>
      <w:r>
        <w:rPr>
          <w:rStyle w:val="Hyperlink"/>
          <w:rFonts w:ascii="Times New Roman" w:hAnsi="Times New Roman" w:cs="Times New Roman"/>
          <w:sz w:val="24"/>
          <w:szCs w:val="24"/>
          <w:lang w:val="en-US"/>
        </w:rPr>
        <w:t>ht</w:t>
      </w:r>
      <w:r>
        <w:rPr>
          <w:rStyle w:val="Hyperlink"/>
          <w:rFonts w:ascii="Times New Roman" w:hAnsi="Times New Roman" w:cs="Times New Roman"/>
          <w:sz w:val="24"/>
          <w:szCs w:val="24"/>
          <w:lang w:val="en-US"/>
        </w:rPr>
        <w:t>tps://plus-lexis-com.ezproxy.uwtsd.ac.uk/api/permalink/1f59096e-a6d6-4a02-bd69-d4cadbb4918e/?context=1001073</w:t>
      </w:r>
      <w:r w:rsidR="00000000">
        <w:rPr>
          <w:rStyle w:val="Hyperlink"/>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[Accessed 1 Mar. 2023].</w:t>
      </w:r>
    </w:p>
    <w:p w14:paraId="7E72B657" w14:textId="4BEBEF0E" w:rsidR="005B4F39" w:rsidRDefault="00834B60" w:rsidP="00094F7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Daniels</w:t>
      </w:r>
      <w:r w:rsidR="005B4F39">
        <w:rPr>
          <w:rFonts w:ascii="Times New Roman" w:hAnsi="Times New Roman" w:cs="Times New Roman"/>
          <w:sz w:val="24"/>
          <w:szCs w:val="24"/>
          <w:lang w:val="en-US"/>
        </w:rPr>
        <w:t>.(2022</w:t>
      </w:r>
      <w:r w:rsidR="003418E2">
        <w:rPr>
          <w:rFonts w:ascii="Times New Roman" w:hAnsi="Times New Roman" w:cs="Times New Roman"/>
          <w:sz w:val="24"/>
          <w:szCs w:val="24"/>
          <w:lang w:val="en-US"/>
        </w:rPr>
        <w:t>)</w:t>
      </w:r>
      <w:r w:rsidRPr="00834B60">
        <w:rPr>
          <w:i/>
          <w:iCs/>
        </w:rPr>
        <w:t xml:space="preserve"> </w:t>
      </w:r>
      <w:r>
        <w:rPr>
          <w:i/>
          <w:iCs/>
        </w:rPr>
        <w:t xml:space="preserve"> Introduction to employment law</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BibliU</w:t>
      </w:r>
      <w:proofErr w:type="spellEnd"/>
      <w:r>
        <w:rPr>
          <w:rFonts w:ascii="Times New Roman" w:hAnsi="Times New Roman" w:cs="Times New Roman"/>
          <w:sz w:val="24"/>
          <w:szCs w:val="24"/>
          <w:lang w:val="en-US"/>
        </w:rPr>
        <w:t xml:space="preserve"> version]6thed.London,Kogan Page </w:t>
      </w:r>
    </w:p>
    <w:p w14:paraId="42D56150" w14:textId="77777777" w:rsidR="00297D1B" w:rsidRPr="00297D1B" w:rsidRDefault="00297D1B" w:rsidP="00297D1B">
      <w:pPr>
        <w:shd w:val="clear" w:color="auto" w:fill="FFFFFF"/>
        <w:spacing w:after="0" w:line="240" w:lineRule="auto"/>
        <w:textAlignment w:val="baseline"/>
        <w:rPr>
          <w:rFonts w:ascii="Arial" w:eastAsia="Times New Roman" w:hAnsi="Arial" w:cs="Arial"/>
          <w:color w:val="000000"/>
          <w:kern w:val="0"/>
          <w:sz w:val="24"/>
          <w:szCs w:val="24"/>
          <w:lang w:eastAsia="en-GB"/>
          <w14:ligatures w14:val="none"/>
        </w:rPr>
      </w:pPr>
      <w:r w:rsidRPr="00297D1B">
        <w:rPr>
          <w:rFonts w:ascii="Arial" w:eastAsia="Times New Roman" w:hAnsi="Arial" w:cs="Arial"/>
          <w:color w:val="000000"/>
          <w:kern w:val="0"/>
          <w:sz w:val="24"/>
          <w:szCs w:val="24"/>
          <w:lang w:eastAsia="en-GB"/>
          <w14:ligatures w14:val="none"/>
        </w:rPr>
        <w:t>Ministry of Justice (2022) </w:t>
      </w:r>
      <w:r w:rsidRPr="00297D1B">
        <w:rPr>
          <w:rFonts w:ascii="Arial" w:eastAsia="Times New Roman" w:hAnsi="Arial" w:cs="Arial"/>
          <w:i/>
          <w:iCs/>
          <w:color w:val="002451"/>
          <w:kern w:val="0"/>
          <w:sz w:val="24"/>
          <w:szCs w:val="24"/>
          <w:bdr w:val="none" w:sz="0" w:space="0" w:color="auto" w:frame="1"/>
          <w:shd w:val="clear" w:color="auto" w:fill="FFFFFF"/>
          <w:lang w:eastAsia="en-GB"/>
          <w14:ligatures w14:val="none"/>
        </w:rPr>
        <w:t>Consultation outcome: Human rights act reform: a modern bill of rights, consultation response. </w:t>
      </w:r>
      <w:r w:rsidRPr="00297D1B">
        <w:rPr>
          <w:rFonts w:ascii="Arial" w:eastAsia="Times New Roman" w:hAnsi="Arial" w:cs="Arial"/>
          <w:color w:val="002451"/>
          <w:kern w:val="0"/>
          <w:sz w:val="24"/>
          <w:szCs w:val="24"/>
          <w:bdr w:val="none" w:sz="0" w:space="0" w:color="auto" w:frame="1"/>
          <w:shd w:val="clear" w:color="auto" w:fill="FFFFFF"/>
          <w:lang w:eastAsia="en-GB"/>
          <w14:ligatures w14:val="none"/>
        </w:rPr>
        <w:t>Available at:</w:t>
      </w:r>
      <w:hyperlink r:id="rId5" w:tgtFrame="_blank" w:tooltip="Original URL: https://www.gov.uk/government/consultations/human-rights-act-reform-a-modern-bill-of-rights/outcome/human-rights-act-reform-a-modern-bill-of-rights-consultation-response. Click or tap if you trust this link." w:history="1">
        <w:r w:rsidRPr="00297D1B">
          <w:rPr>
            <w:rFonts w:ascii="Arial" w:eastAsia="Times New Roman" w:hAnsi="Arial" w:cs="Arial"/>
            <w:color w:val="0000FF"/>
            <w:kern w:val="0"/>
            <w:sz w:val="24"/>
            <w:szCs w:val="24"/>
            <w:u w:val="single"/>
            <w:bdr w:val="none" w:sz="0" w:space="0" w:color="auto" w:frame="1"/>
            <w:shd w:val="clear" w:color="auto" w:fill="FFFFFF"/>
            <w:lang w:eastAsia="en-GB"/>
            <w14:ligatures w14:val="none"/>
          </w:rPr>
          <w:t>https://www.gov.uk/government/consultations/human-rights-act-reform-a-modern-bill-of-rights/outcome/human-rights-act-reform-a-modern-bill-of-rights-consultation-response</w:t>
        </w:r>
      </w:hyperlink>
      <w:r w:rsidRPr="00297D1B">
        <w:rPr>
          <w:rFonts w:ascii="Arial" w:eastAsia="Times New Roman" w:hAnsi="Arial" w:cs="Arial"/>
          <w:color w:val="002451"/>
          <w:kern w:val="0"/>
          <w:sz w:val="24"/>
          <w:szCs w:val="24"/>
          <w:bdr w:val="none" w:sz="0" w:space="0" w:color="auto" w:frame="1"/>
          <w:shd w:val="clear" w:color="auto" w:fill="FFFFFF"/>
          <w:lang w:eastAsia="en-GB"/>
          <w14:ligatures w14:val="none"/>
        </w:rPr>
        <w:t> (accessed: 1 March 2023).</w:t>
      </w:r>
    </w:p>
    <w:p w14:paraId="353EDAFB" w14:textId="77777777" w:rsidR="00297D1B" w:rsidRDefault="00297D1B" w:rsidP="00094F76">
      <w:pPr>
        <w:widowControl w:val="0"/>
        <w:autoSpaceDE w:val="0"/>
        <w:autoSpaceDN w:val="0"/>
        <w:adjustRightInd w:val="0"/>
        <w:spacing w:after="240" w:line="360" w:lineRule="auto"/>
        <w:rPr>
          <w:rFonts w:ascii="Times New Roman" w:hAnsi="Times New Roman" w:cs="Times New Roman"/>
          <w:sz w:val="24"/>
          <w:szCs w:val="24"/>
          <w:lang w:val="en-US"/>
        </w:rPr>
      </w:pPr>
    </w:p>
    <w:p w14:paraId="0D2D84D0" w14:textId="77777777" w:rsidR="00834B60" w:rsidRDefault="00834B60" w:rsidP="00094F76">
      <w:pPr>
        <w:widowControl w:val="0"/>
        <w:autoSpaceDE w:val="0"/>
        <w:autoSpaceDN w:val="0"/>
        <w:adjustRightInd w:val="0"/>
        <w:spacing w:after="240" w:line="360" w:lineRule="auto"/>
        <w:rPr>
          <w:rFonts w:ascii="Times New Roman" w:hAnsi="Times New Roman" w:cs="Times New Roman"/>
          <w:sz w:val="24"/>
          <w:szCs w:val="24"/>
          <w:lang w:val="en-US"/>
        </w:rPr>
      </w:pPr>
    </w:p>
    <w:p w14:paraId="03E991EE" w14:textId="77777777" w:rsidR="00094F76" w:rsidRDefault="00094F76" w:rsidP="00A95AEB">
      <w:pPr>
        <w:pStyle w:val="NormalWeb"/>
        <w:spacing w:before="0" w:beforeAutospacing="0" w:after="240" w:afterAutospacing="0" w:line="360" w:lineRule="auto"/>
      </w:pPr>
    </w:p>
    <w:p w14:paraId="2E7FCEF9" w14:textId="77777777" w:rsidR="00A95AEB" w:rsidRDefault="00A95AEB"/>
    <w:p w14:paraId="136B8091" w14:textId="77777777" w:rsidR="00A95AEB" w:rsidRDefault="00A95AEB"/>
    <w:sectPr w:rsidR="00A95A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AEB"/>
    <w:rsid w:val="00063AF8"/>
    <w:rsid w:val="00094F76"/>
    <w:rsid w:val="001F7A37"/>
    <w:rsid w:val="00297D1B"/>
    <w:rsid w:val="002C235D"/>
    <w:rsid w:val="003315C5"/>
    <w:rsid w:val="003418E2"/>
    <w:rsid w:val="003B5585"/>
    <w:rsid w:val="003D5273"/>
    <w:rsid w:val="004433E8"/>
    <w:rsid w:val="005B4F39"/>
    <w:rsid w:val="006236F9"/>
    <w:rsid w:val="00834B60"/>
    <w:rsid w:val="00A95AEB"/>
    <w:rsid w:val="00B27704"/>
    <w:rsid w:val="00BB27AA"/>
    <w:rsid w:val="00C84E14"/>
    <w:rsid w:val="00E06893"/>
    <w:rsid w:val="00E9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6899"/>
  <w15:chartTrackingRefBased/>
  <w15:docId w15:val="{3B741A1A-D68F-4ADD-88AC-06F3B674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5A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94F76"/>
    <w:rPr>
      <w:color w:val="0563C1" w:themeColor="hyperlink"/>
      <w:u w:val="single"/>
    </w:rPr>
  </w:style>
  <w:style w:type="character" w:styleId="UnresolvedMention">
    <w:name w:val="Unresolved Mention"/>
    <w:basedOn w:val="DefaultParagraphFont"/>
    <w:uiPriority w:val="99"/>
    <w:semiHidden/>
    <w:unhideWhenUsed/>
    <w:rsid w:val="00094F76"/>
    <w:rPr>
      <w:color w:val="605E5C"/>
      <w:shd w:val="clear" w:color="auto" w:fill="E1DFDD"/>
    </w:rPr>
  </w:style>
  <w:style w:type="character" w:styleId="FollowedHyperlink">
    <w:name w:val="FollowedHyperlink"/>
    <w:basedOn w:val="DefaultParagraphFont"/>
    <w:uiPriority w:val="99"/>
    <w:semiHidden/>
    <w:unhideWhenUsed/>
    <w:rsid w:val="00B27704"/>
    <w:rPr>
      <w:color w:val="954F72" w:themeColor="followedHyperlink"/>
      <w:u w:val="single"/>
    </w:rPr>
  </w:style>
  <w:style w:type="character" w:customStyle="1" w:styleId="match">
    <w:name w:val="match"/>
    <w:basedOn w:val="DefaultParagraphFont"/>
    <w:rsid w:val="00E92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17814">
      <w:bodyDiv w:val="1"/>
      <w:marLeft w:val="0"/>
      <w:marRight w:val="0"/>
      <w:marTop w:val="0"/>
      <w:marBottom w:val="0"/>
      <w:divBdr>
        <w:top w:val="none" w:sz="0" w:space="0" w:color="auto"/>
        <w:left w:val="none" w:sz="0" w:space="0" w:color="auto"/>
        <w:bottom w:val="none" w:sz="0" w:space="0" w:color="auto"/>
        <w:right w:val="none" w:sz="0" w:space="0" w:color="auto"/>
      </w:divBdr>
    </w:div>
    <w:div w:id="672027109">
      <w:bodyDiv w:val="1"/>
      <w:marLeft w:val="0"/>
      <w:marRight w:val="0"/>
      <w:marTop w:val="0"/>
      <w:marBottom w:val="0"/>
      <w:divBdr>
        <w:top w:val="none" w:sz="0" w:space="0" w:color="auto"/>
        <w:left w:val="none" w:sz="0" w:space="0" w:color="auto"/>
        <w:bottom w:val="none" w:sz="0" w:space="0" w:color="auto"/>
        <w:right w:val="none" w:sz="0" w:space="0" w:color="auto"/>
      </w:divBdr>
      <w:divsChild>
        <w:div w:id="117457482">
          <w:marLeft w:val="0"/>
          <w:marRight w:val="0"/>
          <w:marTop w:val="0"/>
          <w:marBottom w:val="0"/>
          <w:divBdr>
            <w:top w:val="none" w:sz="0" w:space="0" w:color="auto"/>
            <w:left w:val="none" w:sz="0" w:space="0" w:color="auto"/>
            <w:bottom w:val="none" w:sz="0" w:space="0" w:color="auto"/>
            <w:right w:val="none" w:sz="0" w:space="0" w:color="auto"/>
          </w:divBdr>
        </w:div>
      </w:divsChild>
    </w:div>
    <w:div w:id="1193759852">
      <w:bodyDiv w:val="1"/>
      <w:marLeft w:val="0"/>
      <w:marRight w:val="0"/>
      <w:marTop w:val="0"/>
      <w:marBottom w:val="0"/>
      <w:divBdr>
        <w:top w:val="none" w:sz="0" w:space="0" w:color="auto"/>
        <w:left w:val="none" w:sz="0" w:space="0" w:color="auto"/>
        <w:bottom w:val="none" w:sz="0" w:space="0" w:color="auto"/>
        <w:right w:val="none" w:sz="0" w:space="0" w:color="auto"/>
      </w:divBdr>
      <w:divsChild>
        <w:div w:id="202445894">
          <w:marLeft w:val="0"/>
          <w:marRight w:val="0"/>
          <w:marTop w:val="0"/>
          <w:marBottom w:val="0"/>
          <w:divBdr>
            <w:top w:val="none" w:sz="0" w:space="0" w:color="auto"/>
            <w:left w:val="none" w:sz="0" w:space="0" w:color="auto"/>
            <w:bottom w:val="none" w:sz="0" w:space="0" w:color="auto"/>
            <w:right w:val="none" w:sz="0" w:space="0" w:color="auto"/>
          </w:divBdr>
        </w:div>
      </w:divsChild>
    </w:div>
    <w:div w:id="1464271403">
      <w:bodyDiv w:val="1"/>
      <w:marLeft w:val="0"/>
      <w:marRight w:val="0"/>
      <w:marTop w:val="0"/>
      <w:marBottom w:val="0"/>
      <w:divBdr>
        <w:top w:val="none" w:sz="0" w:space="0" w:color="auto"/>
        <w:left w:val="none" w:sz="0" w:space="0" w:color="auto"/>
        <w:bottom w:val="none" w:sz="0" w:space="0" w:color="auto"/>
        <w:right w:val="none" w:sz="0" w:space="0" w:color="auto"/>
      </w:divBdr>
      <w:divsChild>
        <w:div w:id="1155612625">
          <w:marLeft w:val="0"/>
          <w:marRight w:val="0"/>
          <w:marTop w:val="0"/>
          <w:marBottom w:val="0"/>
          <w:divBdr>
            <w:top w:val="none" w:sz="0" w:space="0" w:color="auto"/>
            <w:left w:val="none" w:sz="0" w:space="0" w:color="auto"/>
            <w:bottom w:val="none" w:sz="0" w:space="0" w:color="auto"/>
            <w:right w:val="none" w:sz="0" w:space="0" w:color="auto"/>
          </w:divBdr>
        </w:div>
      </w:divsChild>
    </w:div>
    <w:div w:id="154587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 Type="http://schemas.openxmlformats.org/officeDocument/2006/relationships/hyperlink" Target="https://doi.org/10.1080/10854681.2009.11426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8020</TotalTime>
  <Pages>4</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Valentina Marcu</dc:creator>
  <cp:keywords/>
  <dc:description/>
  <cp:lastModifiedBy>Mariana Valentina Marcu</cp:lastModifiedBy>
  <cp:revision>3</cp:revision>
  <dcterms:created xsi:type="dcterms:W3CDTF">2023-02-25T20:15:00Z</dcterms:created>
  <dcterms:modified xsi:type="dcterms:W3CDTF">2023-03-03T10:14:00Z</dcterms:modified>
</cp:coreProperties>
</file>