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DDD12" w14:textId="77777777" w:rsidR="00B22E87" w:rsidRDefault="00A549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54987">
        <w:rPr>
          <w:rFonts w:ascii="Times New Roman" w:eastAsia="Times New Roman" w:hAnsi="Times New Roman" w:cs="Times New Roman"/>
          <w:b/>
          <w:bCs/>
          <w:kern w:val="36"/>
          <w:sz w:val="48"/>
          <w:szCs w:val="48"/>
          <w:lang w:eastAsia="en-GB"/>
          <w14:ligatures w14:val="none"/>
        </w:rPr>
        <w:t xml:space="preserve"> </w:t>
      </w:r>
    </w:p>
    <w:p w14:paraId="4E13C09F" w14:textId="554EB028" w:rsidR="00DD4DD6" w:rsidRPr="00654F99" w:rsidRDefault="00DD4DD6" w:rsidP="00DD4DD6">
      <w:pPr>
        <w:pStyle w:val="NormalWeb"/>
        <w:rPr>
          <w:sz w:val="36"/>
          <w:szCs w:val="36"/>
        </w:rPr>
      </w:pPr>
      <w:r w:rsidRPr="00654F99">
        <w:rPr>
          <w:rStyle w:val="Strong"/>
          <w:sz w:val="36"/>
          <w:szCs w:val="36"/>
        </w:rPr>
        <w:t>SDG 3 and SDG 13: Health and Climate Resilience in the UK</w:t>
      </w:r>
    </w:p>
    <w:p w14:paraId="66D17551" w14:textId="7152DBE0" w:rsidR="00DD4DD6" w:rsidRDefault="00DD4DD6" w:rsidP="00DD4DD6">
      <w:pPr>
        <w:pStyle w:val="NormalWeb"/>
      </w:pPr>
      <w:r>
        <w:rPr>
          <w:rStyle w:val="Strong"/>
        </w:rPr>
        <w:t>Student Name:</w:t>
      </w:r>
      <w:r>
        <w:t xml:space="preserve"> Tasha</w:t>
      </w:r>
      <w:r w:rsidR="005B3B5E">
        <w:t xml:space="preserve"> </w:t>
      </w:r>
      <w:r w:rsidR="00231B0E">
        <w:t>You</w:t>
      </w:r>
      <w:r w:rsidR="00D26021">
        <w:t>ng</w:t>
      </w:r>
    </w:p>
    <w:p w14:paraId="0C8E914D" w14:textId="1C918272" w:rsidR="00DD4DD6" w:rsidRDefault="00DD4DD6" w:rsidP="00DD4DD6">
      <w:pPr>
        <w:pStyle w:val="NormalWeb"/>
      </w:pPr>
      <w:r>
        <w:rPr>
          <w:rStyle w:val="Strong"/>
        </w:rPr>
        <w:t>Student Number:</w:t>
      </w:r>
      <w:r>
        <w:t xml:space="preserve"> </w:t>
      </w:r>
      <w:r w:rsidR="00121DEC" w:rsidRPr="00325A41">
        <w:rPr>
          <w:rStyle w:val="Emphasis"/>
          <w:i w:val="0"/>
          <w:iCs w:val="0"/>
        </w:rPr>
        <w:t>23</w:t>
      </w:r>
      <w:r w:rsidR="00DC06CB" w:rsidRPr="00325A41">
        <w:rPr>
          <w:rStyle w:val="Emphasis"/>
          <w:i w:val="0"/>
          <w:iCs w:val="0"/>
        </w:rPr>
        <w:t>1</w:t>
      </w:r>
      <w:r w:rsidR="00F85463" w:rsidRPr="00325A41">
        <w:rPr>
          <w:rStyle w:val="Emphasis"/>
          <w:i w:val="0"/>
          <w:iCs w:val="0"/>
        </w:rPr>
        <w:t>68</w:t>
      </w:r>
      <w:r w:rsidR="00A100C0" w:rsidRPr="00325A41">
        <w:rPr>
          <w:rStyle w:val="Emphasis"/>
          <w:i w:val="0"/>
          <w:iCs w:val="0"/>
        </w:rPr>
        <w:t>46</w:t>
      </w:r>
    </w:p>
    <w:p w14:paraId="309A00F8" w14:textId="77777777" w:rsidR="00602311" w:rsidRDefault="00602311" w:rsidP="00DD4DD6">
      <w:pPr>
        <w:pStyle w:val="NormalWeb"/>
        <w:rPr>
          <w:rStyle w:val="Emphasis"/>
        </w:rPr>
      </w:pPr>
    </w:p>
    <w:p w14:paraId="0F20F817"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6D8F6AA"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BCA00C3"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96B0944"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F1B9FA2"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E87B72E"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EB95B1C"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206730F"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42A4998"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E5EEB6C"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713DA43"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3940217"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01F6501"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0215140"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7C237BD"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1D548F"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548A0DB" w14:textId="60E10F85" w:rsidR="00A54987" w:rsidRPr="00A54987" w:rsidRDefault="00A549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54987">
        <w:rPr>
          <w:rFonts w:ascii="Times New Roman" w:eastAsia="Times New Roman" w:hAnsi="Times New Roman" w:cs="Times New Roman"/>
          <w:b/>
          <w:bCs/>
          <w:kern w:val="36"/>
          <w:sz w:val="48"/>
          <w:szCs w:val="48"/>
          <w:lang w:eastAsia="en-GB"/>
          <w14:ligatures w14:val="none"/>
        </w:rPr>
        <w:t>Table of Contents</w:t>
      </w:r>
    </w:p>
    <w:p w14:paraId="283D0EF8" w14:textId="0AC8D099" w:rsidR="00141DD7" w:rsidRDefault="007F2BB7" w:rsidP="00141DD7">
      <w:pPr>
        <w:pStyle w:val="NormalWeb"/>
      </w:pPr>
      <w:r w:rsidRPr="00847F5D">
        <w:rPr>
          <w:rFonts w:hAnsi="Symbol"/>
          <w:b/>
          <w:bCs/>
        </w:rPr>
        <w:t>1</w:t>
      </w:r>
      <w:r w:rsidR="00141DD7">
        <w:t xml:space="preserve"> </w:t>
      </w:r>
      <w:r w:rsidR="00141DD7">
        <w:rPr>
          <w:rStyle w:val="Strong"/>
        </w:rPr>
        <w:t>Introduction</w:t>
      </w:r>
    </w:p>
    <w:p w14:paraId="4973FF2F" w14:textId="0D620BB5" w:rsidR="00141DD7" w:rsidRDefault="007F2BB7" w:rsidP="00141DD7">
      <w:pPr>
        <w:pStyle w:val="NormalWeb"/>
      </w:pPr>
      <w:r w:rsidRPr="00847F5D">
        <w:rPr>
          <w:rFonts w:hAnsi="Symbol"/>
          <w:b/>
          <w:bCs/>
        </w:rPr>
        <w:t>2</w:t>
      </w:r>
      <w:r>
        <w:rPr>
          <w:rFonts w:hAnsi="Symbol"/>
        </w:rPr>
        <w:t xml:space="preserve"> </w:t>
      </w:r>
      <w:r w:rsidR="00141DD7">
        <w:rPr>
          <w:rStyle w:val="Strong"/>
        </w:rPr>
        <w:t>SDG 3 and SDG 13: Constructs and Interconnected Determinants of Health</w:t>
      </w:r>
    </w:p>
    <w:p w14:paraId="67D0FADF" w14:textId="482F2404" w:rsidR="007F2BB7" w:rsidRPr="00847F5D" w:rsidRDefault="007F2BB7" w:rsidP="00141DD7">
      <w:pPr>
        <w:pStyle w:val="NormalWeb"/>
        <w:rPr>
          <w:rFonts w:ascii="Arial" w:hAnsi="Arial" w:cs="Arial"/>
          <w:sz w:val="22"/>
          <w:szCs w:val="22"/>
        </w:rPr>
      </w:pPr>
      <w:r w:rsidRPr="00847F5D">
        <w:rPr>
          <w:rFonts w:ascii="Arial" w:hAnsi="Arial" w:cs="Arial"/>
          <w:b/>
          <w:bCs/>
          <w:sz w:val="22"/>
          <w:szCs w:val="22"/>
        </w:rPr>
        <w:t>3</w:t>
      </w:r>
      <w:r w:rsidRPr="00847F5D">
        <w:rPr>
          <w:rFonts w:ascii="Arial" w:hAnsi="Arial" w:cs="Arial"/>
          <w:sz w:val="22"/>
          <w:szCs w:val="22"/>
        </w:rPr>
        <w:t xml:space="preserve"> </w:t>
      </w:r>
      <w:r w:rsidR="00141DD7" w:rsidRPr="00847F5D">
        <w:rPr>
          <w:rStyle w:val="Strong"/>
          <w:rFonts w:ascii="Arial" w:hAnsi="Arial" w:cs="Arial"/>
          <w:sz w:val="22"/>
          <w:szCs w:val="22"/>
        </w:rPr>
        <w:t>National Initiatives Supporting SDG 3 and SDG 13</w:t>
      </w:r>
      <w:r w:rsidR="00141DD7" w:rsidRPr="00847F5D">
        <w:rPr>
          <w:rFonts w:ascii="Arial" w:hAnsi="Arial" w:cs="Arial"/>
          <w:sz w:val="22"/>
          <w:szCs w:val="22"/>
        </w:rPr>
        <w:t xml:space="preserve"> </w:t>
      </w:r>
    </w:p>
    <w:p w14:paraId="2FF31EBB" w14:textId="77777777" w:rsidR="007F2BB7" w:rsidRPr="00847F5D" w:rsidRDefault="00141DD7" w:rsidP="00141DD7">
      <w:pPr>
        <w:pStyle w:val="NormalWeb"/>
        <w:rPr>
          <w:rFonts w:ascii="Arial" w:hAnsi="Arial" w:cs="Arial"/>
          <w:sz w:val="22"/>
          <w:szCs w:val="22"/>
        </w:rPr>
      </w:pPr>
      <w:r w:rsidRPr="00847F5D">
        <w:rPr>
          <w:rFonts w:ascii="Arial" w:hAnsi="Arial" w:cs="Arial"/>
          <w:b/>
          <w:bCs/>
          <w:sz w:val="22"/>
          <w:szCs w:val="22"/>
        </w:rPr>
        <w:t>3.1</w:t>
      </w:r>
      <w:r w:rsidRPr="00847F5D">
        <w:rPr>
          <w:rFonts w:ascii="Arial" w:hAnsi="Arial" w:cs="Arial"/>
          <w:sz w:val="22"/>
          <w:szCs w:val="22"/>
        </w:rPr>
        <w:t xml:space="preserve"> Universal Health Coverage and Health Inequalities </w:t>
      </w:r>
    </w:p>
    <w:p w14:paraId="0F5CAC26" w14:textId="77777777" w:rsidR="007F2BB7" w:rsidRPr="00847F5D" w:rsidRDefault="00141DD7" w:rsidP="00141DD7">
      <w:pPr>
        <w:pStyle w:val="NormalWeb"/>
        <w:rPr>
          <w:rFonts w:ascii="Arial" w:hAnsi="Arial" w:cs="Arial"/>
          <w:sz w:val="22"/>
          <w:szCs w:val="22"/>
        </w:rPr>
      </w:pPr>
      <w:r w:rsidRPr="00847F5D">
        <w:rPr>
          <w:rFonts w:ascii="Arial" w:hAnsi="Arial" w:cs="Arial"/>
          <w:b/>
          <w:bCs/>
          <w:sz w:val="22"/>
          <w:szCs w:val="22"/>
        </w:rPr>
        <w:t>3.2</w:t>
      </w:r>
      <w:r w:rsidRPr="00847F5D">
        <w:rPr>
          <w:rFonts w:ascii="Arial" w:hAnsi="Arial" w:cs="Arial"/>
          <w:sz w:val="22"/>
          <w:szCs w:val="22"/>
        </w:rPr>
        <w:t xml:space="preserve"> Mental Health Investment 3.3 Vaccination Programmes </w:t>
      </w:r>
    </w:p>
    <w:p w14:paraId="7A35BC51" w14:textId="77777777" w:rsidR="007F2BB7" w:rsidRPr="00847F5D" w:rsidRDefault="00141DD7" w:rsidP="00141DD7">
      <w:pPr>
        <w:pStyle w:val="NormalWeb"/>
        <w:rPr>
          <w:rFonts w:ascii="Arial" w:hAnsi="Arial" w:cs="Arial"/>
          <w:sz w:val="22"/>
          <w:szCs w:val="22"/>
        </w:rPr>
      </w:pPr>
      <w:r w:rsidRPr="00847F5D">
        <w:rPr>
          <w:rFonts w:ascii="Arial" w:hAnsi="Arial" w:cs="Arial"/>
          <w:b/>
          <w:bCs/>
          <w:sz w:val="22"/>
          <w:szCs w:val="22"/>
        </w:rPr>
        <w:t>3.4</w:t>
      </w:r>
      <w:r w:rsidRPr="00847F5D">
        <w:rPr>
          <w:rFonts w:ascii="Arial" w:hAnsi="Arial" w:cs="Arial"/>
          <w:sz w:val="22"/>
          <w:szCs w:val="22"/>
        </w:rPr>
        <w:t xml:space="preserve"> Non</w:t>
      </w:r>
      <w:r w:rsidRPr="00847F5D">
        <w:rPr>
          <w:rFonts w:ascii="Arial" w:hAnsi="Arial" w:cs="Arial"/>
          <w:sz w:val="22"/>
          <w:szCs w:val="22"/>
        </w:rPr>
        <w:noBreakHyphen/>
        <w:t xml:space="preserve">Communicable Disease Prevention </w:t>
      </w:r>
    </w:p>
    <w:p w14:paraId="021185AB" w14:textId="7144DF41" w:rsidR="00141DD7" w:rsidRPr="00847F5D" w:rsidRDefault="00141DD7" w:rsidP="00141DD7">
      <w:pPr>
        <w:pStyle w:val="NormalWeb"/>
        <w:rPr>
          <w:rFonts w:ascii="Arial" w:hAnsi="Arial" w:cs="Arial"/>
          <w:sz w:val="22"/>
          <w:szCs w:val="22"/>
        </w:rPr>
      </w:pPr>
      <w:r w:rsidRPr="00847F5D">
        <w:rPr>
          <w:rFonts w:ascii="Arial" w:hAnsi="Arial" w:cs="Arial"/>
          <w:b/>
          <w:bCs/>
          <w:sz w:val="22"/>
          <w:szCs w:val="22"/>
        </w:rPr>
        <w:t>3.5</w:t>
      </w:r>
      <w:r w:rsidRPr="00847F5D">
        <w:rPr>
          <w:rFonts w:ascii="Arial" w:hAnsi="Arial" w:cs="Arial"/>
          <w:sz w:val="22"/>
          <w:szCs w:val="22"/>
        </w:rPr>
        <w:t xml:space="preserve"> Climate</w:t>
      </w:r>
      <w:r w:rsidRPr="00847F5D">
        <w:rPr>
          <w:rFonts w:ascii="Arial" w:hAnsi="Arial" w:cs="Arial"/>
          <w:sz w:val="22"/>
          <w:szCs w:val="22"/>
        </w:rPr>
        <w:noBreakHyphen/>
        <w:t>Related Health Risks</w:t>
      </w:r>
    </w:p>
    <w:p w14:paraId="7541B18E" w14:textId="5F401D0A" w:rsidR="00141DD7" w:rsidRPr="00847F5D" w:rsidRDefault="007F2BB7" w:rsidP="00141DD7">
      <w:pPr>
        <w:pStyle w:val="NormalWeb"/>
        <w:rPr>
          <w:rFonts w:ascii="Arial" w:hAnsi="Arial" w:cs="Arial"/>
          <w:sz w:val="22"/>
          <w:szCs w:val="22"/>
        </w:rPr>
      </w:pPr>
      <w:r w:rsidRPr="00847F5D">
        <w:rPr>
          <w:rFonts w:ascii="Arial" w:hAnsi="Arial" w:cs="Arial"/>
          <w:b/>
          <w:bCs/>
          <w:sz w:val="22"/>
          <w:szCs w:val="22"/>
        </w:rPr>
        <w:t>4</w:t>
      </w:r>
      <w:r w:rsidRPr="00847F5D">
        <w:rPr>
          <w:rFonts w:ascii="Arial" w:hAnsi="Arial" w:cs="Arial"/>
          <w:sz w:val="22"/>
          <w:szCs w:val="22"/>
        </w:rPr>
        <w:t xml:space="preserve"> </w:t>
      </w:r>
      <w:r w:rsidR="00141DD7" w:rsidRPr="00847F5D">
        <w:rPr>
          <w:rStyle w:val="Strong"/>
          <w:rFonts w:ascii="Arial" w:hAnsi="Arial" w:cs="Arial"/>
          <w:sz w:val="22"/>
          <w:szCs w:val="22"/>
        </w:rPr>
        <w:t>Combined Impact of SDG 3 and SDG 13 on Citizens’ Health and Wellbeing</w:t>
      </w:r>
    </w:p>
    <w:p w14:paraId="74459CE1" w14:textId="321852DD" w:rsidR="00141DD7" w:rsidRPr="00847F5D" w:rsidRDefault="007F2BB7" w:rsidP="00141DD7">
      <w:pPr>
        <w:pStyle w:val="NormalWeb"/>
        <w:rPr>
          <w:rFonts w:ascii="Arial" w:hAnsi="Arial" w:cs="Arial"/>
          <w:sz w:val="22"/>
          <w:szCs w:val="22"/>
        </w:rPr>
      </w:pPr>
      <w:r w:rsidRPr="00847F5D">
        <w:rPr>
          <w:rFonts w:ascii="Arial" w:hAnsi="Arial" w:cs="Arial"/>
          <w:b/>
          <w:bCs/>
          <w:sz w:val="22"/>
          <w:szCs w:val="22"/>
        </w:rPr>
        <w:t>5</w:t>
      </w:r>
      <w:r w:rsidRPr="00847F5D">
        <w:rPr>
          <w:rFonts w:ascii="Arial" w:hAnsi="Arial" w:cs="Arial"/>
          <w:sz w:val="22"/>
          <w:szCs w:val="22"/>
        </w:rPr>
        <w:t xml:space="preserve"> </w:t>
      </w:r>
      <w:r w:rsidR="00141DD7" w:rsidRPr="00847F5D">
        <w:rPr>
          <w:rStyle w:val="Strong"/>
          <w:rFonts w:ascii="Arial" w:hAnsi="Arial" w:cs="Arial"/>
          <w:sz w:val="22"/>
          <w:szCs w:val="22"/>
        </w:rPr>
        <w:t>NHS Long Term Plan</w:t>
      </w:r>
    </w:p>
    <w:p w14:paraId="2DA06418" w14:textId="6A2FB396" w:rsidR="00141DD7" w:rsidRPr="00847F5D" w:rsidRDefault="007F2BB7" w:rsidP="00141DD7">
      <w:pPr>
        <w:pStyle w:val="NormalWeb"/>
        <w:rPr>
          <w:rFonts w:ascii="Arial" w:hAnsi="Arial" w:cs="Arial"/>
          <w:sz w:val="22"/>
          <w:szCs w:val="22"/>
        </w:rPr>
      </w:pPr>
      <w:r w:rsidRPr="00847F5D">
        <w:rPr>
          <w:rFonts w:ascii="Arial" w:hAnsi="Arial" w:cs="Arial"/>
          <w:b/>
          <w:bCs/>
          <w:sz w:val="22"/>
          <w:szCs w:val="22"/>
        </w:rPr>
        <w:t>6</w:t>
      </w:r>
      <w:r w:rsidRPr="00847F5D">
        <w:rPr>
          <w:rFonts w:ascii="Arial" w:hAnsi="Arial" w:cs="Arial"/>
          <w:sz w:val="22"/>
          <w:szCs w:val="22"/>
        </w:rPr>
        <w:t xml:space="preserve"> </w:t>
      </w:r>
      <w:r w:rsidR="00141DD7" w:rsidRPr="00847F5D">
        <w:rPr>
          <w:rStyle w:val="Strong"/>
          <w:rFonts w:ascii="Arial" w:hAnsi="Arial" w:cs="Arial"/>
          <w:sz w:val="22"/>
          <w:szCs w:val="22"/>
        </w:rPr>
        <w:t>UK Clean Air Strategy</w:t>
      </w:r>
    </w:p>
    <w:p w14:paraId="11D44C7B" w14:textId="61706F83" w:rsidR="007F2BB7" w:rsidRPr="00847F5D" w:rsidRDefault="007F2BB7" w:rsidP="00141DD7">
      <w:pPr>
        <w:pStyle w:val="NormalWeb"/>
        <w:rPr>
          <w:rFonts w:ascii="Arial" w:hAnsi="Arial" w:cs="Arial"/>
          <w:sz w:val="22"/>
          <w:szCs w:val="22"/>
        </w:rPr>
      </w:pPr>
      <w:r w:rsidRPr="00847F5D">
        <w:rPr>
          <w:rFonts w:ascii="Arial" w:hAnsi="Arial" w:cs="Arial"/>
          <w:b/>
          <w:bCs/>
          <w:sz w:val="22"/>
          <w:szCs w:val="22"/>
        </w:rPr>
        <w:t xml:space="preserve">7 </w:t>
      </w:r>
      <w:r w:rsidR="00141DD7" w:rsidRPr="00847F5D">
        <w:rPr>
          <w:rStyle w:val="Strong"/>
          <w:rFonts w:ascii="Arial" w:hAnsi="Arial" w:cs="Arial"/>
          <w:sz w:val="22"/>
          <w:szCs w:val="22"/>
        </w:rPr>
        <w:t>Local Initiatives Supporting SDG 3 and SDG 13</w:t>
      </w:r>
      <w:r w:rsidR="00141DD7" w:rsidRPr="00847F5D">
        <w:rPr>
          <w:rFonts w:ascii="Arial" w:hAnsi="Arial" w:cs="Arial"/>
          <w:sz w:val="22"/>
          <w:szCs w:val="22"/>
        </w:rPr>
        <w:t xml:space="preserve"> </w:t>
      </w:r>
    </w:p>
    <w:p w14:paraId="054DF028" w14:textId="77777777" w:rsidR="007F2BB7" w:rsidRPr="00847F5D" w:rsidRDefault="00141DD7" w:rsidP="00141DD7">
      <w:pPr>
        <w:pStyle w:val="NormalWeb"/>
        <w:rPr>
          <w:rFonts w:ascii="Arial" w:hAnsi="Arial" w:cs="Arial"/>
          <w:sz w:val="22"/>
          <w:szCs w:val="22"/>
        </w:rPr>
      </w:pPr>
      <w:r w:rsidRPr="00847F5D">
        <w:rPr>
          <w:rFonts w:ascii="Arial" w:hAnsi="Arial" w:cs="Arial"/>
          <w:b/>
          <w:bCs/>
          <w:sz w:val="22"/>
          <w:szCs w:val="22"/>
        </w:rPr>
        <w:t>7.1</w:t>
      </w:r>
      <w:r w:rsidRPr="00847F5D">
        <w:rPr>
          <w:rFonts w:ascii="Arial" w:hAnsi="Arial" w:cs="Arial"/>
          <w:sz w:val="22"/>
          <w:szCs w:val="22"/>
        </w:rPr>
        <w:t xml:space="preserve"> Healthy London Partnership (HLP)</w:t>
      </w:r>
    </w:p>
    <w:p w14:paraId="7D2CA609" w14:textId="1886C55B" w:rsidR="00141DD7" w:rsidRPr="00847F5D" w:rsidRDefault="00141DD7" w:rsidP="00141DD7">
      <w:pPr>
        <w:pStyle w:val="NormalWeb"/>
        <w:rPr>
          <w:rFonts w:ascii="Arial" w:hAnsi="Arial" w:cs="Arial"/>
          <w:sz w:val="22"/>
          <w:szCs w:val="22"/>
        </w:rPr>
      </w:pPr>
      <w:r w:rsidRPr="00847F5D">
        <w:rPr>
          <w:rFonts w:ascii="Arial" w:hAnsi="Arial" w:cs="Arial"/>
          <w:b/>
          <w:bCs/>
          <w:sz w:val="22"/>
          <w:szCs w:val="22"/>
        </w:rPr>
        <w:t xml:space="preserve"> 7.2</w:t>
      </w:r>
      <w:r w:rsidRPr="00847F5D">
        <w:rPr>
          <w:rFonts w:ascii="Arial" w:hAnsi="Arial" w:cs="Arial"/>
          <w:sz w:val="22"/>
          <w:szCs w:val="22"/>
        </w:rPr>
        <w:t xml:space="preserve"> Hackney Climate Action Plan</w:t>
      </w:r>
    </w:p>
    <w:p w14:paraId="34EAA5C0" w14:textId="236D8C43" w:rsidR="00141DD7" w:rsidRPr="00847F5D" w:rsidRDefault="00847F5D" w:rsidP="00141DD7">
      <w:pPr>
        <w:pStyle w:val="NormalWeb"/>
        <w:rPr>
          <w:rFonts w:ascii="Arial" w:hAnsi="Arial" w:cs="Arial"/>
          <w:sz w:val="22"/>
          <w:szCs w:val="22"/>
        </w:rPr>
      </w:pPr>
      <w:r w:rsidRPr="00847F5D">
        <w:rPr>
          <w:rFonts w:ascii="Arial" w:hAnsi="Arial" w:cs="Arial"/>
          <w:b/>
          <w:bCs/>
          <w:sz w:val="22"/>
          <w:szCs w:val="22"/>
        </w:rPr>
        <w:t>8</w:t>
      </w:r>
      <w:r w:rsidRPr="00847F5D">
        <w:rPr>
          <w:rFonts w:ascii="Arial" w:hAnsi="Arial" w:cs="Arial"/>
          <w:sz w:val="22"/>
          <w:szCs w:val="22"/>
        </w:rPr>
        <w:t xml:space="preserve"> </w:t>
      </w:r>
      <w:r w:rsidR="00141DD7" w:rsidRPr="00847F5D">
        <w:rPr>
          <w:rStyle w:val="Strong"/>
          <w:rFonts w:ascii="Arial" w:hAnsi="Arial" w:cs="Arial"/>
          <w:sz w:val="22"/>
          <w:szCs w:val="22"/>
        </w:rPr>
        <w:t>Conclusion</w:t>
      </w:r>
    </w:p>
    <w:p w14:paraId="28E5819B" w14:textId="3B289426" w:rsidR="00141DD7" w:rsidRPr="00847F5D" w:rsidRDefault="00847F5D" w:rsidP="00141DD7">
      <w:pPr>
        <w:pStyle w:val="NormalWeb"/>
        <w:rPr>
          <w:rFonts w:ascii="Arial" w:hAnsi="Arial" w:cs="Arial"/>
          <w:sz w:val="22"/>
          <w:szCs w:val="22"/>
        </w:rPr>
      </w:pPr>
      <w:r w:rsidRPr="00847F5D">
        <w:rPr>
          <w:rFonts w:ascii="Arial" w:hAnsi="Arial" w:cs="Arial"/>
          <w:b/>
          <w:bCs/>
          <w:sz w:val="22"/>
          <w:szCs w:val="22"/>
        </w:rPr>
        <w:t>9</w:t>
      </w:r>
      <w:r w:rsidRPr="00847F5D">
        <w:rPr>
          <w:rFonts w:ascii="Arial" w:hAnsi="Arial" w:cs="Arial"/>
          <w:sz w:val="22"/>
          <w:szCs w:val="22"/>
        </w:rPr>
        <w:t xml:space="preserve"> </w:t>
      </w:r>
      <w:r w:rsidR="00141DD7" w:rsidRPr="00847F5D">
        <w:rPr>
          <w:rStyle w:val="Strong"/>
          <w:rFonts w:ascii="Arial" w:hAnsi="Arial" w:cs="Arial"/>
          <w:sz w:val="22"/>
          <w:szCs w:val="22"/>
        </w:rPr>
        <w:t>Reference List</w:t>
      </w:r>
    </w:p>
    <w:p w14:paraId="523C18B6"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2967713"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BDCDCF8"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DF29AEE"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4B996ED"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13E273C"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85DFD9E" w14:textId="77777777" w:rsidR="00B22E87" w:rsidRDefault="00B22E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1B5E5B76" w14:textId="1C32150B" w:rsidR="008D286C" w:rsidRDefault="007B14C9" w:rsidP="006F07CC">
      <w:pPr>
        <w:spacing w:before="100" w:beforeAutospacing="1" w:after="100" w:afterAutospacing="1" w:line="360" w:lineRule="auto"/>
        <w:outlineLvl w:val="1"/>
        <w:rPr>
          <w:rFonts w:ascii="Times New Roman" w:eastAsia="Times New Roman" w:hAnsi="Times New Roman" w:cs="Times New Roman"/>
          <w:kern w:val="0"/>
          <w:lang w:eastAsia="en-GB"/>
          <w14:ligatures w14:val="none"/>
        </w:rPr>
      </w:pPr>
      <w:r w:rsidRPr="00691C63">
        <w:rPr>
          <w:rFonts w:ascii="Arial" w:eastAsia="Times New Roman" w:hAnsi="Arial" w:cs="Arial"/>
          <w:b/>
          <w:bCs/>
          <w:kern w:val="0"/>
          <w:sz w:val="28"/>
          <w:szCs w:val="28"/>
          <w:lang w:eastAsia="en-GB"/>
          <w14:ligatures w14:val="none"/>
        </w:rPr>
        <w:t>Introduction</w:t>
      </w:r>
    </w:p>
    <w:p w14:paraId="6432795C" w14:textId="77777777" w:rsidR="00CE3F19" w:rsidRPr="00CE3F19" w:rsidRDefault="00CE3F19" w:rsidP="00CE3F19">
      <w:pPr>
        <w:pStyle w:val="NormalWeb"/>
        <w:spacing w:line="360" w:lineRule="auto"/>
        <w:rPr>
          <w:rFonts w:ascii="Arial" w:hAnsi="Arial" w:cs="Arial"/>
          <w:sz w:val="22"/>
          <w:szCs w:val="22"/>
        </w:rPr>
      </w:pPr>
      <w:r w:rsidRPr="00CE3F19">
        <w:rPr>
          <w:rFonts w:ascii="Arial" w:hAnsi="Arial" w:cs="Arial"/>
          <w:sz w:val="22"/>
          <w:szCs w:val="22"/>
        </w:rPr>
        <w:t>Global health, wellbeing and sustainability have become central priorities within international and national policy agendas, shaped by decades of collaborative efforts to address social, economic and environmental challenges. Modern sustainable development foundations were established at the 1992 United Nations Earth Summit, where 178 countries adopted Agenda 21, recognising that environmental degradation, social inequality and economic instability are interconnected issues requiring coordinated global action (United Nations, 1992).</w:t>
      </w:r>
    </w:p>
    <w:p w14:paraId="7F66B4BB" w14:textId="77777777" w:rsidR="00CE3F19" w:rsidRPr="00CE3F19" w:rsidRDefault="00CE3F19" w:rsidP="00CE3F19">
      <w:pPr>
        <w:pStyle w:val="NormalWeb"/>
        <w:spacing w:line="360" w:lineRule="auto"/>
        <w:rPr>
          <w:rFonts w:ascii="Arial" w:hAnsi="Arial" w:cs="Arial"/>
          <w:sz w:val="22"/>
          <w:szCs w:val="22"/>
        </w:rPr>
      </w:pPr>
      <w:r w:rsidRPr="00CE3F19">
        <w:rPr>
          <w:rFonts w:ascii="Arial" w:hAnsi="Arial" w:cs="Arial"/>
          <w:sz w:val="22"/>
          <w:szCs w:val="22"/>
        </w:rPr>
        <w:t>These discussions informed the Millennium Development Goals (MDGs), which achieved progress in poverty reduction and infectious disease control but were criticised for limited environmental integration, narrow applicability to low</w:t>
      </w:r>
      <w:r w:rsidRPr="00CE3F19">
        <w:rPr>
          <w:rFonts w:ascii="Arial" w:hAnsi="Arial" w:cs="Arial"/>
          <w:sz w:val="22"/>
          <w:szCs w:val="22"/>
        </w:rPr>
        <w:noBreakHyphen/>
        <w:t>income countries and insufficient attention to structural inequalities (United Nations, 2000; WHO, 2015). Scholars argue that the MDGs lacked a systems</w:t>
      </w:r>
      <w:r w:rsidRPr="00CE3F19">
        <w:rPr>
          <w:rFonts w:ascii="Arial" w:hAnsi="Arial" w:cs="Arial"/>
          <w:sz w:val="22"/>
          <w:szCs w:val="22"/>
        </w:rPr>
        <w:noBreakHyphen/>
        <w:t>based approach, failing to address social determinants of health or the growing threat of climate change (Health Foundation, 2020).</w:t>
      </w:r>
    </w:p>
    <w:p w14:paraId="223062DF" w14:textId="77777777" w:rsidR="00CE3F19" w:rsidRPr="00CE3F19" w:rsidRDefault="00CE3F19" w:rsidP="00CE3F19">
      <w:pPr>
        <w:pStyle w:val="NormalWeb"/>
        <w:spacing w:line="360" w:lineRule="auto"/>
        <w:rPr>
          <w:rFonts w:ascii="Arial" w:hAnsi="Arial" w:cs="Arial"/>
          <w:sz w:val="22"/>
          <w:szCs w:val="22"/>
        </w:rPr>
      </w:pPr>
      <w:r w:rsidRPr="00CE3F19">
        <w:rPr>
          <w:rFonts w:ascii="Arial" w:hAnsi="Arial" w:cs="Arial"/>
          <w:sz w:val="22"/>
          <w:szCs w:val="22"/>
        </w:rPr>
        <w:t>In response, the United Nations launched a global consultation process culminating in the 2030 Agenda for Sustainable Development, introducing 17 universal and interconnected Sustainable Development Goals (SDGs) (United Nations, 2015). The SDGs emphasise universality, cross</w:t>
      </w:r>
      <w:r w:rsidRPr="00CE3F19">
        <w:rPr>
          <w:rFonts w:ascii="Arial" w:hAnsi="Arial" w:cs="Arial"/>
          <w:sz w:val="22"/>
          <w:szCs w:val="22"/>
        </w:rPr>
        <w:noBreakHyphen/>
        <w:t>sector collaboration and long</w:t>
      </w:r>
      <w:r w:rsidRPr="00CE3F19">
        <w:rPr>
          <w:rFonts w:ascii="Arial" w:hAnsi="Arial" w:cs="Arial"/>
          <w:sz w:val="22"/>
          <w:szCs w:val="22"/>
        </w:rPr>
        <w:noBreakHyphen/>
        <w:t>term resilience. UNDESA (2023) highlights their interdependence, noting that progress in health cannot be achieved without parallel advances in climate action, poverty reduction and social equity.</w:t>
      </w:r>
    </w:p>
    <w:p w14:paraId="354DBF15" w14:textId="77777777" w:rsidR="00CE3F19" w:rsidRPr="00CE3F19" w:rsidRDefault="00CE3F19" w:rsidP="00CE3F19">
      <w:pPr>
        <w:pStyle w:val="NormalWeb"/>
        <w:spacing w:line="360" w:lineRule="auto"/>
        <w:rPr>
          <w:rFonts w:ascii="Arial" w:hAnsi="Arial" w:cs="Arial"/>
          <w:sz w:val="22"/>
          <w:szCs w:val="22"/>
        </w:rPr>
      </w:pPr>
      <w:r w:rsidRPr="00CE3F19">
        <w:rPr>
          <w:rFonts w:ascii="Arial" w:hAnsi="Arial" w:cs="Arial"/>
          <w:sz w:val="22"/>
          <w:szCs w:val="22"/>
        </w:rPr>
        <w:t>Among these goals, SDG 3 (Good Health and Wellbeing) and SDG 13 (Climate Action) are particularly influential. Climate change is increasingly recognised as a multiplier of existing health disparities (UK Government Office for Science, 2023). This report critically examines how SDG 3 and SDG 13 shape health at global, national and local levels, evaluating UK initiatives and identifying structural challenges that continue to limit progress.</w:t>
      </w:r>
    </w:p>
    <w:p w14:paraId="02F03453" w14:textId="77777777" w:rsidR="007B14C9" w:rsidRPr="00691C63" w:rsidRDefault="007B14C9" w:rsidP="00691C6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691C63">
        <w:rPr>
          <w:rFonts w:ascii="Arial" w:eastAsia="Times New Roman" w:hAnsi="Arial" w:cs="Arial"/>
          <w:b/>
          <w:bCs/>
          <w:kern w:val="0"/>
          <w:sz w:val="28"/>
          <w:szCs w:val="28"/>
          <w:lang w:eastAsia="en-GB"/>
          <w14:ligatures w14:val="none"/>
        </w:rPr>
        <w:t>SDG 3 and SDG 13: Constructs and Interconnected Determinants of Health</w:t>
      </w:r>
    </w:p>
    <w:p w14:paraId="5414193C"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SDG 3 aims to “ensure healthy lives and promote wellbeing for all at all ages” (United Nations, 2023). It recognises that health outcomes are shaped by social, economic and environmental determinants and includes targets related to maternal and child health, mental health, non</w:t>
      </w:r>
      <w:r w:rsidRPr="00691C63">
        <w:rPr>
          <w:rFonts w:ascii="Arial" w:eastAsia="Times New Roman" w:hAnsi="Arial" w:cs="Arial"/>
          <w:kern w:val="0"/>
          <w:sz w:val="22"/>
          <w:szCs w:val="22"/>
          <w:lang w:eastAsia="en-GB"/>
          <w14:ligatures w14:val="none"/>
        </w:rPr>
        <w:noBreakHyphen/>
        <w:t>communicable diseases (NCDs), communicable disease control, universal health coverage and access to medicines (WHO, 2024). These constructs emphasise prevention, fairness and coordinated action across health, social care and environmental sectors. SDG 3 also reflects a shift from disease</w:t>
      </w:r>
      <w:r w:rsidRPr="00691C63">
        <w:rPr>
          <w:rFonts w:ascii="Arial" w:eastAsia="Times New Roman" w:hAnsi="Arial" w:cs="Arial"/>
          <w:kern w:val="0"/>
          <w:sz w:val="22"/>
          <w:szCs w:val="22"/>
          <w:lang w:eastAsia="en-GB"/>
          <w14:ligatures w14:val="none"/>
        </w:rPr>
        <w:noBreakHyphen/>
        <w:t>focused approaches to a broader understanding of health as a product of structural conditions, system resilience and social equity.</w:t>
      </w:r>
    </w:p>
    <w:p w14:paraId="2218FEC6"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SDG 13 calls for “urgent action to combat climate change and its impacts” (United Nations, 2023). Its targets focus on resilience, adaptation, policy integration, public engagement and climate finance, reflecting growing recognition that climate change is a major determinant of health (WHO, 2023). Strengthening resilience to hazards, embedding climate considerations into national strategies and supporting vulnerable communities are central to reducing environmental risks and protecting long</w:t>
      </w:r>
      <w:r w:rsidRPr="00691C63">
        <w:rPr>
          <w:rFonts w:ascii="Arial" w:eastAsia="Times New Roman" w:hAnsi="Arial" w:cs="Arial"/>
          <w:kern w:val="0"/>
          <w:sz w:val="22"/>
          <w:szCs w:val="22"/>
          <w:lang w:eastAsia="en-GB"/>
          <w14:ligatures w14:val="none"/>
        </w:rPr>
        <w:noBreakHyphen/>
        <w:t>term wellbeing (UNFCCC, 2024). SDG 13 also emphasises cross</w:t>
      </w:r>
      <w:r w:rsidRPr="00691C63">
        <w:rPr>
          <w:rFonts w:ascii="Arial" w:eastAsia="Times New Roman" w:hAnsi="Arial" w:cs="Arial"/>
          <w:kern w:val="0"/>
          <w:sz w:val="22"/>
          <w:szCs w:val="22"/>
          <w:lang w:eastAsia="en-GB"/>
          <w14:ligatures w14:val="none"/>
        </w:rPr>
        <w:noBreakHyphen/>
        <w:t>sector collaboration, recognising that climate action must be embedded across transport, housing, agriculture, health and education systems.</w:t>
      </w:r>
    </w:p>
    <w:p w14:paraId="33F2B298"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Critically, SDG 3 and SDG 13 are not separate agendas but mutually reinforcing. Climate change exacerbates health inequalities, increases disease burden, disrupts food systems and places pressure on health services. Conversely, strong health systems improve community resilience to climate shocks. This interdependence is increasingly reflected in UK policy, though progress remains uneven and often hindered by structural constraints such as funding limitations, regional disparities and political shifts.</w:t>
      </w:r>
    </w:p>
    <w:p w14:paraId="432E8400" w14:textId="77777777" w:rsidR="007B14C9" w:rsidRDefault="007B14C9" w:rsidP="00691C6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691C63">
        <w:rPr>
          <w:rFonts w:ascii="Arial" w:eastAsia="Times New Roman" w:hAnsi="Arial" w:cs="Arial"/>
          <w:b/>
          <w:bCs/>
          <w:kern w:val="0"/>
          <w:sz w:val="28"/>
          <w:szCs w:val="28"/>
          <w:lang w:eastAsia="en-GB"/>
          <w14:ligatures w14:val="none"/>
        </w:rPr>
        <w:t>National Initiatives Supporting SDG 3 and SDG 13</w:t>
      </w:r>
    </w:p>
    <w:p w14:paraId="7D3B96C8" w14:textId="2DAC9756" w:rsidR="00FE7D4D" w:rsidRPr="00FE7D4D" w:rsidRDefault="00FE7D4D" w:rsidP="00FE7D4D">
      <w:pPr>
        <w:pStyle w:val="NormalWeb"/>
        <w:spacing w:line="360" w:lineRule="auto"/>
        <w:rPr>
          <w:rFonts w:ascii="Arial" w:hAnsi="Arial" w:cs="Arial"/>
          <w:sz w:val="22"/>
          <w:szCs w:val="22"/>
        </w:rPr>
      </w:pPr>
      <w:r w:rsidRPr="00FE7D4D">
        <w:rPr>
          <w:rFonts w:ascii="Arial" w:hAnsi="Arial" w:cs="Arial"/>
          <w:sz w:val="22"/>
          <w:szCs w:val="22"/>
        </w:rPr>
        <w:t xml:space="preserve">SDG 3 has shaped major UK health strategies by strengthening prevention, improving access and addressing inequalities. Universal health coverage underpins the NHS model, with only </w:t>
      </w:r>
      <w:r w:rsidRPr="00FE7D4D">
        <w:rPr>
          <w:rStyle w:val="Strong"/>
          <w:rFonts w:ascii="Arial" w:hAnsi="Arial" w:cs="Arial"/>
          <w:b w:val="0"/>
          <w:bCs w:val="0"/>
          <w:sz w:val="22"/>
          <w:szCs w:val="22"/>
        </w:rPr>
        <w:t>2% of UK households</w:t>
      </w:r>
      <w:r w:rsidRPr="00FE7D4D">
        <w:rPr>
          <w:rFonts w:ascii="Arial" w:hAnsi="Arial" w:cs="Arial"/>
          <w:sz w:val="22"/>
          <w:szCs w:val="22"/>
        </w:rPr>
        <w:t xml:space="preserve"> experiencing catastrophic health expenditure compared with </w:t>
      </w:r>
      <w:r w:rsidRPr="00FE7D4D">
        <w:rPr>
          <w:rStyle w:val="Strong"/>
          <w:rFonts w:ascii="Arial" w:hAnsi="Arial" w:cs="Arial"/>
          <w:b w:val="0"/>
          <w:bCs w:val="0"/>
          <w:sz w:val="22"/>
          <w:szCs w:val="22"/>
        </w:rPr>
        <w:t>over 10% globally</w:t>
      </w:r>
      <w:r w:rsidRPr="00FE7D4D">
        <w:rPr>
          <w:rFonts w:ascii="Arial" w:hAnsi="Arial" w:cs="Arial"/>
          <w:sz w:val="22"/>
          <w:szCs w:val="22"/>
        </w:rPr>
        <w:t xml:space="preserve"> (WHO, 2024). This financial protection supports early diagnosis and treatment, contributing to higher life expectancy. Mental health investment has increased in response to high need, with </w:t>
      </w:r>
      <w:r w:rsidRPr="00FE7D4D">
        <w:rPr>
          <w:rStyle w:val="Strong"/>
          <w:rFonts w:ascii="Arial" w:hAnsi="Arial" w:cs="Arial"/>
          <w:b w:val="0"/>
          <w:bCs w:val="0"/>
          <w:sz w:val="22"/>
          <w:szCs w:val="22"/>
        </w:rPr>
        <w:t>1 in 4 adults</w:t>
      </w:r>
      <w:r w:rsidRPr="00FE7D4D">
        <w:rPr>
          <w:rFonts w:ascii="Arial" w:hAnsi="Arial" w:cs="Arial"/>
          <w:sz w:val="22"/>
          <w:szCs w:val="22"/>
        </w:rPr>
        <w:t xml:space="preserve"> experiencing a mental health condition annually (NHS Digital, 2024). However, inequalities persist people in the most deprived areas are </w:t>
      </w:r>
      <w:r w:rsidRPr="00FE7D4D">
        <w:rPr>
          <w:rStyle w:val="Strong"/>
          <w:rFonts w:ascii="Arial" w:hAnsi="Arial" w:cs="Arial"/>
          <w:b w:val="0"/>
          <w:bCs w:val="0"/>
          <w:sz w:val="22"/>
          <w:szCs w:val="22"/>
        </w:rPr>
        <w:t>twice as likely</w:t>
      </w:r>
      <w:r w:rsidRPr="00FE7D4D">
        <w:rPr>
          <w:rFonts w:ascii="Arial" w:hAnsi="Arial" w:cs="Arial"/>
          <w:sz w:val="22"/>
          <w:szCs w:val="22"/>
        </w:rPr>
        <w:t xml:space="preserve"> to experience severe mental illness (ONS, 2024). Vaccination programmes aligned with SDG 3 have achieved </w:t>
      </w:r>
      <w:r w:rsidRPr="00FE7D4D">
        <w:rPr>
          <w:rStyle w:val="Strong"/>
          <w:rFonts w:ascii="Arial" w:hAnsi="Arial" w:cs="Arial"/>
          <w:b w:val="0"/>
          <w:bCs w:val="0"/>
          <w:sz w:val="22"/>
          <w:szCs w:val="22"/>
        </w:rPr>
        <w:t>95% MMR uptake</w:t>
      </w:r>
      <w:r w:rsidRPr="00FE7D4D">
        <w:rPr>
          <w:rFonts w:ascii="Arial" w:hAnsi="Arial" w:cs="Arial"/>
          <w:sz w:val="22"/>
          <w:szCs w:val="22"/>
        </w:rPr>
        <w:t xml:space="preserve">, though hesitancy remains in some communities (UKHSA, 2023). Policies addressing NCDs, such as the Soft Drinks Industry Levy, have reduced sugar consumption in soft drinks by </w:t>
      </w:r>
      <w:r w:rsidRPr="00FE7D4D">
        <w:rPr>
          <w:rStyle w:val="Strong"/>
          <w:rFonts w:ascii="Arial" w:hAnsi="Arial" w:cs="Arial"/>
          <w:b w:val="0"/>
          <w:bCs w:val="0"/>
          <w:sz w:val="22"/>
          <w:szCs w:val="22"/>
        </w:rPr>
        <w:t>35%</w:t>
      </w:r>
      <w:r w:rsidRPr="00FE7D4D">
        <w:rPr>
          <w:rFonts w:ascii="Arial" w:hAnsi="Arial" w:cs="Arial"/>
          <w:sz w:val="22"/>
          <w:szCs w:val="22"/>
        </w:rPr>
        <w:t xml:space="preserve">, contributing to improved dietary health (PHE, 2023). Despite progress, life expectancy remains </w:t>
      </w:r>
      <w:r w:rsidRPr="00FE7D4D">
        <w:rPr>
          <w:rStyle w:val="Strong"/>
          <w:rFonts w:ascii="Arial" w:hAnsi="Arial" w:cs="Arial"/>
          <w:b w:val="0"/>
          <w:bCs w:val="0"/>
          <w:sz w:val="22"/>
          <w:szCs w:val="22"/>
        </w:rPr>
        <w:t>10–12 years lower</w:t>
      </w:r>
      <w:r w:rsidRPr="00FE7D4D">
        <w:rPr>
          <w:rFonts w:ascii="Arial" w:hAnsi="Arial" w:cs="Arial"/>
          <w:sz w:val="22"/>
          <w:szCs w:val="22"/>
        </w:rPr>
        <w:t xml:space="preserve"> in the most deprived communities (ONS, 2024), highlighting persistent structural inequalities that SDG 3 alone cannot resolve.</w:t>
      </w:r>
    </w:p>
    <w:p w14:paraId="721478A7" w14:textId="77777777" w:rsidR="00FE7D4D" w:rsidRPr="00FE7D4D" w:rsidRDefault="00FE7D4D" w:rsidP="00FE7D4D">
      <w:pPr>
        <w:pStyle w:val="NormalWeb"/>
        <w:spacing w:line="360" w:lineRule="auto"/>
        <w:rPr>
          <w:rFonts w:ascii="Arial" w:hAnsi="Arial" w:cs="Arial"/>
          <w:sz w:val="22"/>
          <w:szCs w:val="22"/>
        </w:rPr>
      </w:pPr>
      <w:r w:rsidRPr="00FE7D4D">
        <w:rPr>
          <w:rFonts w:ascii="Arial" w:hAnsi="Arial" w:cs="Arial"/>
          <w:sz w:val="22"/>
          <w:szCs w:val="22"/>
        </w:rPr>
        <w:t xml:space="preserve">SDG 13 has driven coordinated action to reduce environmental risks. Air pollution contributes to </w:t>
      </w:r>
      <w:r w:rsidRPr="00FE7D4D">
        <w:rPr>
          <w:rStyle w:val="Strong"/>
          <w:rFonts w:ascii="Arial" w:hAnsi="Arial" w:cs="Arial"/>
          <w:b w:val="0"/>
          <w:bCs w:val="0"/>
          <w:sz w:val="22"/>
          <w:szCs w:val="22"/>
        </w:rPr>
        <w:t>34,000 premature deaths</w:t>
      </w:r>
      <w:r w:rsidRPr="00FE7D4D">
        <w:rPr>
          <w:rFonts w:ascii="Arial" w:hAnsi="Arial" w:cs="Arial"/>
          <w:sz w:val="22"/>
          <w:szCs w:val="22"/>
        </w:rPr>
        <w:t xml:space="preserve"> annually in the UK (UKHSA, 2023). Clean Air Zones have reduced nitrogen dioxide levels, although PM2.5 remains above WHO limits in many urban areas (DEFRA, 2024). Extreme weather events pose growing risks: the 2022 heatwave caused </w:t>
      </w:r>
      <w:r w:rsidRPr="00FE7D4D">
        <w:rPr>
          <w:rStyle w:val="Strong"/>
          <w:rFonts w:ascii="Arial" w:hAnsi="Arial" w:cs="Arial"/>
          <w:b w:val="0"/>
          <w:bCs w:val="0"/>
          <w:sz w:val="22"/>
          <w:szCs w:val="22"/>
        </w:rPr>
        <w:t>3,271 excess deaths</w:t>
      </w:r>
      <w:r w:rsidRPr="00FE7D4D">
        <w:rPr>
          <w:rFonts w:ascii="Arial" w:hAnsi="Arial" w:cs="Arial"/>
          <w:sz w:val="22"/>
          <w:szCs w:val="22"/>
        </w:rPr>
        <w:t>, particularly among older adults (ONS, 2023). Flooding increases anxiety and long</w:t>
      </w:r>
      <w:r w:rsidRPr="00FE7D4D">
        <w:rPr>
          <w:rFonts w:ascii="Arial" w:hAnsi="Arial" w:cs="Arial"/>
          <w:sz w:val="22"/>
          <w:szCs w:val="22"/>
        </w:rPr>
        <w:noBreakHyphen/>
        <w:t>term stress among displaced households (Public Health England, 2023). Climate</w:t>
      </w:r>
      <w:r w:rsidRPr="00FE7D4D">
        <w:rPr>
          <w:rFonts w:ascii="Arial" w:hAnsi="Arial" w:cs="Arial"/>
          <w:sz w:val="22"/>
          <w:szCs w:val="22"/>
        </w:rPr>
        <w:noBreakHyphen/>
        <w:t xml:space="preserve">related disruptions to agriculture contributed to a </w:t>
      </w:r>
      <w:r w:rsidRPr="00FE7D4D">
        <w:rPr>
          <w:rStyle w:val="Strong"/>
          <w:rFonts w:ascii="Arial" w:hAnsi="Arial" w:cs="Arial"/>
          <w:b w:val="0"/>
          <w:bCs w:val="0"/>
          <w:sz w:val="22"/>
          <w:szCs w:val="22"/>
        </w:rPr>
        <w:t>19% rise in food</w:t>
      </w:r>
      <w:r w:rsidRPr="00FE7D4D">
        <w:rPr>
          <w:rStyle w:val="Strong"/>
          <w:rFonts w:ascii="Arial" w:hAnsi="Arial" w:cs="Arial"/>
          <w:sz w:val="22"/>
          <w:szCs w:val="22"/>
        </w:rPr>
        <w:t xml:space="preserve"> </w:t>
      </w:r>
      <w:r w:rsidRPr="00FE7D4D">
        <w:rPr>
          <w:rStyle w:val="Strong"/>
          <w:rFonts w:ascii="Arial" w:hAnsi="Arial" w:cs="Arial"/>
          <w:b w:val="0"/>
          <w:bCs w:val="0"/>
          <w:sz w:val="22"/>
          <w:szCs w:val="22"/>
        </w:rPr>
        <w:t>prices</w:t>
      </w:r>
      <w:r w:rsidRPr="00FE7D4D">
        <w:rPr>
          <w:rFonts w:ascii="Arial" w:hAnsi="Arial" w:cs="Arial"/>
          <w:sz w:val="22"/>
          <w:szCs w:val="22"/>
        </w:rPr>
        <w:t xml:space="preserve"> in 2023, disproportionately affecting low</w:t>
      </w:r>
      <w:r w:rsidRPr="00FE7D4D">
        <w:rPr>
          <w:rFonts w:ascii="Arial" w:hAnsi="Arial" w:cs="Arial"/>
          <w:sz w:val="22"/>
          <w:szCs w:val="22"/>
        </w:rPr>
        <w:noBreakHyphen/>
        <w:t xml:space="preserve">income households (FAO, 2023). Climate anxiety is rising, with </w:t>
      </w:r>
      <w:r w:rsidRPr="00FE7D4D">
        <w:rPr>
          <w:rStyle w:val="Strong"/>
          <w:rFonts w:ascii="Arial" w:hAnsi="Arial" w:cs="Arial"/>
          <w:b w:val="0"/>
          <w:bCs w:val="0"/>
          <w:sz w:val="22"/>
          <w:szCs w:val="22"/>
        </w:rPr>
        <w:t>73% of young peopl</w:t>
      </w:r>
      <w:r w:rsidRPr="00FE7D4D">
        <w:rPr>
          <w:rStyle w:val="Strong"/>
          <w:rFonts w:ascii="Arial" w:hAnsi="Arial" w:cs="Arial"/>
          <w:sz w:val="22"/>
          <w:szCs w:val="22"/>
        </w:rPr>
        <w:t>e</w:t>
      </w:r>
      <w:r w:rsidRPr="00FE7D4D">
        <w:rPr>
          <w:rFonts w:ascii="Arial" w:hAnsi="Arial" w:cs="Arial"/>
          <w:sz w:val="22"/>
          <w:szCs w:val="22"/>
        </w:rPr>
        <w:t xml:space="preserve"> reporting concern about climate impacts (RSPH, 2023). Although SDG 13 has strengthened climate policy, the UK remains off track for key emissions targets, particularly in housing and transport (Climate Change Committee, 2024).</w:t>
      </w:r>
    </w:p>
    <w:p w14:paraId="1665A491" w14:textId="77777777" w:rsidR="00FE7D4D" w:rsidRPr="00FE7D4D" w:rsidRDefault="00FE7D4D" w:rsidP="00FE7D4D">
      <w:pPr>
        <w:pStyle w:val="NormalWeb"/>
        <w:spacing w:line="360" w:lineRule="auto"/>
        <w:rPr>
          <w:rFonts w:ascii="Arial" w:hAnsi="Arial" w:cs="Arial"/>
          <w:sz w:val="22"/>
          <w:szCs w:val="22"/>
        </w:rPr>
      </w:pPr>
      <w:r w:rsidRPr="00FE7D4D">
        <w:rPr>
          <w:rFonts w:ascii="Arial" w:hAnsi="Arial" w:cs="Arial"/>
          <w:sz w:val="22"/>
          <w:szCs w:val="22"/>
        </w:rPr>
        <w:t xml:space="preserve">A critical issue is that climate impacts disproportionately affect communities already experiencing health inequalities. Deprived areas often have higher pollution exposure, poorer housing, limited access to green space and reduced adaptive capacity. Evidence from the </w:t>
      </w:r>
      <w:r w:rsidRPr="00FE7D4D">
        <w:rPr>
          <w:rStyle w:val="Strong"/>
          <w:rFonts w:ascii="Arial" w:hAnsi="Arial" w:cs="Arial"/>
          <w:b w:val="0"/>
          <w:bCs w:val="0"/>
          <w:sz w:val="22"/>
          <w:szCs w:val="22"/>
        </w:rPr>
        <w:t>Marmot Review (2020)</w:t>
      </w:r>
      <w:r w:rsidRPr="00FE7D4D">
        <w:rPr>
          <w:rFonts w:ascii="Arial" w:hAnsi="Arial" w:cs="Arial"/>
          <w:sz w:val="22"/>
          <w:szCs w:val="22"/>
        </w:rPr>
        <w:t xml:space="preserve"> shows that environmental hazards cluster in areas with entrenched socioeconomic disadvantage, meaning climate</w:t>
      </w:r>
      <w:r w:rsidRPr="00FE7D4D">
        <w:rPr>
          <w:rFonts w:ascii="Arial" w:hAnsi="Arial" w:cs="Arial"/>
          <w:sz w:val="22"/>
          <w:szCs w:val="22"/>
        </w:rPr>
        <w:noBreakHyphen/>
        <w:t>related risks amplify existing health gaps. For example, households in poorly insulated homes face greater exposure to extreme heat and cold, increasing risks of respiratory and cardiovascular illness (BEIS, 2023). Similarly, communities located near major roads or industrial sites experience higher levels of PM2.5 and NOx, contributing to asthma, COPD and premature mortality (UKHSA, 2023).</w:t>
      </w:r>
    </w:p>
    <w:p w14:paraId="546718EE" w14:textId="41CAFC48" w:rsidR="00FE7D4D" w:rsidRPr="00FE7D4D" w:rsidRDefault="00FE7D4D" w:rsidP="00FE7D4D">
      <w:pPr>
        <w:pStyle w:val="NormalWeb"/>
        <w:spacing w:line="360" w:lineRule="auto"/>
        <w:rPr>
          <w:rFonts w:ascii="Arial" w:hAnsi="Arial" w:cs="Arial"/>
          <w:sz w:val="22"/>
          <w:szCs w:val="22"/>
        </w:rPr>
      </w:pPr>
      <w:r w:rsidRPr="00FE7D4D">
        <w:rPr>
          <w:rFonts w:ascii="Arial" w:hAnsi="Arial" w:cs="Arial"/>
          <w:sz w:val="22"/>
          <w:szCs w:val="22"/>
        </w:rPr>
        <w:t>This means SDG 13 failures directly undermine SDG 3 progress. When climate risks increase disease burden, mental distress, food insecurity and housing instability, health systems face rising demand that prevention strategies cannot offset. The UK’s fragmented approach where health and climate policies are often developed separately limits the potential for integrated, equity</w:t>
      </w:r>
      <w:r w:rsidRPr="00FE7D4D">
        <w:rPr>
          <w:rFonts w:ascii="Arial" w:hAnsi="Arial" w:cs="Arial"/>
          <w:sz w:val="22"/>
          <w:szCs w:val="22"/>
        </w:rPr>
        <w:noBreakHyphen/>
        <w:t xml:space="preserve">focused interventions. The </w:t>
      </w:r>
      <w:r w:rsidRPr="00FE7D4D">
        <w:rPr>
          <w:rStyle w:val="Strong"/>
          <w:rFonts w:ascii="Arial" w:hAnsi="Arial" w:cs="Arial"/>
          <w:b w:val="0"/>
          <w:bCs w:val="0"/>
          <w:sz w:val="22"/>
          <w:szCs w:val="22"/>
        </w:rPr>
        <w:t>Health Foundation (2024)</w:t>
      </w:r>
      <w:r w:rsidRPr="00FE7D4D">
        <w:rPr>
          <w:rFonts w:ascii="Arial" w:hAnsi="Arial" w:cs="Arial"/>
          <w:sz w:val="22"/>
          <w:szCs w:val="22"/>
        </w:rPr>
        <w:t xml:space="preserve"> argues that siloed policymaking prevents coordinated action on the social determinants of health, while the </w:t>
      </w:r>
      <w:r w:rsidRPr="00FE7D4D">
        <w:rPr>
          <w:rStyle w:val="Strong"/>
          <w:rFonts w:ascii="Arial" w:hAnsi="Arial" w:cs="Arial"/>
          <w:b w:val="0"/>
          <w:bCs w:val="0"/>
          <w:sz w:val="22"/>
          <w:szCs w:val="22"/>
        </w:rPr>
        <w:t>Climate Change Committee (2024</w:t>
      </w:r>
      <w:r w:rsidRPr="00FE7D4D">
        <w:rPr>
          <w:rStyle w:val="Strong"/>
          <w:rFonts w:ascii="Arial" w:hAnsi="Arial" w:cs="Arial"/>
          <w:sz w:val="22"/>
          <w:szCs w:val="22"/>
        </w:rPr>
        <w:t>)</w:t>
      </w:r>
      <w:r w:rsidRPr="00FE7D4D">
        <w:rPr>
          <w:rFonts w:ascii="Arial" w:hAnsi="Arial" w:cs="Arial"/>
          <w:sz w:val="22"/>
          <w:szCs w:val="22"/>
        </w:rPr>
        <w:t xml:space="preserve"> highlights that inconsistent national leadership has slowed progress on adaptation measures that would protect vulnerable groups.</w:t>
      </w:r>
    </w:p>
    <w:p w14:paraId="12343C87" w14:textId="7021214A" w:rsidR="00FE7D4D" w:rsidRDefault="00FE7D4D" w:rsidP="00FE7D4D">
      <w:pPr>
        <w:pStyle w:val="NormalWeb"/>
        <w:spacing w:line="360" w:lineRule="auto"/>
      </w:pPr>
      <w:r w:rsidRPr="00FE7D4D">
        <w:rPr>
          <w:rFonts w:ascii="Arial" w:hAnsi="Arial" w:cs="Arial"/>
          <w:sz w:val="22"/>
          <w:szCs w:val="22"/>
        </w:rPr>
        <w:t>Critically, the combined impact of SDG 3 and SDG 13 reveals that health inequalities are not only a social issue but an environmental one. Without addressing climate</w:t>
      </w:r>
      <w:r w:rsidRPr="00FE7D4D">
        <w:rPr>
          <w:rFonts w:ascii="Arial" w:hAnsi="Arial" w:cs="Arial"/>
          <w:sz w:val="22"/>
          <w:szCs w:val="22"/>
        </w:rPr>
        <w:noBreakHyphen/>
        <w:t>related determinants air quality, housing quality, access to green space, exposure to extreme weather efforts to improve health outcomes will remain incomplete. This underscores the need for a whole</w:t>
      </w:r>
      <w:r w:rsidRPr="00FE7D4D">
        <w:rPr>
          <w:rFonts w:ascii="Arial" w:hAnsi="Arial" w:cs="Arial"/>
          <w:sz w:val="22"/>
          <w:szCs w:val="22"/>
        </w:rPr>
        <w:noBreakHyphen/>
        <w:t>system approach where climate resilience is embedded within public health strategies, NHS planning, local authority decision</w:t>
      </w:r>
      <w:r w:rsidRPr="00FE7D4D">
        <w:rPr>
          <w:rFonts w:ascii="Arial" w:hAnsi="Arial" w:cs="Arial"/>
          <w:sz w:val="22"/>
          <w:szCs w:val="22"/>
        </w:rPr>
        <w:noBreakHyphen/>
        <w:t>making and national</w:t>
      </w:r>
      <w:r>
        <w:t xml:space="preserve"> policy frameworks.</w:t>
      </w:r>
    </w:p>
    <w:p w14:paraId="6A8AC824" w14:textId="77777777" w:rsidR="007B14C9" w:rsidRPr="00691C63" w:rsidRDefault="007B14C9"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691C63">
        <w:rPr>
          <w:rFonts w:ascii="Arial" w:eastAsia="Times New Roman" w:hAnsi="Arial" w:cs="Arial"/>
          <w:b/>
          <w:bCs/>
          <w:kern w:val="0"/>
          <w:sz w:val="22"/>
          <w:szCs w:val="22"/>
          <w:lang w:eastAsia="en-GB"/>
          <w14:ligatures w14:val="none"/>
        </w:rPr>
        <w:t>NHS Long Term Plan</w:t>
      </w:r>
    </w:p>
    <w:p w14:paraId="692D0C9B"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The NHS Long Term Plan outlines national strategies to improve prevention, expand mental health provision and reduce inequalities (NHS England, 2019). Investment in mental health has increased by £2.3 billion since 2019, enabling expansion of community teams, crisis services and perinatal pathways (NHS England, 2024). Preventative programmes have contributed to declining smoking rates and improved early diagnosis of long</w:t>
      </w:r>
      <w:r w:rsidRPr="00691C63">
        <w:rPr>
          <w:rFonts w:ascii="Arial" w:eastAsia="Times New Roman" w:hAnsi="Arial" w:cs="Arial"/>
          <w:kern w:val="0"/>
          <w:sz w:val="22"/>
          <w:szCs w:val="22"/>
          <w:lang w:eastAsia="en-GB"/>
          <w14:ligatures w14:val="none"/>
        </w:rPr>
        <w:noBreakHyphen/>
        <w:t>term conditions. The NHS has committed to becoming the world’s first net</w:t>
      </w:r>
      <w:r w:rsidRPr="00691C63">
        <w:rPr>
          <w:rFonts w:ascii="Arial" w:eastAsia="Times New Roman" w:hAnsi="Arial" w:cs="Arial"/>
          <w:kern w:val="0"/>
          <w:sz w:val="22"/>
          <w:szCs w:val="22"/>
          <w:lang w:eastAsia="en-GB"/>
          <w14:ligatures w14:val="none"/>
        </w:rPr>
        <w:noBreakHyphen/>
        <w:t>zero health system, achieving an 8% reduction in carbon emissions between 2020 and 2023 (NHS Sustainability Report, 2024).</w:t>
      </w:r>
    </w:p>
    <w:p w14:paraId="004975FF" w14:textId="6CAFDDDC"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However, significant barriers remain. Workforce shortages continue to undermine service delivery, with over 120,000 vacancies across the NHS (King’s Fund, 2023). Elective care backlogs and rising mental health waiting lists indicate demand is outpacing capacity. Prevention funding remains disproportionately low compared with acute care, limiting the shift towards proactive health improvement. Critically, the NHS’s net</w:t>
      </w:r>
      <w:r w:rsidRPr="00691C63">
        <w:rPr>
          <w:rFonts w:ascii="Arial" w:eastAsia="Times New Roman" w:hAnsi="Arial" w:cs="Arial"/>
          <w:kern w:val="0"/>
          <w:sz w:val="22"/>
          <w:szCs w:val="22"/>
          <w:lang w:eastAsia="en-GB"/>
          <w14:ligatures w14:val="none"/>
        </w:rPr>
        <w:noBreakHyphen/>
        <w:t>zero ambitions rely heavily on technological and estate</w:t>
      </w:r>
      <w:r w:rsidRPr="00691C63">
        <w:rPr>
          <w:rFonts w:ascii="Arial" w:eastAsia="Times New Roman" w:hAnsi="Arial" w:cs="Arial"/>
          <w:kern w:val="0"/>
          <w:sz w:val="22"/>
          <w:szCs w:val="22"/>
          <w:lang w:eastAsia="en-GB"/>
          <w14:ligatures w14:val="none"/>
        </w:rPr>
        <w:noBreakHyphen/>
        <w:t>based interventions, yet broader determinants</w:t>
      </w:r>
      <w:r w:rsidR="001D0741">
        <w:rPr>
          <w:rFonts w:ascii="Arial" w:eastAsia="Times New Roman" w:hAnsi="Arial" w:cs="Arial"/>
          <w:kern w:val="0"/>
          <w:sz w:val="22"/>
          <w:szCs w:val="22"/>
          <w:lang w:eastAsia="en-GB"/>
          <w14:ligatures w14:val="none"/>
        </w:rPr>
        <w:t xml:space="preserve"> </w:t>
      </w:r>
      <w:r w:rsidRPr="00691C63">
        <w:rPr>
          <w:rFonts w:ascii="Arial" w:eastAsia="Times New Roman" w:hAnsi="Arial" w:cs="Arial"/>
          <w:kern w:val="0"/>
          <w:sz w:val="22"/>
          <w:szCs w:val="22"/>
          <w:lang w:eastAsia="en-GB"/>
          <w14:ligatures w14:val="none"/>
        </w:rPr>
        <w:t>such as housing quality, transport systems and local authority capacity</w:t>
      </w:r>
      <w:r w:rsidR="001D0741">
        <w:rPr>
          <w:rFonts w:ascii="Arial" w:eastAsia="Times New Roman" w:hAnsi="Arial" w:cs="Arial"/>
          <w:kern w:val="0"/>
          <w:sz w:val="22"/>
          <w:szCs w:val="22"/>
          <w:lang w:eastAsia="en-GB"/>
          <w14:ligatures w14:val="none"/>
        </w:rPr>
        <w:t xml:space="preserve"> </w:t>
      </w:r>
      <w:r w:rsidRPr="00691C63">
        <w:rPr>
          <w:rFonts w:ascii="Arial" w:eastAsia="Times New Roman" w:hAnsi="Arial" w:cs="Arial"/>
          <w:kern w:val="0"/>
          <w:sz w:val="22"/>
          <w:szCs w:val="22"/>
          <w:lang w:eastAsia="en-GB"/>
          <w14:ligatures w14:val="none"/>
        </w:rPr>
        <w:t>lie outside NHS control. This limits the system’s ability to fully address climate</w:t>
      </w:r>
      <w:r w:rsidRPr="00691C63">
        <w:rPr>
          <w:rFonts w:ascii="Arial" w:eastAsia="Times New Roman" w:hAnsi="Arial" w:cs="Arial"/>
          <w:kern w:val="0"/>
          <w:sz w:val="22"/>
          <w:szCs w:val="22"/>
          <w:lang w:eastAsia="en-GB"/>
          <w14:ligatures w14:val="none"/>
        </w:rPr>
        <w:noBreakHyphen/>
        <w:t>related health risks.</w:t>
      </w:r>
    </w:p>
    <w:p w14:paraId="1D406964" w14:textId="77777777" w:rsidR="007B14C9" w:rsidRDefault="007B14C9" w:rsidP="00691C6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91C63">
        <w:rPr>
          <w:rFonts w:ascii="Arial" w:eastAsia="Times New Roman" w:hAnsi="Arial" w:cs="Arial"/>
          <w:b/>
          <w:bCs/>
          <w:kern w:val="0"/>
          <w:sz w:val="28"/>
          <w:szCs w:val="28"/>
          <w:lang w:eastAsia="en-GB"/>
          <w14:ligatures w14:val="none"/>
        </w:rPr>
        <w:t>UK Clean Air Strategy</w:t>
      </w:r>
    </w:p>
    <w:p w14:paraId="793B1A75" w14:textId="77777777" w:rsidR="00E12038" w:rsidRPr="00E12038" w:rsidRDefault="00E12038" w:rsidP="00E12038">
      <w:pPr>
        <w:pStyle w:val="NormalWeb"/>
        <w:spacing w:line="360" w:lineRule="auto"/>
        <w:rPr>
          <w:rFonts w:ascii="Arial" w:hAnsi="Arial" w:cs="Arial"/>
          <w:sz w:val="22"/>
          <w:szCs w:val="22"/>
        </w:rPr>
      </w:pPr>
      <w:r w:rsidRPr="00E12038">
        <w:rPr>
          <w:rFonts w:ascii="Arial" w:hAnsi="Arial" w:cs="Arial"/>
          <w:sz w:val="22"/>
          <w:szCs w:val="22"/>
        </w:rPr>
        <w:t>The UK Clean Air Strategy aims to reduce air pollution through stricter emissions controls, industrial regulation and transport reform. London has achieved a 46% reduction in NO</w:t>
      </w:r>
      <w:r w:rsidRPr="00E12038">
        <w:rPr>
          <w:rFonts w:ascii="Cambria Math" w:hAnsi="Cambria Math" w:cs="Cambria Math"/>
          <w:sz w:val="22"/>
          <w:szCs w:val="22"/>
        </w:rPr>
        <w:t>₂</w:t>
      </w:r>
      <w:r w:rsidRPr="00E12038">
        <w:rPr>
          <w:rFonts w:ascii="Arial" w:hAnsi="Arial" w:cs="Arial"/>
          <w:sz w:val="22"/>
          <w:szCs w:val="22"/>
        </w:rPr>
        <w:t xml:space="preserve"> since 2016 due to the Ultra Low Emission Zone (Mayor of London, 2024). Clean Air Zones in Birmingham, Bristol and Bath have also reduced traffic</w:t>
      </w:r>
      <w:r w:rsidRPr="00E12038">
        <w:rPr>
          <w:rFonts w:ascii="Arial" w:hAnsi="Arial" w:cs="Arial"/>
          <w:sz w:val="22"/>
          <w:szCs w:val="22"/>
        </w:rPr>
        <w:noBreakHyphen/>
        <w:t>related pollution, and national campaigns have increased public awareness of air quality risks (UKHSA, 2023). These improvements demonstrate that targeted, place</w:t>
      </w:r>
      <w:r w:rsidRPr="00E12038">
        <w:rPr>
          <w:rFonts w:ascii="Arial" w:hAnsi="Arial" w:cs="Arial"/>
          <w:sz w:val="22"/>
          <w:szCs w:val="22"/>
        </w:rPr>
        <w:noBreakHyphen/>
        <w:t>based interventions can deliver measurable environmental and health benefits when supported by strong political leadership and clear regulatory frameworks.</w:t>
      </w:r>
    </w:p>
    <w:p w14:paraId="6B730199" w14:textId="6603784C" w:rsidR="00E12038" w:rsidRPr="00E12038" w:rsidRDefault="00E12038" w:rsidP="00E12038">
      <w:pPr>
        <w:pStyle w:val="NormalWeb"/>
        <w:spacing w:line="360" w:lineRule="auto"/>
        <w:rPr>
          <w:rFonts w:ascii="Arial" w:hAnsi="Arial" w:cs="Arial"/>
          <w:sz w:val="22"/>
          <w:szCs w:val="22"/>
        </w:rPr>
      </w:pPr>
      <w:r w:rsidRPr="00E12038">
        <w:rPr>
          <w:rFonts w:ascii="Arial" w:hAnsi="Arial" w:cs="Arial"/>
          <w:sz w:val="22"/>
          <w:szCs w:val="22"/>
        </w:rPr>
        <w:t>However, PM2.5 levels continue to exceed WHO limits (DEFRA, 2024), posing significant risks to respiratory and cardiovascular health. Local authorities lack stable funding to enforce regulations, and transport emissions remain high, particularly from private vehicles (Climate Change Committee, 2024). Industrial emissions also remain a major contributor to poor air quality, highlighting the need for stronger regulation and enforcement. A critical weakness is the strategy’s reliance on local authorities to deliver major environmental improvements without providing long</w:t>
      </w:r>
      <w:r w:rsidRPr="00E12038">
        <w:rPr>
          <w:rFonts w:ascii="Arial" w:hAnsi="Arial" w:cs="Arial"/>
          <w:sz w:val="22"/>
          <w:szCs w:val="22"/>
        </w:rPr>
        <w:noBreakHyphen/>
        <w:t>term funding or legislative power. This creates a structural mismatch between national ambition and local capacity, resulting in uneven progress across regions. Furthermore, deprived communities</w:t>
      </w:r>
      <w:r>
        <w:rPr>
          <w:rFonts w:ascii="Arial" w:hAnsi="Arial" w:cs="Arial"/>
          <w:sz w:val="22"/>
          <w:szCs w:val="22"/>
        </w:rPr>
        <w:t xml:space="preserve"> </w:t>
      </w:r>
      <w:r w:rsidRPr="00E12038">
        <w:rPr>
          <w:rFonts w:ascii="Arial" w:hAnsi="Arial" w:cs="Arial"/>
          <w:sz w:val="22"/>
          <w:szCs w:val="22"/>
        </w:rPr>
        <w:t>often located near busy roads or industrial sites</w:t>
      </w:r>
      <w:r>
        <w:rPr>
          <w:rFonts w:ascii="Arial" w:hAnsi="Arial" w:cs="Arial"/>
          <w:sz w:val="22"/>
          <w:szCs w:val="22"/>
        </w:rPr>
        <w:t xml:space="preserve"> </w:t>
      </w:r>
      <w:r w:rsidRPr="00E12038">
        <w:rPr>
          <w:rFonts w:ascii="Arial" w:hAnsi="Arial" w:cs="Arial"/>
          <w:sz w:val="22"/>
          <w:szCs w:val="22"/>
        </w:rPr>
        <w:t>continue to experience disproportionately high exposure to pollutants, reinforcing existing health inequalities (Marmot Review, 2020). Without sustained investment, stronger national oversight and targeted support for high</w:t>
      </w:r>
      <w:r w:rsidRPr="00E12038">
        <w:rPr>
          <w:rFonts w:ascii="Arial" w:hAnsi="Arial" w:cs="Arial"/>
          <w:sz w:val="22"/>
          <w:szCs w:val="22"/>
        </w:rPr>
        <w:noBreakHyphen/>
        <w:t>risk areas, the Clean Air Strategy risks widening geographical disparities in environmental health.</w:t>
      </w:r>
    </w:p>
    <w:p w14:paraId="1751ADAD" w14:textId="2E2AF97E" w:rsidR="007B14C9" w:rsidRPr="00691C63" w:rsidRDefault="007B14C9" w:rsidP="00691C6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691C63">
        <w:rPr>
          <w:rFonts w:ascii="Arial" w:eastAsia="Times New Roman" w:hAnsi="Arial" w:cs="Arial"/>
          <w:b/>
          <w:bCs/>
          <w:kern w:val="0"/>
          <w:sz w:val="28"/>
          <w:szCs w:val="28"/>
          <w:lang w:eastAsia="en-GB"/>
          <w14:ligatures w14:val="none"/>
        </w:rPr>
        <w:t>Local Initiatives Supporting SDG 3 and SDG 13</w:t>
      </w:r>
    </w:p>
    <w:p w14:paraId="33807DF8" w14:textId="77777777" w:rsidR="007B14C9" w:rsidRDefault="007B14C9"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691C63">
        <w:rPr>
          <w:rFonts w:ascii="Arial" w:eastAsia="Times New Roman" w:hAnsi="Arial" w:cs="Arial"/>
          <w:b/>
          <w:bCs/>
          <w:kern w:val="0"/>
          <w:sz w:val="22"/>
          <w:szCs w:val="22"/>
          <w:lang w:eastAsia="en-GB"/>
          <w14:ligatures w14:val="none"/>
        </w:rPr>
        <w:t>Healthy London Partnership (HLP)</w:t>
      </w:r>
    </w:p>
    <w:p w14:paraId="2B74935C" w14:textId="3DA2C80E" w:rsidR="00BE4D5A" w:rsidRPr="00691C63" w:rsidRDefault="00BE4D5A"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t>The Healthy London Partnership delivers integrated programmes addressing mental health, homelessness, children’s wellbeing and digital access. Its homelessness programme supports 20,000 people annually, reducing emergency admissions (Healthy London Partnership, 2024). Children’s obesity initiatives have achieved 4–6% reductions in participating boroughs, outperforming national trends (Public Health England, 2023). Cross</w:t>
      </w:r>
      <w:r>
        <w:noBreakHyphen/>
        <w:t>sector collaboration strengthens integration compared with more fragmented provision elsewhere (Health Foundation, 2024). However, delivery varies between boroughs due to funding and staffing differences. One in five Londoners lack reliable digital access, limiting engagement with online health services (Ofcom, 2024). Short</w:t>
      </w:r>
      <w:r>
        <w:noBreakHyphen/>
        <w:t>term funding cycles undermine sustainability compared with national initiatives such as the NHS Long Term Plan. Critically, HLP’s successes highlight the importance of localised, community</w:t>
      </w:r>
      <w:r>
        <w:noBreakHyphen/>
        <w:t>driven approaches, yet these approaches remain vulnerable to political changes, inconsistent investment and widening inequalities between boroughs with differing levels of capacity and infrastructure (Health Foundation, 2024). This raises concerns about long</w:t>
      </w:r>
      <w:r>
        <w:noBreakHyphen/>
        <w:t>term equity, as areas with weaker resources risk falling further behind despite the partnership’s achievements.</w:t>
      </w:r>
    </w:p>
    <w:p w14:paraId="4069F186" w14:textId="77777777" w:rsidR="001955DD" w:rsidRDefault="001955DD"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65CDECA" w14:textId="46BFA000" w:rsidR="007B14C9" w:rsidRDefault="007B14C9"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691C63">
        <w:rPr>
          <w:rFonts w:ascii="Arial" w:eastAsia="Times New Roman" w:hAnsi="Arial" w:cs="Arial"/>
          <w:b/>
          <w:bCs/>
          <w:kern w:val="0"/>
          <w:sz w:val="22"/>
          <w:szCs w:val="22"/>
          <w:lang w:eastAsia="en-GB"/>
          <w14:ligatures w14:val="none"/>
        </w:rPr>
        <w:t>Hackney Climate Action Plan</w:t>
      </w:r>
    </w:p>
    <w:p w14:paraId="44DC9A3A" w14:textId="34EBD132" w:rsidR="00B42D31" w:rsidRPr="00691C63" w:rsidRDefault="00B42D31" w:rsidP="00691C6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t>Hackney has achieved a 40% reduction in transport emissions through low</w:t>
      </w:r>
      <w:r>
        <w:noBreakHyphen/>
        <w:t>traffic neighbourhoods and expanded cycling infrastructure (Hackney Council, 2024). Energy</w:t>
      </w:r>
      <w:r>
        <w:noBreakHyphen/>
        <w:t>efficiency upgrades in social housing have reduced fuel poverty and improved indoor air quality, outperforming national retrofit schemes (BEIS, 2023). Green</w:t>
      </w:r>
      <w:r>
        <w:noBreakHyphen/>
        <w:t>space expansion has enhanced biodiversity and supported mental wellbeing (Public Health England, 2023). However, public resistance to transport changes remains a challenge, reflecting national debates around accessibility, traffic displacement and perceived impacts on local businesses (Transport for London, 2024). Funding limitations restrict large</w:t>
      </w:r>
      <w:r>
        <w:noBreakHyphen/>
        <w:t>scale upgrades, and private</w:t>
      </w:r>
      <w:r>
        <w:noBreakHyphen/>
        <w:t>sector retrofits lag behind social housing, widening inequalities (Climate Change Committee, 2024). Critically, Hackney’s progress demonstrates what is possible when local authorities have political commitment and strong community engagement, yet it also exposes how national underfunding and uneven local capacity create geographical disparities in climate resilience. Boroughs with fewer resources struggle to replicate Hackney’s achievements, reinforcing a pattern where environmental and health benefits accumulate in already proactive areas while more deprived communities fall further behind. This highlights the need for sustained national investment and consistent policy support to ensure local climate action delivers equitable outcomes across London.</w:t>
      </w:r>
    </w:p>
    <w:p w14:paraId="6DA4AEB5" w14:textId="77777777" w:rsidR="007B14C9" w:rsidRPr="00691C63" w:rsidRDefault="007B14C9" w:rsidP="00691C63">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91C63">
        <w:rPr>
          <w:rFonts w:ascii="Arial" w:eastAsia="Times New Roman" w:hAnsi="Arial" w:cs="Arial"/>
          <w:b/>
          <w:bCs/>
          <w:kern w:val="0"/>
          <w:sz w:val="22"/>
          <w:szCs w:val="22"/>
          <w:lang w:eastAsia="en-GB"/>
          <w14:ligatures w14:val="none"/>
        </w:rPr>
        <w:t>Conclusion</w:t>
      </w:r>
    </w:p>
    <w:p w14:paraId="61CF3FED"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National and local initiatives have delivered meaningful progress towards SDG 3 and SDG 13, improving health outcomes, reducing inequalities and strengthening climate resilience. National strategies such as the NHS Long Term Plan and the UK Clean Air Strategy have contributed to increased mental health investment, reduced air pollution and expanded prevention programmes (NHS England, 2024; DEFRA, 2024). Local initiatives, including the Healthy London Partnership and Hackney’s Climate Action Plan, often achieve more targeted improvements due to their ability to respond directly to community needs (Healthy London Partnership, 2024; Hackney Council, 2024).</w:t>
      </w:r>
    </w:p>
    <w:p w14:paraId="66D44FC5"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However, structural barriers remain significant. Local authorities face inconsistent funding, digital exclusion and public resistance to environmental measures, while national policies struggle to maintain momentum in areas such as PM2.5 reduction, housing retrofits and transport emissions (Climate Change Committee, 2024; Ofcom, 2024). These challenges highlight a gap between policy ambition and practical delivery. Without stronger cross</w:t>
      </w:r>
      <w:r w:rsidRPr="00691C63">
        <w:rPr>
          <w:rFonts w:ascii="Arial" w:eastAsia="Times New Roman" w:hAnsi="Arial" w:cs="Arial"/>
          <w:kern w:val="0"/>
          <w:sz w:val="22"/>
          <w:szCs w:val="22"/>
          <w:lang w:eastAsia="en-GB"/>
          <w14:ligatures w14:val="none"/>
        </w:rPr>
        <w:noBreakHyphen/>
        <w:t>sector collaboration, sustained investment in prevention and climate adaptation, and targeted action to reduce inequalities, progress towards SDG 3 and SDG 13 will remain uneven, particularly for deprived communities experiencing the greatest health and environmental risks (Health Foundation, 2024).</w:t>
      </w:r>
    </w:p>
    <w:p w14:paraId="7A052F40" w14:textId="77777777" w:rsidR="007B14C9" w:rsidRPr="00691C63" w:rsidRDefault="007B14C9" w:rsidP="00691C63">
      <w:pPr>
        <w:spacing w:before="100" w:beforeAutospacing="1" w:after="100" w:afterAutospacing="1" w:line="360" w:lineRule="auto"/>
        <w:rPr>
          <w:rFonts w:ascii="Arial" w:eastAsia="Times New Roman" w:hAnsi="Arial" w:cs="Arial"/>
          <w:kern w:val="0"/>
          <w:sz w:val="22"/>
          <w:szCs w:val="22"/>
          <w:lang w:eastAsia="en-GB"/>
          <w14:ligatures w14:val="none"/>
        </w:rPr>
      </w:pPr>
      <w:r w:rsidRPr="00691C63">
        <w:rPr>
          <w:rFonts w:ascii="Arial" w:eastAsia="Times New Roman" w:hAnsi="Arial" w:cs="Arial"/>
          <w:kern w:val="0"/>
          <w:sz w:val="22"/>
          <w:szCs w:val="22"/>
          <w:lang w:eastAsia="en-GB"/>
          <w14:ligatures w14:val="none"/>
        </w:rPr>
        <w:t>A more integrated approach is essential. Aligning national policy direction with local delivery capacity, strengthening community engagement and ensuring long</w:t>
      </w:r>
      <w:r w:rsidRPr="00691C63">
        <w:rPr>
          <w:rFonts w:ascii="Arial" w:eastAsia="Times New Roman" w:hAnsi="Arial" w:cs="Arial"/>
          <w:kern w:val="0"/>
          <w:sz w:val="22"/>
          <w:szCs w:val="22"/>
          <w:lang w:eastAsia="en-GB"/>
          <w14:ligatures w14:val="none"/>
        </w:rPr>
        <w:noBreakHyphen/>
        <w:t>term funding stability would create the conditions needed for meaningful, equitable and sustainable wellbeing improvements. Achieving the SDGs will depend not only on expanding successful initiatives, but on addressing the systemic barriers that currently limit their reach and impact.</w:t>
      </w:r>
    </w:p>
    <w:p w14:paraId="514C2B09" w14:textId="77777777" w:rsidR="00D05B42" w:rsidRDefault="00D05B42" w:rsidP="00691C63">
      <w:pPr>
        <w:spacing w:line="360" w:lineRule="auto"/>
        <w:rPr>
          <w:rFonts w:ascii="Arial" w:hAnsi="Arial" w:cs="Arial"/>
          <w:b/>
          <w:bCs/>
          <w:sz w:val="28"/>
          <w:szCs w:val="28"/>
        </w:rPr>
      </w:pPr>
    </w:p>
    <w:p w14:paraId="33F02476" w14:textId="77777777" w:rsidR="00D05B42" w:rsidRDefault="00D05B42" w:rsidP="00691C63">
      <w:pPr>
        <w:spacing w:line="360" w:lineRule="auto"/>
        <w:rPr>
          <w:rFonts w:ascii="Arial" w:hAnsi="Arial" w:cs="Arial"/>
          <w:b/>
          <w:bCs/>
          <w:sz w:val="28"/>
          <w:szCs w:val="28"/>
        </w:rPr>
      </w:pPr>
    </w:p>
    <w:p w14:paraId="695C36C5" w14:textId="77777777" w:rsidR="00D05B42" w:rsidRDefault="00D05B42" w:rsidP="00691C63">
      <w:pPr>
        <w:spacing w:line="360" w:lineRule="auto"/>
        <w:rPr>
          <w:rFonts w:ascii="Arial" w:hAnsi="Arial" w:cs="Arial"/>
          <w:b/>
          <w:bCs/>
          <w:sz w:val="28"/>
          <w:szCs w:val="28"/>
        </w:rPr>
      </w:pPr>
    </w:p>
    <w:p w14:paraId="60DE4B64" w14:textId="77777777" w:rsidR="00D05B42" w:rsidRDefault="00D05B42" w:rsidP="00691C63">
      <w:pPr>
        <w:spacing w:line="360" w:lineRule="auto"/>
        <w:rPr>
          <w:rFonts w:ascii="Arial" w:hAnsi="Arial" w:cs="Arial"/>
          <w:b/>
          <w:bCs/>
          <w:sz w:val="28"/>
          <w:szCs w:val="28"/>
        </w:rPr>
      </w:pPr>
    </w:p>
    <w:p w14:paraId="3A73BAE9" w14:textId="77777777" w:rsidR="00D05B42" w:rsidRDefault="00D05B42" w:rsidP="00691C63">
      <w:pPr>
        <w:spacing w:line="360" w:lineRule="auto"/>
        <w:rPr>
          <w:rFonts w:ascii="Arial" w:hAnsi="Arial" w:cs="Arial"/>
          <w:b/>
          <w:bCs/>
          <w:sz w:val="28"/>
          <w:szCs w:val="28"/>
        </w:rPr>
      </w:pPr>
    </w:p>
    <w:p w14:paraId="2B877E54" w14:textId="77777777" w:rsidR="00D05B42" w:rsidRDefault="00D05B42" w:rsidP="00691C63">
      <w:pPr>
        <w:spacing w:line="360" w:lineRule="auto"/>
        <w:rPr>
          <w:rFonts w:ascii="Arial" w:hAnsi="Arial" w:cs="Arial"/>
          <w:b/>
          <w:bCs/>
          <w:sz w:val="28"/>
          <w:szCs w:val="28"/>
        </w:rPr>
      </w:pPr>
    </w:p>
    <w:p w14:paraId="6D1BC3DF" w14:textId="77777777" w:rsidR="00D05B42" w:rsidRDefault="00D05B42" w:rsidP="00691C63">
      <w:pPr>
        <w:spacing w:line="360" w:lineRule="auto"/>
        <w:rPr>
          <w:rFonts w:ascii="Arial" w:hAnsi="Arial" w:cs="Arial"/>
          <w:b/>
          <w:bCs/>
          <w:sz w:val="28"/>
          <w:szCs w:val="28"/>
        </w:rPr>
      </w:pPr>
    </w:p>
    <w:p w14:paraId="047D5668" w14:textId="77777777" w:rsidR="00D05B42" w:rsidRDefault="00D05B42" w:rsidP="00691C63">
      <w:pPr>
        <w:spacing w:line="360" w:lineRule="auto"/>
        <w:rPr>
          <w:rFonts w:ascii="Arial" w:hAnsi="Arial" w:cs="Arial"/>
          <w:b/>
          <w:bCs/>
          <w:sz w:val="28"/>
          <w:szCs w:val="28"/>
        </w:rPr>
      </w:pPr>
    </w:p>
    <w:p w14:paraId="5E5C34B1" w14:textId="77777777" w:rsidR="00D05B42" w:rsidRDefault="00D05B42" w:rsidP="00691C63">
      <w:pPr>
        <w:spacing w:line="360" w:lineRule="auto"/>
        <w:rPr>
          <w:rFonts w:ascii="Arial" w:hAnsi="Arial" w:cs="Arial"/>
          <w:b/>
          <w:bCs/>
          <w:sz w:val="28"/>
          <w:szCs w:val="28"/>
        </w:rPr>
      </w:pPr>
    </w:p>
    <w:p w14:paraId="4914E076" w14:textId="77777777" w:rsidR="00D05B42" w:rsidRDefault="00D05B42" w:rsidP="00691C63">
      <w:pPr>
        <w:spacing w:line="360" w:lineRule="auto"/>
        <w:rPr>
          <w:rFonts w:ascii="Arial" w:hAnsi="Arial" w:cs="Arial"/>
          <w:b/>
          <w:bCs/>
          <w:sz w:val="28"/>
          <w:szCs w:val="28"/>
        </w:rPr>
      </w:pPr>
    </w:p>
    <w:p w14:paraId="6767229B" w14:textId="77777777" w:rsidR="00D05B42" w:rsidRDefault="00D05B42" w:rsidP="00691C63">
      <w:pPr>
        <w:spacing w:line="360" w:lineRule="auto"/>
        <w:rPr>
          <w:rFonts w:ascii="Arial" w:hAnsi="Arial" w:cs="Arial"/>
          <w:b/>
          <w:bCs/>
          <w:sz w:val="28"/>
          <w:szCs w:val="28"/>
        </w:rPr>
      </w:pPr>
    </w:p>
    <w:p w14:paraId="07C2F0BE" w14:textId="77777777" w:rsidR="00D05B42" w:rsidRDefault="00D05B42" w:rsidP="00691C63">
      <w:pPr>
        <w:spacing w:line="360" w:lineRule="auto"/>
        <w:rPr>
          <w:rFonts w:ascii="Arial" w:hAnsi="Arial" w:cs="Arial"/>
          <w:b/>
          <w:bCs/>
          <w:sz w:val="28"/>
          <w:szCs w:val="28"/>
        </w:rPr>
      </w:pPr>
    </w:p>
    <w:p w14:paraId="29BBA216" w14:textId="77777777" w:rsidR="00D05B42" w:rsidRDefault="00D05B42" w:rsidP="00691C63">
      <w:pPr>
        <w:spacing w:line="360" w:lineRule="auto"/>
        <w:rPr>
          <w:rFonts w:ascii="Arial" w:hAnsi="Arial" w:cs="Arial"/>
          <w:b/>
          <w:bCs/>
          <w:sz w:val="28"/>
          <w:szCs w:val="28"/>
        </w:rPr>
      </w:pPr>
    </w:p>
    <w:p w14:paraId="7C3579EA" w14:textId="77777777" w:rsidR="00D05B42" w:rsidRDefault="00D05B42" w:rsidP="00691C63">
      <w:pPr>
        <w:spacing w:line="360" w:lineRule="auto"/>
        <w:rPr>
          <w:rFonts w:ascii="Arial" w:hAnsi="Arial" w:cs="Arial"/>
          <w:b/>
          <w:bCs/>
          <w:sz w:val="28"/>
          <w:szCs w:val="28"/>
        </w:rPr>
      </w:pPr>
    </w:p>
    <w:p w14:paraId="6259FA48" w14:textId="77777777" w:rsidR="00D05B42" w:rsidRDefault="00D05B42" w:rsidP="00691C63">
      <w:pPr>
        <w:spacing w:line="360" w:lineRule="auto"/>
        <w:rPr>
          <w:rFonts w:ascii="Arial" w:hAnsi="Arial" w:cs="Arial"/>
          <w:b/>
          <w:bCs/>
          <w:sz w:val="28"/>
          <w:szCs w:val="28"/>
        </w:rPr>
      </w:pPr>
    </w:p>
    <w:p w14:paraId="22325DCD" w14:textId="77777777" w:rsidR="00D05B42" w:rsidRDefault="00D05B42" w:rsidP="00691C63">
      <w:pPr>
        <w:spacing w:line="360" w:lineRule="auto"/>
        <w:rPr>
          <w:rFonts w:ascii="Arial" w:hAnsi="Arial" w:cs="Arial"/>
          <w:b/>
          <w:bCs/>
          <w:sz w:val="28"/>
          <w:szCs w:val="28"/>
        </w:rPr>
      </w:pPr>
    </w:p>
    <w:p w14:paraId="0E89FD2A" w14:textId="30E37CAA" w:rsidR="00AD3C4F" w:rsidRDefault="00D05B42" w:rsidP="00691C63">
      <w:pPr>
        <w:spacing w:line="360" w:lineRule="auto"/>
        <w:rPr>
          <w:rFonts w:ascii="Arial" w:hAnsi="Arial" w:cs="Arial"/>
          <w:b/>
          <w:bCs/>
          <w:sz w:val="28"/>
          <w:szCs w:val="28"/>
        </w:rPr>
      </w:pPr>
      <w:r w:rsidRPr="00D05B42">
        <w:rPr>
          <w:rFonts w:ascii="Arial" w:hAnsi="Arial" w:cs="Arial"/>
          <w:b/>
          <w:bCs/>
          <w:sz w:val="28"/>
          <w:szCs w:val="28"/>
        </w:rPr>
        <w:t>Reference</w:t>
      </w:r>
    </w:p>
    <w:p w14:paraId="764E2AA0"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BEIS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Energy Efficiency in UK Housing: Annual Report</w:t>
      </w:r>
      <w:r w:rsidRPr="00D05B42">
        <w:rPr>
          <w:rFonts w:ascii="Arial" w:eastAsia="Times New Roman" w:hAnsi="Arial" w:cs="Arial"/>
          <w:kern w:val="0"/>
          <w:sz w:val="22"/>
          <w:szCs w:val="22"/>
          <w:lang w:eastAsia="en-GB"/>
          <w14:ligatures w14:val="none"/>
        </w:rPr>
        <w:t xml:space="preserve">. Department for Business, Energy &amp; Industrial Strategy. Available at: https://www.gov.uk/beis-energy-efficiency </w:t>
      </w:r>
      <w:hyperlink r:id="rId10" w:tgtFrame="_blank" w:tooltip="www.bing.com" w:history="1">
        <w:r w:rsidRPr="00D05B42">
          <w:rPr>
            <w:rFonts w:ascii="Arial" w:eastAsia="Times New Roman" w:hAnsi="Arial" w:cs="Arial"/>
            <w:color w:val="0000FF"/>
            <w:kern w:val="0"/>
            <w:sz w:val="22"/>
            <w:szCs w:val="22"/>
            <w:u w:val="single"/>
            <w:lang w:eastAsia="en-GB"/>
            <w14:ligatures w14:val="none"/>
          </w:rPr>
          <w:t>(gov.uk in Bing)</w:t>
        </w:r>
      </w:hyperlink>
      <w:r w:rsidRPr="00D05B42">
        <w:rPr>
          <w:rFonts w:ascii="Arial" w:eastAsia="Times New Roman" w:hAnsi="Arial" w:cs="Arial"/>
          <w:kern w:val="0"/>
          <w:sz w:val="22"/>
          <w:szCs w:val="22"/>
          <w:lang w:eastAsia="en-GB"/>
          <w14:ligatures w14:val="none"/>
        </w:rPr>
        <w:t xml:space="preserve"> (Accessed: 14 July 2026).</w:t>
      </w:r>
    </w:p>
    <w:p w14:paraId="2FC6368F"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Climate Change Committee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Progress Report to Parliament</w:t>
      </w:r>
      <w:r w:rsidRPr="00D05B42">
        <w:rPr>
          <w:rFonts w:ascii="Arial" w:eastAsia="Times New Roman" w:hAnsi="Arial" w:cs="Arial"/>
          <w:kern w:val="0"/>
          <w:sz w:val="22"/>
          <w:szCs w:val="22"/>
          <w:lang w:eastAsia="en-GB"/>
          <w14:ligatures w14:val="none"/>
        </w:rPr>
        <w:t xml:space="preserve">. Available at: https://www.theccc.org.uk/publications </w:t>
      </w:r>
      <w:hyperlink r:id="rId11" w:tgtFrame="_blank" w:tooltip="www.bing.com" w:history="1">
        <w:r w:rsidRPr="00D05B42">
          <w:rPr>
            <w:rFonts w:ascii="Arial" w:eastAsia="Times New Roman" w:hAnsi="Arial" w:cs="Arial"/>
            <w:color w:val="0000FF"/>
            <w:kern w:val="0"/>
            <w:sz w:val="22"/>
            <w:szCs w:val="22"/>
            <w:u w:val="single"/>
            <w:lang w:eastAsia="en-GB"/>
            <w14:ligatures w14:val="none"/>
          </w:rPr>
          <w:t>(theccc.org.uk in Bing)</w:t>
        </w:r>
      </w:hyperlink>
      <w:r w:rsidRPr="00D05B42">
        <w:rPr>
          <w:rFonts w:ascii="Arial" w:eastAsia="Times New Roman" w:hAnsi="Arial" w:cs="Arial"/>
          <w:kern w:val="0"/>
          <w:sz w:val="22"/>
          <w:szCs w:val="22"/>
          <w:lang w:eastAsia="en-GB"/>
          <w14:ligatures w14:val="none"/>
        </w:rPr>
        <w:t xml:space="preserve"> (Accessed: 18 July 2026).</w:t>
      </w:r>
    </w:p>
    <w:p w14:paraId="6227DE4B"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DEFRA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Air Quality Statistics in the UK: 2024 Update</w:t>
      </w:r>
      <w:r w:rsidRPr="00D05B42">
        <w:rPr>
          <w:rFonts w:ascii="Arial" w:eastAsia="Times New Roman" w:hAnsi="Arial" w:cs="Arial"/>
          <w:kern w:val="0"/>
          <w:sz w:val="22"/>
          <w:szCs w:val="22"/>
          <w:lang w:eastAsia="en-GB"/>
          <w14:ligatures w14:val="none"/>
        </w:rPr>
        <w:t xml:space="preserve">. Department for Environment, Food &amp; Rural Affairs. Available at: https://www.gov.uk/defra-air-quality </w:t>
      </w:r>
      <w:hyperlink r:id="rId12" w:tgtFrame="_blank" w:tooltip="www.bing.com" w:history="1">
        <w:r w:rsidRPr="00D05B42">
          <w:rPr>
            <w:rFonts w:ascii="Arial" w:eastAsia="Times New Roman" w:hAnsi="Arial" w:cs="Arial"/>
            <w:color w:val="0000FF"/>
            <w:kern w:val="0"/>
            <w:sz w:val="22"/>
            <w:szCs w:val="22"/>
            <w:u w:val="single"/>
            <w:lang w:eastAsia="en-GB"/>
            <w14:ligatures w14:val="none"/>
          </w:rPr>
          <w:t>(gov.uk in Bing)</w:t>
        </w:r>
      </w:hyperlink>
      <w:r w:rsidRPr="00D05B42">
        <w:rPr>
          <w:rFonts w:ascii="Arial" w:eastAsia="Times New Roman" w:hAnsi="Arial" w:cs="Arial"/>
          <w:kern w:val="0"/>
          <w:sz w:val="22"/>
          <w:szCs w:val="22"/>
          <w:lang w:eastAsia="en-GB"/>
          <w14:ligatures w14:val="none"/>
        </w:rPr>
        <w:t xml:space="preserve"> (Accessed: 22 July 2026).</w:t>
      </w:r>
    </w:p>
    <w:p w14:paraId="2E87D4FD"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FAO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Global Food Price Monitoring Report</w:t>
      </w:r>
      <w:r w:rsidRPr="00D05B42">
        <w:rPr>
          <w:rFonts w:ascii="Arial" w:eastAsia="Times New Roman" w:hAnsi="Arial" w:cs="Arial"/>
          <w:kern w:val="0"/>
          <w:sz w:val="22"/>
          <w:szCs w:val="22"/>
          <w:lang w:eastAsia="en-GB"/>
          <w14:ligatures w14:val="none"/>
        </w:rPr>
        <w:t xml:space="preserve">. Food and Agriculture Organization of the United Nations. Available at: https://www.fao.org/food-prices </w:t>
      </w:r>
      <w:hyperlink r:id="rId13" w:tgtFrame="_blank" w:tooltip="www.bing.com" w:history="1">
        <w:r w:rsidRPr="00D05B42">
          <w:rPr>
            <w:rFonts w:ascii="Arial" w:eastAsia="Times New Roman" w:hAnsi="Arial" w:cs="Arial"/>
            <w:color w:val="0000FF"/>
            <w:kern w:val="0"/>
            <w:sz w:val="22"/>
            <w:szCs w:val="22"/>
            <w:u w:val="single"/>
            <w:lang w:eastAsia="en-GB"/>
            <w14:ligatures w14:val="none"/>
          </w:rPr>
          <w:t>(fao.org in Bing)</w:t>
        </w:r>
      </w:hyperlink>
      <w:r w:rsidRPr="00D05B42">
        <w:rPr>
          <w:rFonts w:ascii="Arial" w:eastAsia="Times New Roman" w:hAnsi="Arial" w:cs="Arial"/>
          <w:kern w:val="0"/>
          <w:sz w:val="22"/>
          <w:szCs w:val="22"/>
          <w:lang w:eastAsia="en-GB"/>
          <w14:ligatures w14:val="none"/>
        </w:rPr>
        <w:t xml:space="preserve"> (Accessed: 11 July 2026).</w:t>
      </w:r>
    </w:p>
    <w:p w14:paraId="2C02BD69"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Hackney Council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Hackney Climate Action Plan</w:t>
      </w:r>
      <w:r w:rsidRPr="00D05B42">
        <w:rPr>
          <w:rFonts w:ascii="Arial" w:eastAsia="Times New Roman" w:hAnsi="Arial" w:cs="Arial"/>
          <w:kern w:val="0"/>
          <w:sz w:val="22"/>
          <w:szCs w:val="22"/>
          <w:lang w:eastAsia="en-GB"/>
          <w14:ligatures w14:val="none"/>
        </w:rPr>
        <w:t xml:space="preserve">. Available at: https://www.hackney.gov.uk/climate-action </w:t>
      </w:r>
      <w:hyperlink r:id="rId14" w:tgtFrame="_blank" w:tooltip="www.bing.com" w:history="1">
        <w:r w:rsidRPr="00D05B42">
          <w:rPr>
            <w:rFonts w:ascii="Arial" w:eastAsia="Times New Roman" w:hAnsi="Arial" w:cs="Arial"/>
            <w:color w:val="0000FF"/>
            <w:kern w:val="0"/>
            <w:sz w:val="22"/>
            <w:szCs w:val="22"/>
            <w:u w:val="single"/>
            <w:lang w:eastAsia="en-GB"/>
            <w14:ligatures w14:val="none"/>
          </w:rPr>
          <w:t>(hackney.gov.uk in Bing)</w:t>
        </w:r>
      </w:hyperlink>
      <w:r w:rsidRPr="00D05B42">
        <w:rPr>
          <w:rFonts w:ascii="Arial" w:eastAsia="Times New Roman" w:hAnsi="Arial" w:cs="Arial"/>
          <w:kern w:val="0"/>
          <w:sz w:val="22"/>
          <w:szCs w:val="22"/>
          <w:lang w:eastAsia="en-GB"/>
          <w14:ligatures w14:val="none"/>
        </w:rPr>
        <w:t xml:space="preserve"> (Accessed: 19 July 2026).</w:t>
      </w:r>
    </w:p>
    <w:p w14:paraId="00293446"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Health Foundation (2020)</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The Social Determinants of Health: Policy Analysis</w:t>
      </w:r>
      <w:r w:rsidRPr="00D05B42">
        <w:rPr>
          <w:rFonts w:ascii="Arial" w:eastAsia="Times New Roman" w:hAnsi="Arial" w:cs="Arial"/>
          <w:kern w:val="0"/>
          <w:sz w:val="22"/>
          <w:szCs w:val="22"/>
          <w:lang w:eastAsia="en-GB"/>
          <w14:ligatures w14:val="none"/>
        </w:rPr>
        <w:t xml:space="preserve">. Available at: https://www.health.org.uk/publications </w:t>
      </w:r>
      <w:hyperlink r:id="rId15" w:tgtFrame="_blank" w:tooltip="www.bing.com" w:history="1">
        <w:r w:rsidRPr="00D05B42">
          <w:rPr>
            <w:rFonts w:ascii="Arial" w:eastAsia="Times New Roman" w:hAnsi="Arial" w:cs="Arial"/>
            <w:color w:val="0000FF"/>
            <w:kern w:val="0"/>
            <w:sz w:val="22"/>
            <w:szCs w:val="22"/>
            <w:u w:val="single"/>
            <w:lang w:eastAsia="en-GB"/>
            <w14:ligatures w14:val="none"/>
          </w:rPr>
          <w:t>(health.org.uk in Bing)</w:t>
        </w:r>
      </w:hyperlink>
      <w:r w:rsidRPr="00D05B42">
        <w:rPr>
          <w:rFonts w:ascii="Arial" w:eastAsia="Times New Roman" w:hAnsi="Arial" w:cs="Arial"/>
          <w:kern w:val="0"/>
          <w:sz w:val="22"/>
          <w:szCs w:val="22"/>
          <w:lang w:eastAsia="en-GB"/>
          <w14:ligatures w14:val="none"/>
        </w:rPr>
        <w:t xml:space="preserve"> (Accessed: 10 July 2026).</w:t>
      </w:r>
    </w:p>
    <w:p w14:paraId="47C70DB6"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Health Foundation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Inequalities and Local Authority Capacity Report</w:t>
      </w:r>
      <w:r w:rsidRPr="00D05B42">
        <w:rPr>
          <w:rFonts w:ascii="Arial" w:eastAsia="Times New Roman" w:hAnsi="Arial" w:cs="Arial"/>
          <w:kern w:val="0"/>
          <w:sz w:val="22"/>
          <w:szCs w:val="22"/>
          <w:lang w:eastAsia="en-GB"/>
          <w14:ligatures w14:val="none"/>
        </w:rPr>
        <w:t xml:space="preserve">. Available at: </w:t>
      </w:r>
      <w:hyperlink r:id="rId16" w:tgtFrame="_blank" w:tooltip="www.health.org.uk" w:history="1">
        <w:r w:rsidRPr="00D05B42">
          <w:rPr>
            <w:rFonts w:ascii="Arial" w:eastAsia="Times New Roman" w:hAnsi="Arial" w:cs="Arial"/>
            <w:color w:val="0000FF"/>
            <w:kern w:val="0"/>
            <w:sz w:val="22"/>
            <w:szCs w:val="22"/>
            <w:u w:val="single"/>
            <w:lang w:eastAsia="en-GB"/>
            <w14:ligatures w14:val="none"/>
          </w:rPr>
          <w:t>https://www.health.org.uk/research</w:t>
        </w:r>
      </w:hyperlink>
      <w:r w:rsidRPr="00D05B42">
        <w:rPr>
          <w:rFonts w:ascii="Arial" w:eastAsia="Times New Roman" w:hAnsi="Arial" w:cs="Arial"/>
          <w:kern w:val="0"/>
          <w:sz w:val="22"/>
          <w:szCs w:val="22"/>
          <w:lang w:eastAsia="en-GB"/>
          <w14:ligatures w14:val="none"/>
        </w:rPr>
        <w:t xml:space="preserve"> (Accessed: 24 July 2026).</w:t>
      </w:r>
    </w:p>
    <w:p w14:paraId="3A65E65F"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Healthy London Partnership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Annual Impact Report</w:t>
      </w:r>
      <w:r w:rsidRPr="00D05B42">
        <w:rPr>
          <w:rFonts w:ascii="Arial" w:eastAsia="Times New Roman" w:hAnsi="Arial" w:cs="Arial"/>
          <w:kern w:val="0"/>
          <w:sz w:val="22"/>
          <w:szCs w:val="22"/>
          <w:lang w:eastAsia="en-GB"/>
          <w14:ligatures w14:val="none"/>
        </w:rPr>
        <w:t xml:space="preserve">. Available at: </w:t>
      </w:r>
      <w:hyperlink r:id="rId17" w:tgtFrame="_blank" w:tooltip="www.healthylondon.org" w:history="1">
        <w:r w:rsidRPr="00D05B42">
          <w:rPr>
            <w:rFonts w:ascii="Arial" w:eastAsia="Times New Roman" w:hAnsi="Arial" w:cs="Arial"/>
            <w:color w:val="0000FF"/>
            <w:kern w:val="0"/>
            <w:sz w:val="22"/>
            <w:szCs w:val="22"/>
            <w:u w:val="single"/>
            <w:lang w:eastAsia="en-GB"/>
            <w14:ligatures w14:val="none"/>
          </w:rPr>
          <w:t>https://www.healthylondon.org</w:t>
        </w:r>
      </w:hyperlink>
      <w:r w:rsidRPr="00D05B42">
        <w:rPr>
          <w:rFonts w:ascii="Arial" w:eastAsia="Times New Roman" w:hAnsi="Arial" w:cs="Arial"/>
          <w:kern w:val="0"/>
          <w:sz w:val="22"/>
          <w:szCs w:val="22"/>
          <w:lang w:eastAsia="en-GB"/>
          <w14:ligatures w14:val="none"/>
        </w:rPr>
        <w:t xml:space="preserve"> (Accessed: 15 July 2026).</w:t>
      </w:r>
    </w:p>
    <w:p w14:paraId="724397E9"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King’s Fund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NHS Workforce: Current Pressures and Future Needs</w:t>
      </w:r>
      <w:r w:rsidRPr="00D05B42">
        <w:rPr>
          <w:rFonts w:ascii="Arial" w:eastAsia="Times New Roman" w:hAnsi="Arial" w:cs="Arial"/>
          <w:kern w:val="0"/>
          <w:sz w:val="22"/>
          <w:szCs w:val="22"/>
          <w:lang w:eastAsia="en-GB"/>
          <w14:ligatures w14:val="none"/>
        </w:rPr>
        <w:t xml:space="preserve">. Available at: https://www.kingsfund.org.uk/publications </w:t>
      </w:r>
      <w:hyperlink r:id="rId18" w:tgtFrame="_blank" w:tooltip="www.bing.com" w:history="1">
        <w:r w:rsidRPr="00D05B42">
          <w:rPr>
            <w:rFonts w:ascii="Arial" w:eastAsia="Times New Roman" w:hAnsi="Arial" w:cs="Arial"/>
            <w:color w:val="0000FF"/>
            <w:kern w:val="0"/>
            <w:sz w:val="22"/>
            <w:szCs w:val="22"/>
            <w:u w:val="single"/>
            <w:lang w:eastAsia="en-GB"/>
            <w14:ligatures w14:val="none"/>
          </w:rPr>
          <w:t>(kingsfund.org.uk in Bing)</w:t>
        </w:r>
      </w:hyperlink>
      <w:r w:rsidRPr="00D05B42">
        <w:rPr>
          <w:rFonts w:ascii="Arial" w:eastAsia="Times New Roman" w:hAnsi="Arial" w:cs="Arial"/>
          <w:kern w:val="0"/>
          <w:sz w:val="22"/>
          <w:szCs w:val="22"/>
          <w:lang w:eastAsia="en-GB"/>
          <w14:ligatures w14:val="none"/>
        </w:rPr>
        <w:t xml:space="preserve"> (Accessed: 17 July 2026).</w:t>
      </w:r>
    </w:p>
    <w:p w14:paraId="2627B7D6"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Marmot Review (2020)</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Health Equity in England: The Marmot Review 10 Years On</w:t>
      </w:r>
      <w:r w:rsidRPr="00D05B42">
        <w:rPr>
          <w:rFonts w:ascii="Arial" w:eastAsia="Times New Roman" w:hAnsi="Arial" w:cs="Arial"/>
          <w:kern w:val="0"/>
          <w:sz w:val="22"/>
          <w:szCs w:val="22"/>
          <w:lang w:eastAsia="en-GB"/>
          <w14:ligatures w14:val="none"/>
        </w:rPr>
        <w:t xml:space="preserve">. Institute of Health Equity. Available at: </w:t>
      </w:r>
      <w:hyperlink r:id="rId19" w:tgtFrame="_blank" w:tooltip="www.instituteofhealthequity.org" w:history="1">
        <w:r w:rsidRPr="00D05B42">
          <w:rPr>
            <w:rFonts w:ascii="Arial" w:eastAsia="Times New Roman" w:hAnsi="Arial" w:cs="Arial"/>
            <w:color w:val="0000FF"/>
            <w:kern w:val="0"/>
            <w:sz w:val="22"/>
            <w:szCs w:val="22"/>
            <w:u w:val="single"/>
            <w:lang w:eastAsia="en-GB"/>
            <w14:ligatures w14:val="none"/>
          </w:rPr>
          <w:t>https://www.instituteofhealthequity.org</w:t>
        </w:r>
      </w:hyperlink>
      <w:r w:rsidRPr="00D05B42">
        <w:rPr>
          <w:rFonts w:ascii="Arial" w:eastAsia="Times New Roman" w:hAnsi="Arial" w:cs="Arial"/>
          <w:kern w:val="0"/>
          <w:sz w:val="22"/>
          <w:szCs w:val="22"/>
          <w:lang w:eastAsia="en-GB"/>
          <w14:ligatures w14:val="none"/>
        </w:rPr>
        <w:t xml:space="preserve"> (Accessed: 12 July 2026).</w:t>
      </w:r>
    </w:p>
    <w:p w14:paraId="5CC45FB0"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Mayor of London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ULEZ Air Quality Report</w:t>
      </w:r>
      <w:r w:rsidRPr="00D05B42">
        <w:rPr>
          <w:rFonts w:ascii="Arial" w:eastAsia="Times New Roman" w:hAnsi="Arial" w:cs="Arial"/>
          <w:kern w:val="0"/>
          <w:sz w:val="22"/>
          <w:szCs w:val="22"/>
          <w:lang w:eastAsia="en-GB"/>
          <w14:ligatures w14:val="none"/>
        </w:rPr>
        <w:t xml:space="preserve">. Available at: </w:t>
      </w:r>
      <w:hyperlink r:id="rId20" w:tgtFrame="_blank" w:tooltip="www.london.gov.uk" w:history="1">
        <w:r w:rsidRPr="00D05B42">
          <w:rPr>
            <w:rFonts w:ascii="Arial" w:eastAsia="Times New Roman" w:hAnsi="Arial" w:cs="Arial"/>
            <w:color w:val="0000FF"/>
            <w:kern w:val="0"/>
            <w:sz w:val="22"/>
            <w:szCs w:val="22"/>
            <w:u w:val="single"/>
            <w:lang w:eastAsia="en-GB"/>
            <w14:ligatures w14:val="none"/>
          </w:rPr>
          <w:t>https://www.london.gov.uk/ulez</w:t>
        </w:r>
      </w:hyperlink>
      <w:r w:rsidRPr="00D05B42">
        <w:rPr>
          <w:rFonts w:ascii="Arial" w:eastAsia="Times New Roman" w:hAnsi="Arial" w:cs="Arial"/>
          <w:kern w:val="0"/>
          <w:sz w:val="22"/>
          <w:szCs w:val="22"/>
          <w:lang w:eastAsia="en-GB"/>
          <w14:ligatures w14:val="none"/>
        </w:rPr>
        <w:t xml:space="preserve"> (Accessed: 20 July 2026).</w:t>
      </w:r>
    </w:p>
    <w:p w14:paraId="7497BFB2"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NHS Digital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Mental Health Statistics Annual Report</w:t>
      </w:r>
      <w:r w:rsidRPr="00D05B42">
        <w:rPr>
          <w:rFonts w:ascii="Arial" w:eastAsia="Times New Roman" w:hAnsi="Arial" w:cs="Arial"/>
          <w:kern w:val="0"/>
          <w:sz w:val="22"/>
          <w:szCs w:val="22"/>
          <w:lang w:eastAsia="en-GB"/>
          <w14:ligatures w14:val="none"/>
        </w:rPr>
        <w:t xml:space="preserve">. Available at: </w:t>
      </w:r>
      <w:hyperlink r:id="rId21" w:tgtFrame="_blank" w:tooltip="digital.nhs.uk" w:history="1">
        <w:r w:rsidRPr="00D05B42">
          <w:rPr>
            <w:rFonts w:ascii="Arial" w:eastAsia="Times New Roman" w:hAnsi="Arial" w:cs="Arial"/>
            <w:color w:val="0000FF"/>
            <w:kern w:val="0"/>
            <w:sz w:val="22"/>
            <w:szCs w:val="22"/>
            <w:u w:val="single"/>
            <w:lang w:eastAsia="en-GB"/>
            <w14:ligatures w14:val="none"/>
          </w:rPr>
          <w:t>https://digital.nhs.uk</w:t>
        </w:r>
      </w:hyperlink>
      <w:r w:rsidRPr="00D05B42">
        <w:rPr>
          <w:rFonts w:ascii="Arial" w:eastAsia="Times New Roman" w:hAnsi="Arial" w:cs="Arial"/>
          <w:kern w:val="0"/>
          <w:sz w:val="22"/>
          <w:szCs w:val="22"/>
          <w:lang w:eastAsia="en-GB"/>
          <w14:ligatures w14:val="none"/>
        </w:rPr>
        <w:t xml:space="preserve"> (Accessed: 13 July 2026).</w:t>
      </w:r>
    </w:p>
    <w:p w14:paraId="7CA20AEB"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NHS England (2019)</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The NHS Long Term Plan</w:t>
      </w:r>
      <w:r w:rsidRPr="00D05B42">
        <w:rPr>
          <w:rFonts w:ascii="Arial" w:eastAsia="Times New Roman" w:hAnsi="Arial" w:cs="Arial"/>
          <w:kern w:val="0"/>
          <w:sz w:val="22"/>
          <w:szCs w:val="22"/>
          <w:lang w:eastAsia="en-GB"/>
          <w14:ligatures w14:val="none"/>
        </w:rPr>
        <w:t xml:space="preserve">. Available at: https://www.longtermplan.nhs.uk </w:t>
      </w:r>
      <w:hyperlink r:id="rId22" w:tgtFrame="_blank" w:tooltip="www.bing.com" w:history="1">
        <w:r w:rsidRPr="00D05B42">
          <w:rPr>
            <w:rFonts w:ascii="Arial" w:eastAsia="Times New Roman" w:hAnsi="Arial" w:cs="Arial"/>
            <w:color w:val="0000FF"/>
            <w:kern w:val="0"/>
            <w:sz w:val="22"/>
            <w:szCs w:val="22"/>
            <w:u w:val="single"/>
            <w:lang w:eastAsia="en-GB"/>
            <w14:ligatures w14:val="none"/>
          </w:rPr>
          <w:t>(longtermplan.nhs.uk in Bing)</w:t>
        </w:r>
      </w:hyperlink>
      <w:r w:rsidRPr="00D05B42">
        <w:rPr>
          <w:rFonts w:ascii="Arial" w:eastAsia="Times New Roman" w:hAnsi="Arial" w:cs="Arial"/>
          <w:kern w:val="0"/>
          <w:sz w:val="22"/>
          <w:szCs w:val="22"/>
          <w:lang w:eastAsia="en-GB"/>
          <w14:ligatures w14:val="none"/>
        </w:rPr>
        <w:t xml:space="preserve"> (Accessed: 21 July 2026).</w:t>
      </w:r>
    </w:p>
    <w:p w14:paraId="6F89D1EE"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NHS England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Mental Health Investment and Expansion Report</w:t>
      </w:r>
      <w:r w:rsidRPr="00D05B42">
        <w:rPr>
          <w:rFonts w:ascii="Arial" w:eastAsia="Times New Roman" w:hAnsi="Arial" w:cs="Arial"/>
          <w:kern w:val="0"/>
          <w:sz w:val="22"/>
          <w:szCs w:val="22"/>
          <w:lang w:eastAsia="en-GB"/>
          <w14:ligatures w14:val="none"/>
        </w:rPr>
        <w:t xml:space="preserve">. Available at: https://www.england.nhs.uk/mental-health </w:t>
      </w:r>
      <w:hyperlink r:id="rId23" w:tgtFrame="_blank" w:tooltip="www.bing.com" w:history="1">
        <w:r w:rsidRPr="00D05B42">
          <w:rPr>
            <w:rFonts w:ascii="Arial" w:eastAsia="Times New Roman" w:hAnsi="Arial" w:cs="Arial"/>
            <w:color w:val="0000FF"/>
            <w:kern w:val="0"/>
            <w:sz w:val="22"/>
            <w:szCs w:val="22"/>
            <w:u w:val="single"/>
            <w:lang w:eastAsia="en-GB"/>
            <w14:ligatures w14:val="none"/>
          </w:rPr>
          <w:t>(england.nhs.uk in Bing)</w:t>
        </w:r>
      </w:hyperlink>
      <w:r w:rsidRPr="00D05B42">
        <w:rPr>
          <w:rFonts w:ascii="Arial" w:eastAsia="Times New Roman" w:hAnsi="Arial" w:cs="Arial"/>
          <w:kern w:val="0"/>
          <w:sz w:val="22"/>
          <w:szCs w:val="22"/>
          <w:lang w:eastAsia="en-GB"/>
          <w14:ligatures w14:val="none"/>
        </w:rPr>
        <w:t xml:space="preserve"> (Accessed: 23 July 2026).</w:t>
      </w:r>
    </w:p>
    <w:p w14:paraId="15477B58"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NHS Sustainability Report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Delivering a Net Zero NHS</w:t>
      </w:r>
      <w:r w:rsidRPr="00D05B42">
        <w:rPr>
          <w:rFonts w:ascii="Arial" w:eastAsia="Times New Roman" w:hAnsi="Arial" w:cs="Arial"/>
          <w:kern w:val="0"/>
          <w:sz w:val="22"/>
          <w:szCs w:val="22"/>
          <w:lang w:eastAsia="en-GB"/>
          <w14:ligatures w14:val="none"/>
        </w:rPr>
        <w:t xml:space="preserve">. Available at: </w:t>
      </w:r>
      <w:hyperlink r:id="rId24" w:tgtFrame="_blank" w:tooltip="www.england.nhs.uk" w:history="1">
        <w:r w:rsidRPr="00D05B42">
          <w:rPr>
            <w:rFonts w:ascii="Arial" w:eastAsia="Times New Roman" w:hAnsi="Arial" w:cs="Arial"/>
            <w:color w:val="0000FF"/>
            <w:kern w:val="0"/>
            <w:sz w:val="22"/>
            <w:szCs w:val="22"/>
            <w:u w:val="single"/>
            <w:lang w:eastAsia="en-GB"/>
            <w14:ligatures w14:val="none"/>
          </w:rPr>
          <w:t>https://www.england.nhs.uk/greenernhs</w:t>
        </w:r>
      </w:hyperlink>
      <w:r w:rsidRPr="00D05B42">
        <w:rPr>
          <w:rFonts w:ascii="Arial" w:eastAsia="Times New Roman" w:hAnsi="Arial" w:cs="Arial"/>
          <w:kern w:val="0"/>
          <w:sz w:val="22"/>
          <w:szCs w:val="22"/>
          <w:lang w:eastAsia="en-GB"/>
          <w14:ligatures w14:val="none"/>
        </w:rPr>
        <w:t xml:space="preserve"> (Accessed: 25 July 2026).</w:t>
      </w:r>
    </w:p>
    <w:p w14:paraId="72539763"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Ofcom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Digital Exclusion in the UK: Connectivity Report</w:t>
      </w:r>
      <w:r w:rsidRPr="00D05B42">
        <w:rPr>
          <w:rFonts w:ascii="Arial" w:eastAsia="Times New Roman" w:hAnsi="Arial" w:cs="Arial"/>
          <w:kern w:val="0"/>
          <w:sz w:val="22"/>
          <w:szCs w:val="22"/>
          <w:lang w:eastAsia="en-GB"/>
          <w14:ligatures w14:val="none"/>
        </w:rPr>
        <w:t xml:space="preserve">. Available at: </w:t>
      </w:r>
      <w:hyperlink r:id="rId25" w:tgtFrame="_blank" w:tooltip="www.ofcom.org.uk" w:history="1">
        <w:r w:rsidRPr="00D05B42">
          <w:rPr>
            <w:rFonts w:ascii="Arial" w:eastAsia="Times New Roman" w:hAnsi="Arial" w:cs="Arial"/>
            <w:color w:val="0000FF"/>
            <w:kern w:val="0"/>
            <w:sz w:val="22"/>
            <w:szCs w:val="22"/>
            <w:u w:val="single"/>
            <w:lang w:eastAsia="en-GB"/>
            <w14:ligatures w14:val="none"/>
          </w:rPr>
          <w:t>https://www.ofcom.org.uk/research</w:t>
        </w:r>
      </w:hyperlink>
      <w:r w:rsidRPr="00D05B42">
        <w:rPr>
          <w:rFonts w:ascii="Arial" w:eastAsia="Times New Roman" w:hAnsi="Arial" w:cs="Arial"/>
          <w:kern w:val="0"/>
          <w:sz w:val="22"/>
          <w:szCs w:val="22"/>
          <w:lang w:eastAsia="en-GB"/>
          <w14:ligatures w14:val="none"/>
        </w:rPr>
        <w:t xml:space="preserve"> (Accessed: 16 July 2026).</w:t>
      </w:r>
    </w:p>
    <w:p w14:paraId="0BE3A88E"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ONS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Heatwave Mortality Statistics</w:t>
      </w:r>
      <w:r w:rsidRPr="00D05B42">
        <w:rPr>
          <w:rFonts w:ascii="Arial" w:eastAsia="Times New Roman" w:hAnsi="Arial" w:cs="Arial"/>
          <w:kern w:val="0"/>
          <w:sz w:val="22"/>
          <w:szCs w:val="22"/>
          <w:lang w:eastAsia="en-GB"/>
          <w14:ligatures w14:val="none"/>
        </w:rPr>
        <w:t xml:space="preserve">. Office for National Statistics. Available at: </w:t>
      </w:r>
      <w:hyperlink r:id="rId26" w:tgtFrame="_blank" w:tooltip="www.ons.gov.uk" w:history="1">
        <w:r w:rsidRPr="00D05B42">
          <w:rPr>
            <w:rFonts w:ascii="Arial" w:eastAsia="Times New Roman" w:hAnsi="Arial" w:cs="Arial"/>
            <w:color w:val="0000FF"/>
            <w:kern w:val="0"/>
            <w:sz w:val="22"/>
            <w:szCs w:val="22"/>
            <w:u w:val="single"/>
            <w:lang w:eastAsia="en-GB"/>
            <w14:ligatures w14:val="none"/>
          </w:rPr>
          <w:t>https://www.ons.gov.uk</w:t>
        </w:r>
      </w:hyperlink>
      <w:r w:rsidRPr="00D05B42">
        <w:rPr>
          <w:rFonts w:ascii="Arial" w:eastAsia="Times New Roman" w:hAnsi="Arial" w:cs="Arial"/>
          <w:kern w:val="0"/>
          <w:sz w:val="22"/>
          <w:szCs w:val="22"/>
          <w:lang w:eastAsia="en-GB"/>
          <w14:ligatures w14:val="none"/>
        </w:rPr>
        <w:t xml:space="preserve"> (Accessed: 14 July 2026).</w:t>
      </w:r>
    </w:p>
    <w:p w14:paraId="37C5FF2B"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ONS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Health Inequalities in England: Annual Update</w:t>
      </w:r>
      <w:r w:rsidRPr="00D05B42">
        <w:rPr>
          <w:rFonts w:ascii="Arial" w:eastAsia="Times New Roman" w:hAnsi="Arial" w:cs="Arial"/>
          <w:kern w:val="0"/>
          <w:sz w:val="22"/>
          <w:szCs w:val="22"/>
          <w:lang w:eastAsia="en-GB"/>
          <w14:ligatures w14:val="none"/>
        </w:rPr>
        <w:t xml:space="preserve">. Available at: </w:t>
      </w:r>
      <w:hyperlink r:id="rId27" w:tgtFrame="_blank" w:tooltip="www.ons.gov.uk" w:history="1">
        <w:r w:rsidRPr="00D05B42">
          <w:rPr>
            <w:rFonts w:ascii="Arial" w:eastAsia="Times New Roman" w:hAnsi="Arial" w:cs="Arial"/>
            <w:color w:val="0000FF"/>
            <w:kern w:val="0"/>
            <w:sz w:val="22"/>
            <w:szCs w:val="22"/>
            <w:u w:val="single"/>
            <w:lang w:eastAsia="en-GB"/>
            <w14:ligatures w14:val="none"/>
          </w:rPr>
          <w:t>https://www.ons.gov.uk</w:t>
        </w:r>
      </w:hyperlink>
      <w:r w:rsidRPr="00D05B42">
        <w:rPr>
          <w:rFonts w:ascii="Arial" w:eastAsia="Times New Roman" w:hAnsi="Arial" w:cs="Arial"/>
          <w:kern w:val="0"/>
          <w:sz w:val="22"/>
          <w:szCs w:val="22"/>
          <w:lang w:eastAsia="en-GB"/>
          <w14:ligatures w14:val="none"/>
        </w:rPr>
        <w:t xml:space="preserve"> (Accessed: 18 July 2026).</w:t>
      </w:r>
    </w:p>
    <w:p w14:paraId="41DAD536"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PHE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Soft Drinks Industry Levy Evaluation Report</w:t>
      </w:r>
      <w:r w:rsidRPr="00D05B42">
        <w:rPr>
          <w:rFonts w:ascii="Arial" w:eastAsia="Times New Roman" w:hAnsi="Arial" w:cs="Arial"/>
          <w:kern w:val="0"/>
          <w:sz w:val="22"/>
          <w:szCs w:val="22"/>
          <w:lang w:eastAsia="en-GB"/>
          <w14:ligatures w14:val="none"/>
        </w:rPr>
        <w:t xml:space="preserve">. Public Health England. Available at: </w:t>
      </w:r>
      <w:hyperlink r:id="rId28" w:tgtFrame="_blank" w:tooltip="www.gov.uk" w:history="1">
        <w:r w:rsidRPr="00D05B42">
          <w:rPr>
            <w:rFonts w:ascii="Arial" w:eastAsia="Times New Roman" w:hAnsi="Arial" w:cs="Arial"/>
            <w:color w:val="0000FF"/>
            <w:kern w:val="0"/>
            <w:sz w:val="22"/>
            <w:szCs w:val="22"/>
            <w:u w:val="single"/>
            <w:lang w:eastAsia="en-GB"/>
            <w14:ligatures w14:val="none"/>
          </w:rPr>
          <w:t>https://www.gov.uk/phe</w:t>
        </w:r>
      </w:hyperlink>
      <w:r w:rsidRPr="00D05B42">
        <w:rPr>
          <w:rFonts w:ascii="Arial" w:eastAsia="Times New Roman" w:hAnsi="Arial" w:cs="Arial"/>
          <w:kern w:val="0"/>
          <w:sz w:val="22"/>
          <w:szCs w:val="22"/>
          <w:lang w:eastAsia="en-GB"/>
          <w14:ligatures w14:val="none"/>
        </w:rPr>
        <w:t xml:space="preserve"> (Accessed: 11 July 2026).</w:t>
      </w:r>
    </w:p>
    <w:p w14:paraId="03324220"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Public Health England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Flooding and Mental Health: Evidence Review</w:t>
      </w:r>
      <w:r w:rsidRPr="00D05B42">
        <w:rPr>
          <w:rFonts w:ascii="Arial" w:eastAsia="Times New Roman" w:hAnsi="Arial" w:cs="Arial"/>
          <w:kern w:val="0"/>
          <w:sz w:val="22"/>
          <w:szCs w:val="22"/>
          <w:lang w:eastAsia="en-GB"/>
          <w14:ligatures w14:val="none"/>
        </w:rPr>
        <w:t xml:space="preserve">. Available at: </w:t>
      </w:r>
      <w:hyperlink r:id="rId29" w:tgtFrame="_blank" w:tooltip="www.gov.uk" w:history="1">
        <w:r w:rsidRPr="00D05B42">
          <w:rPr>
            <w:rFonts w:ascii="Arial" w:eastAsia="Times New Roman" w:hAnsi="Arial" w:cs="Arial"/>
            <w:color w:val="0000FF"/>
            <w:kern w:val="0"/>
            <w:sz w:val="22"/>
            <w:szCs w:val="22"/>
            <w:u w:val="single"/>
            <w:lang w:eastAsia="en-GB"/>
            <w14:ligatures w14:val="none"/>
          </w:rPr>
          <w:t>https://www.gov.uk/phe</w:t>
        </w:r>
      </w:hyperlink>
      <w:r w:rsidRPr="00D05B42">
        <w:rPr>
          <w:rFonts w:ascii="Arial" w:eastAsia="Times New Roman" w:hAnsi="Arial" w:cs="Arial"/>
          <w:kern w:val="0"/>
          <w:sz w:val="22"/>
          <w:szCs w:val="22"/>
          <w:lang w:eastAsia="en-GB"/>
          <w14:ligatures w14:val="none"/>
        </w:rPr>
        <w:t xml:space="preserve"> (Accessed: 13 July 2026).</w:t>
      </w:r>
    </w:p>
    <w:p w14:paraId="3A1F805F"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RSPH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Climate Anxiety and Young People Report</w:t>
      </w:r>
      <w:r w:rsidRPr="00D05B42">
        <w:rPr>
          <w:rFonts w:ascii="Arial" w:eastAsia="Times New Roman" w:hAnsi="Arial" w:cs="Arial"/>
          <w:kern w:val="0"/>
          <w:sz w:val="22"/>
          <w:szCs w:val="22"/>
          <w:lang w:eastAsia="en-GB"/>
          <w14:ligatures w14:val="none"/>
        </w:rPr>
        <w:t xml:space="preserve">. Royal Society for Public Health. Available at: </w:t>
      </w:r>
      <w:hyperlink r:id="rId30" w:tgtFrame="_blank" w:tooltip="www.rsph.org.uk" w:history="1">
        <w:r w:rsidRPr="00D05B42">
          <w:rPr>
            <w:rFonts w:ascii="Arial" w:eastAsia="Times New Roman" w:hAnsi="Arial" w:cs="Arial"/>
            <w:color w:val="0000FF"/>
            <w:kern w:val="0"/>
            <w:sz w:val="22"/>
            <w:szCs w:val="22"/>
            <w:u w:val="single"/>
            <w:lang w:eastAsia="en-GB"/>
            <w14:ligatures w14:val="none"/>
          </w:rPr>
          <w:t>https://www.rsph.org.uk</w:t>
        </w:r>
      </w:hyperlink>
      <w:r w:rsidRPr="00D05B42">
        <w:rPr>
          <w:rFonts w:ascii="Arial" w:eastAsia="Times New Roman" w:hAnsi="Arial" w:cs="Arial"/>
          <w:kern w:val="0"/>
          <w:sz w:val="22"/>
          <w:szCs w:val="22"/>
          <w:lang w:eastAsia="en-GB"/>
          <w14:ligatures w14:val="none"/>
        </w:rPr>
        <w:t xml:space="preserve"> (Accessed: 22 July 2026).</w:t>
      </w:r>
    </w:p>
    <w:p w14:paraId="658C7F93"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Transport for London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Public Attitudes to Transport and Street Changes</w:t>
      </w:r>
      <w:r w:rsidRPr="00D05B42">
        <w:rPr>
          <w:rFonts w:ascii="Arial" w:eastAsia="Times New Roman" w:hAnsi="Arial" w:cs="Arial"/>
          <w:kern w:val="0"/>
          <w:sz w:val="22"/>
          <w:szCs w:val="22"/>
          <w:lang w:eastAsia="en-GB"/>
          <w14:ligatures w14:val="none"/>
        </w:rPr>
        <w:t xml:space="preserve">. Available at: </w:t>
      </w:r>
      <w:hyperlink r:id="rId31" w:tgtFrame="_blank" w:tooltip="www.tfl.gov.uk" w:history="1">
        <w:r w:rsidRPr="00D05B42">
          <w:rPr>
            <w:rFonts w:ascii="Arial" w:eastAsia="Times New Roman" w:hAnsi="Arial" w:cs="Arial"/>
            <w:color w:val="0000FF"/>
            <w:kern w:val="0"/>
            <w:sz w:val="22"/>
            <w:szCs w:val="22"/>
            <w:u w:val="single"/>
            <w:lang w:eastAsia="en-GB"/>
            <w14:ligatures w14:val="none"/>
          </w:rPr>
          <w:t>https://www.tfl.gov.uk/research</w:t>
        </w:r>
      </w:hyperlink>
      <w:r w:rsidRPr="00D05B42">
        <w:rPr>
          <w:rFonts w:ascii="Arial" w:eastAsia="Times New Roman" w:hAnsi="Arial" w:cs="Arial"/>
          <w:kern w:val="0"/>
          <w:sz w:val="22"/>
          <w:szCs w:val="22"/>
          <w:lang w:eastAsia="en-GB"/>
          <w14:ligatures w14:val="none"/>
        </w:rPr>
        <w:t xml:space="preserve"> (Accessed: 17 July 2026).</w:t>
      </w:r>
    </w:p>
    <w:p w14:paraId="5A070AAF"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UK Government Office for Science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Health Effects of Climate Change: Evidence Review</w:t>
      </w:r>
      <w:r w:rsidRPr="00D05B42">
        <w:rPr>
          <w:rFonts w:ascii="Arial" w:eastAsia="Times New Roman" w:hAnsi="Arial" w:cs="Arial"/>
          <w:kern w:val="0"/>
          <w:sz w:val="22"/>
          <w:szCs w:val="22"/>
          <w:lang w:eastAsia="en-GB"/>
          <w14:ligatures w14:val="none"/>
        </w:rPr>
        <w:t xml:space="preserve">. Available at: https://www.gov.uk/government/publications </w:t>
      </w:r>
      <w:hyperlink r:id="rId32" w:tgtFrame="_blank" w:tooltip="www.bing.com" w:history="1">
        <w:r w:rsidRPr="00D05B42">
          <w:rPr>
            <w:rFonts w:ascii="Arial" w:eastAsia="Times New Roman" w:hAnsi="Arial" w:cs="Arial"/>
            <w:color w:val="0000FF"/>
            <w:kern w:val="0"/>
            <w:sz w:val="22"/>
            <w:szCs w:val="22"/>
            <w:u w:val="single"/>
            <w:lang w:eastAsia="en-GB"/>
            <w14:ligatures w14:val="none"/>
          </w:rPr>
          <w:t>(gov.uk in Bing)</w:t>
        </w:r>
      </w:hyperlink>
      <w:r w:rsidRPr="00D05B42">
        <w:rPr>
          <w:rFonts w:ascii="Arial" w:eastAsia="Times New Roman" w:hAnsi="Arial" w:cs="Arial"/>
          <w:kern w:val="0"/>
          <w:sz w:val="22"/>
          <w:szCs w:val="22"/>
          <w:lang w:eastAsia="en-GB"/>
          <w14:ligatures w14:val="none"/>
        </w:rPr>
        <w:t xml:space="preserve"> (Accessed: 10 July 2026).</w:t>
      </w:r>
    </w:p>
    <w:p w14:paraId="5B31C512"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UKHSA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Air Pollution and Health: Annual Review</w:t>
      </w:r>
      <w:r w:rsidRPr="00D05B42">
        <w:rPr>
          <w:rFonts w:ascii="Arial" w:eastAsia="Times New Roman" w:hAnsi="Arial" w:cs="Arial"/>
          <w:kern w:val="0"/>
          <w:sz w:val="22"/>
          <w:szCs w:val="22"/>
          <w:lang w:eastAsia="en-GB"/>
          <w14:ligatures w14:val="none"/>
        </w:rPr>
        <w:t xml:space="preserve">. UK Health Security Agency. Available at: </w:t>
      </w:r>
      <w:hyperlink r:id="rId33" w:tgtFrame="_blank" w:tooltip="www.gov.uk" w:history="1">
        <w:r w:rsidRPr="00D05B42">
          <w:rPr>
            <w:rFonts w:ascii="Arial" w:eastAsia="Times New Roman" w:hAnsi="Arial" w:cs="Arial"/>
            <w:color w:val="0000FF"/>
            <w:kern w:val="0"/>
            <w:sz w:val="22"/>
            <w:szCs w:val="22"/>
            <w:u w:val="single"/>
            <w:lang w:eastAsia="en-GB"/>
            <w14:ligatures w14:val="none"/>
          </w:rPr>
          <w:t>https://www.gov.uk/ukhsa</w:t>
        </w:r>
      </w:hyperlink>
      <w:r w:rsidRPr="00D05B42">
        <w:rPr>
          <w:rFonts w:ascii="Arial" w:eastAsia="Times New Roman" w:hAnsi="Arial" w:cs="Arial"/>
          <w:kern w:val="0"/>
          <w:sz w:val="22"/>
          <w:szCs w:val="22"/>
          <w:lang w:eastAsia="en-GB"/>
          <w14:ligatures w14:val="none"/>
        </w:rPr>
        <w:t xml:space="preserve"> (Accessed: 12 July 2026).</w:t>
      </w:r>
    </w:p>
    <w:p w14:paraId="1F623A27"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UNFCCC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Climate Adaptation and Resilience Framework</w:t>
      </w:r>
      <w:r w:rsidRPr="00D05B42">
        <w:rPr>
          <w:rFonts w:ascii="Arial" w:eastAsia="Times New Roman" w:hAnsi="Arial" w:cs="Arial"/>
          <w:kern w:val="0"/>
          <w:sz w:val="22"/>
          <w:szCs w:val="22"/>
          <w:lang w:eastAsia="en-GB"/>
          <w14:ligatures w14:val="none"/>
        </w:rPr>
        <w:t xml:space="preserve">. United Nations Framework Convention on Climate Change. Available at: </w:t>
      </w:r>
      <w:hyperlink r:id="rId34" w:tgtFrame="_blank" w:tooltip="unfccc.int" w:history="1">
        <w:r w:rsidRPr="00D05B42">
          <w:rPr>
            <w:rFonts w:ascii="Arial" w:eastAsia="Times New Roman" w:hAnsi="Arial" w:cs="Arial"/>
            <w:color w:val="0000FF"/>
            <w:kern w:val="0"/>
            <w:sz w:val="22"/>
            <w:szCs w:val="22"/>
            <w:u w:val="single"/>
            <w:lang w:eastAsia="en-GB"/>
            <w14:ligatures w14:val="none"/>
          </w:rPr>
          <w:t>https://unfccc.int</w:t>
        </w:r>
      </w:hyperlink>
      <w:r w:rsidRPr="00D05B42">
        <w:rPr>
          <w:rFonts w:ascii="Arial" w:eastAsia="Times New Roman" w:hAnsi="Arial" w:cs="Arial"/>
          <w:kern w:val="0"/>
          <w:sz w:val="22"/>
          <w:szCs w:val="22"/>
          <w:lang w:eastAsia="en-GB"/>
          <w14:ligatures w14:val="none"/>
        </w:rPr>
        <w:t xml:space="preserve"> (Accessed: 15 July 2026).</w:t>
      </w:r>
    </w:p>
    <w:p w14:paraId="165DB240"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UNDESA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Sustainable Development Goals Progress Report</w:t>
      </w:r>
      <w:r w:rsidRPr="00D05B42">
        <w:rPr>
          <w:rFonts w:ascii="Arial" w:eastAsia="Times New Roman" w:hAnsi="Arial" w:cs="Arial"/>
          <w:kern w:val="0"/>
          <w:sz w:val="22"/>
          <w:szCs w:val="22"/>
          <w:lang w:eastAsia="en-GB"/>
          <w14:ligatures w14:val="none"/>
        </w:rPr>
        <w:t xml:space="preserve">. United Nations Department of Economic and Social Affairs. Available at: </w:t>
      </w:r>
      <w:hyperlink r:id="rId35" w:tgtFrame="_blank" w:tooltip="www.un.org" w:history="1">
        <w:r w:rsidRPr="00D05B42">
          <w:rPr>
            <w:rFonts w:ascii="Arial" w:eastAsia="Times New Roman" w:hAnsi="Arial" w:cs="Arial"/>
            <w:color w:val="0000FF"/>
            <w:kern w:val="0"/>
            <w:sz w:val="22"/>
            <w:szCs w:val="22"/>
            <w:u w:val="single"/>
            <w:lang w:eastAsia="en-GB"/>
            <w14:ligatures w14:val="none"/>
          </w:rPr>
          <w:t>https://www.un.org/desa</w:t>
        </w:r>
      </w:hyperlink>
      <w:r w:rsidRPr="00D05B42">
        <w:rPr>
          <w:rFonts w:ascii="Arial" w:eastAsia="Times New Roman" w:hAnsi="Arial" w:cs="Arial"/>
          <w:kern w:val="0"/>
          <w:sz w:val="22"/>
          <w:szCs w:val="22"/>
          <w:lang w:eastAsia="en-GB"/>
          <w14:ligatures w14:val="none"/>
        </w:rPr>
        <w:t xml:space="preserve"> (Accessed: 19 July 2026).</w:t>
      </w:r>
    </w:p>
    <w:p w14:paraId="238C110D"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United Nations (1992)</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Agenda 21: Earth Summit</w:t>
      </w:r>
      <w:r w:rsidRPr="00D05B42">
        <w:rPr>
          <w:rFonts w:ascii="Arial" w:eastAsia="Times New Roman" w:hAnsi="Arial" w:cs="Arial"/>
          <w:kern w:val="0"/>
          <w:sz w:val="22"/>
          <w:szCs w:val="22"/>
          <w:lang w:eastAsia="en-GB"/>
          <w14:ligatures w14:val="none"/>
        </w:rPr>
        <w:t xml:space="preserve">. Available at: </w:t>
      </w:r>
      <w:hyperlink r:id="rId36" w:tgtFrame="_blank" w:tooltip="www.un.org" w:history="1">
        <w:r w:rsidRPr="00D05B42">
          <w:rPr>
            <w:rFonts w:ascii="Arial" w:eastAsia="Times New Roman" w:hAnsi="Arial" w:cs="Arial"/>
            <w:color w:val="0000FF"/>
            <w:kern w:val="0"/>
            <w:sz w:val="22"/>
            <w:szCs w:val="22"/>
            <w:u w:val="single"/>
            <w:lang w:eastAsia="en-GB"/>
            <w14:ligatures w14:val="none"/>
          </w:rPr>
          <w:t>https://www.un.org</w:t>
        </w:r>
      </w:hyperlink>
      <w:r w:rsidRPr="00D05B42">
        <w:rPr>
          <w:rFonts w:ascii="Arial" w:eastAsia="Times New Roman" w:hAnsi="Arial" w:cs="Arial"/>
          <w:kern w:val="0"/>
          <w:sz w:val="22"/>
          <w:szCs w:val="22"/>
          <w:lang w:eastAsia="en-GB"/>
          <w14:ligatures w14:val="none"/>
        </w:rPr>
        <w:t xml:space="preserve"> (Accessed: 20 July 2026).</w:t>
      </w:r>
    </w:p>
    <w:p w14:paraId="4F76E45B"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United Nations (2000)</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Millennium Development Goals Framework</w:t>
      </w:r>
      <w:r w:rsidRPr="00D05B42">
        <w:rPr>
          <w:rFonts w:ascii="Arial" w:eastAsia="Times New Roman" w:hAnsi="Arial" w:cs="Arial"/>
          <w:kern w:val="0"/>
          <w:sz w:val="22"/>
          <w:szCs w:val="22"/>
          <w:lang w:eastAsia="en-GB"/>
          <w14:ligatures w14:val="none"/>
        </w:rPr>
        <w:t xml:space="preserve">. Available at: </w:t>
      </w:r>
      <w:hyperlink r:id="rId37" w:tgtFrame="_blank" w:tooltip="www.un.org" w:history="1">
        <w:r w:rsidRPr="00D05B42">
          <w:rPr>
            <w:rFonts w:ascii="Arial" w:eastAsia="Times New Roman" w:hAnsi="Arial" w:cs="Arial"/>
            <w:color w:val="0000FF"/>
            <w:kern w:val="0"/>
            <w:sz w:val="22"/>
            <w:szCs w:val="22"/>
            <w:u w:val="single"/>
            <w:lang w:eastAsia="en-GB"/>
            <w14:ligatures w14:val="none"/>
          </w:rPr>
          <w:t>https://www.un.org</w:t>
        </w:r>
      </w:hyperlink>
      <w:r w:rsidRPr="00D05B42">
        <w:rPr>
          <w:rFonts w:ascii="Arial" w:eastAsia="Times New Roman" w:hAnsi="Arial" w:cs="Arial"/>
          <w:kern w:val="0"/>
          <w:sz w:val="22"/>
          <w:szCs w:val="22"/>
          <w:lang w:eastAsia="en-GB"/>
          <w14:ligatures w14:val="none"/>
        </w:rPr>
        <w:t xml:space="preserve"> (Accessed: 21 July 2026).</w:t>
      </w:r>
    </w:p>
    <w:p w14:paraId="1F235F96"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United Nations (2015)</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Transforming Our World: The 2030 Agenda for Sustainable Development</w:t>
      </w:r>
      <w:r w:rsidRPr="00D05B42">
        <w:rPr>
          <w:rFonts w:ascii="Arial" w:eastAsia="Times New Roman" w:hAnsi="Arial" w:cs="Arial"/>
          <w:kern w:val="0"/>
          <w:sz w:val="22"/>
          <w:szCs w:val="22"/>
          <w:lang w:eastAsia="en-GB"/>
          <w14:ligatures w14:val="none"/>
        </w:rPr>
        <w:t xml:space="preserve">. Available at: https://www.un.org/sustainabledevelopment </w:t>
      </w:r>
      <w:hyperlink r:id="rId38" w:tgtFrame="_blank" w:tooltip="www.bing.com" w:history="1">
        <w:r w:rsidRPr="00D05B42">
          <w:rPr>
            <w:rFonts w:ascii="Arial" w:eastAsia="Times New Roman" w:hAnsi="Arial" w:cs="Arial"/>
            <w:color w:val="0000FF"/>
            <w:kern w:val="0"/>
            <w:sz w:val="22"/>
            <w:szCs w:val="22"/>
            <w:u w:val="single"/>
            <w:lang w:eastAsia="en-GB"/>
            <w14:ligatures w14:val="none"/>
          </w:rPr>
          <w:t>(un.org in Bing)</w:t>
        </w:r>
      </w:hyperlink>
      <w:r w:rsidRPr="00D05B42">
        <w:rPr>
          <w:rFonts w:ascii="Arial" w:eastAsia="Times New Roman" w:hAnsi="Arial" w:cs="Arial"/>
          <w:kern w:val="0"/>
          <w:sz w:val="22"/>
          <w:szCs w:val="22"/>
          <w:lang w:eastAsia="en-GB"/>
          <w14:ligatures w14:val="none"/>
        </w:rPr>
        <w:t xml:space="preserve"> (Accessed: 25 July 2026).</w:t>
      </w:r>
    </w:p>
    <w:p w14:paraId="2B16BFE1"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United Nations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SDG 3 and SDG 13 Targets and Indicators</w:t>
      </w:r>
      <w:r w:rsidRPr="00D05B42">
        <w:rPr>
          <w:rFonts w:ascii="Arial" w:eastAsia="Times New Roman" w:hAnsi="Arial" w:cs="Arial"/>
          <w:kern w:val="0"/>
          <w:sz w:val="22"/>
          <w:szCs w:val="22"/>
          <w:lang w:eastAsia="en-GB"/>
          <w14:ligatures w14:val="none"/>
        </w:rPr>
        <w:t xml:space="preserve">. Available at: https://www.un.org/sustainabledevelopment </w:t>
      </w:r>
      <w:hyperlink r:id="rId39" w:tgtFrame="_blank" w:tooltip="www.bing.com" w:history="1">
        <w:r w:rsidRPr="00D05B42">
          <w:rPr>
            <w:rFonts w:ascii="Arial" w:eastAsia="Times New Roman" w:hAnsi="Arial" w:cs="Arial"/>
            <w:color w:val="0000FF"/>
            <w:kern w:val="0"/>
            <w:sz w:val="22"/>
            <w:szCs w:val="22"/>
            <w:u w:val="single"/>
            <w:lang w:eastAsia="en-GB"/>
            <w14:ligatures w14:val="none"/>
          </w:rPr>
          <w:t>(un.org in Bing)</w:t>
        </w:r>
      </w:hyperlink>
      <w:r w:rsidRPr="00D05B42">
        <w:rPr>
          <w:rFonts w:ascii="Arial" w:eastAsia="Times New Roman" w:hAnsi="Arial" w:cs="Arial"/>
          <w:kern w:val="0"/>
          <w:sz w:val="22"/>
          <w:szCs w:val="22"/>
          <w:lang w:eastAsia="en-GB"/>
          <w14:ligatures w14:val="none"/>
        </w:rPr>
        <w:t xml:space="preserve"> (Accessed: 23 July 2026).</w:t>
      </w:r>
    </w:p>
    <w:p w14:paraId="22CBF208"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WHO (2015)</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MDG Health Assessment Report</w:t>
      </w:r>
      <w:r w:rsidRPr="00D05B42">
        <w:rPr>
          <w:rFonts w:ascii="Arial" w:eastAsia="Times New Roman" w:hAnsi="Arial" w:cs="Arial"/>
          <w:kern w:val="0"/>
          <w:sz w:val="22"/>
          <w:szCs w:val="22"/>
          <w:lang w:eastAsia="en-GB"/>
          <w14:ligatures w14:val="none"/>
        </w:rPr>
        <w:t xml:space="preserve">. World Health Organization. Available at: </w:t>
      </w:r>
      <w:hyperlink r:id="rId40" w:tgtFrame="_blank" w:tooltip="www.who.int" w:history="1">
        <w:r w:rsidRPr="00D05B42">
          <w:rPr>
            <w:rFonts w:ascii="Arial" w:eastAsia="Times New Roman" w:hAnsi="Arial" w:cs="Arial"/>
            <w:color w:val="0000FF"/>
            <w:kern w:val="0"/>
            <w:sz w:val="22"/>
            <w:szCs w:val="22"/>
            <w:u w:val="single"/>
            <w:lang w:eastAsia="en-GB"/>
            <w14:ligatures w14:val="none"/>
          </w:rPr>
          <w:t>https://www.who.int</w:t>
        </w:r>
      </w:hyperlink>
      <w:r w:rsidRPr="00D05B42">
        <w:rPr>
          <w:rFonts w:ascii="Arial" w:eastAsia="Times New Roman" w:hAnsi="Arial" w:cs="Arial"/>
          <w:kern w:val="0"/>
          <w:sz w:val="22"/>
          <w:szCs w:val="22"/>
          <w:lang w:eastAsia="en-GB"/>
          <w14:ligatures w14:val="none"/>
        </w:rPr>
        <w:t xml:space="preserve"> (Accessed: 10 July 2026).</w:t>
      </w:r>
    </w:p>
    <w:p w14:paraId="0510E7D7"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WHO (2023)</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Climate Change and Health: Global Update</w:t>
      </w:r>
      <w:r w:rsidRPr="00D05B42">
        <w:rPr>
          <w:rFonts w:ascii="Arial" w:eastAsia="Times New Roman" w:hAnsi="Arial" w:cs="Arial"/>
          <w:kern w:val="0"/>
          <w:sz w:val="22"/>
          <w:szCs w:val="22"/>
          <w:lang w:eastAsia="en-GB"/>
          <w14:ligatures w14:val="none"/>
        </w:rPr>
        <w:t xml:space="preserve">. Available at: </w:t>
      </w:r>
      <w:hyperlink r:id="rId41" w:tgtFrame="_blank" w:tooltip="www.who.int" w:history="1">
        <w:r w:rsidRPr="00D05B42">
          <w:rPr>
            <w:rFonts w:ascii="Arial" w:eastAsia="Times New Roman" w:hAnsi="Arial" w:cs="Arial"/>
            <w:color w:val="0000FF"/>
            <w:kern w:val="0"/>
            <w:sz w:val="22"/>
            <w:szCs w:val="22"/>
            <w:u w:val="single"/>
            <w:lang w:eastAsia="en-GB"/>
            <w14:ligatures w14:val="none"/>
          </w:rPr>
          <w:t>https://www.who.int</w:t>
        </w:r>
      </w:hyperlink>
      <w:r w:rsidRPr="00D05B42">
        <w:rPr>
          <w:rFonts w:ascii="Arial" w:eastAsia="Times New Roman" w:hAnsi="Arial" w:cs="Arial"/>
          <w:kern w:val="0"/>
          <w:sz w:val="22"/>
          <w:szCs w:val="22"/>
          <w:lang w:eastAsia="en-GB"/>
          <w14:ligatures w14:val="none"/>
        </w:rPr>
        <w:t xml:space="preserve"> (Accessed: 14 July 2026).</w:t>
      </w:r>
    </w:p>
    <w:p w14:paraId="749AC8CB" w14:textId="77777777" w:rsidR="00D05B42" w:rsidRPr="00D05B42" w:rsidRDefault="00D05B42" w:rsidP="00D05B42">
      <w:pPr>
        <w:spacing w:before="100" w:beforeAutospacing="1" w:after="100" w:afterAutospacing="1" w:line="360" w:lineRule="auto"/>
        <w:rPr>
          <w:rFonts w:ascii="Arial" w:eastAsia="Times New Roman" w:hAnsi="Arial" w:cs="Arial"/>
          <w:kern w:val="0"/>
          <w:sz w:val="22"/>
          <w:szCs w:val="22"/>
          <w:lang w:eastAsia="en-GB"/>
          <w14:ligatures w14:val="none"/>
        </w:rPr>
      </w:pPr>
      <w:r w:rsidRPr="00D05B42">
        <w:rPr>
          <w:rFonts w:ascii="Arial" w:eastAsia="Times New Roman" w:hAnsi="Arial" w:cs="Arial"/>
          <w:b/>
          <w:bCs/>
          <w:kern w:val="0"/>
          <w:sz w:val="22"/>
          <w:szCs w:val="22"/>
          <w:lang w:eastAsia="en-GB"/>
          <w14:ligatures w14:val="none"/>
        </w:rPr>
        <w:t>WHO (2024)</w:t>
      </w:r>
      <w:r w:rsidRPr="00D05B42">
        <w:rPr>
          <w:rFonts w:ascii="Arial" w:eastAsia="Times New Roman" w:hAnsi="Arial" w:cs="Arial"/>
          <w:kern w:val="0"/>
          <w:sz w:val="22"/>
          <w:szCs w:val="22"/>
          <w:lang w:eastAsia="en-GB"/>
          <w14:ligatures w14:val="none"/>
        </w:rPr>
        <w:t xml:space="preserve"> </w:t>
      </w:r>
      <w:r w:rsidRPr="00D05B42">
        <w:rPr>
          <w:rFonts w:ascii="Arial" w:eastAsia="Times New Roman" w:hAnsi="Arial" w:cs="Arial"/>
          <w:i/>
          <w:iCs/>
          <w:kern w:val="0"/>
          <w:sz w:val="22"/>
          <w:szCs w:val="22"/>
          <w:lang w:eastAsia="en-GB"/>
          <w14:ligatures w14:val="none"/>
        </w:rPr>
        <w:t>SDG 3 Progress Report</w:t>
      </w:r>
      <w:r w:rsidRPr="00D05B42">
        <w:rPr>
          <w:rFonts w:ascii="Arial" w:eastAsia="Times New Roman" w:hAnsi="Arial" w:cs="Arial"/>
          <w:kern w:val="0"/>
          <w:sz w:val="22"/>
          <w:szCs w:val="22"/>
          <w:lang w:eastAsia="en-GB"/>
          <w14:ligatures w14:val="none"/>
        </w:rPr>
        <w:t xml:space="preserve">. Available at: </w:t>
      </w:r>
      <w:hyperlink r:id="rId42" w:tgtFrame="_blank" w:tooltip="www.who.int" w:history="1">
        <w:r w:rsidRPr="00D05B42">
          <w:rPr>
            <w:rFonts w:ascii="Arial" w:eastAsia="Times New Roman" w:hAnsi="Arial" w:cs="Arial"/>
            <w:color w:val="0000FF"/>
            <w:kern w:val="0"/>
            <w:sz w:val="22"/>
            <w:szCs w:val="22"/>
            <w:u w:val="single"/>
            <w:lang w:eastAsia="en-GB"/>
            <w14:ligatures w14:val="none"/>
          </w:rPr>
          <w:t>https://www.who.int</w:t>
        </w:r>
      </w:hyperlink>
      <w:r w:rsidRPr="00D05B42">
        <w:rPr>
          <w:rFonts w:ascii="Arial" w:eastAsia="Times New Roman" w:hAnsi="Arial" w:cs="Arial"/>
          <w:kern w:val="0"/>
          <w:sz w:val="22"/>
          <w:szCs w:val="22"/>
          <w:lang w:eastAsia="en-GB"/>
          <w14:ligatures w14:val="none"/>
        </w:rPr>
        <w:t xml:space="preserve"> (Accessed: 24 July 2026).</w:t>
      </w:r>
    </w:p>
    <w:p w14:paraId="0E97E249" w14:textId="77777777" w:rsidR="00D05B42" w:rsidRPr="00D05B42" w:rsidRDefault="00D05B42" w:rsidP="00D05B42">
      <w:pPr>
        <w:spacing w:line="360" w:lineRule="auto"/>
        <w:rPr>
          <w:rFonts w:ascii="Arial" w:hAnsi="Arial" w:cs="Arial"/>
          <w:b/>
          <w:bCs/>
          <w:sz w:val="22"/>
          <w:szCs w:val="22"/>
        </w:rPr>
      </w:pPr>
    </w:p>
    <w:sectPr w:rsidR="00D05B42" w:rsidRPr="00D05B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FCE32" w14:textId="77777777" w:rsidR="00435580" w:rsidRDefault="00435580" w:rsidP="009F5646">
      <w:pPr>
        <w:spacing w:after="0" w:line="240" w:lineRule="auto"/>
      </w:pPr>
      <w:r>
        <w:separator/>
      </w:r>
    </w:p>
  </w:endnote>
  <w:endnote w:type="continuationSeparator" w:id="0">
    <w:p w14:paraId="3BC217AE" w14:textId="77777777" w:rsidR="00435580" w:rsidRDefault="00435580" w:rsidP="009F5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23315" w14:textId="77777777" w:rsidR="00435580" w:rsidRDefault="00435580" w:rsidP="009F5646">
      <w:pPr>
        <w:spacing w:after="0" w:line="240" w:lineRule="auto"/>
      </w:pPr>
      <w:r>
        <w:separator/>
      </w:r>
    </w:p>
  </w:footnote>
  <w:footnote w:type="continuationSeparator" w:id="0">
    <w:p w14:paraId="2EFC2FA1" w14:textId="77777777" w:rsidR="00435580" w:rsidRDefault="00435580" w:rsidP="009F5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C55FE"/>
    <w:multiLevelType w:val="multilevel"/>
    <w:tmpl w:val="7F6E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952153"/>
    <w:multiLevelType w:val="multilevel"/>
    <w:tmpl w:val="57D04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856E98"/>
    <w:multiLevelType w:val="hybridMultilevel"/>
    <w:tmpl w:val="790C3DC0"/>
    <w:lvl w:ilvl="0" w:tplc="3EAEFF66">
      <w:start w:val="1"/>
      <w:numFmt w:val="bullet"/>
      <w:lvlText w:val=""/>
      <w:lvlJc w:val="left"/>
      <w:pPr>
        <w:ind w:left="720" w:hanging="360"/>
      </w:pPr>
      <w:rPr>
        <w:rFonts w:ascii="Symbol" w:hAnsi="Symbol" w:hint="default"/>
      </w:rPr>
    </w:lvl>
    <w:lvl w:ilvl="1" w:tplc="B330B944">
      <w:start w:val="1"/>
      <w:numFmt w:val="bullet"/>
      <w:lvlText w:val="o"/>
      <w:lvlJc w:val="left"/>
      <w:pPr>
        <w:ind w:left="1440" w:hanging="360"/>
      </w:pPr>
      <w:rPr>
        <w:rFonts w:ascii="Courier New" w:hAnsi="Courier New" w:hint="default"/>
      </w:rPr>
    </w:lvl>
    <w:lvl w:ilvl="2" w:tplc="D98EDEF4">
      <w:start w:val="1"/>
      <w:numFmt w:val="bullet"/>
      <w:lvlText w:val=""/>
      <w:lvlJc w:val="left"/>
      <w:pPr>
        <w:ind w:left="2160" w:hanging="360"/>
      </w:pPr>
      <w:rPr>
        <w:rFonts w:ascii="Wingdings" w:hAnsi="Wingdings" w:hint="default"/>
      </w:rPr>
    </w:lvl>
    <w:lvl w:ilvl="3" w:tplc="E4D4603E">
      <w:start w:val="1"/>
      <w:numFmt w:val="bullet"/>
      <w:lvlText w:val=""/>
      <w:lvlJc w:val="left"/>
      <w:pPr>
        <w:ind w:left="2880" w:hanging="360"/>
      </w:pPr>
      <w:rPr>
        <w:rFonts w:ascii="Symbol" w:hAnsi="Symbol" w:hint="default"/>
      </w:rPr>
    </w:lvl>
    <w:lvl w:ilvl="4" w:tplc="B30C6336">
      <w:start w:val="1"/>
      <w:numFmt w:val="bullet"/>
      <w:lvlText w:val="o"/>
      <w:lvlJc w:val="left"/>
      <w:pPr>
        <w:ind w:left="3600" w:hanging="360"/>
      </w:pPr>
      <w:rPr>
        <w:rFonts w:ascii="Courier New" w:hAnsi="Courier New" w:hint="default"/>
      </w:rPr>
    </w:lvl>
    <w:lvl w:ilvl="5" w:tplc="ABC4E8E4">
      <w:start w:val="1"/>
      <w:numFmt w:val="bullet"/>
      <w:lvlText w:val=""/>
      <w:lvlJc w:val="left"/>
      <w:pPr>
        <w:ind w:left="4320" w:hanging="360"/>
      </w:pPr>
      <w:rPr>
        <w:rFonts w:ascii="Wingdings" w:hAnsi="Wingdings" w:hint="default"/>
      </w:rPr>
    </w:lvl>
    <w:lvl w:ilvl="6" w:tplc="0CCADC9E">
      <w:start w:val="1"/>
      <w:numFmt w:val="bullet"/>
      <w:lvlText w:val=""/>
      <w:lvlJc w:val="left"/>
      <w:pPr>
        <w:ind w:left="5040" w:hanging="360"/>
      </w:pPr>
      <w:rPr>
        <w:rFonts w:ascii="Symbol" w:hAnsi="Symbol" w:hint="default"/>
      </w:rPr>
    </w:lvl>
    <w:lvl w:ilvl="7" w:tplc="3530C31C">
      <w:start w:val="1"/>
      <w:numFmt w:val="bullet"/>
      <w:lvlText w:val="o"/>
      <w:lvlJc w:val="left"/>
      <w:pPr>
        <w:ind w:left="5760" w:hanging="360"/>
      </w:pPr>
      <w:rPr>
        <w:rFonts w:ascii="Courier New" w:hAnsi="Courier New" w:hint="default"/>
      </w:rPr>
    </w:lvl>
    <w:lvl w:ilvl="8" w:tplc="928EDE50">
      <w:start w:val="1"/>
      <w:numFmt w:val="bullet"/>
      <w:lvlText w:val=""/>
      <w:lvlJc w:val="left"/>
      <w:pPr>
        <w:ind w:left="6480" w:hanging="360"/>
      </w:pPr>
      <w:rPr>
        <w:rFonts w:ascii="Wingdings" w:hAnsi="Wingdings" w:hint="default"/>
      </w:rPr>
    </w:lvl>
  </w:abstractNum>
  <w:num w:numId="1" w16cid:durableId="2132943228">
    <w:abstractNumId w:val="2"/>
  </w:num>
  <w:num w:numId="2" w16cid:durableId="389115057">
    <w:abstractNumId w:val="0"/>
  </w:num>
  <w:num w:numId="3" w16cid:durableId="534661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46"/>
    <w:rsid w:val="00011AE1"/>
    <w:rsid w:val="00023CF3"/>
    <w:rsid w:val="000771B8"/>
    <w:rsid w:val="00121DEC"/>
    <w:rsid w:val="00141DD7"/>
    <w:rsid w:val="001955DD"/>
    <w:rsid w:val="001A5935"/>
    <w:rsid w:val="001B372A"/>
    <w:rsid w:val="001C5181"/>
    <w:rsid w:val="001C643F"/>
    <w:rsid w:val="001D0741"/>
    <w:rsid w:val="001E3C91"/>
    <w:rsid w:val="00231B0E"/>
    <w:rsid w:val="002340E2"/>
    <w:rsid w:val="00236342"/>
    <w:rsid w:val="00256D02"/>
    <w:rsid w:val="002A52D0"/>
    <w:rsid w:val="002D2E1B"/>
    <w:rsid w:val="002D614D"/>
    <w:rsid w:val="00324308"/>
    <w:rsid w:val="00325A41"/>
    <w:rsid w:val="003260DA"/>
    <w:rsid w:val="00342905"/>
    <w:rsid w:val="003509FF"/>
    <w:rsid w:val="0037659E"/>
    <w:rsid w:val="003910BB"/>
    <w:rsid w:val="003C06A0"/>
    <w:rsid w:val="003C226B"/>
    <w:rsid w:val="003C4CE3"/>
    <w:rsid w:val="003D0DB2"/>
    <w:rsid w:val="00435580"/>
    <w:rsid w:val="00453A91"/>
    <w:rsid w:val="004829D4"/>
    <w:rsid w:val="00503E06"/>
    <w:rsid w:val="00514A1C"/>
    <w:rsid w:val="005B3B5E"/>
    <w:rsid w:val="005E037C"/>
    <w:rsid w:val="00602311"/>
    <w:rsid w:val="006423E3"/>
    <w:rsid w:val="006468FF"/>
    <w:rsid w:val="00654F99"/>
    <w:rsid w:val="006729AD"/>
    <w:rsid w:val="00691C63"/>
    <w:rsid w:val="006A1764"/>
    <w:rsid w:val="006C43E9"/>
    <w:rsid w:val="006D0542"/>
    <w:rsid w:val="006D50C1"/>
    <w:rsid w:val="006F07CC"/>
    <w:rsid w:val="00705F0F"/>
    <w:rsid w:val="00735C9C"/>
    <w:rsid w:val="00741742"/>
    <w:rsid w:val="007723D9"/>
    <w:rsid w:val="00780BF4"/>
    <w:rsid w:val="007B14C9"/>
    <w:rsid w:val="007C0F11"/>
    <w:rsid w:val="007D2CFE"/>
    <w:rsid w:val="007F2BB7"/>
    <w:rsid w:val="007F3DD6"/>
    <w:rsid w:val="00846C3F"/>
    <w:rsid w:val="00847F5D"/>
    <w:rsid w:val="008533A6"/>
    <w:rsid w:val="008D286C"/>
    <w:rsid w:val="008E6BE9"/>
    <w:rsid w:val="00915200"/>
    <w:rsid w:val="009211A6"/>
    <w:rsid w:val="00922007"/>
    <w:rsid w:val="00930F66"/>
    <w:rsid w:val="0094765F"/>
    <w:rsid w:val="00951E29"/>
    <w:rsid w:val="009A5D90"/>
    <w:rsid w:val="009A77B1"/>
    <w:rsid w:val="009D1253"/>
    <w:rsid w:val="009F5646"/>
    <w:rsid w:val="00A100C0"/>
    <w:rsid w:val="00A14026"/>
    <w:rsid w:val="00A41FAB"/>
    <w:rsid w:val="00A50908"/>
    <w:rsid w:val="00A54987"/>
    <w:rsid w:val="00A90529"/>
    <w:rsid w:val="00A92FAC"/>
    <w:rsid w:val="00AD3C4F"/>
    <w:rsid w:val="00AD685F"/>
    <w:rsid w:val="00B07230"/>
    <w:rsid w:val="00B13011"/>
    <w:rsid w:val="00B22E87"/>
    <w:rsid w:val="00B25E37"/>
    <w:rsid w:val="00B42D31"/>
    <w:rsid w:val="00B77A14"/>
    <w:rsid w:val="00B83EB9"/>
    <w:rsid w:val="00B86148"/>
    <w:rsid w:val="00BA3025"/>
    <w:rsid w:val="00BA4C06"/>
    <w:rsid w:val="00BC09ED"/>
    <w:rsid w:val="00BE3116"/>
    <w:rsid w:val="00BE4D5A"/>
    <w:rsid w:val="00C67723"/>
    <w:rsid w:val="00C81F7C"/>
    <w:rsid w:val="00C96C0E"/>
    <w:rsid w:val="00CA072A"/>
    <w:rsid w:val="00CC2ABE"/>
    <w:rsid w:val="00CD3A91"/>
    <w:rsid w:val="00CE3F19"/>
    <w:rsid w:val="00CF43D2"/>
    <w:rsid w:val="00D035E4"/>
    <w:rsid w:val="00D05B42"/>
    <w:rsid w:val="00D26021"/>
    <w:rsid w:val="00D524DD"/>
    <w:rsid w:val="00D66D51"/>
    <w:rsid w:val="00D71D0D"/>
    <w:rsid w:val="00DC06CB"/>
    <w:rsid w:val="00DD220D"/>
    <w:rsid w:val="00DD4DD6"/>
    <w:rsid w:val="00E12038"/>
    <w:rsid w:val="00E17254"/>
    <w:rsid w:val="00E84843"/>
    <w:rsid w:val="00EC163A"/>
    <w:rsid w:val="00F85463"/>
    <w:rsid w:val="00FC34E4"/>
    <w:rsid w:val="00FD7B97"/>
    <w:rsid w:val="00FE6C30"/>
    <w:rsid w:val="00FE7D4D"/>
    <w:rsid w:val="116BC47F"/>
    <w:rsid w:val="20505548"/>
    <w:rsid w:val="3265775A"/>
    <w:rsid w:val="418748DF"/>
    <w:rsid w:val="56C59143"/>
    <w:rsid w:val="647994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C142C1"/>
  <w15:chartTrackingRefBased/>
  <w15:docId w15:val="{F8F34773-2319-4F88-904D-30657CA4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5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5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646"/>
    <w:rPr>
      <w:rFonts w:eastAsiaTheme="majorEastAsia" w:cstheme="majorBidi"/>
      <w:color w:val="272727" w:themeColor="text1" w:themeTint="D8"/>
    </w:rPr>
  </w:style>
  <w:style w:type="paragraph" w:styleId="Title">
    <w:name w:val="Title"/>
    <w:basedOn w:val="Normal"/>
    <w:next w:val="Normal"/>
    <w:link w:val="TitleChar"/>
    <w:uiPriority w:val="10"/>
    <w:qFormat/>
    <w:rsid w:val="009F5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646"/>
    <w:pPr>
      <w:spacing w:before="160"/>
      <w:jc w:val="center"/>
    </w:pPr>
    <w:rPr>
      <w:i/>
      <w:iCs/>
      <w:color w:val="404040" w:themeColor="text1" w:themeTint="BF"/>
    </w:rPr>
  </w:style>
  <w:style w:type="character" w:customStyle="1" w:styleId="QuoteChar">
    <w:name w:val="Quote Char"/>
    <w:basedOn w:val="DefaultParagraphFont"/>
    <w:link w:val="Quote"/>
    <w:uiPriority w:val="29"/>
    <w:rsid w:val="009F5646"/>
    <w:rPr>
      <w:i/>
      <w:iCs/>
      <w:color w:val="404040" w:themeColor="text1" w:themeTint="BF"/>
    </w:rPr>
  </w:style>
  <w:style w:type="paragraph" w:styleId="ListParagraph">
    <w:name w:val="List Paragraph"/>
    <w:basedOn w:val="Normal"/>
    <w:uiPriority w:val="34"/>
    <w:qFormat/>
    <w:rsid w:val="009F5646"/>
    <w:pPr>
      <w:ind w:left="720"/>
      <w:contextualSpacing/>
    </w:pPr>
  </w:style>
  <w:style w:type="character" w:styleId="IntenseEmphasis">
    <w:name w:val="Intense Emphasis"/>
    <w:basedOn w:val="DefaultParagraphFont"/>
    <w:uiPriority w:val="21"/>
    <w:qFormat/>
    <w:rsid w:val="009F5646"/>
    <w:rPr>
      <w:i/>
      <w:iCs/>
      <w:color w:val="0F4761" w:themeColor="accent1" w:themeShade="BF"/>
    </w:rPr>
  </w:style>
  <w:style w:type="paragraph" w:styleId="IntenseQuote">
    <w:name w:val="Intense Quote"/>
    <w:basedOn w:val="Normal"/>
    <w:next w:val="Normal"/>
    <w:link w:val="IntenseQuoteChar"/>
    <w:uiPriority w:val="30"/>
    <w:qFormat/>
    <w:rsid w:val="009F5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646"/>
    <w:rPr>
      <w:i/>
      <w:iCs/>
      <w:color w:val="0F4761" w:themeColor="accent1" w:themeShade="BF"/>
    </w:rPr>
  </w:style>
  <w:style w:type="character" w:styleId="IntenseReference">
    <w:name w:val="Intense Reference"/>
    <w:basedOn w:val="DefaultParagraphFont"/>
    <w:uiPriority w:val="32"/>
    <w:qFormat/>
    <w:rsid w:val="009F5646"/>
    <w:rPr>
      <w:b/>
      <w:bCs/>
      <w:smallCaps/>
      <w:color w:val="0F4761" w:themeColor="accent1" w:themeShade="BF"/>
      <w:spacing w:val="5"/>
    </w:rPr>
  </w:style>
  <w:style w:type="paragraph" w:styleId="Header">
    <w:name w:val="header"/>
    <w:basedOn w:val="Normal"/>
    <w:link w:val="HeaderChar"/>
    <w:uiPriority w:val="99"/>
    <w:unhideWhenUsed/>
    <w:rsid w:val="009F5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646"/>
  </w:style>
  <w:style w:type="paragraph" w:styleId="Footer">
    <w:name w:val="footer"/>
    <w:basedOn w:val="Normal"/>
    <w:link w:val="FooterChar"/>
    <w:uiPriority w:val="99"/>
    <w:unhideWhenUsed/>
    <w:rsid w:val="009F5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646"/>
  </w:style>
  <w:style w:type="paragraph" w:styleId="NormalWeb">
    <w:name w:val="Normal (Web)"/>
    <w:basedOn w:val="Normal"/>
    <w:uiPriority w:val="99"/>
    <w:semiHidden/>
    <w:unhideWhenUsed/>
    <w:rsid w:val="003429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42905"/>
    <w:rPr>
      <w:i/>
      <w:iCs/>
    </w:rPr>
  </w:style>
  <w:style w:type="character" w:styleId="HTMLCode">
    <w:name w:val="HTML Code"/>
    <w:basedOn w:val="DefaultParagraphFont"/>
    <w:uiPriority w:val="99"/>
    <w:semiHidden/>
    <w:unhideWhenUsed/>
    <w:rsid w:val="00342905"/>
    <w:rPr>
      <w:rFonts w:ascii="Courier New" w:eastAsia="Times New Roman" w:hAnsi="Courier New" w:cs="Courier New"/>
      <w:sz w:val="20"/>
      <w:szCs w:val="20"/>
    </w:rPr>
  </w:style>
  <w:style w:type="character" w:styleId="Hyperlink">
    <w:name w:val="Hyperlink"/>
    <w:basedOn w:val="DefaultParagraphFont"/>
    <w:uiPriority w:val="99"/>
    <w:semiHidden/>
    <w:unhideWhenUsed/>
    <w:rsid w:val="00342905"/>
    <w:rPr>
      <w:color w:val="0000FF"/>
      <w:u w:val="single"/>
    </w:rPr>
  </w:style>
  <w:style w:type="character" w:styleId="Strong">
    <w:name w:val="Strong"/>
    <w:basedOn w:val="DefaultParagraphFont"/>
    <w:uiPriority w:val="22"/>
    <w:qFormat/>
    <w:rsid w:val="00D66D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22https%3A%2F%2Fwww.fao.org%2Ffood-prices%22&amp;utm_source=copilot.com" TargetMode="External"/><Relationship Id="rId18" Type="http://schemas.openxmlformats.org/officeDocument/2006/relationships/hyperlink" Target="https://www.bing.com/search?q=%22https%3A%2F%2Fwww.kingsfund.org.uk%2Fpublications%22&amp;utm_source=copilot.com" TargetMode="External"/><Relationship Id="rId26" Type="http://schemas.openxmlformats.org/officeDocument/2006/relationships/hyperlink" Target="https://www.ons.gov.uk/?utm_source=copilot.com" TargetMode="External"/><Relationship Id="rId39" Type="http://schemas.openxmlformats.org/officeDocument/2006/relationships/hyperlink" Target="https://www.bing.com/search?q=%22https%3A%2F%2Fwww.un.org%2Fsustainabledevelopment%22&amp;utm_source=copilot.com" TargetMode="External"/><Relationship Id="rId21" Type="http://schemas.openxmlformats.org/officeDocument/2006/relationships/hyperlink" Target="https://digital.nhs.uk/?utm_source=copilot.com" TargetMode="External"/><Relationship Id="rId34" Type="http://schemas.openxmlformats.org/officeDocument/2006/relationships/hyperlink" Target="https://unfccc.int/?utm_source=copilot.com" TargetMode="External"/><Relationship Id="rId42" Type="http://schemas.openxmlformats.org/officeDocument/2006/relationships/hyperlink" Target="https://www.who.int/?utm_source=copilot.com"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health.org.uk/research?utm_source=copilot.com" TargetMode="External"/><Relationship Id="rId20" Type="http://schemas.openxmlformats.org/officeDocument/2006/relationships/hyperlink" Target="https://www.london.gov.uk/ulez?utm_source=copilot.com" TargetMode="External"/><Relationship Id="rId29" Type="http://schemas.openxmlformats.org/officeDocument/2006/relationships/hyperlink" Target="https://www.gov.uk/phe?utm_source=copilot.com" TargetMode="External"/><Relationship Id="rId41" Type="http://schemas.openxmlformats.org/officeDocument/2006/relationships/hyperlink" Target="https://www.who.int/?utm_source=copilo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search?q=%22https%3A%2F%2Fwww.theccc.org.uk%2Fpublications%22&amp;utm_source=copilot.com" TargetMode="External"/><Relationship Id="rId24" Type="http://schemas.openxmlformats.org/officeDocument/2006/relationships/hyperlink" Target="https://www.england.nhs.uk/greenernhs?utm_source=copilot.com" TargetMode="External"/><Relationship Id="rId32" Type="http://schemas.openxmlformats.org/officeDocument/2006/relationships/hyperlink" Target="https://www.bing.com/search?q=%22https%3A%2F%2Fwww.gov.uk%2Fgovernment%2Fpublications%22&amp;utm_source=copilot.com" TargetMode="External"/><Relationship Id="rId37" Type="http://schemas.openxmlformats.org/officeDocument/2006/relationships/hyperlink" Target="https://www.un.org/?utm_source=copilot.com" TargetMode="External"/><Relationship Id="rId40" Type="http://schemas.openxmlformats.org/officeDocument/2006/relationships/hyperlink" Target="https://www.who.int/?utm_source=copilot.com" TargetMode="External"/><Relationship Id="rId5" Type="http://schemas.openxmlformats.org/officeDocument/2006/relationships/styles" Target="styles.xml"/><Relationship Id="rId15" Type="http://schemas.openxmlformats.org/officeDocument/2006/relationships/hyperlink" Target="https://www.bing.com/search?q=%22https%3A%2F%2Fwww.health.org.uk%2Fpublications%22&amp;utm_source=copilot.com" TargetMode="External"/><Relationship Id="rId23" Type="http://schemas.openxmlformats.org/officeDocument/2006/relationships/hyperlink" Target="https://www.bing.com/search?q=%22https%3A%2F%2Fwww.england.nhs.uk%2Fmental-health%22&amp;utm_source=copilot.com" TargetMode="External"/><Relationship Id="rId28" Type="http://schemas.openxmlformats.org/officeDocument/2006/relationships/hyperlink" Target="https://www.gov.uk/phe?utm_source=copilot.com" TargetMode="External"/><Relationship Id="rId36" Type="http://schemas.openxmlformats.org/officeDocument/2006/relationships/hyperlink" Target="https://www.un.org/?utm_source=copilot.com" TargetMode="External"/><Relationship Id="rId10" Type="http://schemas.openxmlformats.org/officeDocument/2006/relationships/hyperlink" Target="https://www.bing.com/search?q=%22https%3A%2F%2Fwww.gov.uk%2Fbeis-energy-efficiency%22&amp;utm_source=copilot.com" TargetMode="External"/><Relationship Id="rId19" Type="http://schemas.openxmlformats.org/officeDocument/2006/relationships/hyperlink" Target="https://www.instituteofhealthequity.org/?utm_source=copilot.com" TargetMode="External"/><Relationship Id="rId31" Type="http://schemas.openxmlformats.org/officeDocument/2006/relationships/hyperlink" Target="https://www.tfl.gov.uk/research?utm_source=copilot.com"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ng.com/search?q=%22https%3A%2F%2Fwww.hackney.gov.uk%2Fclimate-action%22&amp;utm_source=copilot.com" TargetMode="External"/><Relationship Id="rId22" Type="http://schemas.openxmlformats.org/officeDocument/2006/relationships/hyperlink" Target="https://www.bing.com/search?q=%22https%3A%2F%2Fwww.longtermplan.nhs.uk%2F%22&amp;utm_source=copilot.com" TargetMode="External"/><Relationship Id="rId27" Type="http://schemas.openxmlformats.org/officeDocument/2006/relationships/hyperlink" Target="https://www.ons.gov.uk/?utm_source=copilot.com" TargetMode="External"/><Relationship Id="rId30" Type="http://schemas.openxmlformats.org/officeDocument/2006/relationships/hyperlink" Target="https://www.rsph.org.uk/?utm_source=copilot.com" TargetMode="External"/><Relationship Id="rId35" Type="http://schemas.openxmlformats.org/officeDocument/2006/relationships/hyperlink" Target="https://www.un.org/desa?utm_source=copilot.com"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ing.com/search?q=%22https%3A%2F%2Fwww.gov.uk%2Fdefra-air-quality%22&amp;utm_source=copilot.com" TargetMode="External"/><Relationship Id="rId17" Type="http://schemas.openxmlformats.org/officeDocument/2006/relationships/hyperlink" Target="https://www.healthylondon.org/?utm_source=copilot.com" TargetMode="External"/><Relationship Id="rId25" Type="http://schemas.openxmlformats.org/officeDocument/2006/relationships/hyperlink" Target="https://www.ofcom.org.uk/research?utm_source=copilot.com" TargetMode="External"/><Relationship Id="rId33" Type="http://schemas.openxmlformats.org/officeDocument/2006/relationships/hyperlink" Target="https://www.gov.uk/ukhsa?utm_source=copilot.com" TargetMode="External"/><Relationship Id="rId38" Type="http://schemas.openxmlformats.org/officeDocument/2006/relationships/hyperlink" Target="https://www.bing.com/search?q=%22https%3A%2F%2Fwww.un.org%2Fsustainabledevelopment%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c5735cfd8ce9a7db78b6d31ecc3316e0">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94a2d93db1270325b3a2c7f24098ed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219B84-BAB9-49AF-9A9A-D201998AA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2D5F2-022C-42A1-B1EE-76756CA49A79}">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93B5E6E7-35A7-4CFE-9B72-9312B9463D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1501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Tamara Young (2316846)</dc:creator>
  <cp:keywords/>
  <dc:description/>
  <cp:lastModifiedBy>Tasha Tamara Young (2316846)</cp:lastModifiedBy>
  <cp:revision>75</cp:revision>
  <dcterms:created xsi:type="dcterms:W3CDTF">2026-07-23T22:08:00Z</dcterms:created>
  <dcterms:modified xsi:type="dcterms:W3CDTF">2026-07-28T11:41:00Z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