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682ED" w14:textId="77777777" w:rsidR="00BF6DE6" w:rsidRDefault="00BF6DE6" w:rsidP="00BF6DE6">
      <w:pPr>
        <w:pStyle w:val="Heading1"/>
        <w:spacing w:line="278" w:lineRule="auto"/>
        <w:jc w:val="both"/>
      </w:pPr>
      <w:bookmarkStart w:id="0" w:name="_Toc207409110"/>
      <w:bookmarkStart w:id="1" w:name="_Toc217259547"/>
      <w:r>
        <w:rPr>
          <w:noProof/>
        </w:rPr>
        <w:drawing>
          <wp:inline distT="0" distB="0" distL="0" distR="0" wp14:anchorId="5E91E18B" wp14:editId="1D866DCF">
            <wp:extent cx="3286125" cy="1352550"/>
            <wp:effectExtent l="0" t="0" r="0" b="0"/>
            <wp:docPr id="350901424" name="drawing"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01424" name=""/>
                    <pic:cNvPicPr/>
                  </pic:nvPicPr>
                  <pic:blipFill>
                    <a:blip r:embed="rId5">
                      <a:extLst>
                        <a:ext uri="{28A0092B-C50C-407E-A947-70E740481C1C}">
                          <a14:useLocalDpi xmlns:a14="http://schemas.microsoft.com/office/drawing/2010/main" val="0"/>
                        </a:ext>
                      </a:extLst>
                    </a:blip>
                    <a:stretch>
                      <a:fillRect/>
                    </a:stretch>
                  </pic:blipFill>
                  <pic:spPr>
                    <a:xfrm>
                      <a:off x="0" y="0"/>
                      <a:ext cx="3286125" cy="1352550"/>
                    </a:xfrm>
                    <a:prstGeom prst="rect">
                      <a:avLst/>
                    </a:prstGeom>
                  </pic:spPr>
                </pic:pic>
              </a:graphicData>
            </a:graphic>
          </wp:inline>
        </w:drawing>
      </w:r>
      <w:bookmarkEnd w:id="0"/>
      <w:bookmarkEnd w:id="1"/>
    </w:p>
    <w:p w14:paraId="08C9868F" w14:textId="77777777" w:rsidR="00BF6DE6" w:rsidRDefault="00BF6DE6" w:rsidP="00BF6DE6">
      <w:pPr>
        <w:spacing w:line="278" w:lineRule="auto"/>
        <w:jc w:val="both"/>
      </w:pPr>
      <w:r w:rsidRPr="05AEFE4D">
        <w:rPr>
          <w:rFonts w:ascii="Aptos" w:eastAsia="Aptos" w:hAnsi="Aptos" w:cs="Aptos"/>
          <w:sz w:val="40"/>
          <w:szCs w:val="40"/>
        </w:rPr>
        <w:t xml:space="preserve"> </w:t>
      </w:r>
    </w:p>
    <w:p w14:paraId="363BC1DD" w14:textId="77777777" w:rsidR="00BF6DE6" w:rsidRDefault="00BF6DE6" w:rsidP="00BF6DE6">
      <w:pPr>
        <w:spacing w:line="278" w:lineRule="auto"/>
        <w:jc w:val="both"/>
      </w:pPr>
      <w:r w:rsidRPr="05AEFE4D">
        <w:rPr>
          <w:rFonts w:ascii="Aptos" w:eastAsia="Aptos" w:hAnsi="Aptos" w:cs="Aptos"/>
          <w:sz w:val="40"/>
          <w:szCs w:val="40"/>
        </w:rPr>
        <w:t xml:space="preserve"> </w:t>
      </w:r>
    </w:p>
    <w:p w14:paraId="2D8911AE" w14:textId="77777777" w:rsidR="00BF6DE6" w:rsidRDefault="00BF6DE6" w:rsidP="00BF6DE6">
      <w:pPr>
        <w:spacing w:after="0" w:line="360" w:lineRule="auto"/>
        <w:jc w:val="center"/>
      </w:pPr>
      <w:r w:rsidRPr="05AEFE4D">
        <w:rPr>
          <w:rFonts w:ascii="Arial" w:eastAsia="Arial" w:hAnsi="Arial" w:cs="Arial"/>
          <w:color w:val="000000" w:themeColor="text1"/>
          <w:sz w:val="40"/>
          <w:szCs w:val="40"/>
        </w:rPr>
        <w:t xml:space="preserve">Student name: Cecile Abuzour </w:t>
      </w:r>
    </w:p>
    <w:p w14:paraId="7E78043E" w14:textId="77777777" w:rsidR="00BF6DE6" w:rsidRDefault="00BF6DE6" w:rsidP="00BF6DE6">
      <w:pPr>
        <w:spacing w:after="0" w:line="360" w:lineRule="auto"/>
        <w:jc w:val="center"/>
      </w:pPr>
      <w:r w:rsidRPr="05AEFE4D">
        <w:rPr>
          <w:rFonts w:ascii="Arial" w:eastAsia="Arial" w:hAnsi="Arial" w:cs="Arial"/>
          <w:color w:val="000000" w:themeColor="text1"/>
          <w:sz w:val="40"/>
          <w:szCs w:val="40"/>
        </w:rPr>
        <w:t>Student ID: 2218610</w:t>
      </w:r>
    </w:p>
    <w:p w14:paraId="5D47BC07" w14:textId="308F4DDD" w:rsidR="00BF6DE6" w:rsidRDefault="00BF6DE6" w:rsidP="00BF6DE6">
      <w:pPr>
        <w:spacing w:after="0" w:line="360" w:lineRule="auto"/>
        <w:jc w:val="center"/>
      </w:pPr>
      <w:r w:rsidRPr="05AEFE4D">
        <w:rPr>
          <w:rFonts w:ascii="Arial" w:eastAsia="Arial" w:hAnsi="Arial" w:cs="Arial"/>
          <w:color w:val="000000" w:themeColor="text1"/>
          <w:sz w:val="40"/>
          <w:szCs w:val="40"/>
        </w:rPr>
        <w:t xml:space="preserve">Lecturer: </w:t>
      </w:r>
      <w:r w:rsidRPr="00BF6DE6">
        <w:rPr>
          <w:rFonts w:ascii="Arial" w:eastAsia="Arial" w:hAnsi="Arial" w:cs="Arial"/>
          <w:sz w:val="40"/>
          <w:szCs w:val="40"/>
        </w:rPr>
        <w:t>Mr Afzal Munna</w:t>
      </w:r>
    </w:p>
    <w:p w14:paraId="24053BFA" w14:textId="5F085939" w:rsidR="00BF6DE6" w:rsidRDefault="00BF6DE6" w:rsidP="00BF6DE6">
      <w:pPr>
        <w:spacing w:after="0" w:line="360" w:lineRule="auto"/>
        <w:jc w:val="center"/>
      </w:pPr>
      <w:r w:rsidRPr="05AEFE4D">
        <w:rPr>
          <w:rFonts w:ascii="Arial" w:eastAsia="Arial" w:hAnsi="Arial" w:cs="Arial"/>
          <w:color w:val="000000" w:themeColor="text1"/>
          <w:sz w:val="40"/>
          <w:szCs w:val="40"/>
        </w:rPr>
        <w:t xml:space="preserve">Module Name: </w:t>
      </w:r>
      <w:r w:rsidRPr="00BF6DE6">
        <w:rPr>
          <w:rFonts w:ascii="Arial" w:eastAsia="Arial" w:hAnsi="Arial" w:cs="Arial"/>
          <w:sz w:val="40"/>
          <w:szCs w:val="40"/>
        </w:rPr>
        <w:t>international</w:t>
      </w:r>
      <w:r w:rsidRPr="00BF6DE6">
        <w:rPr>
          <w:rFonts w:ascii="Arial" w:eastAsia="Arial" w:hAnsi="Arial" w:cs="Arial"/>
          <w:sz w:val="40"/>
          <w:szCs w:val="40"/>
        </w:rPr>
        <w:t xml:space="preserve"> Business Communications</w:t>
      </w:r>
    </w:p>
    <w:p w14:paraId="77DA9AB7" w14:textId="27883A2A" w:rsidR="00BF6DE6" w:rsidRDefault="00BF6DE6" w:rsidP="00BF6DE6">
      <w:pPr>
        <w:spacing w:after="0" w:line="360" w:lineRule="auto"/>
        <w:jc w:val="center"/>
      </w:pPr>
      <w:r w:rsidRPr="05AEFE4D">
        <w:rPr>
          <w:rFonts w:ascii="Arial" w:eastAsia="Arial" w:hAnsi="Arial" w:cs="Arial"/>
          <w:color w:val="000000" w:themeColor="text1"/>
          <w:sz w:val="40"/>
          <w:szCs w:val="40"/>
        </w:rPr>
        <w:t xml:space="preserve">Module code: </w:t>
      </w:r>
      <w:r w:rsidRPr="05AEFE4D">
        <w:rPr>
          <w:rFonts w:ascii="Arial" w:eastAsia="Arial" w:hAnsi="Arial" w:cs="Arial"/>
          <w:sz w:val="40"/>
          <w:szCs w:val="40"/>
        </w:rPr>
        <w:t>LCB</w:t>
      </w:r>
      <w:r>
        <w:rPr>
          <w:rFonts w:ascii="Arial" w:eastAsia="Arial" w:hAnsi="Arial" w:cs="Arial"/>
          <w:sz w:val="40"/>
          <w:szCs w:val="40"/>
        </w:rPr>
        <w:t>B6023</w:t>
      </w:r>
    </w:p>
    <w:p w14:paraId="186E67D4" w14:textId="4FFABF05" w:rsidR="00BF6DE6" w:rsidRDefault="00BF6DE6" w:rsidP="00BF6DE6">
      <w:pPr>
        <w:spacing w:after="0" w:line="360" w:lineRule="auto"/>
        <w:jc w:val="center"/>
      </w:pPr>
      <w:r w:rsidRPr="05AEFE4D">
        <w:rPr>
          <w:rFonts w:ascii="Arial" w:eastAsia="Arial" w:hAnsi="Arial" w:cs="Arial"/>
          <w:sz w:val="40"/>
          <w:szCs w:val="40"/>
        </w:rPr>
        <w:t xml:space="preserve">Component 2: Coursework: </w:t>
      </w:r>
      <w:r w:rsidRPr="00BF6DE6">
        <w:rPr>
          <w:rFonts w:ascii="Arial" w:eastAsia="Arial" w:hAnsi="Arial" w:cs="Arial"/>
          <w:sz w:val="40"/>
          <w:szCs w:val="40"/>
        </w:rPr>
        <w:t>Essay</w:t>
      </w:r>
    </w:p>
    <w:p w14:paraId="6C41542C" w14:textId="77777777" w:rsidR="00A16303" w:rsidRDefault="00A16303" w:rsidP="00C457E5">
      <w:pPr>
        <w:pStyle w:val="Heading1"/>
      </w:pPr>
    </w:p>
    <w:p w14:paraId="3DAA193F" w14:textId="77777777" w:rsidR="00A16303" w:rsidRDefault="00A16303" w:rsidP="00C457E5">
      <w:pPr>
        <w:pStyle w:val="Heading1"/>
      </w:pPr>
    </w:p>
    <w:p w14:paraId="6771120B" w14:textId="77777777" w:rsidR="00A16303" w:rsidRDefault="00A16303" w:rsidP="00C457E5">
      <w:pPr>
        <w:pStyle w:val="Heading1"/>
      </w:pPr>
    </w:p>
    <w:p w14:paraId="374ABDAE" w14:textId="77777777" w:rsidR="00A16303" w:rsidRDefault="00A16303" w:rsidP="00C457E5">
      <w:pPr>
        <w:pStyle w:val="Heading1"/>
      </w:pPr>
    </w:p>
    <w:p w14:paraId="0A7390BE" w14:textId="77777777" w:rsidR="00A16303" w:rsidRDefault="00A16303" w:rsidP="00C457E5">
      <w:pPr>
        <w:pStyle w:val="Heading1"/>
      </w:pPr>
    </w:p>
    <w:p w14:paraId="224836FB" w14:textId="77777777" w:rsidR="00BF6DE6" w:rsidRPr="00BF6DE6" w:rsidRDefault="00BF6DE6" w:rsidP="00BF6DE6"/>
    <w:sdt>
      <w:sdtPr>
        <w:id w:val="66259433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3DB461E" w14:textId="77777777" w:rsidR="005C1A4B" w:rsidRDefault="005C1A4B">
          <w:pPr>
            <w:pStyle w:val="TOCHeading"/>
          </w:pPr>
        </w:p>
        <w:p w14:paraId="69357D1F" w14:textId="77777777" w:rsidR="005C1A4B" w:rsidRDefault="005C1A4B">
          <w:pPr>
            <w:pStyle w:val="TOCHeading"/>
          </w:pPr>
        </w:p>
        <w:p w14:paraId="66B0268B" w14:textId="77777777" w:rsidR="005C1A4B" w:rsidRDefault="005C1A4B">
          <w:pPr>
            <w:pStyle w:val="TOCHeading"/>
          </w:pPr>
        </w:p>
        <w:p w14:paraId="371F2901" w14:textId="440DF656" w:rsidR="00BF6DE6" w:rsidRDefault="00BF6DE6">
          <w:pPr>
            <w:pStyle w:val="TOCHeading"/>
          </w:pPr>
          <w:r>
            <w:t>Contents</w:t>
          </w:r>
        </w:p>
        <w:p w14:paraId="70052BD4" w14:textId="1505DE74" w:rsidR="005C1A4B" w:rsidRDefault="00BF6DE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259547" w:history="1">
            <w:r w:rsidR="005C1A4B" w:rsidRPr="007E0CCC">
              <w:rPr>
                <w:rStyle w:val="Hyperlink"/>
                <w:noProof/>
              </w:rPr>
              <w:drawing>
                <wp:inline distT="0" distB="0" distL="0" distR="0" wp14:anchorId="35A2CA71" wp14:editId="413D2C17">
                  <wp:extent cx="3286125" cy="1352550"/>
                  <wp:effectExtent l="0" t="0" r="0" b="0"/>
                  <wp:docPr id="68847145" name="drawing"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01424" name=""/>
                          <pic:cNvPicPr/>
                        </pic:nvPicPr>
                        <pic:blipFill>
                          <a:blip r:embed="rId5">
                            <a:extLst>
                              <a:ext uri="{28A0092B-C50C-407E-A947-70E740481C1C}">
                                <a14:useLocalDpi xmlns:a14="http://schemas.microsoft.com/office/drawing/2010/main" val="0"/>
                              </a:ext>
                            </a:extLst>
                          </a:blip>
                          <a:stretch>
                            <a:fillRect/>
                          </a:stretch>
                        </pic:blipFill>
                        <pic:spPr>
                          <a:xfrm>
                            <a:off x="0" y="0"/>
                            <a:ext cx="3286125" cy="1352550"/>
                          </a:xfrm>
                          <a:prstGeom prst="rect">
                            <a:avLst/>
                          </a:prstGeom>
                        </pic:spPr>
                      </pic:pic>
                    </a:graphicData>
                  </a:graphic>
                </wp:inline>
              </w:drawing>
            </w:r>
            <w:r w:rsidR="005C1A4B">
              <w:rPr>
                <w:noProof/>
                <w:webHidden/>
              </w:rPr>
              <w:tab/>
            </w:r>
            <w:r w:rsidR="005C1A4B">
              <w:rPr>
                <w:noProof/>
                <w:webHidden/>
              </w:rPr>
              <w:fldChar w:fldCharType="begin"/>
            </w:r>
            <w:r w:rsidR="005C1A4B">
              <w:rPr>
                <w:noProof/>
                <w:webHidden/>
              </w:rPr>
              <w:instrText xml:space="preserve"> PAGEREF _Toc217259547 \h </w:instrText>
            </w:r>
            <w:r w:rsidR="005C1A4B">
              <w:rPr>
                <w:noProof/>
                <w:webHidden/>
              </w:rPr>
            </w:r>
            <w:r w:rsidR="005C1A4B">
              <w:rPr>
                <w:noProof/>
                <w:webHidden/>
              </w:rPr>
              <w:fldChar w:fldCharType="separate"/>
            </w:r>
            <w:r w:rsidR="005C1A4B">
              <w:rPr>
                <w:noProof/>
                <w:webHidden/>
              </w:rPr>
              <w:t>1</w:t>
            </w:r>
            <w:r w:rsidR="005C1A4B">
              <w:rPr>
                <w:noProof/>
                <w:webHidden/>
              </w:rPr>
              <w:fldChar w:fldCharType="end"/>
            </w:r>
          </w:hyperlink>
        </w:p>
        <w:p w14:paraId="116F560F" w14:textId="6674B9C4" w:rsidR="005C1A4B" w:rsidRDefault="005C1A4B">
          <w:pPr>
            <w:pStyle w:val="TOC1"/>
            <w:tabs>
              <w:tab w:val="right" w:leader="dot" w:pos="9016"/>
            </w:tabs>
            <w:rPr>
              <w:rFonts w:eastAsiaTheme="minorEastAsia"/>
              <w:noProof/>
              <w:sz w:val="24"/>
              <w:szCs w:val="24"/>
              <w:lang w:eastAsia="en-GB"/>
            </w:rPr>
          </w:pPr>
          <w:hyperlink w:anchor="_Toc217259548" w:history="1">
            <w:r w:rsidRPr="007E0CCC">
              <w:rPr>
                <w:rStyle w:val="Hyperlink"/>
                <w:noProof/>
              </w:rPr>
              <w:t>Introduction</w:t>
            </w:r>
            <w:r>
              <w:rPr>
                <w:noProof/>
                <w:webHidden/>
              </w:rPr>
              <w:tab/>
            </w:r>
            <w:r>
              <w:rPr>
                <w:noProof/>
                <w:webHidden/>
              </w:rPr>
              <w:fldChar w:fldCharType="begin"/>
            </w:r>
            <w:r>
              <w:rPr>
                <w:noProof/>
                <w:webHidden/>
              </w:rPr>
              <w:instrText xml:space="preserve"> PAGEREF _Toc217259548 \h </w:instrText>
            </w:r>
            <w:r>
              <w:rPr>
                <w:noProof/>
                <w:webHidden/>
              </w:rPr>
            </w:r>
            <w:r>
              <w:rPr>
                <w:noProof/>
                <w:webHidden/>
              </w:rPr>
              <w:fldChar w:fldCharType="separate"/>
            </w:r>
            <w:r>
              <w:rPr>
                <w:noProof/>
                <w:webHidden/>
              </w:rPr>
              <w:t>3</w:t>
            </w:r>
            <w:r>
              <w:rPr>
                <w:noProof/>
                <w:webHidden/>
              </w:rPr>
              <w:fldChar w:fldCharType="end"/>
            </w:r>
          </w:hyperlink>
        </w:p>
        <w:p w14:paraId="7745429B" w14:textId="63CA8585" w:rsidR="005C1A4B" w:rsidRDefault="005C1A4B">
          <w:pPr>
            <w:pStyle w:val="TOC1"/>
            <w:tabs>
              <w:tab w:val="right" w:leader="dot" w:pos="9016"/>
            </w:tabs>
            <w:rPr>
              <w:rFonts w:eastAsiaTheme="minorEastAsia"/>
              <w:noProof/>
              <w:sz w:val="24"/>
              <w:szCs w:val="24"/>
              <w:lang w:eastAsia="en-GB"/>
            </w:rPr>
          </w:pPr>
          <w:hyperlink w:anchor="_Toc217259549" w:history="1">
            <w:r w:rsidRPr="007E0CCC">
              <w:rPr>
                <w:rStyle w:val="Hyperlink"/>
                <w:noProof/>
              </w:rPr>
              <w:t>Literature Review:</w:t>
            </w:r>
            <w:r>
              <w:rPr>
                <w:noProof/>
                <w:webHidden/>
              </w:rPr>
              <w:tab/>
            </w:r>
            <w:r>
              <w:rPr>
                <w:noProof/>
                <w:webHidden/>
              </w:rPr>
              <w:fldChar w:fldCharType="begin"/>
            </w:r>
            <w:r>
              <w:rPr>
                <w:noProof/>
                <w:webHidden/>
              </w:rPr>
              <w:instrText xml:space="preserve"> PAGEREF _Toc217259549 \h </w:instrText>
            </w:r>
            <w:r>
              <w:rPr>
                <w:noProof/>
                <w:webHidden/>
              </w:rPr>
            </w:r>
            <w:r>
              <w:rPr>
                <w:noProof/>
                <w:webHidden/>
              </w:rPr>
              <w:fldChar w:fldCharType="separate"/>
            </w:r>
            <w:r>
              <w:rPr>
                <w:noProof/>
                <w:webHidden/>
              </w:rPr>
              <w:t>3</w:t>
            </w:r>
            <w:r>
              <w:rPr>
                <w:noProof/>
                <w:webHidden/>
              </w:rPr>
              <w:fldChar w:fldCharType="end"/>
            </w:r>
          </w:hyperlink>
        </w:p>
        <w:p w14:paraId="37192740" w14:textId="6E23B696" w:rsidR="005C1A4B" w:rsidRDefault="005C1A4B">
          <w:pPr>
            <w:pStyle w:val="TOC2"/>
            <w:tabs>
              <w:tab w:val="right" w:leader="dot" w:pos="9016"/>
            </w:tabs>
            <w:rPr>
              <w:rFonts w:eastAsiaTheme="minorEastAsia"/>
              <w:noProof/>
              <w:sz w:val="24"/>
              <w:szCs w:val="24"/>
              <w:lang w:eastAsia="en-GB"/>
            </w:rPr>
          </w:pPr>
          <w:hyperlink w:anchor="_Toc217259550" w:history="1">
            <w:r w:rsidRPr="007E0CCC">
              <w:rPr>
                <w:rStyle w:val="Hyperlink"/>
                <w:noProof/>
              </w:rPr>
              <w:t>Beyond Cultural Blueprints</w:t>
            </w:r>
            <w:r>
              <w:rPr>
                <w:noProof/>
                <w:webHidden/>
              </w:rPr>
              <w:tab/>
            </w:r>
            <w:r>
              <w:rPr>
                <w:noProof/>
                <w:webHidden/>
              </w:rPr>
              <w:fldChar w:fldCharType="begin"/>
            </w:r>
            <w:r>
              <w:rPr>
                <w:noProof/>
                <w:webHidden/>
              </w:rPr>
              <w:instrText xml:space="preserve"> PAGEREF _Toc217259550 \h </w:instrText>
            </w:r>
            <w:r>
              <w:rPr>
                <w:noProof/>
                <w:webHidden/>
              </w:rPr>
            </w:r>
            <w:r>
              <w:rPr>
                <w:noProof/>
                <w:webHidden/>
              </w:rPr>
              <w:fldChar w:fldCharType="separate"/>
            </w:r>
            <w:r>
              <w:rPr>
                <w:noProof/>
                <w:webHidden/>
              </w:rPr>
              <w:t>3</w:t>
            </w:r>
            <w:r>
              <w:rPr>
                <w:noProof/>
                <w:webHidden/>
              </w:rPr>
              <w:fldChar w:fldCharType="end"/>
            </w:r>
          </w:hyperlink>
        </w:p>
        <w:p w14:paraId="5B038E4D" w14:textId="5BB4403D" w:rsidR="005C1A4B" w:rsidRDefault="005C1A4B">
          <w:pPr>
            <w:pStyle w:val="TOC2"/>
            <w:tabs>
              <w:tab w:val="right" w:leader="dot" w:pos="9016"/>
            </w:tabs>
            <w:rPr>
              <w:rFonts w:eastAsiaTheme="minorEastAsia"/>
              <w:noProof/>
              <w:sz w:val="24"/>
              <w:szCs w:val="24"/>
              <w:lang w:eastAsia="en-GB"/>
            </w:rPr>
          </w:pPr>
          <w:hyperlink w:anchor="_Toc217259551" w:history="1">
            <w:r w:rsidRPr="007E0CCC">
              <w:rPr>
                <w:rStyle w:val="Hyperlink"/>
                <w:noProof/>
              </w:rPr>
              <w:t>Unravelling the Renault-Nissan Enigma:</w:t>
            </w:r>
            <w:r>
              <w:rPr>
                <w:noProof/>
                <w:webHidden/>
              </w:rPr>
              <w:tab/>
            </w:r>
            <w:r>
              <w:rPr>
                <w:noProof/>
                <w:webHidden/>
              </w:rPr>
              <w:fldChar w:fldCharType="begin"/>
            </w:r>
            <w:r>
              <w:rPr>
                <w:noProof/>
                <w:webHidden/>
              </w:rPr>
              <w:instrText xml:space="preserve"> PAGEREF _Toc217259551 \h </w:instrText>
            </w:r>
            <w:r>
              <w:rPr>
                <w:noProof/>
                <w:webHidden/>
              </w:rPr>
            </w:r>
            <w:r>
              <w:rPr>
                <w:noProof/>
                <w:webHidden/>
              </w:rPr>
              <w:fldChar w:fldCharType="separate"/>
            </w:r>
            <w:r>
              <w:rPr>
                <w:noProof/>
                <w:webHidden/>
              </w:rPr>
              <w:t>4</w:t>
            </w:r>
            <w:r>
              <w:rPr>
                <w:noProof/>
                <w:webHidden/>
              </w:rPr>
              <w:fldChar w:fldCharType="end"/>
            </w:r>
          </w:hyperlink>
        </w:p>
        <w:p w14:paraId="327707D3" w14:textId="0B72C16E" w:rsidR="005C1A4B" w:rsidRDefault="005C1A4B">
          <w:pPr>
            <w:pStyle w:val="TOC2"/>
            <w:tabs>
              <w:tab w:val="right" w:leader="dot" w:pos="9016"/>
            </w:tabs>
            <w:rPr>
              <w:rFonts w:eastAsiaTheme="minorEastAsia"/>
              <w:noProof/>
              <w:sz w:val="24"/>
              <w:szCs w:val="24"/>
              <w:lang w:eastAsia="en-GB"/>
            </w:rPr>
          </w:pPr>
          <w:hyperlink w:anchor="_Toc217259552" w:history="1">
            <w:r w:rsidRPr="007E0CCC">
              <w:rPr>
                <w:rStyle w:val="Hyperlink"/>
                <w:noProof/>
              </w:rPr>
              <w:t>The Limits of Cultural Models</w:t>
            </w:r>
            <w:r>
              <w:rPr>
                <w:noProof/>
                <w:webHidden/>
              </w:rPr>
              <w:tab/>
            </w:r>
            <w:r>
              <w:rPr>
                <w:noProof/>
                <w:webHidden/>
              </w:rPr>
              <w:fldChar w:fldCharType="begin"/>
            </w:r>
            <w:r>
              <w:rPr>
                <w:noProof/>
                <w:webHidden/>
              </w:rPr>
              <w:instrText xml:space="preserve"> PAGEREF _Toc217259552 \h </w:instrText>
            </w:r>
            <w:r>
              <w:rPr>
                <w:noProof/>
                <w:webHidden/>
              </w:rPr>
            </w:r>
            <w:r>
              <w:rPr>
                <w:noProof/>
                <w:webHidden/>
              </w:rPr>
              <w:fldChar w:fldCharType="separate"/>
            </w:r>
            <w:r>
              <w:rPr>
                <w:noProof/>
                <w:webHidden/>
              </w:rPr>
              <w:t>5</w:t>
            </w:r>
            <w:r>
              <w:rPr>
                <w:noProof/>
                <w:webHidden/>
              </w:rPr>
              <w:fldChar w:fldCharType="end"/>
            </w:r>
          </w:hyperlink>
        </w:p>
        <w:p w14:paraId="1B73FA0E" w14:textId="0139547B" w:rsidR="005C1A4B" w:rsidRDefault="005C1A4B">
          <w:pPr>
            <w:pStyle w:val="TOC2"/>
            <w:tabs>
              <w:tab w:val="right" w:leader="dot" w:pos="9016"/>
            </w:tabs>
            <w:rPr>
              <w:rFonts w:eastAsiaTheme="minorEastAsia"/>
              <w:noProof/>
              <w:sz w:val="24"/>
              <w:szCs w:val="24"/>
              <w:lang w:eastAsia="en-GB"/>
            </w:rPr>
          </w:pPr>
          <w:hyperlink w:anchor="_Toc217259553" w:history="1">
            <w:r w:rsidRPr="007E0CCC">
              <w:rPr>
                <w:rStyle w:val="Hyperlink"/>
                <w:noProof/>
              </w:rPr>
              <w:t>The Ghosn Paradox: Cultural Bridge or Narcissistic Imperialist?</w:t>
            </w:r>
            <w:r>
              <w:rPr>
                <w:noProof/>
                <w:webHidden/>
              </w:rPr>
              <w:tab/>
            </w:r>
            <w:r>
              <w:rPr>
                <w:noProof/>
                <w:webHidden/>
              </w:rPr>
              <w:fldChar w:fldCharType="begin"/>
            </w:r>
            <w:r>
              <w:rPr>
                <w:noProof/>
                <w:webHidden/>
              </w:rPr>
              <w:instrText xml:space="preserve"> PAGEREF _Toc217259553 \h </w:instrText>
            </w:r>
            <w:r>
              <w:rPr>
                <w:noProof/>
                <w:webHidden/>
              </w:rPr>
            </w:r>
            <w:r>
              <w:rPr>
                <w:noProof/>
                <w:webHidden/>
              </w:rPr>
              <w:fldChar w:fldCharType="separate"/>
            </w:r>
            <w:r>
              <w:rPr>
                <w:noProof/>
                <w:webHidden/>
              </w:rPr>
              <w:t>5</w:t>
            </w:r>
            <w:r>
              <w:rPr>
                <w:noProof/>
                <w:webHidden/>
              </w:rPr>
              <w:fldChar w:fldCharType="end"/>
            </w:r>
          </w:hyperlink>
        </w:p>
        <w:p w14:paraId="4B4C9ABD" w14:textId="088F4EEB" w:rsidR="005C1A4B" w:rsidRDefault="005C1A4B">
          <w:pPr>
            <w:pStyle w:val="TOC2"/>
            <w:tabs>
              <w:tab w:val="right" w:leader="dot" w:pos="9016"/>
            </w:tabs>
            <w:rPr>
              <w:rFonts w:eastAsiaTheme="minorEastAsia"/>
              <w:noProof/>
              <w:sz w:val="24"/>
              <w:szCs w:val="24"/>
              <w:lang w:eastAsia="en-GB"/>
            </w:rPr>
          </w:pPr>
          <w:hyperlink w:anchor="_Toc217259554" w:history="1">
            <w:r w:rsidRPr="007E0CCC">
              <w:rPr>
                <w:rStyle w:val="Hyperlink"/>
                <w:noProof/>
              </w:rPr>
              <w:t>The "Non-Merger" Dilemma</w:t>
            </w:r>
            <w:r>
              <w:rPr>
                <w:noProof/>
                <w:webHidden/>
              </w:rPr>
              <w:tab/>
            </w:r>
            <w:r>
              <w:rPr>
                <w:noProof/>
                <w:webHidden/>
              </w:rPr>
              <w:fldChar w:fldCharType="begin"/>
            </w:r>
            <w:r>
              <w:rPr>
                <w:noProof/>
                <w:webHidden/>
              </w:rPr>
              <w:instrText xml:space="preserve"> PAGEREF _Toc217259554 \h </w:instrText>
            </w:r>
            <w:r>
              <w:rPr>
                <w:noProof/>
                <w:webHidden/>
              </w:rPr>
            </w:r>
            <w:r>
              <w:rPr>
                <w:noProof/>
                <w:webHidden/>
              </w:rPr>
              <w:fldChar w:fldCharType="separate"/>
            </w:r>
            <w:r>
              <w:rPr>
                <w:noProof/>
                <w:webHidden/>
              </w:rPr>
              <w:t>6</w:t>
            </w:r>
            <w:r>
              <w:rPr>
                <w:noProof/>
                <w:webHidden/>
              </w:rPr>
              <w:fldChar w:fldCharType="end"/>
            </w:r>
          </w:hyperlink>
        </w:p>
        <w:p w14:paraId="54D93294" w14:textId="4EBDAE54" w:rsidR="005C1A4B" w:rsidRDefault="005C1A4B">
          <w:pPr>
            <w:pStyle w:val="TOC1"/>
            <w:tabs>
              <w:tab w:val="right" w:leader="dot" w:pos="9016"/>
            </w:tabs>
            <w:rPr>
              <w:rFonts w:eastAsiaTheme="minorEastAsia"/>
              <w:noProof/>
              <w:sz w:val="24"/>
              <w:szCs w:val="24"/>
              <w:lang w:eastAsia="en-GB"/>
            </w:rPr>
          </w:pPr>
          <w:hyperlink w:anchor="_Toc217259555" w:history="1">
            <w:r w:rsidRPr="007E0CCC">
              <w:rPr>
                <w:rStyle w:val="Hyperlink"/>
                <w:noProof/>
              </w:rPr>
              <w:t>Conclusion</w:t>
            </w:r>
            <w:r>
              <w:rPr>
                <w:noProof/>
                <w:webHidden/>
              </w:rPr>
              <w:tab/>
            </w:r>
            <w:r>
              <w:rPr>
                <w:noProof/>
                <w:webHidden/>
              </w:rPr>
              <w:fldChar w:fldCharType="begin"/>
            </w:r>
            <w:r>
              <w:rPr>
                <w:noProof/>
                <w:webHidden/>
              </w:rPr>
              <w:instrText xml:space="preserve"> PAGEREF _Toc217259555 \h </w:instrText>
            </w:r>
            <w:r>
              <w:rPr>
                <w:noProof/>
                <w:webHidden/>
              </w:rPr>
            </w:r>
            <w:r>
              <w:rPr>
                <w:noProof/>
                <w:webHidden/>
              </w:rPr>
              <w:fldChar w:fldCharType="separate"/>
            </w:r>
            <w:r>
              <w:rPr>
                <w:noProof/>
                <w:webHidden/>
              </w:rPr>
              <w:t>6</w:t>
            </w:r>
            <w:r>
              <w:rPr>
                <w:noProof/>
                <w:webHidden/>
              </w:rPr>
              <w:fldChar w:fldCharType="end"/>
            </w:r>
          </w:hyperlink>
        </w:p>
        <w:p w14:paraId="2B764384" w14:textId="684A8381" w:rsidR="005C1A4B" w:rsidRDefault="005C1A4B">
          <w:pPr>
            <w:pStyle w:val="TOC1"/>
            <w:tabs>
              <w:tab w:val="right" w:leader="dot" w:pos="9016"/>
            </w:tabs>
            <w:rPr>
              <w:rFonts w:eastAsiaTheme="minorEastAsia"/>
              <w:noProof/>
              <w:sz w:val="24"/>
              <w:szCs w:val="24"/>
              <w:lang w:eastAsia="en-GB"/>
            </w:rPr>
          </w:pPr>
          <w:hyperlink w:anchor="_Toc217259556" w:history="1">
            <w:r w:rsidRPr="007E0CCC">
              <w:rPr>
                <w:rStyle w:val="Hyperlink"/>
                <w:noProof/>
              </w:rPr>
              <w:t>References</w:t>
            </w:r>
            <w:r>
              <w:rPr>
                <w:noProof/>
                <w:webHidden/>
              </w:rPr>
              <w:tab/>
            </w:r>
            <w:r>
              <w:rPr>
                <w:noProof/>
                <w:webHidden/>
              </w:rPr>
              <w:fldChar w:fldCharType="begin"/>
            </w:r>
            <w:r>
              <w:rPr>
                <w:noProof/>
                <w:webHidden/>
              </w:rPr>
              <w:instrText xml:space="preserve"> PAGEREF _Toc217259556 \h </w:instrText>
            </w:r>
            <w:r>
              <w:rPr>
                <w:noProof/>
                <w:webHidden/>
              </w:rPr>
            </w:r>
            <w:r>
              <w:rPr>
                <w:noProof/>
                <w:webHidden/>
              </w:rPr>
              <w:fldChar w:fldCharType="separate"/>
            </w:r>
            <w:r>
              <w:rPr>
                <w:noProof/>
                <w:webHidden/>
              </w:rPr>
              <w:t>7</w:t>
            </w:r>
            <w:r>
              <w:rPr>
                <w:noProof/>
                <w:webHidden/>
              </w:rPr>
              <w:fldChar w:fldCharType="end"/>
            </w:r>
          </w:hyperlink>
        </w:p>
        <w:p w14:paraId="47E9CD7D" w14:textId="7308DA12" w:rsidR="00BF6DE6" w:rsidRDefault="00BF6DE6">
          <w:pPr>
            <w:rPr>
              <w:b/>
              <w:bCs/>
            </w:rPr>
          </w:pPr>
          <w:r>
            <w:rPr>
              <w:b/>
              <w:bCs/>
            </w:rPr>
            <w:fldChar w:fldCharType="end"/>
          </w:r>
        </w:p>
        <w:p w14:paraId="2ADDA754" w14:textId="77777777" w:rsidR="00BF6DE6" w:rsidRDefault="00BF6DE6"/>
        <w:p w14:paraId="1F23058B" w14:textId="77777777" w:rsidR="00BF6DE6" w:rsidRDefault="00BF6DE6"/>
        <w:p w14:paraId="7B6E7989" w14:textId="77777777" w:rsidR="00BF6DE6" w:rsidRDefault="00BF6DE6"/>
        <w:p w14:paraId="300373A3" w14:textId="77777777" w:rsidR="00BF6DE6" w:rsidRDefault="00BF6DE6"/>
        <w:p w14:paraId="09EB75D7" w14:textId="77777777" w:rsidR="00BF6DE6" w:rsidRDefault="00BF6DE6"/>
        <w:p w14:paraId="127360D3" w14:textId="77777777" w:rsidR="00BF6DE6" w:rsidRDefault="00BF6DE6"/>
        <w:p w14:paraId="5C3AA637" w14:textId="77777777" w:rsidR="00BF6DE6" w:rsidRDefault="00BF6DE6"/>
        <w:p w14:paraId="25276BF6" w14:textId="77777777" w:rsidR="00BF6DE6" w:rsidRDefault="00BF6DE6"/>
        <w:p w14:paraId="7588A038" w14:textId="77777777" w:rsidR="00BF6DE6" w:rsidRDefault="00BF6DE6"/>
        <w:p w14:paraId="250DC1A5" w14:textId="77777777" w:rsidR="00BF6DE6" w:rsidRDefault="00BF6DE6"/>
        <w:p w14:paraId="44581A9A" w14:textId="77777777" w:rsidR="00BF6DE6" w:rsidRDefault="00BF6DE6"/>
        <w:p w14:paraId="68EF3ABB" w14:textId="77777777" w:rsidR="00BF6DE6" w:rsidRDefault="00BF6DE6"/>
        <w:p w14:paraId="533CB0A9" w14:textId="77777777" w:rsidR="00BF6DE6" w:rsidRDefault="00BF6DE6"/>
        <w:p w14:paraId="1F20AB77" w14:textId="0DA3DDFC" w:rsidR="00BF6DE6" w:rsidRDefault="00BF6DE6" w:rsidP="005C1A4B"/>
      </w:sdtContent>
    </w:sdt>
    <w:p w14:paraId="26777E99" w14:textId="77777777" w:rsidR="00B85EC1" w:rsidRDefault="00B85EC1" w:rsidP="00B85EC1"/>
    <w:p w14:paraId="7FDF6D45" w14:textId="5A52374F" w:rsidR="00C457E5" w:rsidRPr="00C457E5" w:rsidRDefault="00C457E5" w:rsidP="00C457E5">
      <w:pPr>
        <w:pStyle w:val="Heading1"/>
      </w:pPr>
      <w:bookmarkStart w:id="2" w:name="_Toc217259548"/>
      <w:r w:rsidRPr="00C457E5">
        <w:t>Introduction</w:t>
      </w:r>
      <w:bookmarkEnd w:id="2"/>
      <w:r w:rsidRPr="00C457E5">
        <w:t xml:space="preserve"> </w:t>
      </w:r>
    </w:p>
    <w:p w14:paraId="140893EC" w14:textId="77777777" w:rsidR="00C457E5" w:rsidRDefault="00C457E5"/>
    <w:p w14:paraId="3DC52CA7" w14:textId="77777777" w:rsidR="00C457E5" w:rsidRPr="00C457E5" w:rsidRDefault="00C457E5" w:rsidP="00A16303">
      <w:pPr>
        <w:spacing w:line="240" w:lineRule="auto"/>
        <w:jc w:val="both"/>
        <w:rPr>
          <w:rFonts w:ascii="Arial" w:hAnsi="Arial" w:cs="Arial"/>
          <w:sz w:val="24"/>
          <w:szCs w:val="24"/>
        </w:rPr>
      </w:pPr>
      <w:r w:rsidRPr="00C457E5">
        <w:rPr>
          <w:rFonts w:ascii="Arial" w:hAnsi="Arial" w:cs="Arial"/>
          <w:sz w:val="24"/>
          <w:szCs w:val="24"/>
        </w:rPr>
        <w:t xml:space="preserve">In the grand tapestry of globalization, international partnerships have long been touted as panaceas for scaling growth and fostering synergies. Yet beneath their veneer of logic lies a tangled web of complexities waiting to ensnare even the most seemingly well-intentioned collaborations. Few exemplify this phenomenon better than the storied Renault-Nissan alliance, forged in 1999 amidst great fanfare and destined to become a defining case study at Harvard Business School. What began as a triumphant tale of corporate revival soon morphed into a catastrophic cautionary tale marked by the dramatic downfall of its former CEO. As one navigates the labyrinthine twists and turns of this saga, it becomes increasingly evident that simplistic appeals to national cultural biases merely scratch the surface of a far more intricate narrative. Beneath the façade of cultural differences lies a maelstrom of conflicting interests, priorities and governing </w:t>
      </w:r>
      <w:r w:rsidRPr="00C457E5">
        <w:rPr>
          <w:rFonts w:ascii="Arial" w:hAnsi="Arial" w:cs="Arial"/>
          <w:sz w:val="24"/>
          <w:szCs w:val="24"/>
        </w:rPr>
        <w:t>principles - a</w:t>
      </w:r>
      <w:r w:rsidRPr="00C457E5">
        <w:rPr>
          <w:rFonts w:ascii="Arial" w:hAnsi="Arial" w:cs="Arial"/>
          <w:sz w:val="24"/>
          <w:szCs w:val="24"/>
        </w:rPr>
        <w:t xml:space="preserve"> veritable storm system that defies reduction to tired tropes of East meets West. </w:t>
      </w:r>
    </w:p>
    <w:p w14:paraId="3554736D" w14:textId="21A9DD4E" w:rsidR="00395B45" w:rsidRPr="00C457E5" w:rsidRDefault="00C457E5" w:rsidP="00C457E5">
      <w:pPr>
        <w:jc w:val="both"/>
        <w:rPr>
          <w:rFonts w:ascii="Arial" w:hAnsi="Arial" w:cs="Arial"/>
          <w:sz w:val="24"/>
          <w:szCs w:val="24"/>
        </w:rPr>
      </w:pPr>
      <w:r w:rsidRPr="00C457E5">
        <w:rPr>
          <w:rFonts w:ascii="Arial" w:hAnsi="Arial" w:cs="Arial"/>
          <w:sz w:val="24"/>
          <w:szCs w:val="24"/>
        </w:rPr>
        <w:t xml:space="preserve">Through a critical examination of the Renault-Nissan partnership, this essay sets out to confront the myths surrounding cross-border collaborations head-on, probing the very fabric of their sustainability. Can we truly attribute the triumphs and tribulations of such </w:t>
      </w:r>
      <w:r w:rsidRPr="00C457E5">
        <w:rPr>
          <w:rFonts w:ascii="Arial" w:hAnsi="Arial" w:cs="Arial"/>
          <w:sz w:val="24"/>
          <w:szCs w:val="24"/>
        </w:rPr>
        <w:t>endeavours</w:t>
      </w:r>
      <w:r w:rsidRPr="00C457E5">
        <w:rPr>
          <w:rFonts w:ascii="Arial" w:hAnsi="Arial" w:cs="Arial"/>
          <w:sz w:val="24"/>
          <w:szCs w:val="24"/>
        </w:rPr>
        <w:t xml:space="preserve"> solely to divergent cultural backgrounds? Or do deeper, far more insidious factors come into </w:t>
      </w:r>
      <w:r w:rsidRPr="00C457E5">
        <w:rPr>
          <w:rFonts w:ascii="Arial" w:hAnsi="Arial" w:cs="Arial"/>
          <w:sz w:val="24"/>
          <w:szCs w:val="24"/>
        </w:rPr>
        <w:t>play namely</w:t>
      </w:r>
      <w:r w:rsidRPr="00C457E5">
        <w:rPr>
          <w:rFonts w:ascii="Arial" w:hAnsi="Arial" w:cs="Arial"/>
          <w:sz w:val="24"/>
          <w:szCs w:val="24"/>
        </w:rPr>
        <w:t xml:space="preserve">, the calcification of entrenched power dynamics and the fundamental contradictions arising from overly ambitious governance constructs? In challenging the prevailing wisdom on cross-cultural exchange, this analysis seeks to reveal a stark truth: behind the smokescreen of nationalism lies a far more sobering reality of systemic failures and strategic missteps, which only now begin to take </w:t>
      </w:r>
      <w:r w:rsidRPr="00C457E5">
        <w:rPr>
          <w:rFonts w:ascii="Arial" w:hAnsi="Arial" w:cs="Arial"/>
          <w:sz w:val="24"/>
          <w:szCs w:val="24"/>
        </w:rPr>
        <w:t>centre</w:t>
      </w:r>
      <w:r w:rsidRPr="00C457E5">
        <w:rPr>
          <w:rFonts w:ascii="Arial" w:hAnsi="Arial" w:cs="Arial"/>
          <w:sz w:val="24"/>
          <w:szCs w:val="24"/>
        </w:rPr>
        <w:t xml:space="preserve"> stage.</w:t>
      </w:r>
    </w:p>
    <w:p w14:paraId="4BED337A" w14:textId="087155C3" w:rsidR="00C457E5" w:rsidRPr="00C457E5" w:rsidRDefault="00C457E5" w:rsidP="00C457E5">
      <w:pPr>
        <w:pStyle w:val="Heading1"/>
      </w:pPr>
      <w:bookmarkStart w:id="3" w:name="_Toc217259549"/>
      <w:r w:rsidRPr="00C457E5">
        <w:t>Literature Review:</w:t>
      </w:r>
      <w:bookmarkEnd w:id="3"/>
      <w:r w:rsidRPr="00C457E5">
        <w:t xml:space="preserve"> </w:t>
      </w:r>
    </w:p>
    <w:p w14:paraId="06AE62C2" w14:textId="5FD6BBBD" w:rsidR="00C457E5" w:rsidRDefault="00C457E5" w:rsidP="00C457E5">
      <w:pPr>
        <w:pStyle w:val="Heading2"/>
      </w:pPr>
      <w:bookmarkStart w:id="4" w:name="_Toc217259550"/>
      <w:r>
        <w:t>Beyond Cultural Blueprints</w:t>
      </w:r>
      <w:bookmarkEnd w:id="4"/>
    </w:p>
    <w:p w14:paraId="1E90B3D8" w14:textId="77777777" w:rsidR="00815241" w:rsidRPr="00A16303" w:rsidRDefault="005E2B64" w:rsidP="00A16303">
      <w:pPr>
        <w:spacing w:line="240" w:lineRule="auto"/>
        <w:rPr>
          <w:rFonts w:ascii="Arial" w:hAnsi="Arial" w:cs="Arial"/>
          <w:sz w:val="24"/>
          <w:szCs w:val="24"/>
        </w:rPr>
      </w:pPr>
      <w:r w:rsidRPr="00A16303">
        <w:rPr>
          <w:rFonts w:ascii="Arial" w:hAnsi="Arial" w:cs="Arial"/>
          <w:sz w:val="24"/>
          <w:szCs w:val="24"/>
        </w:rPr>
        <w:t xml:space="preserve">In the labyrinthine landscape of intercultural business interactions, a multitude of theoretical frameworks vie for primacy. Among them stands out Geert Hofstede's magnum </w:t>
      </w:r>
      <w:r w:rsidR="00815241" w:rsidRPr="00A16303">
        <w:rPr>
          <w:rFonts w:ascii="Arial" w:hAnsi="Arial" w:cs="Arial"/>
          <w:sz w:val="24"/>
          <w:szCs w:val="24"/>
        </w:rPr>
        <w:t>work his</w:t>
      </w:r>
      <w:r w:rsidRPr="00A16303">
        <w:rPr>
          <w:rFonts w:ascii="Arial" w:hAnsi="Arial" w:cs="Arial"/>
          <w:sz w:val="24"/>
          <w:szCs w:val="24"/>
        </w:rPr>
        <w:t xml:space="preserve"> six-dimensional model of national cultures </w:t>
      </w:r>
      <w:r w:rsidR="00815241" w:rsidRPr="00A16303">
        <w:rPr>
          <w:rFonts w:ascii="Arial" w:hAnsi="Arial" w:cs="Arial"/>
          <w:sz w:val="24"/>
          <w:szCs w:val="24"/>
        </w:rPr>
        <w:t>(Hofstede, 1983; McSweeney, 2002</w:t>
      </w:r>
      <w:r w:rsidR="00815241" w:rsidRPr="00A16303">
        <w:rPr>
          <w:rFonts w:ascii="Arial" w:hAnsi="Arial" w:cs="Arial"/>
          <w:sz w:val="24"/>
          <w:szCs w:val="24"/>
        </w:rPr>
        <w:t>) though</w:t>
      </w:r>
      <w:r w:rsidRPr="00A16303">
        <w:rPr>
          <w:rFonts w:ascii="Arial" w:hAnsi="Arial" w:cs="Arial"/>
          <w:sz w:val="24"/>
          <w:szCs w:val="24"/>
        </w:rPr>
        <w:t xml:space="preserve"> hardly immune to scathing critique. Benignly described by Breda McSweeney</w:t>
      </w:r>
      <w:r w:rsidR="00274B2A" w:rsidRPr="00A16303">
        <w:rPr>
          <w:rFonts w:ascii="Arial" w:hAnsi="Arial" w:cs="Arial"/>
          <w:sz w:val="24"/>
          <w:szCs w:val="24"/>
        </w:rPr>
        <w:t xml:space="preserve"> (2002)</w:t>
      </w:r>
      <w:r w:rsidRPr="00A16303">
        <w:rPr>
          <w:rFonts w:ascii="Arial" w:hAnsi="Arial" w:cs="Arial"/>
          <w:sz w:val="24"/>
          <w:szCs w:val="24"/>
        </w:rPr>
        <w:t xml:space="preserve"> as "the triumph of faith at the expense of analysis, " the model tends toward obfuscation, blurring the boundaries between national and organizational cultures as if they were two sides of the same coin. Meanwhile, other theorists argue persuasively against conceiving culture as some fixed point, resistant to change, instead suggesting we think of it as a complex, dynamic system comprised of disparate 'tensions'</w:t>
      </w:r>
      <w:r w:rsidR="00274B2A" w:rsidRPr="00A16303">
        <w:rPr>
          <w:rFonts w:ascii="Arial" w:hAnsi="Arial" w:cs="Arial"/>
          <w:sz w:val="24"/>
          <w:szCs w:val="24"/>
        </w:rPr>
        <w:t xml:space="preserve"> </w:t>
      </w:r>
      <w:r w:rsidR="00815241" w:rsidRPr="00A16303">
        <w:rPr>
          <w:rFonts w:ascii="Arial" w:hAnsi="Arial" w:cs="Arial"/>
          <w:sz w:val="24"/>
          <w:szCs w:val="24"/>
        </w:rPr>
        <w:t>.</w:t>
      </w:r>
      <w:r w:rsidRPr="00A16303">
        <w:rPr>
          <w:rFonts w:ascii="Arial" w:hAnsi="Arial" w:cs="Arial"/>
          <w:sz w:val="24"/>
          <w:szCs w:val="24"/>
        </w:rPr>
        <w:t xml:space="preserve"> In other words, every society simultaneously </w:t>
      </w:r>
      <w:r w:rsidRPr="00A16303">
        <w:rPr>
          <w:rFonts w:ascii="Arial" w:hAnsi="Arial" w:cs="Arial"/>
          <w:sz w:val="24"/>
          <w:szCs w:val="24"/>
        </w:rPr>
        <w:t>harbours</w:t>
      </w:r>
      <w:r w:rsidRPr="00A16303">
        <w:rPr>
          <w:rFonts w:ascii="Arial" w:hAnsi="Arial" w:cs="Arial"/>
          <w:sz w:val="24"/>
          <w:szCs w:val="24"/>
        </w:rPr>
        <w:t xml:space="preserve"> an array of competing </w:t>
      </w:r>
      <w:r w:rsidRPr="00A16303">
        <w:rPr>
          <w:rFonts w:ascii="Arial" w:hAnsi="Arial" w:cs="Arial"/>
          <w:sz w:val="24"/>
          <w:szCs w:val="24"/>
        </w:rPr>
        <w:t>values - say</w:t>
      </w:r>
      <w:r w:rsidRPr="00A16303">
        <w:rPr>
          <w:rFonts w:ascii="Arial" w:hAnsi="Arial" w:cs="Arial"/>
          <w:sz w:val="24"/>
          <w:szCs w:val="24"/>
        </w:rPr>
        <w:t xml:space="preserve"> deference to authority alongside the </w:t>
      </w:r>
      <w:r w:rsidRPr="00A16303">
        <w:rPr>
          <w:rFonts w:ascii="Arial" w:hAnsi="Arial" w:cs="Arial"/>
          <w:sz w:val="24"/>
          <w:szCs w:val="24"/>
        </w:rPr>
        <w:lastRenderedPageBreak/>
        <w:t xml:space="preserve">craving for </w:t>
      </w:r>
      <w:r w:rsidRPr="00A16303">
        <w:rPr>
          <w:rFonts w:ascii="Arial" w:hAnsi="Arial" w:cs="Arial"/>
          <w:sz w:val="24"/>
          <w:szCs w:val="24"/>
        </w:rPr>
        <w:t>autonomy -</w:t>
      </w:r>
      <w:r w:rsidRPr="00A16303">
        <w:rPr>
          <w:rFonts w:ascii="Arial" w:hAnsi="Arial" w:cs="Arial"/>
          <w:sz w:val="24"/>
          <w:szCs w:val="24"/>
        </w:rPr>
        <w:t xml:space="preserve">  each demanding simultaneous attention and management. Hence, perhaps the greatest obstacles lie not within external value clashes per se but within internal contradictions, where apparently irreconcilable impulses vie for </w:t>
      </w:r>
      <w:r w:rsidR="00815241" w:rsidRPr="00A16303">
        <w:rPr>
          <w:rFonts w:ascii="Arial" w:hAnsi="Arial" w:cs="Arial"/>
          <w:sz w:val="24"/>
          <w:szCs w:val="24"/>
        </w:rPr>
        <w:t>dominance (</w:t>
      </w:r>
      <w:r w:rsidR="00815241" w:rsidRPr="00A16303">
        <w:rPr>
          <w:rFonts w:ascii="Arial" w:hAnsi="Arial" w:cs="Arial"/>
          <w:sz w:val="24"/>
          <w:szCs w:val="24"/>
        </w:rPr>
        <w:t>Stahl et al., 2016)</w:t>
      </w:r>
      <w:r w:rsidRPr="00A16303">
        <w:rPr>
          <w:rFonts w:ascii="Arial" w:hAnsi="Arial" w:cs="Arial"/>
          <w:sz w:val="24"/>
          <w:szCs w:val="24"/>
        </w:rPr>
        <w:t xml:space="preserve">. </w:t>
      </w:r>
    </w:p>
    <w:p w14:paraId="7756368B" w14:textId="72A2AAF6" w:rsidR="00815241" w:rsidRPr="00A16303" w:rsidRDefault="005E2B64" w:rsidP="00A16303">
      <w:pPr>
        <w:spacing w:line="240" w:lineRule="auto"/>
        <w:rPr>
          <w:rFonts w:ascii="Arial" w:hAnsi="Arial" w:cs="Arial"/>
          <w:sz w:val="24"/>
          <w:szCs w:val="24"/>
        </w:rPr>
      </w:pPr>
      <w:r w:rsidRPr="00A16303">
        <w:rPr>
          <w:rFonts w:ascii="Arial" w:hAnsi="Arial" w:cs="Arial"/>
          <w:sz w:val="24"/>
          <w:szCs w:val="24"/>
        </w:rPr>
        <w:t>Supporting this nuanced vision is Edmond T. Hall's influential dichotomy between high-context and low-context communication paradigms, although critics have contended that its rigid binarism elides many nuances inherent in actual business practices, particularly given the growing influence of English as a global lingua franca (ELF)</w:t>
      </w:r>
      <w:r w:rsidR="00815241" w:rsidRPr="00A16303">
        <w:rPr>
          <w:rFonts w:ascii="Arial" w:hAnsi="Arial" w:cs="Arial"/>
          <w:sz w:val="24"/>
          <w:szCs w:val="24"/>
        </w:rPr>
        <w:t xml:space="preserve"> </w:t>
      </w:r>
      <w:r w:rsidRPr="00A16303">
        <w:rPr>
          <w:rFonts w:ascii="Arial" w:hAnsi="Arial" w:cs="Arial"/>
          <w:sz w:val="24"/>
          <w:szCs w:val="24"/>
        </w:rPr>
        <w:t>rife with insidious power politics</w:t>
      </w:r>
      <w:r w:rsidR="006C70AF">
        <w:rPr>
          <w:rFonts w:ascii="Arial" w:hAnsi="Arial" w:cs="Arial"/>
          <w:sz w:val="24"/>
          <w:szCs w:val="24"/>
        </w:rPr>
        <w:t xml:space="preserve"> </w:t>
      </w:r>
      <w:r w:rsidRPr="00A16303">
        <w:rPr>
          <w:rFonts w:ascii="Arial" w:hAnsi="Arial" w:cs="Arial"/>
          <w:sz w:val="24"/>
          <w:szCs w:val="24"/>
        </w:rPr>
        <w:t xml:space="preserve">much </w:t>
      </w:r>
      <w:r w:rsidR="00815241" w:rsidRPr="00A16303">
        <w:rPr>
          <w:rFonts w:ascii="Arial" w:hAnsi="Arial" w:cs="Arial"/>
          <w:sz w:val="24"/>
          <w:szCs w:val="24"/>
        </w:rPr>
        <w:t>(Kirkpatrick, 2007)</w:t>
      </w:r>
      <w:r w:rsidR="00815241" w:rsidRPr="00A16303">
        <w:rPr>
          <w:rFonts w:ascii="Arial" w:hAnsi="Arial" w:cs="Arial"/>
          <w:sz w:val="24"/>
          <w:szCs w:val="24"/>
        </w:rPr>
        <w:t xml:space="preserve">. </w:t>
      </w:r>
    </w:p>
    <w:p w14:paraId="700B372A" w14:textId="506317DD" w:rsidR="002A33C3" w:rsidRPr="00A16303" w:rsidRDefault="005E2B64" w:rsidP="00A16303">
      <w:pPr>
        <w:spacing w:line="240" w:lineRule="auto"/>
        <w:rPr>
          <w:rFonts w:ascii="Arial" w:hAnsi="Arial" w:cs="Arial"/>
          <w:sz w:val="24"/>
          <w:szCs w:val="24"/>
        </w:rPr>
      </w:pPr>
      <w:r w:rsidRPr="00A16303">
        <w:rPr>
          <w:rFonts w:ascii="Arial" w:hAnsi="Arial" w:cs="Arial"/>
          <w:sz w:val="24"/>
          <w:szCs w:val="24"/>
        </w:rPr>
        <w:t xml:space="preserve">More current scholarly efforts </w:t>
      </w:r>
      <w:r w:rsidR="006B30FD" w:rsidRPr="00A16303">
        <w:rPr>
          <w:rFonts w:ascii="Arial" w:hAnsi="Arial" w:cs="Arial"/>
          <w:sz w:val="24"/>
          <w:szCs w:val="24"/>
        </w:rPr>
        <w:t>abstain from</w:t>
      </w:r>
      <w:r w:rsidRPr="00A16303">
        <w:rPr>
          <w:rFonts w:ascii="Arial" w:hAnsi="Arial" w:cs="Arial"/>
          <w:sz w:val="24"/>
          <w:szCs w:val="24"/>
        </w:rPr>
        <w:t xml:space="preserve"> simplistic cross-cultural comparisons in favour of more comprehensive explorations of underlying forces. For instance, the concept of interpersonal trust, </w:t>
      </w:r>
      <w:r w:rsidR="00815241" w:rsidRPr="00A16303">
        <w:rPr>
          <w:rFonts w:ascii="Arial" w:hAnsi="Arial" w:cs="Arial"/>
          <w:sz w:val="24"/>
          <w:szCs w:val="24"/>
        </w:rPr>
        <w:t>reveals itself pivotal in forging strong bonds across organisational and geographical divides (Mikami, Ikegami and Bird, 2022).</w:t>
      </w:r>
      <w:r w:rsidRPr="00A16303">
        <w:rPr>
          <w:rFonts w:ascii="Arial" w:hAnsi="Arial" w:cs="Arial"/>
          <w:sz w:val="24"/>
          <w:szCs w:val="24"/>
        </w:rPr>
        <w:t xml:space="preserve"> Yet it should also serve us well to note that as Sumit Bhattacharya &amp; Ravi Shanker argue that collapse of trust inevitably correlates strongly with poor governance decisions made possible through opaque policy decision-making processes </w:t>
      </w:r>
      <w:r w:rsidR="002A33C3" w:rsidRPr="00A16303">
        <w:rPr>
          <w:rFonts w:ascii="Arial" w:hAnsi="Arial" w:cs="Arial"/>
          <w:sz w:val="24"/>
          <w:szCs w:val="24"/>
        </w:rPr>
        <w:t>(Abdi and Aulakh, 2017).</w:t>
      </w:r>
    </w:p>
    <w:p w14:paraId="5CA94339" w14:textId="77777777" w:rsidR="009E0D74" w:rsidRPr="00A16303" w:rsidRDefault="009E0D74" w:rsidP="00A16303">
      <w:pPr>
        <w:spacing w:line="240" w:lineRule="auto"/>
        <w:rPr>
          <w:rFonts w:ascii="Arial" w:hAnsi="Arial" w:cs="Arial"/>
          <w:sz w:val="24"/>
          <w:szCs w:val="24"/>
        </w:rPr>
      </w:pPr>
      <w:r w:rsidRPr="00A16303">
        <w:rPr>
          <w:rFonts w:ascii="Arial" w:hAnsi="Arial" w:cs="Arial"/>
          <w:sz w:val="24"/>
          <w:szCs w:val="24"/>
        </w:rPr>
        <w:t>Beneath the surface of corporate actions, lies a complex web of organisational logics, driven by the institutional dynamics of specific socio-political environments. This profound idea emerges from organisational theory, urging us to delve deeper into the intricacies of institutional drivers that continue to shape local actions, even as international collaborations unfold (Aguilera, Marano, &amp; Haxhi, 2019). The devastating consequences of cross-border venture failures, largely attributed to institutional incongruity, serve as a poignant reminder of the importance of grasping these underlying forces. Furthermore, a broader examination reveals the intricate relationships between international institutions, highlighting the 'disconcerting' nature of cross-boundary corporate operations. The infamous ouster of former Renault-Nissan CEO Carlos Ghosn serves as a prime example, where differing governance expectations rooted in local contexts clashed with transnational requirements (Gehrisch and Süß, 2023). Unfortunately, many companies continue to struggle with the long-term implications of autocratic leadership. The megalomaniacal tendencies of certain executives often lead to severe damage to collective success, as they suppress dissent and prioritise their individual standing above all else (O'Reilly, Chatman, &amp; Doerr, 2021). While this issue is deeply ingrained, it remains a pressing concern that warrants further attention and exploration.</w:t>
      </w:r>
    </w:p>
    <w:p w14:paraId="46D358EB" w14:textId="515FA0D1" w:rsidR="000E21C3" w:rsidRDefault="000E21C3" w:rsidP="000E21C3">
      <w:pPr>
        <w:pStyle w:val="Heading2"/>
      </w:pPr>
      <w:bookmarkStart w:id="5" w:name="_Toc217259551"/>
      <w:r w:rsidRPr="000E21C3">
        <w:t>Unravelling</w:t>
      </w:r>
      <w:r w:rsidRPr="000E21C3">
        <w:t xml:space="preserve"> the Renault-Nissan Enigma:</w:t>
      </w:r>
      <w:bookmarkEnd w:id="5"/>
      <w:r w:rsidRPr="000E21C3">
        <w:t xml:space="preserve"> </w:t>
      </w:r>
    </w:p>
    <w:p w14:paraId="4AB37BBA" w14:textId="7B2CAB1E" w:rsidR="000E21C3" w:rsidRDefault="000E21C3" w:rsidP="00C457E5">
      <w:pPr>
        <w:jc w:val="both"/>
        <w:rPr>
          <w:rFonts w:ascii="Arial" w:hAnsi="Arial" w:cs="Arial"/>
          <w:sz w:val="24"/>
          <w:szCs w:val="24"/>
        </w:rPr>
      </w:pPr>
      <w:r w:rsidRPr="000E21C3">
        <w:rPr>
          <w:rFonts w:ascii="Arial" w:hAnsi="Arial" w:cs="Arial"/>
          <w:sz w:val="24"/>
          <w:szCs w:val="24"/>
        </w:rPr>
        <w:t xml:space="preserve">A Layered Exploration A closer examination of the complex narrative surrounding the Renault-Nissan alliance yields a multitude of paradoxical elements that defy simplistic explanations rooted in cultural clashes. This in-depth analysis will </w:t>
      </w:r>
      <w:r w:rsidRPr="000E21C3">
        <w:rPr>
          <w:rFonts w:ascii="Arial" w:hAnsi="Arial" w:cs="Arial"/>
          <w:sz w:val="24"/>
          <w:szCs w:val="24"/>
        </w:rPr>
        <w:t>investigate</w:t>
      </w:r>
      <w:r w:rsidRPr="000E21C3">
        <w:rPr>
          <w:rFonts w:ascii="Arial" w:hAnsi="Arial" w:cs="Arial"/>
          <w:sz w:val="24"/>
          <w:szCs w:val="24"/>
        </w:rPr>
        <w:t xml:space="preserve"> into three fundamental contradictions that </w:t>
      </w:r>
      <w:r w:rsidRPr="000E21C3">
        <w:rPr>
          <w:rFonts w:ascii="Arial" w:hAnsi="Arial" w:cs="Arial"/>
          <w:sz w:val="24"/>
          <w:szCs w:val="24"/>
        </w:rPr>
        <w:t>underline</w:t>
      </w:r>
      <w:r w:rsidRPr="000E21C3">
        <w:rPr>
          <w:rFonts w:ascii="Arial" w:hAnsi="Arial" w:cs="Arial"/>
          <w:sz w:val="24"/>
          <w:szCs w:val="24"/>
        </w:rPr>
        <w:t xml:space="preserve"> the narrative: the limitations of cultural frameworks, the enigmatic leadership of Carlos Ghosn and the strategic </w:t>
      </w:r>
      <w:r w:rsidRPr="000E21C3">
        <w:rPr>
          <w:rFonts w:ascii="Arial" w:hAnsi="Arial" w:cs="Arial"/>
          <w:sz w:val="24"/>
          <w:szCs w:val="24"/>
        </w:rPr>
        <w:t>problem</w:t>
      </w:r>
      <w:r w:rsidRPr="000E21C3">
        <w:rPr>
          <w:rFonts w:ascii="Arial" w:hAnsi="Arial" w:cs="Arial"/>
          <w:sz w:val="24"/>
          <w:szCs w:val="24"/>
        </w:rPr>
        <w:t xml:space="preserve"> of a non-merger approach. By peeling back these layers, we can gain a deeper understanding of the alliance's intricacies and the forces that have shaped its trajectory.</w:t>
      </w:r>
    </w:p>
    <w:p w14:paraId="6187486E" w14:textId="77777777" w:rsidR="000E21C3" w:rsidRDefault="000E21C3" w:rsidP="00C457E5">
      <w:pPr>
        <w:jc w:val="both"/>
        <w:rPr>
          <w:rFonts w:ascii="Arial" w:hAnsi="Arial" w:cs="Arial"/>
          <w:sz w:val="24"/>
          <w:szCs w:val="24"/>
        </w:rPr>
      </w:pPr>
    </w:p>
    <w:p w14:paraId="4D6269D0" w14:textId="77777777" w:rsidR="000E21C3" w:rsidRDefault="000E21C3" w:rsidP="000E21C3">
      <w:pPr>
        <w:pStyle w:val="Heading2"/>
      </w:pPr>
      <w:bookmarkStart w:id="6" w:name="_Toc217259552"/>
      <w:r w:rsidRPr="000E21C3">
        <w:lastRenderedPageBreak/>
        <w:t>The Limits of Cultural Models</w:t>
      </w:r>
      <w:bookmarkEnd w:id="6"/>
    </w:p>
    <w:p w14:paraId="33FDEDB7" w14:textId="721AAF44" w:rsidR="000E21C3" w:rsidRDefault="000E21C3" w:rsidP="000E21C3">
      <w:pPr>
        <w:jc w:val="both"/>
        <w:rPr>
          <w:rFonts w:ascii="Arial" w:hAnsi="Arial" w:cs="Arial"/>
          <w:sz w:val="24"/>
          <w:szCs w:val="24"/>
        </w:rPr>
      </w:pPr>
      <w:r w:rsidRPr="000E21C3">
        <w:rPr>
          <w:rFonts w:ascii="Arial" w:hAnsi="Arial" w:cs="Arial"/>
          <w:sz w:val="24"/>
          <w:szCs w:val="24"/>
        </w:rPr>
        <w:t>On the surface, Hofstede's (2011) dimensions map neatly onto the alliance's early challenges. France's high PDI 68</w:t>
      </w:r>
      <w:r w:rsidRPr="000E21C3">
        <w:rPr>
          <w:rFonts w:ascii="Arial" w:hAnsi="Arial" w:cs="Arial"/>
          <w:sz w:val="24"/>
          <w:szCs w:val="24"/>
        </w:rPr>
        <w:t>% and</w:t>
      </w:r>
      <w:r w:rsidRPr="000E21C3">
        <w:rPr>
          <w:rFonts w:ascii="Arial" w:hAnsi="Arial" w:cs="Arial"/>
          <w:sz w:val="24"/>
          <w:szCs w:val="24"/>
        </w:rPr>
        <w:t xml:space="preserve"> Individualism 71</w:t>
      </w:r>
      <w:r w:rsidRPr="000E21C3">
        <w:rPr>
          <w:rFonts w:ascii="Arial" w:hAnsi="Arial" w:cs="Arial"/>
          <w:sz w:val="24"/>
          <w:szCs w:val="24"/>
        </w:rPr>
        <w:t>%</w:t>
      </w:r>
      <w:r w:rsidRPr="000E21C3">
        <w:rPr>
          <w:rFonts w:ascii="Arial" w:hAnsi="Arial" w:cs="Arial"/>
          <w:sz w:val="24"/>
          <w:szCs w:val="24"/>
        </w:rPr>
        <w:t xml:space="preserve"> suggest a top-down management style, which clashed with Japan's more moderate PDI 54</w:t>
      </w:r>
      <w:r w:rsidRPr="000E21C3">
        <w:rPr>
          <w:rFonts w:ascii="Arial" w:hAnsi="Arial" w:cs="Arial"/>
          <w:sz w:val="24"/>
          <w:szCs w:val="24"/>
        </w:rPr>
        <w:t>%</w:t>
      </w:r>
      <w:r w:rsidRPr="000E21C3">
        <w:rPr>
          <w:rFonts w:ascii="Arial" w:hAnsi="Arial" w:cs="Arial"/>
          <w:sz w:val="24"/>
          <w:szCs w:val="24"/>
        </w:rPr>
        <w:t xml:space="preserve"> and strong Collectivism 46</w:t>
      </w:r>
      <w:r w:rsidRPr="000E21C3">
        <w:rPr>
          <w:rFonts w:ascii="Arial" w:hAnsi="Arial" w:cs="Arial"/>
          <w:sz w:val="24"/>
          <w:szCs w:val="24"/>
        </w:rPr>
        <w:t>%</w:t>
      </w:r>
      <w:r w:rsidR="009E0D74">
        <w:rPr>
          <w:rFonts w:ascii="Arial" w:hAnsi="Arial" w:cs="Arial"/>
          <w:sz w:val="24"/>
          <w:szCs w:val="24"/>
        </w:rPr>
        <w:t xml:space="preserve"> (</w:t>
      </w:r>
      <w:r w:rsidR="009E0D74" w:rsidRPr="009E0D74">
        <w:rPr>
          <w:rFonts w:ascii="Arial" w:hAnsi="Arial" w:cs="Arial"/>
          <w:sz w:val="24"/>
          <w:szCs w:val="24"/>
          <w:lang w:val="en"/>
        </w:rPr>
        <w:t>Hofstede</w:t>
      </w:r>
      <w:r w:rsidR="009E0D74">
        <w:rPr>
          <w:rFonts w:ascii="Arial" w:hAnsi="Arial" w:cs="Arial"/>
          <w:sz w:val="24"/>
          <w:szCs w:val="24"/>
          <w:lang w:val="en"/>
        </w:rPr>
        <w:t>, 2023)</w:t>
      </w:r>
      <w:r w:rsidRPr="000E21C3">
        <w:rPr>
          <w:rFonts w:ascii="Arial" w:hAnsi="Arial" w:cs="Arial"/>
          <w:sz w:val="24"/>
          <w:szCs w:val="24"/>
        </w:rPr>
        <w:t>. A concrete example was the Japanese ringi seido system of consensus-building, where proposals circulate from lower to upper management for approval. This process, rooted in a cultural preference for collective responsibility and risk-sharing, frustrated French executives accustomed to rapid, individual-led directives. However, the alliance's turnaround was not achieved by cultural accommodation. Instead, Carlos Ghosn implemented a strategy that, in line with McSweeney's (2002) critique, demonstrated how a powerful organizational culture can override national norms. Ghosn introduced the "Nissan Revival Plan," which set aggressive, non-negotiable targets. He established nine Cross-Functional Teams (CFTs) to execute these targets, creating a new, overriding organizational culture focused on results. The problem was not solved by cultural assimilation but by the imposition of a third, transnational corporate culture that subordinated both French and Japanese traditions to a singular focus on shareholder value</w:t>
      </w:r>
      <w:r w:rsidR="009E0D74">
        <w:rPr>
          <w:rFonts w:ascii="Arial" w:hAnsi="Arial" w:cs="Arial"/>
          <w:sz w:val="24"/>
          <w:szCs w:val="24"/>
        </w:rPr>
        <w:t xml:space="preserve"> </w:t>
      </w:r>
      <w:r w:rsidR="009E0D74" w:rsidRPr="009E0D74">
        <w:rPr>
          <w:rFonts w:ascii="Arial" w:hAnsi="Arial" w:cs="Arial"/>
          <w:sz w:val="24"/>
          <w:szCs w:val="24"/>
        </w:rPr>
        <w:t>(Mikami, Ikegami and Bird, 2022</w:t>
      </w:r>
      <w:r w:rsidR="009E0D74">
        <w:rPr>
          <w:rFonts w:ascii="Arial" w:hAnsi="Arial" w:cs="Arial"/>
          <w:sz w:val="24"/>
          <w:szCs w:val="24"/>
        </w:rPr>
        <w:t>)</w:t>
      </w:r>
      <w:r w:rsidRPr="000E21C3">
        <w:rPr>
          <w:rFonts w:ascii="Arial" w:hAnsi="Arial" w:cs="Arial"/>
          <w:sz w:val="24"/>
          <w:szCs w:val="24"/>
        </w:rPr>
        <w:t>.</w:t>
      </w:r>
    </w:p>
    <w:p w14:paraId="650B2D21" w14:textId="77777777" w:rsidR="00C807C8" w:rsidRPr="000E21C3" w:rsidRDefault="00C807C8" w:rsidP="000E21C3">
      <w:pPr>
        <w:jc w:val="both"/>
        <w:rPr>
          <w:rFonts w:ascii="Arial" w:hAnsi="Arial" w:cs="Arial"/>
          <w:sz w:val="24"/>
          <w:szCs w:val="24"/>
        </w:rPr>
      </w:pPr>
    </w:p>
    <w:p w14:paraId="7CA57E10" w14:textId="78CF336F" w:rsidR="000E21C3" w:rsidRPr="00C807C8" w:rsidRDefault="00C807C8" w:rsidP="00C807C8">
      <w:pPr>
        <w:pStyle w:val="Heading2"/>
      </w:pPr>
      <w:bookmarkStart w:id="7" w:name="_Toc217259553"/>
      <w:r w:rsidRPr="00C807C8">
        <w:t>The Ghosn Paradox: Cultural Bridge or Narcissistic Imperialist?</w:t>
      </w:r>
      <w:bookmarkEnd w:id="7"/>
    </w:p>
    <w:p w14:paraId="4CA013C0" w14:textId="3B2DD7B5" w:rsidR="000E21C3" w:rsidRDefault="00C807C8" w:rsidP="00C457E5">
      <w:pPr>
        <w:jc w:val="both"/>
        <w:rPr>
          <w:rFonts w:ascii="Arial" w:hAnsi="Arial" w:cs="Arial"/>
          <w:sz w:val="24"/>
          <w:szCs w:val="24"/>
        </w:rPr>
      </w:pPr>
      <w:r w:rsidRPr="00C807C8">
        <w:rPr>
          <w:rFonts w:ascii="Arial" w:hAnsi="Arial" w:cs="Arial"/>
          <w:sz w:val="24"/>
          <w:szCs w:val="24"/>
        </w:rPr>
        <w:t>Carlos Ghosn is often celebrated as the archetypal "transcultural leader." Yet, a more critical analysis, informed by theories of narcissistic leadership, presents a contradictory view. Ghosn was less a cultural bridge and more an imperialist who imposed a single, Anglo-American model of shareholder value. His leadership exhibited traits consistent with narcissistic leaders, such as a grandiose vision and a tendency to dismiss institutional constraints (O'Reilly &amp; Chatman, 202</w:t>
      </w:r>
      <w:r w:rsidR="009E0D74">
        <w:rPr>
          <w:rFonts w:ascii="Arial" w:hAnsi="Arial" w:cs="Arial"/>
          <w:sz w:val="24"/>
          <w:szCs w:val="24"/>
        </w:rPr>
        <w:t>1</w:t>
      </w:r>
      <w:r w:rsidRPr="00C807C8">
        <w:rPr>
          <w:rFonts w:ascii="Arial" w:hAnsi="Arial" w:cs="Arial"/>
          <w:sz w:val="24"/>
          <w:szCs w:val="24"/>
        </w:rPr>
        <w:t>). A concrete example of this imposition was his dismantling of the traditional Japanese keiretsu system. This network of interlocking shareholdings among suppliers was not just a business structure but a social institution built on long-term loyalty and mutual support. Its destruction, while financially efficient, was seen as a profound violation of Japanese business norms. The eventual backlash against him can be interpreted as a reassertion of Japanese corporate governance norms, which themselves were in a state of evolution due to pressure from foreign investors (Ahmadjian, 20</w:t>
      </w:r>
      <w:r w:rsidR="009B0DCB">
        <w:rPr>
          <w:rFonts w:ascii="Arial" w:hAnsi="Arial" w:cs="Arial"/>
          <w:sz w:val="24"/>
          <w:szCs w:val="24"/>
        </w:rPr>
        <w:t>07</w:t>
      </w:r>
      <w:r w:rsidRPr="00C807C8">
        <w:rPr>
          <w:rFonts w:ascii="Arial" w:hAnsi="Arial" w:cs="Arial"/>
          <w:sz w:val="24"/>
          <w:szCs w:val="24"/>
        </w:rPr>
        <w:t xml:space="preserve">). The charges of financial misconduct highlighted a fundamental disconnect between the global norms of executive compensation Ghosn embodied and the more conservative standards prevalent in Japan. He did not integrate the two cultures; he dominated them with a third, and when his personal authority crumbled, the suppressed institutional tensions </w:t>
      </w:r>
      <w:r w:rsidR="009B0DCB" w:rsidRPr="00C807C8">
        <w:rPr>
          <w:rFonts w:ascii="Arial" w:hAnsi="Arial" w:cs="Arial"/>
          <w:sz w:val="24"/>
          <w:szCs w:val="24"/>
        </w:rPr>
        <w:t>ejected</w:t>
      </w:r>
      <w:r w:rsidRPr="00C807C8">
        <w:rPr>
          <w:rFonts w:ascii="Arial" w:hAnsi="Arial" w:cs="Arial"/>
          <w:sz w:val="24"/>
          <w:szCs w:val="24"/>
        </w:rPr>
        <w:t>.</w:t>
      </w:r>
    </w:p>
    <w:p w14:paraId="752A1986" w14:textId="77777777" w:rsidR="00C807C8" w:rsidRDefault="00C807C8" w:rsidP="00C807C8">
      <w:pPr>
        <w:pStyle w:val="Heading2"/>
      </w:pPr>
    </w:p>
    <w:p w14:paraId="5B659E39" w14:textId="60A045BB" w:rsidR="00C807C8" w:rsidRPr="00C807C8" w:rsidRDefault="00C807C8" w:rsidP="00C807C8">
      <w:pPr>
        <w:pStyle w:val="Heading2"/>
      </w:pPr>
      <w:bookmarkStart w:id="8" w:name="_Toc217259554"/>
      <w:r w:rsidRPr="00C807C8">
        <w:t>The "Non-Merger" Dilemma</w:t>
      </w:r>
      <w:bookmarkEnd w:id="8"/>
    </w:p>
    <w:p w14:paraId="16D06A52" w14:textId="6C1B2892" w:rsidR="00C807C8" w:rsidRDefault="00C807C8" w:rsidP="00C457E5">
      <w:pPr>
        <w:jc w:val="both"/>
        <w:rPr>
          <w:rFonts w:ascii="Arial" w:hAnsi="Arial" w:cs="Arial"/>
          <w:sz w:val="24"/>
          <w:szCs w:val="24"/>
        </w:rPr>
      </w:pPr>
      <w:r w:rsidRPr="00C807C8">
        <w:rPr>
          <w:rFonts w:ascii="Arial" w:hAnsi="Arial" w:cs="Arial"/>
          <w:sz w:val="24"/>
          <w:szCs w:val="24"/>
        </w:rPr>
        <w:t xml:space="preserve">The pivotal choice made at the outset - opting for an alliance rather than a complete merger - would prove to be both a defining triumph and a nascent liability. According </w:t>
      </w:r>
      <w:r w:rsidRPr="00C807C8">
        <w:rPr>
          <w:rFonts w:ascii="Arial" w:hAnsi="Arial" w:cs="Arial"/>
          <w:sz w:val="24"/>
          <w:szCs w:val="24"/>
        </w:rPr>
        <w:lastRenderedPageBreak/>
        <w:t xml:space="preserve">to </w:t>
      </w:r>
      <w:r w:rsidR="00676F90" w:rsidRPr="00676F90">
        <w:rPr>
          <w:rFonts w:ascii="Arial" w:hAnsi="Arial" w:cs="Arial"/>
          <w:sz w:val="24"/>
          <w:szCs w:val="24"/>
        </w:rPr>
        <w:t>Mikami, Ikegami and Bird (2022</w:t>
      </w:r>
      <w:r w:rsidRPr="00C807C8">
        <w:rPr>
          <w:rFonts w:ascii="Arial" w:hAnsi="Arial" w:cs="Arial"/>
          <w:sz w:val="24"/>
          <w:szCs w:val="24"/>
        </w:rPr>
        <w:t xml:space="preserve">), this dichotomous approach inherently carried within it the seeds of its own undoing. As </w:t>
      </w:r>
      <w:r w:rsidR="00676F90" w:rsidRPr="00676F90">
        <w:rPr>
          <w:rFonts w:ascii="Arial" w:hAnsi="Arial" w:cs="Arial"/>
          <w:sz w:val="24"/>
          <w:szCs w:val="24"/>
        </w:rPr>
        <w:t>Gehrisch and Süß (2023)</w:t>
      </w:r>
      <w:r w:rsidR="00676F90">
        <w:rPr>
          <w:rFonts w:ascii="Arial" w:hAnsi="Arial" w:cs="Arial"/>
          <w:sz w:val="24"/>
          <w:szCs w:val="24"/>
        </w:rPr>
        <w:t xml:space="preserve"> </w:t>
      </w:r>
      <w:r w:rsidRPr="00C807C8">
        <w:rPr>
          <w:rFonts w:ascii="Arial" w:hAnsi="Arial" w:cs="Arial"/>
          <w:sz w:val="24"/>
          <w:szCs w:val="24"/>
        </w:rPr>
        <w:t xml:space="preserve">so astutely observe, long-standing partnerships often grapple with an inherent, insidious curse: rigidity. Initially conceived to preserve distinct cultural identities, these structures all too frequently calcify, stifling meaningful integration and fostering crippling imbalances of power. The notion of a carefully crafted "non-merger" framework morphed into a self-perpetuating paradigm of stasis, one that guaranteed institutional stagnation and ensured the persistent dominance of a single entity. This stark reality serves as a poignant reminder of the limitations imposed by static governance models. Alliance theorists </w:t>
      </w:r>
      <w:r w:rsidR="004274E7" w:rsidRPr="00676F90">
        <w:rPr>
          <w:rFonts w:ascii="Arial" w:hAnsi="Arial" w:cs="Arial"/>
          <w:sz w:val="24"/>
          <w:szCs w:val="24"/>
        </w:rPr>
        <w:t>Gehrisch and Süß (2023</w:t>
      </w:r>
      <w:r w:rsidR="004274E7">
        <w:rPr>
          <w:rFonts w:ascii="Arial" w:hAnsi="Arial" w:cs="Arial"/>
          <w:sz w:val="24"/>
          <w:szCs w:val="24"/>
        </w:rPr>
        <w:t xml:space="preserve">) </w:t>
      </w:r>
      <w:r w:rsidRPr="00C807C8">
        <w:rPr>
          <w:rFonts w:ascii="Arial" w:hAnsi="Arial" w:cs="Arial"/>
          <w:sz w:val="24"/>
          <w:szCs w:val="24"/>
        </w:rPr>
        <w:t>underscored the concept of "evolutionary fitness, " emphasizing the need for adaptive systems capable of responding dynamically to shifting environmental landscapes and fluctuating power balances. Regrettably, the Renault-Nissan partnership fell woefully short of this ideal. Tragically, its founding structure had ossified into a dysfunctional status quo, cemented by the stark disparities evident in their respective shareholdings a resounding 43.4% voting stake controlled by Renault, juxtaposed against Nissan's paltry 15% non-voting interest. In practical terms, this structural asymmetry effectively relegated Nissan to a subordinate role, its influence limited to mere financing</w:t>
      </w:r>
      <w:r w:rsidR="00246F57">
        <w:rPr>
          <w:rFonts w:ascii="Arial" w:hAnsi="Arial" w:cs="Arial"/>
          <w:sz w:val="24"/>
          <w:szCs w:val="24"/>
        </w:rPr>
        <w:t xml:space="preserve"> </w:t>
      </w:r>
      <w:r w:rsidR="00246F57" w:rsidRPr="00246F57">
        <w:rPr>
          <w:rFonts w:ascii="Arial" w:hAnsi="Arial" w:cs="Arial"/>
          <w:sz w:val="24"/>
          <w:szCs w:val="24"/>
        </w:rPr>
        <w:t>(Mikami, Ikegami and Bird, 2022; Gehrisch and Süß, 2023</w:t>
      </w:r>
      <w:r w:rsidR="00246F57">
        <w:rPr>
          <w:rFonts w:ascii="Arial" w:hAnsi="Arial" w:cs="Arial"/>
          <w:sz w:val="24"/>
          <w:szCs w:val="24"/>
        </w:rPr>
        <w:t>)</w:t>
      </w:r>
      <w:r w:rsidRPr="00C807C8">
        <w:rPr>
          <w:rFonts w:ascii="Arial" w:hAnsi="Arial" w:cs="Arial"/>
          <w:sz w:val="24"/>
          <w:szCs w:val="24"/>
        </w:rPr>
        <w:t>. Meanwhile, Renault retained unhindered control through its substantial voting majority. When Ghosn's personal rapport and authority were ultimately stripped away, it was hardly surprising that the relationship disintegrated under the weight of distrust and unyielding power struggles. Far from being an isolated incident stemming from inadequate cross-cultural dialogue, this collapse was instead an almost foreordained consequence of a fundamentally flawed governance architecture, one which catastrophically failed to account for the ebb and flow of human relationships.</w:t>
      </w:r>
    </w:p>
    <w:p w14:paraId="0EB31B6D" w14:textId="2C73823D" w:rsidR="00C807C8" w:rsidRDefault="00C807C8" w:rsidP="00C807C8">
      <w:pPr>
        <w:pStyle w:val="Heading1"/>
      </w:pPr>
      <w:bookmarkStart w:id="9" w:name="_Toc217259555"/>
      <w:r>
        <w:t>Conclusion</w:t>
      </w:r>
      <w:bookmarkEnd w:id="9"/>
      <w:r>
        <w:t xml:space="preserve"> </w:t>
      </w:r>
    </w:p>
    <w:p w14:paraId="499153DB" w14:textId="2C05C3B0" w:rsidR="00C807C8" w:rsidRDefault="00C807C8" w:rsidP="00C807C8">
      <w:pPr>
        <w:jc w:val="both"/>
        <w:rPr>
          <w:rFonts w:ascii="Arial" w:hAnsi="Arial" w:cs="Arial"/>
          <w:sz w:val="24"/>
          <w:szCs w:val="24"/>
        </w:rPr>
      </w:pPr>
      <w:r w:rsidRPr="00C807C8">
        <w:rPr>
          <w:rFonts w:ascii="Arial" w:hAnsi="Arial" w:cs="Arial"/>
          <w:sz w:val="24"/>
          <w:szCs w:val="24"/>
        </w:rPr>
        <w:t xml:space="preserve">In the intricate dance between global giants, the Renault-Nissan union unfolds as a masterclass in strategic dynamics and the limitations of a reliance on cultural narratives alone. Beneath its surface-level manifestations of cultural disparity lies a rich tapestry of intersecting </w:t>
      </w:r>
      <w:r w:rsidRPr="00C807C8">
        <w:rPr>
          <w:rFonts w:ascii="Arial" w:hAnsi="Arial" w:cs="Arial"/>
          <w:sz w:val="24"/>
          <w:szCs w:val="24"/>
        </w:rPr>
        <w:t xml:space="preserve">forces </w:t>
      </w:r>
      <w:r w:rsidRPr="00C807C8">
        <w:rPr>
          <w:rFonts w:ascii="Arial" w:hAnsi="Arial" w:cs="Arial"/>
          <w:sz w:val="24"/>
          <w:szCs w:val="24"/>
        </w:rPr>
        <w:t xml:space="preserve">namely, a potent blend of power, visionary leadership and entrenched organizational </w:t>
      </w:r>
      <w:r w:rsidRPr="00C807C8">
        <w:rPr>
          <w:rFonts w:ascii="Arial" w:hAnsi="Arial" w:cs="Arial"/>
          <w:sz w:val="24"/>
          <w:szCs w:val="24"/>
        </w:rPr>
        <w:t>logics</w:t>
      </w:r>
      <w:r w:rsidR="005E2B64">
        <w:rPr>
          <w:rFonts w:ascii="Arial" w:hAnsi="Arial" w:cs="Arial"/>
          <w:sz w:val="24"/>
          <w:szCs w:val="24"/>
        </w:rPr>
        <w:t>. W</w:t>
      </w:r>
      <w:r w:rsidR="005E2B64" w:rsidRPr="00C807C8">
        <w:rPr>
          <w:rFonts w:ascii="Arial" w:hAnsi="Arial" w:cs="Arial"/>
          <w:sz w:val="24"/>
          <w:szCs w:val="24"/>
        </w:rPr>
        <w:t>hich</w:t>
      </w:r>
      <w:r w:rsidRPr="00C807C8">
        <w:rPr>
          <w:rFonts w:ascii="Arial" w:hAnsi="Arial" w:cs="Arial"/>
          <w:sz w:val="24"/>
          <w:szCs w:val="24"/>
        </w:rPr>
        <w:t xml:space="preserve"> ultimately drive the alliance's trajectory. Initially, the partnership's triumphant ascent was </w:t>
      </w:r>
      <w:r w:rsidRPr="00C807C8">
        <w:rPr>
          <w:rFonts w:ascii="Arial" w:hAnsi="Arial" w:cs="Arial"/>
          <w:sz w:val="24"/>
          <w:szCs w:val="24"/>
        </w:rPr>
        <w:t>fuelled</w:t>
      </w:r>
      <w:r w:rsidRPr="00C807C8">
        <w:rPr>
          <w:rFonts w:ascii="Arial" w:hAnsi="Arial" w:cs="Arial"/>
          <w:sz w:val="24"/>
          <w:szCs w:val="24"/>
        </w:rPr>
        <w:t xml:space="preserve"> not by facile notions of cultural cohesion but rather the bold imprint of a novel, results-driven paradigm forged by an enigmatic figure whose mercurial vision temporarily overrode existing discordances. However, this edifice began to crumble when the initially imposed high-performance culture disintegrated, exposing a deep-seated power asymmetry rooted in a governance framework </w:t>
      </w:r>
      <w:r w:rsidR="005E2B64" w:rsidRPr="00C807C8">
        <w:rPr>
          <w:rFonts w:ascii="Arial" w:hAnsi="Arial" w:cs="Arial"/>
          <w:sz w:val="24"/>
          <w:szCs w:val="24"/>
        </w:rPr>
        <w:t>badly</w:t>
      </w:r>
      <w:r w:rsidRPr="00C807C8">
        <w:rPr>
          <w:rFonts w:ascii="Arial" w:hAnsi="Arial" w:cs="Arial"/>
          <w:sz w:val="24"/>
          <w:szCs w:val="24"/>
        </w:rPr>
        <w:t xml:space="preserve"> ill-</w:t>
      </w:r>
      <w:r w:rsidR="005E2B64" w:rsidRPr="00C807C8">
        <w:rPr>
          <w:rFonts w:ascii="Arial" w:hAnsi="Arial" w:cs="Arial"/>
          <w:sz w:val="24"/>
          <w:szCs w:val="24"/>
        </w:rPr>
        <w:t>armed</w:t>
      </w:r>
      <w:r w:rsidRPr="00C807C8">
        <w:rPr>
          <w:rFonts w:ascii="Arial" w:hAnsi="Arial" w:cs="Arial"/>
          <w:sz w:val="24"/>
          <w:szCs w:val="24"/>
        </w:rPr>
        <w:t xml:space="preserve"> to accommodate evolution. As cross-border executives seek guidance within the labyrinthine realm of multinational cooperation, one takeaway emerges unambiguously clear: being cognizant of cultural nuances is merely a starting point; it is merely the foundation upon which a robust edifice of collaboration must be constructed. Should one rely predominantly on worn-out tropes about national cultures, risk masquerading a litany of structural issues beneath an aura of understanding. It follows then, that progressive leaders would devote themselves to conscientiously designing and regulating the inherently complex </w:t>
      </w:r>
      <w:r w:rsidRPr="00C807C8">
        <w:rPr>
          <w:rFonts w:ascii="Arial" w:hAnsi="Arial" w:cs="Arial"/>
          <w:sz w:val="24"/>
          <w:szCs w:val="24"/>
        </w:rPr>
        <w:lastRenderedPageBreak/>
        <w:t xml:space="preserve">network of relationships governing such collaborations. To maintain equilibrium amidst uncertainty, one must practice proactive vigilance through recurring assessments of governance efficacy and implement adaptive institutions grounded less on personal allegiance than interlocking mechanisms predicated on shared principles and equitable access to decision-making </w:t>
      </w:r>
      <w:r w:rsidRPr="00C807C8">
        <w:rPr>
          <w:rFonts w:ascii="Arial" w:hAnsi="Arial" w:cs="Arial"/>
          <w:sz w:val="24"/>
          <w:szCs w:val="24"/>
        </w:rPr>
        <w:t>channels</w:t>
      </w:r>
      <w:r w:rsidR="005E2B64">
        <w:rPr>
          <w:rFonts w:ascii="Arial" w:hAnsi="Arial" w:cs="Arial"/>
          <w:sz w:val="24"/>
          <w:szCs w:val="24"/>
        </w:rPr>
        <w:t>. A</w:t>
      </w:r>
      <w:r w:rsidRPr="00C807C8">
        <w:rPr>
          <w:rFonts w:ascii="Arial" w:hAnsi="Arial" w:cs="Arial"/>
          <w:sz w:val="24"/>
          <w:szCs w:val="24"/>
        </w:rPr>
        <w:t>ll undertaken in anticipation of inevitable tension-filled encounters arising amidst equal yet disparate entities navigating delicate webs of mutual dependency. Ultimately, mastering an external environment involves much more than merely learning an alien culture; it demands strategically creating and nurturing inclusive frameworks adaptable enough to confront divergent interests while fostering lasting coexistence.</w:t>
      </w:r>
    </w:p>
    <w:p w14:paraId="144A2E6C" w14:textId="77777777" w:rsidR="005E2B64" w:rsidRDefault="005E2B64" w:rsidP="00C807C8">
      <w:pPr>
        <w:jc w:val="both"/>
        <w:rPr>
          <w:rFonts w:ascii="Arial" w:hAnsi="Arial" w:cs="Arial"/>
          <w:sz w:val="24"/>
          <w:szCs w:val="24"/>
        </w:rPr>
      </w:pPr>
    </w:p>
    <w:p w14:paraId="12C2C69B" w14:textId="40BCA117" w:rsidR="00A16303" w:rsidRPr="00A16303" w:rsidRDefault="005E2B64" w:rsidP="00A16303">
      <w:pPr>
        <w:pStyle w:val="Heading1"/>
      </w:pPr>
      <w:bookmarkStart w:id="10" w:name="_Toc217259556"/>
      <w:r>
        <w:t>References</w:t>
      </w:r>
      <w:bookmarkEnd w:id="10"/>
    </w:p>
    <w:p w14:paraId="5549E54D" w14:textId="77777777" w:rsidR="00A16303" w:rsidRPr="00A16303" w:rsidRDefault="00A16303" w:rsidP="00A16303">
      <w:pPr>
        <w:rPr>
          <w:rFonts w:ascii="Arial" w:hAnsi="Arial" w:cs="Arial"/>
          <w:sz w:val="24"/>
          <w:szCs w:val="24"/>
          <w:lang w:val="en"/>
        </w:rPr>
      </w:pPr>
      <w:r w:rsidRPr="00A16303">
        <w:rPr>
          <w:rFonts w:ascii="Arial" w:hAnsi="Arial" w:cs="Arial"/>
          <w:sz w:val="24"/>
          <w:szCs w:val="24"/>
          <w:lang w:val="en"/>
        </w:rPr>
        <w:t xml:space="preserve">  Ahmadjian, C. (2007) ‘4 Foreign Investors and Corporate Governance in Japan’, in Corporate Governance in Japan. Oxford: Oxford University Press. Available at: </w:t>
      </w:r>
      <w:hyperlink r:id="rId6" w:history="1">
        <w:r w:rsidRPr="00A16303">
          <w:rPr>
            <w:rStyle w:val="Hyperlink"/>
            <w:rFonts w:ascii="Arial" w:hAnsi="Arial" w:cs="Arial"/>
            <w:sz w:val="24"/>
            <w:szCs w:val="24"/>
            <w:lang w:val="en"/>
          </w:rPr>
          <w:t>https://doi.org/10.1093/acprof:oso/9780199284511.003.0004</w:t>
        </w:r>
      </w:hyperlink>
      <w:r w:rsidRPr="00A16303">
        <w:rPr>
          <w:rFonts w:ascii="Arial" w:hAnsi="Arial" w:cs="Arial"/>
          <w:sz w:val="24"/>
          <w:szCs w:val="24"/>
          <w:lang w:val="en"/>
        </w:rPr>
        <w:t>.</w:t>
      </w:r>
    </w:p>
    <w:p w14:paraId="300724D6" w14:textId="77777777" w:rsidR="00A16303" w:rsidRPr="00A16303" w:rsidRDefault="00A16303" w:rsidP="00A16303">
      <w:pPr>
        <w:rPr>
          <w:rFonts w:ascii="Arial" w:hAnsi="Arial" w:cs="Arial"/>
          <w:sz w:val="24"/>
          <w:szCs w:val="24"/>
          <w:lang w:val="en"/>
        </w:rPr>
      </w:pPr>
      <w:r w:rsidRPr="00A16303">
        <w:rPr>
          <w:rFonts w:ascii="Arial" w:hAnsi="Arial" w:cs="Arial"/>
          <w:sz w:val="24"/>
          <w:szCs w:val="24"/>
          <w:lang w:val="en"/>
        </w:rPr>
        <w:t xml:space="preserve">  Abdi, M. and Aulakh, P.S. (2017) ‘Locus of Uncertainty and the Relationship Between Contractual and Relational Governance in Cross-Border Interfirm Relationships’, Journal of management, 43(3), pp. 771–803. Available at: </w:t>
      </w:r>
      <w:hyperlink r:id="rId7" w:history="1">
        <w:r w:rsidRPr="00A16303">
          <w:rPr>
            <w:rStyle w:val="Hyperlink"/>
            <w:rFonts w:ascii="Arial" w:hAnsi="Arial" w:cs="Arial"/>
            <w:sz w:val="24"/>
            <w:szCs w:val="24"/>
            <w:lang w:val="en"/>
          </w:rPr>
          <w:t>https://doi.org/10.1177/0149206314541152</w:t>
        </w:r>
      </w:hyperlink>
      <w:r w:rsidRPr="00A16303">
        <w:rPr>
          <w:rFonts w:ascii="Arial" w:hAnsi="Arial" w:cs="Arial"/>
          <w:sz w:val="24"/>
          <w:szCs w:val="24"/>
          <w:lang w:val="en"/>
        </w:rPr>
        <w:t>.</w:t>
      </w:r>
    </w:p>
    <w:p w14:paraId="69DA5846" w14:textId="0ADF3529" w:rsidR="00A16303" w:rsidRPr="00A16303" w:rsidRDefault="00A16303" w:rsidP="00A16303">
      <w:pPr>
        <w:rPr>
          <w:rFonts w:ascii="Arial" w:hAnsi="Arial" w:cs="Arial"/>
          <w:sz w:val="24"/>
          <w:szCs w:val="24"/>
          <w:lang w:val="en"/>
        </w:rPr>
      </w:pPr>
      <w:r w:rsidRPr="00A16303">
        <w:rPr>
          <w:rFonts w:ascii="Arial" w:hAnsi="Arial" w:cs="Arial"/>
          <w:sz w:val="24"/>
          <w:szCs w:val="24"/>
          <w:lang w:val="en"/>
        </w:rPr>
        <w:t xml:space="preserve"> Hofstede, G. (1983) ‘The Cultural Relativity of Organizational Practices and Theories’, Journal of international business studies, 14(2), pp. 75–89. Available at: </w:t>
      </w:r>
      <w:hyperlink r:id="rId8" w:history="1">
        <w:r w:rsidRPr="00A16303">
          <w:rPr>
            <w:rStyle w:val="Hyperlink"/>
            <w:rFonts w:ascii="Arial" w:hAnsi="Arial" w:cs="Arial"/>
            <w:sz w:val="24"/>
            <w:szCs w:val="24"/>
            <w:lang w:val="en"/>
          </w:rPr>
          <w:t>https://doi.org/10.1057/palgrave.jibs.8490867</w:t>
        </w:r>
      </w:hyperlink>
      <w:r w:rsidRPr="00A16303">
        <w:rPr>
          <w:rFonts w:ascii="Arial" w:hAnsi="Arial" w:cs="Arial"/>
          <w:sz w:val="24"/>
          <w:szCs w:val="24"/>
          <w:lang w:val="en"/>
        </w:rPr>
        <w:t>.</w:t>
      </w:r>
    </w:p>
    <w:p w14:paraId="787974BB" w14:textId="77777777" w:rsidR="00A16303" w:rsidRPr="00A16303" w:rsidRDefault="00A16303" w:rsidP="00A16303">
      <w:pPr>
        <w:rPr>
          <w:rFonts w:ascii="Arial" w:hAnsi="Arial" w:cs="Arial"/>
          <w:sz w:val="24"/>
          <w:szCs w:val="24"/>
          <w:lang w:val="en"/>
        </w:rPr>
      </w:pPr>
      <w:r w:rsidRPr="00A16303">
        <w:rPr>
          <w:rFonts w:ascii="Arial" w:hAnsi="Arial" w:cs="Arial"/>
          <w:sz w:val="24"/>
          <w:szCs w:val="24"/>
          <w:lang w:val="en"/>
        </w:rPr>
        <w:t xml:space="preserve">Hofstede Insights (2023) Country Comparison: France and Japan. Available at: </w:t>
      </w:r>
      <w:hyperlink r:id="rId9" w:history="1">
        <w:r w:rsidRPr="00A16303">
          <w:rPr>
            <w:rStyle w:val="Hyperlink"/>
            <w:rFonts w:ascii="Arial" w:hAnsi="Arial" w:cs="Arial"/>
            <w:sz w:val="24"/>
            <w:szCs w:val="24"/>
            <w:lang w:val="en"/>
          </w:rPr>
          <w:t>https://www.google.com/search?q=https://www.hofstede-insights.com/country-comparison/france,japan/</w:t>
        </w:r>
      </w:hyperlink>
      <w:r w:rsidRPr="00A16303">
        <w:rPr>
          <w:rFonts w:ascii="Arial" w:hAnsi="Arial" w:cs="Arial"/>
          <w:sz w:val="24"/>
          <w:szCs w:val="24"/>
          <w:lang w:val="en"/>
        </w:rPr>
        <w:t xml:space="preserve"> (Accessed: </w:t>
      </w:r>
      <w:r w:rsidRPr="00A16303">
        <w:rPr>
          <w:rFonts w:ascii="Arial" w:hAnsi="Arial" w:cs="Arial"/>
          <w:sz w:val="24"/>
          <w:szCs w:val="24"/>
        </w:rPr>
        <w:t>10  NOV</w:t>
      </w:r>
      <w:r w:rsidRPr="00A16303">
        <w:rPr>
          <w:rFonts w:ascii="Arial" w:hAnsi="Arial" w:cs="Arial"/>
          <w:sz w:val="24"/>
          <w:szCs w:val="24"/>
          <w:lang w:val="en"/>
        </w:rPr>
        <w:t xml:space="preserve"> 202</w:t>
      </w:r>
      <w:r w:rsidRPr="00A16303">
        <w:rPr>
          <w:rFonts w:ascii="Arial" w:hAnsi="Arial" w:cs="Arial"/>
          <w:sz w:val="24"/>
          <w:szCs w:val="24"/>
        </w:rPr>
        <w:t>5</w:t>
      </w:r>
      <w:r w:rsidRPr="00A16303">
        <w:rPr>
          <w:rFonts w:ascii="Arial" w:hAnsi="Arial" w:cs="Arial"/>
          <w:sz w:val="24"/>
          <w:szCs w:val="24"/>
          <w:lang w:val="en"/>
        </w:rPr>
        <w:t>).</w:t>
      </w:r>
    </w:p>
    <w:p w14:paraId="5B9B8C88" w14:textId="280BE17B" w:rsidR="00A16303" w:rsidRPr="00A16303" w:rsidRDefault="00A16303" w:rsidP="00A16303">
      <w:pPr>
        <w:rPr>
          <w:rFonts w:ascii="Arial" w:hAnsi="Arial" w:cs="Arial"/>
          <w:sz w:val="24"/>
          <w:szCs w:val="24"/>
          <w:lang w:val="en"/>
        </w:rPr>
      </w:pPr>
      <w:r w:rsidRPr="00A16303">
        <w:rPr>
          <w:rFonts w:ascii="Arial" w:hAnsi="Arial" w:cs="Arial"/>
          <w:sz w:val="24"/>
          <w:szCs w:val="24"/>
          <w:lang w:val="en"/>
        </w:rPr>
        <w:t xml:space="preserve">Kirkpatrick, A. (2007) ‘English as a Lingua Franca: Attitude and Identity’, Asian Englishes. Routledge, pp. 106–109. Available at: </w:t>
      </w:r>
      <w:hyperlink r:id="rId10" w:history="1">
        <w:r w:rsidRPr="00A16303">
          <w:rPr>
            <w:rStyle w:val="Hyperlink"/>
            <w:rFonts w:ascii="Arial" w:hAnsi="Arial" w:cs="Arial"/>
            <w:sz w:val="24"/>
            <w:szCs w:val="24"/>
            <w:lang w:val="en"/>
          </w:rPr>
          <w:t>https://doi.org/10.1080/13488678.2007.10801218</w:t>
        </w:r>
      </w:hyperlink>
      <w:r w:rsidRPr="00A16303">
        <w:rPr>
          <w:rFonts w:ascii="Arial" w:hAnsi="Arial" w:cs="Arial"/>
          <w:sz w:val="24"/>
          <w:szCs w:val="24"/>
          <w:lang w:val="en"/>
        </w:rPr>
        <w:t>.</w:t>
      </w:r>
    </w:p>
    <w:p w14:paraId="796B1512" w14:textId="77777777" w:rsidR="00A16303" w:rsidRPr="00A16303" w:rsidRDefault="00A16303" w:rsidP="00A16303">
      <w:pPr>
        <w:rPr>
          <w:rFonts w:ascii="Arial" w:hAnsi="Arial" w:cs="Arial"/>
          <w:sz w:val="24"/>
          <w:szCs w:val="24"/>
          <w:lang w:val="en"/>
        </w:rPr>
      </w:pPr>
      <w:r w:rsidRPr="00A16303">
        <w:rPr>
          <w:rFonts w:ascii="Arial" w:hAnsi="Arial" w:cs="Arial"/>
          <w:sz w:val="24"/>
          <w:szCs w:val="24"/>
          <w:lang w:val="en"/>
        </w:rPr>
        <w:t xml:space="preserve">McSweeney, B. (2002) ‘Hofstede’s Model of National Cultural Differences and their Consequences: A Triumph of Faith - a Failure of Analysis’, Human relations (New York), 55(1), pp. 89–118. Available at: </w:t>
      </w:r>
      <w:hyperlink r:id="rId11" w:history="1">
        <w:r w:rsidRPr="00A16303">
          <w:rPr>
            <w:rStyle w:val="Hyperlink"/>
            <w:rFonts w:ascii="Arial" w:hAnsi="Arial" w:cs="Arial"/>
            <w:sz w:val="24"/>
            <w:szCs w:val="24"/>
            <w:lang w:val="en"/>
          </w:rPr>
          <w:t>https://doi.org/10.1177/0018726702551004</w:t>
        </w:r>
      </w:hyperlink>
      <w:r w:rsidRPr="00A16303">
        <w:rPr>
          <w:rFonts w:ascii="Arial" w:hAnsi="Arial" w:cs="Arial"/>
          <w:sz w:val="24"/>
          <w:szCs w:val="24"/>
          <w:lang w:val="en"/>
        </w:rPr>
        <w:t>.</w:t>
      </w:r>
      <w:r w:rsidRPr="00A16303">
        <w:rPr>
          <w:rFonts w:ascii="Arial" w:hAnsi="Arial" w:cs="Arial"/>
          <w:sz w:val="24"/>
          <w:szCs w:val="24"/>
        </w:rPr>
        <w:t xml:space="preserve"> </w:t>
      </w:r>
    </w:p>
    <w:p w14:paraId="1C144150" w14:textId="6AD5F5C9" w:rsidR="00A16303" w:rsidRPr="00A16303" w:rsidRDefault="00A16303" w:rsidP="00A16303">
      <w:pPr>
        <w:rPr>
          <w:rFonts w:ascii="Arial" w:hAnsi="Arial" w:cs="Arial"/>
          <w:sz w:val="24"/>
          <w:szCs w:val="24"/>
          <w:lang w:val="en"/>
        </w:rPr>
      </w:pPr>
      <w:r w:rsidRPr="00A16303">
        <w:rPr>
          <w:rFonts w:ascii="Arial" w:hAnsi="Arial" w:cs="Arial"/>
          <w:sz w:val="24"/>
          <w:szCs w:val="24"/>
          <w:lang w:val="en"/>
        </w:rPr>
        <w:t xml:space="preserve"> Mikami, K., Ikegami, J. “JJ” and Bird, A. (2022) ‘Opportunism and trust in cross- national lateral collaboration: the Renault-Nissan Alliance and a theory of equity-trust’, Journal of World Business, 57(3). ACultures They Create’, Academy of Management discoveries, 7(3), pp. 419–450. Available at: </w:t>
      </w:r>
      <w:hyperlink r:id="rId12" w:history="1">
        <w:r w:rsidRPr="00A16303">
          <w:rPr>
            <w:rStyle w:val="Hyperlink"/>
            <w:rFonts w:ascii="Arial" w:hAnsi="Arial" w:cs="Arial"/>
            <w:sz w:val="24"/>
            <w:szCs w:val="24"/>
            <w:lang w:val="en"/>
          </w:rPr>
          <w:t>https://doi.org/10.5465/amd.2019.0163</w:t>
        </w:r>
      </w:hyperlink>
      <w:r w:rsidRPr="00A16303">
        <w:rPr>
          <w:rFonts w:ascii="Arial" w:hAnsi="Arial" w:cs="Arial"/>
          <w:sz w:val="24"/>
          <w:szCs w:val="24"/>
          <w:lang w:val="en"/>
        </w:rPr>
        <w:t>.</w:t>
      </w:r>
    </w:p>
    <w:p w14:paraId="501A5195" w14:textId="0129F40D" w:rsidR="00A16303" w:rsidRPr="00A16303" w:rsidRDefault="00A16303" w:rsidP="00A16303">
      <w:pPr>
        <w:rPr>
          <w:rFonts w:ascii="Arial" w:hAnsi="Arial" w:cs="Arial"/>
          <w:sz w:val="24"/>
          <w:szCs w:val="24"/>
          <w:lang w:val="en"/>
        </w:rPr>
      </w:pPr>
      <w:r w:rsidRPr="00A16303">
        <w:rPr>
          <w:rFonts w:ascii="Arial" w:hAnsi="Arial" w:cs="Arial"/>
          <w:sz w:val="24"/>
          <w:szCs w:val="24"/>
          <w:lang w:val="en"/>
        </w:rPr>
        <w:t xml:space="preserve">Gehrisch, M.G. and Süß, S. (2023) ‘Organizational behavior in international strategic alliances and the relation to performance – a literature review and avenues for future research’, Management review quarterly, 73(3), pp. 1045–1107. Available at: </w:t>
      </w:r>
      <w:hyperlink r:id="rId13" w:history="1">
        <w:r w:rsidRPr="00A16303">
          <w:rPr>
            <w:rStyle w:val="Hyperlink"/>
            <w:rFonts w:ascii="Arial" w:hAnsi="Arial" w:cs="Arial"/>
            <w:sz w:val="24"/>
            <w:szCs w:val="24"/>
            <w:lang w:val="en"/>
          </w:rPr>
          <w:t>https://doi.org/10.1007/s11301-022-00268-7</w:t>
        </w:r>
      </w:hyperlink>
      <w:r w:rsidRPr="00A16303">
        <w:rPr>
          <w:rFonts w:ascii="Arial" w:hAnsi="Arial" w:cs="Arial"/>
          <w:sz w:val="24"/>
          <w:szCs w:val="24"/>
          <w:lang w:val="en"/>
        </w:rPr>
        <w:t>.</w:t>
      </w:r>
    </w:p>
    <w:p w14:paraId="748AA651" w14:textId="72DD8B8A" w:rsidR="00A16303" w:rsidRPr="00A16303" w:rsidRDefault="00A16303" w:rsidP="00A16303">
      <w:pPr>
        <w:rPr>
          <w:rFonts w:ascii="Arial" w:hAnsi="Arial" w:cs="Arial"/>
          <w:sz w:val="24"/>
          <w:szCs w:val="24"/>
          <w:lang w:val="en"/>
        </w:rPr>
      </w:pPr>
      <w:r w:rsidRPr="00A16303">
        <w:rPr>
          <w:rFonts w:ascii="Arial" w:hAnsi="Arial" w:cs="Arial"/>
          <w:sz w:val="24"/>
          <w:szCs w:val="24"/>
          <w:lang w:val="en"/>
        </w:rPr>
        <w:lastRenderedPageBreak/>
        <w:t>STAHL, G., TUNG, R.L., KOSTOVA, T. and ZELLMER-BRUHN, M., 2016. Widening the lens: Rethinking distance, diversity, and foreignness in international business research through positive organizational scholarship. Journal of International Business Studies, 47(6), pp. 621-630.</w:t>
      </w:r>
      <w:r w:rsidRPr="00A16303">
        <w:rPr>
          <w:rFonts w:ascii="Arial" w:hAnsi="Arial" w:cs="Arial"/>
          <w:sz w:val="24"/>
          <w:szCs w:val="24"/>
          <w:lang w:val="en"/>
        </w:rPr>
        <w:t xml:space="preserve"> a</w:t>
      </w:r>
      <w:r w:rsidRPr="00A16303">
        <w:rPr>
          <w:rFonts w:ascii="Arial" w:hAnsi="Arial" w:cs="Arial"/>
          <w:sz w:val="24"/>
          <w:szCs w:val="24"/>
          <w:lang w:val="en"/>
        </w:rPr>
        <w:t xml:space="preserve">vailable at: </w:t>
      </w:r>
      <w:hyperlink r:id="rId14" w:history="1">
        <w:r w:rsidRPr="00A16303">
          <w:rPr>
            <w:rStyle w:val="Hyperlink"/>
            <w:rFonts w:ascii="Arial" w:hAnsi="Arial" w:cs="Arial"/>
            <w:sz w:val="24"/>
            <w:szCs w:val="24"/>
            <w:lang w:val="en"/>
          </w:rPr>
          <w:t>https://doi.org/10.1016/j.jwb.2021.101286</w:t>
        </w:r>
      </w:hyperlink>
      <w:r w:rsidRPr="00A16303">
        <w:rPr>
          <w:rFonts w:ascii="Arial" w:hAnsi="Arial" w:cs="Arial"/>
          <w:sz w:val="24"/>
          <w:szCs w:val="24"/>
          <w:lang w:val="en"/>
        </w:rPr>
        <w:t>.</w:t>
      </w:r>
    </w:p>
    <w:p w14:paraId="5FFB8EC9" w14:textId="766FE1DE" w:rsidR="00A16303" w:rsidRPr="00A16303" w:rsidRDefault="00A16303" w:rsidP="00A16303">
      <w:pPr>
        <w:rPr>
          <w:rFonts w:ascii="Arial" w:hAnsi="Arial" w:cs="Arial"/>
          <w:sz w:val="24"/>
          <w:szCs w:val="24"/>
        </w:rPr>
      </w:pPr>
      <w:r w:rsidRPr="00A16303">
        <w:rPr>
          <w:rFonts w:ascii="Arial" w:hAnsi="Arial" w:cs="Arial"/>
          <w:sz w:val="24"/>
          <w:szCs w:val="24"/>
          <w:lang w:val="en"/>
        </w:rPr>
        <w:t xml:space="preserve"> </w:t>
      </w:r>
      <w:r w:rsidRPr="00A16303">
        <w:rPr>
          <w:rFonts w:ascii="Arial" w:hAnsi="Arial" w:cs="Arial"/>
          <w:sz w:val="24"/>
          <w:szCs w:val="24"/>
        </w:rPr>
        <w:t xml:space="preserve">O’Reilly, C.A., Chatman, J.A. and Doerr, B. (2021) ‘When “Me” Trumps “We”: Narcissistic Leaders and the Cultures They Create’, </w:t>
      </w:r>
      <w:r w:rsidRPr="00A16303">
        <w:rPr>
          <w:rFonts w:ascii="Arial" w:hAnsi="Arial" w:cs="Arial"/>
          <w:i/>
          <w:iCs/>
          <w:sz w:val="24"/>
          <w:szCs w:val="24"/>
        </w:rPr>
        <w:t>Academy of Management discoveries</w:t>
      </w:r>
      <w:r w:rsidRPr="00A16303">
        <w:rPr>
          <w:rFonts w:ascii="Arial" w:hAnsi="Arial" w:cs="Arial"/>
          <w:sz w:val="24"/>
          <w:szCs w:val="24"/>
        </w:rPr>
        <w:t>, 7(3), pp. 419–450. Available at: https://doi.org/10.5465/amd.2019.0163.</w:t>
      </w:r>
    </w:p>
    <w:p w14:paraId="061B7A40" w14:textId="50A1B1C6" w:rsidR="00A16303" w:rsidRPr="00A16303" w:rsidRDefault="00A16303" w:rsidP="00A16303">
      <w:pPr>
        <w:rPr>
          <w:lang w:val="en"/>
        </w:rPr>
      </w:pPr>
    </w:p>
    <w:p w14:paraId="2863C6B4" w14:textId="15570F03" w:rsidR="005E2B64" w:rsidRPr="005E2B64" w:rsidRDefault="005E2B64" w:rsidP="00934CA8"/>
    <w:sectPr w:rsidR="005E2B64" w:rsidRPr="005E2B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37F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3865C8"/>
    <w:multiLevelType w:val="hybridMultilevel"/>
    <w:tmpl w:val="E40AD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34330"/>
    <w:multiLevelType w:val="hybridMultilevel"/>
    <w:tmpl w:val="A0768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390A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10346650">
    <w:abstractNumId w:val="2"/>
  </w:num>
  <w:num w:numId="2" w16cid:durableId="1028289314">
    <w:abstractNumId w:val="1"/>
  </w:num>
  <w:num w:numId="3" w16cid:durableId="531965646">
    <w:abstractNumId w:val="3"/>
  </w:num>
  <w:num w:numId="4" w16cid:durableId="916785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479"/>
    <w:rsid w:val="000E21C3"/>
    <w:rsid w:val="00246F57"/>
    <w:rsid w:val="00274B2A"/>
    <w:rsid w:val="002A33C3"/>
    <w:rsid w:val="00311B0B"/>
    <w:rsid w:val="00395B45"/>
    <w:rsid w:val="003B57E6"/>
    <w:rsid w:val="004274E7"/>
    <w:rsid w:val="004C4FE8"/>
    <w:rsid w:val="005C1A4B"/>
    <w:rsid w:val="005E2B64"/>
    <w:rsid w:val="00676F90"/>
    <w:rsid w:val="006B30FD"/>
    <w:rsid w:val="006C70AF"/>
    <w:rsid w:val="00815241"/>
    <w:rsid w:val="00934CA8"/>
    <w:rsid w:val="009B0DCB"/>
    <w:rsid w:val="009E0D74"/>
    <w:rsid w:val="00A16303"/>
    <w:rsid w:val="00B85EC1"/>
    <w:rsid w:val="00BD6479"/>
    <w:rsid w:val="00BF6DE6"/>
    <w:rsid w:val="00C457E5"/>
    <w:rsid w:val="00C807C8"/>
    <w:rsid w:val="00E90F8F"/>
    <w:rsid w:val="00F32E55"/>
    <w:rsid w:val="00FA0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2D242"/>
  <w15:chartTrackingRefBased/>
  <w15:docId w15:val="{1B52BD70-616B-409D-9D47-EF76D848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6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6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6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6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6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6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6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479"/>
    <w:rPr>
      <w:rFonts w:eastAsiaTheme="majorEastAsia" w:cstheme="majorBidi"/>
      <w:color w:val="272727" w:themeColor="text1" w:themeTint="D8"/>
    </w:rPr>
  </w:style>
  <w:style w:type="paragraph" w:styleId="Title">
    <w:name w:val="Title"/>
    <w:basedOn w:val="Normal"/>
    <w:next w:val="Normal"/>
    <w:link w:val="TitleChar"/>
    <w:uiPriority w:val="10"/>
    <w:qFormat/>
    <w:rsid w:val="00BD6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479"/>
    <w:pPr>
      <w:spacing w:before="160"/>
      <w:jc w:val="center"/>
    </w:pPr>
    <w:rPr>
      <w:i/>
      <w:iCs/>
      <w:color w:val="404040" w:themeColor="text1" w:themeTint="BF"/>
    </w:rPr>
  </w:style>
  <w:style w:type="character" w:customStyle="1" w:styleId="QuoteChar">
    <w:name w:val="Quote Char"/>
    <w:basedOn w:val="DefaultParagraphFont"/>
    <w:link w:val="Quote"/>
    <w:uiPriority w:val="29"/>
    <w:rsid w:val="00BD6479"/>
    <w:rPr>
      <w:i/>
      <w:iCs/>
      <w:color w:val="404040" w:themeColor="text1" w:themeTint="BF"/>
    </w:rPr>
  </w:style>
  <w:style w:type="paragraph" w:styleId="ListParagraph">
    <w:name w:val="List Paragraph"/>
    <w:basedOn w:val="Normal"/>
    <w:uiPriority w:val="34"/>
    <w:qFormat/>
    <w:rsid w:val="00BD6479"/>
    <w:pPr>
      <w:ind w:left="720"/>
      <w:contextualSpacing/>
    </w:pPr>
  </w:style>
  <w:style w:type="character" w:styleId="IntenseEmphasis">
    <w:name w:val="Intense Emphasis"/>
    <w:basedOn w:val="DefaultParagraphFont"/>
    <w:uiPriority w:val="21"/>
    <w:qFormat/>
    <w:rsid w:val="00BD6479"/>
    <w:rPr>
      <w:i/>
      <w:iCs/>
      <w:color w:val="0F4761" w:themeColor="accent1" w:themeShade="BF"/>
    </w:rPr>
  </w:style>
  <w:style w:type="paragraph" w:styleId="IntenseQuote">
    <w:name w:val="Intense Quote"/>
    <w:basedOn w:val="Normal"/>
    <w:next w:val="Normal"/>
    <w:link w:val="IntenseQuoteChar"/>
    <w:uiPriority w:val="30"/>
    <w:qFormat/>
    <w:rsid w:val="00BD6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6479"/>
    <w:rPr>
      <w:i/>
      <w:iCs/>
      <w:color w:val="0F4761" w:themeColor="accent1" w:themeShade="BF"/>
    </w:rPr>
  </w:style>
  <w:style w:type="character" w:styleId="IntenseReference">
    <w:name w:val="Intense Reference"/>
    <w:basedOn w:val="DefaultParagraphFont"/>
    <w:uiPriority w:val="32"/>
    <w:qFormat/>
    <w:rsid w:val="00BD6479"/>
    <w:rPr>
      <w:b/>
      <w:bCs/>
      <w:smallCaps/>
      <w:color w:val="0F4761" w:themeColor="accent1" w:themeShade="BF"/>
      <w:spacing w:val="5"/>
    </w:rPr>
  </w:style>
  <w:style w:type="paragraph" w:styleId="NormalWeb">
    <w:name w:val="Normal (Web)"/>
    <w:basedOn w:val="Normal"/>
    <w:uiPriority w:val="99"/>
    <w:semiHidden/>
    <w:unhideWhenUsed/>
    <w:rsid w:val="002A33C3"/>
    <w:rPr>
      <w:rFonts w:ascii="Times New Roman" w:hAnsi="Times New Roman" w:cs="Times New Roman"/>
      <w:sz w:val="24"/>
      <w:szCs w:val="24"/>
    </w:rPr>
  </w:style>
  <w:style w:type="character" w:styleId="Hyperlink">
    <w:name w:val="Hyperlink"/>
    <w:basedOn w:val="DefaultParagraphFont"/>
    <w:uiPriority w:val="99"/>
    <w:unhideWhenUsed/>
    <w:rsid w:val="00A16303"/>
    <w:rPr>
      <w:color w:val="467886" w:themeColor="hyperlink"/>
      <w:u w:val="single"/>
    </w:rPr>
  </w:style>
  <w:style w:type="character" w:styleId="UnresolvedMention">
    <w:name w:val="Unresolved Mention"/>
    <w:basedOn w:val="DefaultParagraphFont"/>
    <w:uiPriority w:val="99"/>
    <w:semiHidden/>
    <w:unhideWhenUsed/>
    <w:rsid w:val="00A16303"/>
    <w:rPr>
      <w:color w:val="605E5C"/>
      <w:shd w:val="clear" w:color="auto" w:fill="E1DFDD"/>
    </w:rPr>
  </w:style>
  <w:style w:type="paragraph" w:styleId="TOCHeading">
    <w:name w:val="TOC Heading"/>
    <w:basedOn w:val="Heading1"/>
    <w:next w:val="Normal"/>
    <w:uiPriority w:val="39"/>
    <w:unhideWhenUsed/>
    <w:qFormat/>
    <w:rsid w:val="00A1630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16303"/>
    <w:pPr>
      <w:spacing w:after="100"/>
    </w:pPr>
  </w:style>
  <w:style w:type="paragraph" w:styleId="TOC2">
    <w:name w:val="toc 2"/>
    <w:basedOn w:val="Normal"/>
    <w:next w:val="Normal"/>
    <w:autoRedefine/>
    <w:uiPriority w:val="39"/>
    <w:unhideWhenUsed/>
    <w:rsid w:val="00A1630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palgrave.jibs.8490867" TargetMode="External"/><Relationship Id="rId13" Type="http://schemas.openxmlformats.org/officeDocument/2006/relationships/hyperlink" Target="https://doi.org/10.1007/s11301-022-00268-7" TargetMode="External"/><Relationship Id="rId3" Type="http://schemas.openxmlformats.org/officeDocument/2006/relationships/settings" Target="settings.xml"/><Relationship Id="rId7" Type="http://schemas.openxmlformats.org/officeDocument/2006/relationships/hyperlink" Target="https://doi.org/10.1177/0149206314541152" TargetMode="External"/><Relationship Id="rId12" Type="http://schemas.openxmlformats.org/officeDocument/2006/relationships/hyperlink" Target="https://doi.org/10.5465/amd.2019.016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93/acprof:oso/9780199284511.003.0004" TargetMode="External"/><Relationship Id="rId11" Type="http://schemas.openxmlformats.org/officeDocument/2006/relationships/hyperlink" Target="https://doi.org/10.1177/0018726702551004"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doi.org/10.1080/13488678.2007.10801218" TargetMode="External"/><Relationship Id="rId4" Type="http://schemas.openxmlformats.org/officeDocument/2006/relationships/webSettings" Target="webSettings.xml"/><Relationship Id="rId9" Type="http://schemas.openxmlformats.org/officeDocument/2006/relationships/hyperlink" Target="https://www.google.com/search?q=https://www.hofstede-insights.com/country-comparison/france,japan/" TargetMode="External"/><Relationship Id="rId14" Type="http://schemas.openxmlformats.org/officeDocument/2006/relationships/hyperlink" Target="https://doi.org/10.1016/j.jwb.2021.1012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860</TotalTime>
  <Pages>8</Pages>
  <Words>2669</Words>
  <Characters>15218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cecile abuzour</dc:creator>
  <cp:keywords/>
  <dc:description/>
  <cp:lastModifiedBy>cecile abuzour</cp:lastModifiedBy>
  <cp:revision>17</cp:revision>
  <dcterms:created xsi:type="dcterms:W3CDTF">2025-12-20T12:45:00Z</dcterms:created>
  <dcterms:modified xsi:type="dcterms:W3CDTF">2025-12-22T01:45:00Z</dcterms:modified>
</cp:coreProperties>
</file>