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C0464" w14:textId="44C85D69" w:rsidR="0060666C" w:rsidRPr="00114A10" w:rsidRDefault="00286810" w:rsidP="00286810">
      <w:pPr>
        <w:jc w:val="center"/>
        <w:rPr>
          <w:rFonts w:ascii="Times New Roman" w:hAnsi="Times New Roman" w:cs="Times New Roman"/>
          <w:b/>
          <w:bCs/>
          <w:sz w:val="32"/>
          <w:szCs w:val="32"/>
        </w:rPr>
      </w:pPr>
      <w:r w:rsidRPr="00114A10">
        <w:rPr>
          <w:rFonts w:ascii="Times New Roman" w:hAnsi="Times New Roman" w:cs="Times New Roman"/>
          <w:b/>
          <w:bCs/>
          <w:sz w:val="32"/>
          <w:szCs w:val="32"/>
        </w:rPr>
        <w:t>Mind Map – Exploring Horse-Human Entanglement in the Celtic World Through Coin Iconography</w:t>
      </w:r>
    </w:p>
    <w:p w14:paraId="46D3AE75" w14:textId="035F1EB7" w:rsidR="00286810" w:rsidRPr="00114A10" w:rsidRDefault="00286810" w:rsidP="00286810">
      <w:pPr>
        <w:jc w:val="center"/>
        <w:rPr>
          <w:rFonts w:ascii="Times New Roman" w:hAnsi="Times New Roman" w:cs="Times New Roman"/>
          <w:sz w:val="28"/>
          <w:szCs w:val="28"/>
        </w:rPr>
      </w:pPr>
      <w:r w:rsidRPr="00114A10">
        <w:rPr>
          <w:rFonts w:ascii="Times New Roman" w:hAnsi="Times New Roman" w:cs="Times New Roman"/>
          <w:sz w:val="28"/>
          <w:szCs w:val="28"/>
        </w:rPr>
        <w:t xml:space="preserve">Kira Webb 2306722 </w:t>
      </w:r>
    </w:p>
    <w:p w14:paraId="2D8F810C" w14:textId="139AC5B4" w:rsidR="00286810" w:rsidRPr="00114A10" w:rsidRDefault="00286810" w:rsidP="00286810">
      <w:pPr>
        <w:jc w:val="center"/>
        <w:rPr>
          <w:rFonts w:ascii="Times New Roman" w:hAnsi="Times New Roman" w:cs="Times New Roman"/>
          <w:sz w:val="28"/>
          <w:szCs w:val="28"/>
        </w:rPr>
      </w:pPr>
      <w:r w:rsidRPr="00114A10">
        <w:rPr>
          <w:rFonts w:ascii="Times New Roman" w:hAnsi="Times New Roman" w:cs="Times New Roman"/>
          <w:noProof/>
          <w:sz w:val="28"/>
          <w:szCs w:val="28"/>
        </w:rPr>
        <w:drawing>
          <wp:inline distT="0" distB="0" distL="0" distR="0" wp14:anchorId="339F3494" wp14:editId="60D95C05">
            <wp:extent cx="5731510" cy="4639310"/>
            <wp:effectExtent l="0" t="0" r="2540" b="8890"/>
            <wp:docPr id="10928776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877693" name="Picture 1" descr="A screenshot of a comput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4639310"/>
                    </a:xfrm>
                    <a:prstGeom prst="rect">
                      <a:avLst/>
                    </a:prstGeom>
                  </pic:spPr>
                </pic:pic>
              </a:graphicData>
            </a:graphic>
          </wp:inline>
        </w:drawing>
      </w:r>
    </w:p>
    <w:p w14:paraId="765B30E1" w14:textId="63ADCB9D" w:rsidR="00286810" w:rsidRPr="00114A10" w:rsidRDefault="00286810" w:rsidP="00286810">
      <w:pPr>
        <w:jc w:val="center"/>
        <w:rPr>
          <w:rFonts w:ascii="Times New Roman" w:hAnsi="Times New Roman" w:cs="Times New Roman"/>
          <w:sz w:val="28"/>
          <w:szCs w:val="28"/>
        </w:rPr>
      </w:pPr>
    </w:p>
    <w:p w14:paraId="1D6923C6" w14:textId="77777777" w:rsidR="00286810" w:rsidRPr="00114A10" w:rsidRDefault="00286810">
      <w:pPr>
        <w:rPr>
          <w:rFonts w:ascii="Times New Roman" w:hAnsi="Times New Roman" w:cs="Times New Roman"/>
          <w:sz w:val="28"/>
          <w:szCs w:val="28"/>
        </w:rPr>
      </w:pPr>
      <w:r w:rsidRPr="00114A10">
        <w:rPr>
          <w:rFonts w:ascii="Times New Roman" w:hAnsi="Times New Roman" w:cs="Times New Roman"/>
          <w:sz w:val="28"/>
          <w:szCs w:val="28"/>
        </w:rPr>
        <w:br w:type="page"/>
      </w:r>
    </w:p>
    <w:p w14:paraId="7AD1F4EB" w14:textId="04338156" w:rsidR="00286810" w:rsidRPr="00114A10" w:rsidRDefault="00286810" w:rsidP="00114A10">
      <w:pPr>
        <w:jc w:val="center"/>
        <w:rPr>
          <w:rFonts w:ascii="Times New Roman" w:hAnsi="Times New Roman" w:cs="Times New Roman"/>
          <w:b/>
          <w:bCs/>
          <w:sz w:val="32"/>
          <w:szCs w:val="32"/>
        </w:rPr>
      </w:pPr>
      <w:r w:rsidRPr="00114A10">
        <w:rPr>
          <w:rFonts w:ascii="Times New Roman" w:hAnsi="Times New Roman" w:cs="Times New Roman"/>
          <w:b/>
          <w:bCs/>
          <w:sz w:val="32"/>
          <w:szCs w:val="32"/>
        </w:rPr>
        <w:lastRenderedPageBreak/>
        <w:t>First Column: The Celtic World</w:t>
      </w:r>
    </w:p>
    <w:p w14:paraId="2F2C6725" w14:textId="77777777" w:rsidR="00286810" w:rsidRPr="00114A10" w:rsidRDefault="00286810" w:rsidP="00114A10">
      <w:pPr>
        <w:rPr>
          <w:rFonts w:ascii="Times New Roman" w:hAnsi="Times New Roman" w:cs="Times New Roman"/>
          <w:sz w:val="28"/>
          <w:szCs w:val="28"/>
        </w:rPr>
      </w:pPr>
    </w:p>
    <w:p w14:paraId="26B5CD63" w14:textId="46F56C00" w:rsidR="00286810" w:rsidRPr="00114A10" w:rsidRDefault="00286810" w:rsidP="00114A10">
      <w:pPr>
        <w:pStyle w:val="ListParagraph"/>
        <w:numPr>
          <w:ilvl w:val="0"/>
          <w:numId w:val="2"/>
        </w:numPr>
        <w:jc w:val="center"/>
        <w:rPr>
          <w:rFonts w:ascii="Times New Roman" w:hAnsi="Times New Roman" w:cs="Times New Roman"/>
          <w:b/>
          <w:bCs/>
          <w:sz w:val="28"/>
          <w:szCs w:val="28"/>
        </w:rPr>
      </w:pPr>
      <w:r w:rsidRPr="00114A10">
        <w:rPr>
          <w:rFonts w:ascii="Times New Roman" w:hAnsi="Times New Roman" w:cs="Times New Roman"/>
          <w:b/>
          <w:bCs/>
          <w:sz w:val="28"/>
          <w:szCs w:val="28"/>
        </w:rPr>
        <w:t>What is ‘Celtic’?</w:t>
      </w:r>
    </w:p>
    <w:p w14:paraId="5710C74D" w14:textId="4FA2ECA1" w:rsidR="00286810" w:rsidRPr="00114A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Controversial Term </w:t>
      </w:r>
    </w:p>
    <w:p w14:paraId="7D2008CE" w14:textId="4E299888" w:rsidR="00286810" w:rsidRPr="00114A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Academic debate around definition (Warmind 2016) </w:t>
      </w:r>
    </w:p>
    <w:p w14:paraId="5FB4361A" w14:textId="33BC2660" w:rsidR="00286810" w:rsidRPr="00114A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Modern Celtic Identity </w:t>
      </w:r>
    </w:p>
    <w:p w14:paraId="60AB756B" w14:textId="01D20FAC" w:rsidR="002868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Far-right association (Wills 2019) </w:t>
      </w:r>
    </w:p>
    <w:p w14:paraId="64036F36" w14:textId="77777777" w:rsidR="00114A10" w:rsidRPr="00114A10" w:rsidRDefault="00114A10" w:rsidP="00114A10">
      <w:pPr>
        <w:rPr>
          <w:rFonts w:ascii="Times New Roman" w:hAnsi="Times New Roman" w:cs="Times New Roman"/>
          <w:sz w:val="24"/>
          <w:szCs w:val="24"/>
        </w:rPr>
      </w:pPr>
    </w:p>
    <w:p w14:paraId="6E365D3E" w14:textId="66A243F1" w:rsidR="00114A10" w:rsidRPr="00114A10" w:rsidRDefault="00286810" w:rsidP="00114A10">
      <w:pPr>
        <w:pStyle w:val="ListParagraph"/>
        <w:numPr>
          <w:ilvl w:val="0"/>
          <w:numId w:val="2"/>
        </w:numPr>
        <w:jc w:val="center"/>
        <w:rPr>
          <w:rFonts w:ascii="Times New Roman" w:hAnsi="Times New Roman" w:cs="Times New Roman"/>
          <w:b/>
          <w:bCs/>
          <w:sz w:val="28"/>
          <w:szCs w:val="28"/>
        </w:rPr>
      </w:pPr>
      <w:r w:rsidRPr="00114A10">
        <w:rPr>
          <w:rFonts w:ascii="Times New Roman" w:hAnsi="Times New Roman" w:cs="Times New Roman"/>
          <w:b/>
          <w:bCs/>
          <w:sz w:val="28"/>
          <w:szCs w:val="28"/>
        </w:rPr>
        <w:t>Archaeological and Historical Record</w:t>
      </w:r>
    </w:p>
    <w:p w14:paraId="5F456C05" w14:textId="5D900363" w:rsidR="00286810" w:rsidRPr="00114A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Sparse historical evidence </w:t>
      </w:r>
    </w:p>
    <w:p w14:paraId="1882DBB9" w14:textId="65A8538A" w:rsidR="00286810" w:rsidRPr="00114A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Few Celtic societies kept written records </w:t>
      </w:r>
    </w:p>
    <w:p w14:paraId="793E1A0D" w14:textId="1040F4B9" w:rsidR="00286810" w:rsidRPr="00114A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Most records are Greek/Roman – can be biased/inaccurate </w:t>
      </w:r>
    </w:p>
    <w:p w14:paraId="4007D4CA" w14:textId="77777777" w:rsidR="00114A10" w:rsidRDefault="00114A10" w:rsidP="00114A10">
      <w:pPr>
        <w:jc w:val="center"/>
        <w:rPr>
          <w:rFonts w:ascii="Times New Roman" w:hAnsi="Times New Roman" w:cs="Times New Roman"/>
          <w:sz w:val="24"/>
          <w:szCs w:val="24"/>
        </w:rPr>
      </w:pPr>
    </w:p>
    <w:p w14:paraId="6B15CD84" w14:textId="1ACD4ADE" w:rsidR="00286810" w:rsidRPr="00114A10" w:rsidRDefault="00286810" w:rsidP="00114A10">
      <w:pPr>
        <w:pStyle w:val="ListParagraph"/>
        <w:numPr>
          <w:ilvl w:val="0"/>
          <w:numId w:val="2"/>
        </w:numPr>
        <w:rPr>
          <w:rFonts w:ascii="Times New Roman" w:hAnsi="Times New Roman" w:cs="Times New Roman"/>
          <w:sz w:val="24"/>
          <w:szCs w:val="24"/>
        </w:rPr>
      </w:pPr>
      <w:r w:rsidRPr="00114A10">
        <w:rPr>
          <w:rFonts w:ascii="Times New Roman" w:hAnsi="Times New Roman" w:cs="Times New Roman"/>
          <w:sz w:val="24"/>
          <w:szCs w:val="24"/>
        </w:rPr>
        <w:t>This essay takes ‘Celt/Celtic’ to refer to groups of Iron Age peoples connected by cultural and linguistic links</w:t>
      </w:r>
    </w:p>
    <w:p w14:paraId="7C78D36E" w14:textId="77777777" w:rsidR="00286810" w:rsidRPr="00114A10" w:rsidRDefault="00286810" w:rsidP="00114A10">
      <w:pPr>
        <w:rPr>
          <w:rFonts w:ascii="Times New Roman" w:hAnsi="Times New Roman" w:cs="Times New Roman"/>
          <w:sz w:val="28"/>
          <w:szCs w:val="28"/>
        </w:rPr>
      </w:pPr>
    </w:p>
    <w:p w14:paraId="3F4F299E" w14:textId="4687ECC5" w:rsidR="00286810" w:rsidRPr="00114A10" w:rsidRDefault="00286810" w:rsidP="00114A10">
      <w:pPr>
        <w:pStyle w:val="ListParagraph"/>
        <w:numPr>
          <w:ilvl w:val="0"/>
          <w:numId w:val="2"/>
        </w:numPr>
        <w:jc w:val="center"/>
        <w:rPr>
          <w:rFonts w:ascii="Times New Roman" w:hAnsi="Times New Roman" w:cs="Times New Roman"/>
          <w:b/>
          <w:bCs/>
          <w:sz w:val="32"/>
          <w:szCs w:val="32"/>
        </w:rPr>
      </w:pPr>
      <w:r w:rsidRPr="00114A10">
        <w:rPr>
          <w:rFonts w:ascii="Times New Roman" w:hAnsi="Times New Roman" w:cs="Times New Roman"/>
          <w:b/>
          <w:bCs/>
          <w:sz w:val="32"/>
          <w:szCs w:val="32"/>
        </w:rPr>
        <w:t>Coinage</w:t>
      </w:r>
    </w:p>
    <w:p w14:paraId="17B5CDE5" w14:textId="77777777" w:rsidR="00114A10" w:rsidRPr="00114A10" w:rsidRDefault="00114A10" w:rsidP="00114A10">
      <w:pPr>
        <w:jc w:val="center"/>
        <w:rPr>
          <w:rFonts w:ascii="Times New Roman" w:hAnsi="Times New Roman" w:cs="Times New Roman"/>
          <w:b/>
          <w:bCs/>
          <w:sz w:val="32"/>
          <w:szCs w:val="32"/>
        </w:rPr>
      </w:pPr>
    </w:p>
    <w:p w14:paraId="3FE6F0DF" w14:textId="1934C2F4" w:rsidR="00286810" w:rsidRPr="00114A10" w:rsidRDefault="00286810" w:rsidP="00114A10">
      <w:pPr>
        <w:pStyle w:val="ListParagraph"/>
        <w:numPr>
          <w:ilvl w:val="0"/>
          <w:numId w:val="2"/>
        </w:numPr>
        <w:rPr>
          <w:rFonts w:ascii="Times New Roman" w:hAnsi="Times New Roman" w:cs="Times New Roman"/>
          <w:b/>
          <w:bCs/>
          <w:sz w:val="28"/>
          <w:szCs w:val="28"/>
        </w:rPr>
      </w:pPr>
      <w:r w:rsidRPr="00114A10">
        <w:rPr>
          <w:rFonts w:ascii="Times New Roman" w:hAnsi="Times New Roman" w:cs="Times New Roman"/>
          <w:b/>
          <w:bCs/>
          <w:sz w:val="28"/>
          <w:szCs w:val="28"/>
        </w:rPr>
        <w:t xml:space="preserve">How, when and why did Celtic peoples start using and producing coins? </w:t>
      </w:r>
    </w:p>
    <w:p w14:paraId="3DA2A87F" w14:textId="503E3CFA" w:rsidR="00286810" w:rsidRPr="00114A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The concept of coinage spread from Greece to the Celts of Iberia and Gaul, gradually becoming more widespread. The Celts of Britain didn’t start producing coins until the 1</w:t>
      </w:r>
      <w:r w:rsidRPr="00114A10">
        <w:rPr>
          <w:rFonts w:ascii="Times New Roman" w:hAnsi="Times New Roman" w:cs="Times New Roman"/>
          <w:sz w:val="24"/>
          <w:szCs w:val="24"/>
          <w:vertAlign w:val="superscript"/>
        </w:rPr>
        <w:t>st</w:t>
      </w:r>
      <w:r w:rsidRPr="00114A10">
        <w:rPr>
          <w:rFonts w:ascii="Times New Roman" w:hAnsi="Times New Roman" w:cs="Times New Roman"/>
          <w:sz w:val="24"/>
          <w:szCs w:val="24"/>
        </w:rPr>
        <w:t xml:space="preserve"> century, likely motivated by Roman activity (Haselgrove and Krminicek 2012). </w:t>
      </w:r>
    </w:p>
    <w:p w14:paraId="5B61D370" w14:textId="65994EBD" w:rsidR="00286810" w:rsidRPr="00114A10" w:rsidRDefault="00286810" w:rsidP="00114A10">
      <w:pPr>
        <w:pStyle w:val="ListParagraph"/>
        <w:numPr>
          <w:ilvl w:val="0"/>
          <w:numId w:val="2"/>
        </w:numPr>
        <w:rPr>
          <w:rFonts w:ascii="Times New Roman" w:hAnsi="Times New Roman" w:cs="Times New Roman"/>
          <w:b/>
          <w:bCs/>
          <w:sz w:val="28"/>
          <w:szCs w:val="28"/>
        </w:rPr>
      </w:pPr>
      <w:r w:rsidRPr="00114A10">
        <w:rPr>
          <w:rFonts w:ascii="Times New Roman" w:hAnsi="Times New Roman" w:cs="Times New Roman"/>
          <w:b/>
          <w:bCs/>
          <w:sz w:val="28"/>
          <w:szCs w:val="28"/>
        </w:rPr>
        <w:t xml:space="preserve">Coins are more than just money </w:t>
      </w:r>
    </w:p>
    <w:p w14:paraId="166E7445" w14:textId="25D81A34" w:rsidR="00A16399" w:rsidRPr="00114A10" w:rsidRDefault="002868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The images and text on coins were powerful communication devices in themselves (Haselgrove and Krminicek 2012). Coins travelled and changed hands frequently, and could deliver ‘messages’ about the people they came from through their decoration. </w:t>
      </w:r>
    </w:p>
    <w:p w14:paraId="2597A6E1" w14:textId="585DF3CD"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Coins appear to have been common votive offerings, but it is important not to assign religious meaning to everything ancient peoples did (van Heesch 2005). </w:t>
      </w:r>
    </w:p>
    <w:p w14:paraId="00195D54" w14:textId="35D7CD0C" w:rsidR="00A16399" w:rsidRPr="00114A10" w:rsidRDefault="00A16399" w:rsidP="00114A10">
      <w:pPr>
        <w:rPr>
          <w:rFonts w:ascii="Times New Roman" w:hAnsi="Times New Roman" w:cs="Times New Roman"/>
          <w:sz w:val="28"/>
          <w:szCs w:val="28"/>
        </w:rPr>
      </w:pPr>
    </w:p>
    <w:p w14:paraId="32E21DA0" w14:textId="77777777" w:rsidR="00A16399" w:rsidRPr="00114A10" w:rsidRDefault="00A16399" w:rsidP="00114A10">
      <w:pPr>
        <w:rPr>
          <w:rFonts w:ascii="Times New Roman" w:hAnsi="Times New Roman" w:cs="Times New Roman"/>
          <w:sz w:val="28"/>
          <w:szCs w:val="28"/>
        </w:rPr>
      </w:pPr>
      <w:r w:rsidRPr="00114A10">
        <w:rPr>
          <w:rFonts w:ascii="Times New Roman" w:hAnsi="Times New Roman" w:cs="Times New Roman"/>
          <w:sz w:val="28"/>
          <w:szCs w:val="28"/>
        </w:rPr>
        <w:br w:type="page"/>
      </w:r>
    </w:p>
    <w:p w14:paraId="5F2F54DF" w14:textId="34A87E0B" w:rsidR="00A16399" w:rsidRPr="00114A10" w:rsidRDefault="00A16399" w:rsidP="00114A10">
      <w:pPr>
        <w:jc w:val="center"/>
        <w:rPr>
          <w:rFonts w:ascii="Times New Roman" w:hAnsi="Times New Roman" w:cs="Times New Roman"/>
          <w:b/>
          <w:bCs/>
          <w:sz w:val="32"/>
          <w:szCs w:val="32"/>
        </w:rPr>
      </w:pPr>
      <w:r w:rsidRPr="00114A10">
        <w:rPr>
          <w:rFonts w:ascii="Times New Roman" w:hAnsi="Times New Roman" w:cs="Times New Roman"/>
          <w:b/>
          <w:bCs/>
          <w:sz w:val="32"/>
          <w:szCs w:val="32"/>
        </w:rPr>
        <w:lastRenderedPageBreak/>
        <w:t>Second Column: Horses</w:t>
      </w:r>
    </w:p>
    <w:p w14:paraId="46395DA2" w14:textId="77777777" w:rsidR="00A16399" w:rsidRPr="00114A10" w:rsidRDefault="00A16399" w:rsidP="00114A10">
      <w:pPr>
        <w:rPr>
          <w:rFonts w:ascii="Times New Roman" w:hAnsi="Times New Roman" w:cs="Times New Roman"/>
          <w:sz w:val="28"/>
          <w:szCs w:val="28"/>
        </w:rPr>
      </w:pPr>
    </w:p>
    <w:p w14:paraId="5B6FED74" w14:textId="2172AE16" w:rsidR="00A16399" w:rsidRPr="00114A10" w:rsidRDefault="00A16399" w:rsidP="00114A10">
      <w:pPr>
        <w:pStyle w:val="ListParagraph"/>
        <w:numPr>
          <w:ilvl w:val="0"/>
          <w:numId w:val="4"/>
        </w:numPr>
        <w:jc w:val="center"/>
        <w:rPr>
          <w:rFonts w:ascii="Times New Roman" w:hAnsi="Times New Roman" w:cs="Times New Roman"/>
          <w:b/>
          <w:bCs/>
          <w:sz w:val="28"/>
          <w:szCs w:val="28"/>
        </w:rPr>
      </w:pPr>
      <w:r w:rsidRPr="00114A10">
        <w:rPr>
          <w:rFonts w:ascii="Times New Roman" w:hAnsi="Times New Roman" w:cs="Times New Roman"/>
          <w:b/>
          <w:bCs/>
          <w:sz w:val="28"/>
          <w:szCs w:val="28"/>
        </w:rPr>
        <w:t>Did all Celts have/use horses?</w:t>
      </w:r>
    </w:p>
    <w:p w14:paraId="1C76E927" w14:textId="77777777" w:rsidR="00114A10" w:rsidRPr="00114A10" w:rsidRDefault="00114A10" w:rsidP="00114A10">
      <w:pPr>
        <w:jc w:val="center"/>
        <w:rPr>
          <w:rFonts w:ascii="Times New Roman" w:hAnsi="Times New Roman" w:cs="Times New Roman"/>
          <w:b/>
          <w:bCs/>
          <w:sz w:val="28"/>
          <w:szCs w:val="28"/>
        </w:rPr>
      </w:pPr>
    </w:p>
    <w:p w14:paraId="3F9BF6B4" w14:textId="124EBE6D" w:rsidR="00A16399" w:rsidRPr="00114A10" w:rsidRDefault="00A16399" w:rsidP="00114A10">
      <w:pPr>
        <w:pStyle w:val="ListParagraph"/>
        <w:numPr>
          <w:ilvl w:val="0"/>
          <w:numId w:val="4"/>
        </w:numPr>
        <w:jc w:val="center"/>
        <w:rPr>
          <w:rFonts w:ascii="Times New Roman" w:hAnsi="Times New Roman" w:cs="Times New Roman"/>
          <w:b/>
          <w:bCs/>
          <w:sz w:val="28"/>
          <w:szCs w:val="28"/>
        </w:rPr>
      </w:pPr>
      <w:r w:rsidRPr="00114A10">
        <w:rPr>
          <w:rFonts w:ascii="Times New Roman" w:hAnsi="Times New Roman" w:cs="Times New Roman"/>
          <w:b/>
          <w:bCs/>
          <w:sz w:val="28"/>
          <w:szCs w:val="28"/>
        </w:rPr>
        <w:t>Horses in Celtic Art (examples to look into):</w:t>
      </w:r>
    </w:p>
    <w:p w14:paraId="63CAA7DD" w14:textId="3A47D4D3"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The Stanwick mount </w:t>
      </w:r>
    </w:p>
    <w:p w14:paraId="0AB2F76E" w14:textId="13658843"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Uffington White Horse </w:t>
      </w:r>
    </w:p>
    <w:p w14:paraId="7E8AA754" w14:textId="31952534"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Aylesford Bucket </w:t>
      </w:r>
    </w:p>
    <w:p w14:paraId="2599CD8F" w14:textId="73235B9B"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Gundestrup Cauldron </w:t>
      </w:r>
    </w:p>
    <w:p w14:paraId="3C448A71" w14:textId="6E13501B"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Vix Grave Torc </w:t>
      </w:r>
    </w:p>
    <w:p w14:paraId="2BA0FEB8" w14:textId="77777777" w:rsidR="00114A10" w:rsidRDefault="00114A10" w:rsidP="00114A10">
      <w:pPr>
        <w:rPr>
          <w:rFonts w:ascii="Times New Roman" w:hAnsi="Times New Roman" w:cs="Times New Roman"/>
          <w:sz w:val="28"/>
          <w:szCs w:val="28"/>
        </w:rPr>
      </w:pPr>
    </w:p>
    <w:p w14:paraId="546091F1" w14:textId="0699A562" w:rsidR="00A16399" w:rsidRPr="00114A10" w:rsidRDefault="00A16399" w:rsidP="00114A10">
      <w:pPr>
        <w:pStyle w:val="ListParagraph"/>
        <w:numPr>
          <w:ilvl w:val="0"/>
          <w:numId w:val="4"/>
        </w:numPr>
        <w:rPr>
          <w:rFonts w:ascii="Times New Roman" w:hAnsi="Times New Roman" w:cs="Times New Roman"/>
          <w:sz w:val="24"/>
          <w:szCs w:val="24"/>
        </w:rPr>
      </w:pPr>
      <w:r w:rsidRPr="00114A10">
        <w:rPr>
          <w:rFonts w:ascii="Times New Roman" w:hAnsi="Times New Roman" w:cs="Times New Roman"/>
          <w:sz w:val="24"/>
          <w:szCs w:val="24"/>
        </w:rPr>
        <w:t>How does the style of horse depiction change over time/place? Do the stylistic changes line up with changing geopolitical landscapes (ex., pre- and post-Roman Britain)?</w:t>
      </w:r>
    </w:p>
    <w:p w14:paraId="154D91F6" w14:textId="77777777" w:rsidR="00114A10" w:rsidRDefault="00114A10" w:rsidP="00114A10">
      <w:pPr>
        <w:rPr>
          <w:rFonts w:ascii="Times New Roman" w:hAnsi="Times New Roman" w:cs="Times New Roman"/>
          <w:sz w:val="28"/>
          <w:szCs w:val="28"/>
        </w:rPr>
      </w:pPr>
    </w:p>
    <w:p w14:paraId="2015468F" w14:textId="3DFEC53A" w:rsidR="00A16399" w:rsidRPr="00114A10" w:rsidRDefault="00A16399" w:rsidP="00114A10">
      <w:pPr>
        <w:pStyle w:val="ListParagraph"/>
        <w:numPr>
          <w:ilvl w:val="0"/>
          <w:numId w:val="4"/>
        </w:numPr>
        <w:jc w:val="center"/>
        <w:rPr>
          <w:rFonts w:ascii="Times New Roman" w:hAnsi="Times New Roman" w:cs="Times New Roman"/>
          <w:b/>
          <w:bCs/>
          <w:sz w:val="28"/>
          <w:szCs w:val="28"/>
        </w:rPr>
      </w:pPr>
      <w:r w:rsidRPr="00114A10">
        <w:rPr>
          <w:rFonts w:ascii="Times New Roman" w:hAnsi="Times New Roman" w:cs="Times New Roman"/>
          <w:b/>
          <w:bCs/>
          <w:sz w:val="28"/>
          <w:szCs w:val="28"/>
        </w:rPr>
        <w:t>What were horses used for?</w:t>
      </w:r>
    </w:p>
    <w:p w14:paraId="16D0C0DE" w14:textId="2E9DC7CD"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Transport </w:t>
      </w:r>
    </w:p>
    <w:p w14:paraId="7B886FBB" w14:textId="2241C857"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Work </w:t>
      </w:r>
    </w:p>
    <w:p w14:paraId="769A07B5" w14:textId="6A14031E"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War </w:t>
      </w:r>
    </w:p>
    <w:p w14:paraId="53E30FC2" w14:textId="3D769FB6"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Status Symbol: horses are time and resource intensive to care for, and, if they lived in a semi-wild state, would need frequent training. Horse riding takes skill and knowledge too. It may have been impressive to own or ride a horse. </w:t>
      </w:r>
    </w:p>
    <w:p w14:paraId="649F7A45" w14:textId="132EC2E4"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Food: mares can be milked, and horse meat has been/is eaten in many parts of the world. Horses may have only been consumed at ‘special’ points (Randall 2022). </w:t>
      </w:r>
    </w:p>
    <w:p w14:paraId="4387B40F" w14:textId="327FCDE2"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Religious practices: gods associated with/taking the image of horses are common worldwide. A Celtic deity is likely, though not proven (Warmind 2016). Horses have been associated with burial in Celtic societies, for example the Arras of East Yorkshire (Halkon 2020). Later records see horses associated with the supernatural – see </w:t>
      </w:r>
      <w:r w:rsidRPr="00114A10">
        <w:rPr>
          <w:rFonts w:ascii="Times New Roman" w:hAnsi="Times New Roman" w:cs="Times New Roman"/>
          <w:i/>
          <w:iCs/>
          <w:sz w:val="24"/>
          <w:szCs w:val="24"/>
        </w:rPr>
        <w:t>Y Mabinogi</w:t>
      </w:r>
      <w:r w:rsidRPr="00114A10">
        <w:rPr>
          <w:rFonts w:ascii="Times New Roman" w:hAnsi="Times New Roman" w:cs="Times New Roman"/>
          <w:sz w:val="24"/>
          <w:szCs w:val="24"/>
        </w:rPr>
        <w:t xml:space="preserve">, Mari Lwyd </w:t>
      </w:r>
    </w:p>
    <w:p w14:paraId="0DDAEF27" w14:textId="0C635E4E" w:rsidR="00A16399" w:rsidRPr="00114A10" w:rsidRDefault="00A16399" w:rsidP="00A16399">
      <w:pPr>
        <w:jc w:val="center"/>
        <w:rPr>
          <w:rFonts w:ascii="Times New Roman" w:hAnsi="Times New Roman" w:cs="Times New Roman"/>
          <w:sz w:val="28"/>
          <w:szCs w:val="28"/>
        </w:rPr>
      </w:pPr>
    </w:p>
    <w:p w14:paraId="5B257B33" w14:textId="77777777" w:rsidR="00A16399" w:rsidRPr="00114A10" w:rsidRDefault="00A16399">
      <w:pPr>
        <w:rPr>
          <w:rFonts w:ascii="Times New Roman" w:hAnsi="Times New Roman" w:cs="Times New Roman"/>
          <w:sz w:val="28"/>
          <w:szCs w:val="28"/>
        </w:rPr>
      </w:pPr>
      <w:r w:rsidRPr="00114A10">
        <w:rPr>
          <w:rFonts w:ascii="Times New Roman" w:hAnsi="Times New Roman" w:cs="Times New Roman"/>
          <w:sz w:val="28"/>
          <w:szCs w:val="28"/>
        </w:rPr>
        <w:br w:type="page"/>
      </w:r>
    </w:p>
    <w:p w14:paraId="05C5B2A7" w14:textId="59730FF0" w:rsidR="00A16399" w:rsidRPr="00114A10" w:rsidRDefault="00A16399" w:rsidP="00A16399">
      <w:pPr>
        <w:jc w:val="center"/>
        <w:rPr>
          <w:rFonts w:ascii="Times New Roman" w:hAnsi="Times New Roman" w:cs="Times New Roman"/>
          <w:b/>
          <w:bCs/>
          <w:sz w:val="32"/>
          <w:szCs w:val="32"/>
        </w:rPr>
      </w:pPr>
      <w:r w:rsidRPr="00114A10">
        <w:rPr>
          <w:rFonts w:ascii="Times New Roman" w:hAnsi="Times New Roman" w:cs="Times New Roman"/>
          <w:b/>
          <w:bCs/>
          <w:sz w:val="32"/>
          <w:szCs w:val="32"/>
        </w:rPr>
        <w:lastRenderedPageBreak/>
        <w:t xml:space="preserve">Third Column: Case Studies </w:t>
      </w:r>
    </w:p>
    <w:p w14:paraId="1BE8934F" w14:textId="77777777" w:rsidR="00A16399" w:rsidRPr="00114A10" w:rsidRDefault="00A16399" w:rsidP="00A16399">
      <w:pPr>
        <w:jc w:val="center"/>
        <w:rPr>
          <w:rFonts w:ascii="Times New Roman" w:hAnsi="Times New Roman" w:cs="Times New Roman"/>
          <w:sz w:val="28"/>
          <w:szCs w:val="28"/>
        </w:rPr>
      </w:pPr>
    </w:p>
    <w:p w14:paraId="646AE832" w14:textId="2273DE95"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Belgium (van Heesch 2005) </w:t>
      </w:r>
    </w:p>
    <w:p w14:paraId="693CBF66" w14:textId="77777777"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Britain </w:t>
      </w:r>
    </w:p>
    <w:p w14:paraId="2FCD94DD" w14:textId="792A5CF3" w:rsidR="00A16399"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Ukraine (Kazakevych 2021) </w:t>
      </w:r>
    </w:p>
    <w:p w14:paraId="21023BFF" w14:textId="7BEFC76A" w:rsidR="00A16399" w:rsidRPr="00114A10" w:rsidRDefault="00A16399" w:rsidP="00A16399">
      <w:pPr>
        <w:jc w:val="center"/>
        <w:rPr>
          <w:rFonts w:ascii="Times New Roman" w:hAnsi="Times New Roman" w:cs="Times New Roman"/>
          <w:sz w:val="28"/>
          <w:szCs w:val="28"/>
        </w:rPr>
      </w:pPr>
    </w:p>
    <w:p w14:paraId="38C21582" w14:textId="77777777" w:rsidR="00A16399" w:rsidRPr="00114A10" w:rsidRDefault="00A16399">
      <w:pPr>
        <w:rPr>
          <w:rFonts w:ascii="Times New Roman" w:hAnsi="Times New Roman" w:cs="Times New Roman"/>
          <w:sz w:val="28"/>
          <w:szCs w:val="28"/>
        </w:rPr>
      </w:pPr>
      <w:r w:rsidRPr="00114A10">
        <w:rPr>
          <w:rFonts w:ascii="Times New Roman" w:hAnsi="Times New Roman" w:cs="Times New Roman"/>
          <w:sz w:val="28"/>
          <w:szCs w:val="28"/>
        </w:rPr>
        <w:br w:type="page"/>
      </w:r>
    </w:p>
    <w:p w14:paraId="064ABAE0" w14:textId="16AC26FD" w:rsidR="00A16399" w:rsidRPr="00114A10" w:rsidRDefault="00A16399" w:rsidP="00A16399">
      <w:pPr>
        <w:jc w:val="center"/>
        <w:rPr>
          <w:rFonts w:ascii="Times New Roman" w:hAnsi="Times New Roman" w:cs="Times New Roman"/>
          <w:b/>
          <w:bCs/>
          <w:sz w:val="32"/>
          <w:szCs w:val="32"/>
        </w:rPr>
      </w:pPr>
      <w:r w:rsidRPr="00114A10">
        <w:rPr>
          <w:rFonts w:ascii="Times New Roman" w:hAnsi="Times New Roman" w:cs="Times New Roman"/>
          <w:b/>
          <w:bCs/>
          <w:sz w:val="32"/>
          <w:szCs w:val="32"/>
        </w:rPr>
        <w:lastRenderedPageBreak/>
        <w:t xml:space="preserve">Fourth Column: Entanglement </w:t>
      </w:r>
    </w:p>
    <w:p w14:paraId="3E6C2D7E" w14:textId="77777777" w:rsidR="00A16399" w:rsidRPr="00114A10" w:rsidRDefault="00A16399" w:rsidP="00A16399">
      <w:pPr>
        <w:jc w:val="center"/>
        <w:rPr>
          <w:rFonts w:ascii="Times New Roman" w:hAnsi="Times New Roman" w:cs="Times New Roman"/>
          <w:sz w:val="28"/>
          <w:szCs w:val="28"/>
        </w:rPr>
      </w:pPr>
    </w:p>
    <w:p w14:paraId="1CC111CA" w14:textId="70DD1934" w:rsidR="00A16399" w:rsidRPr="00114A10" w:rsidRDefault="00A16399" w:rsidP="00114A10">
      <w:pPr>
        <w:pStyle w:val="ListParagraph"/>
        <w:numPr>
          <w:ilvl w:val="0"/>
          <w:numId w:val="5"/>
        </w:numPr>
        <w:jc w:val="center"/>
        <w:rPr>
          <w:rFonts w:ascii="Times New Roman" w:hAnsi="Times New Roman" w:cs="Times New Roman"/>
          <w:b/>
          <w:bCs/>
          <w:sz w:val="28"/>
          <w:szCs w:val="28"/>
        </w:rPr>
      </w:pPr>
      <w:r w:rsidRPr="00114A10">
        <w:rPr>
          <w:rFonts w:ascii="Times New Roman" w:hAnsi="Times New Roman" w:cs="Times New Roman"/>
          <w:b/>
          <w:bCs/>
          <w:sz w:val="28"/>
          <w:szCs w:val="28"/>
        </w:rPr>
        <w:t xml:space="preserve">New Materialism Theory </w:t>
      </w:r>
    </w:p>
    <w:p w14:paraId="2D3A915F" w14:textId="6A543E24" w:rsidR="00A16399" w:rsidRPr="00114A10" w:rsidRDefault="00A16399" w:rsidP="00114A10">
      <w:pPr>
        <w:rPr>
          <w:rFonts w:ascii="Times New Roman" w:hAnsi="Times New Roman" w:cs="Times New Roman"/>
          <w:sz w:val="24"/>
          <w:szCs w:val="24"/>
        </w:rPr>
      </w:pPr>
      <w:r w:rsidRPr="00114A10">
        <w:rPr>
          <w:rFonts w:ascii="Times New Roman" w:hAnsi="Times New Roman" w:cs="Times New Roman"/>
          <w:sz w:val="24"/>
          <w:szCs w:val="24"/>
        </w:rPr>
        <w:t xml:space="preserve">New Materialism encourages researchers to distance themselves from an anthropocentric viewpoint (Benson 2019). Is this a helpful approach when examining material culture left behind by humans? </w:t>
      </w:r>
    </w:p>
    <w:p w14:paraId="1BC5F9CC" w14:textId="77777777" w:rsidR="00A16399" w:rsidRPr="00114A10" w:rsidRDefault="00A16399" w:rsidP="00A16399">
      <w:pPr>
        <w:jc w:val="center"/>
        <w:rPr>
          <w:rFonts w:ascii="Times New Roman" w:hAnsi="Times New Roman" w:cs="Times New Roman"/>
          <w:sz w:val="28"/>
          <w:szCs w:val="28"/>
        </w:rPr>
      </w:pPr>
    </w:p>
    <w:p w14:paraId="251C95A1" w14:textId="60ECA885" w:rsidR="00A16399" w:rsidRPr="00114A10" w:rsidRDefault="00A16399" w:rsidP="00114A10">
      <w:pPr>
        <w:pStyle w:val="ListParagraph"/>
        <w:numPr>
          <w:ilvl w:val="0"/>
          <w:numId w:val="5"/>
        </w:numPr>
        <w:jc w:val="center"/>
        <w:rPr>
          <w:rFonts w:ascii="Times New Roman" w:hAnsi="Times New Roman" w:cs="Times New Roman"/>
          <w:b/>
          <w:bCs/>
          <w:sz w:val="28"/>
          <w:szCs w:val="28"/>
        </w:rPr>
      </w:pPr>
      <w:r w:rsidRPr="00114A10">
        <w:rPr>
          <w:rFonts w:ascii="Times New Roman" w:hAnsi="Times New Roman" w:cs="Times New Roman"/>
          <w:b/>
          <w:bCs/>
          <w:sz w:val="28"/>
          <w:szCs w:val="28"/>
        </w:rPr>
        <w:t xml:space="preserve">Ethnographic Comparison </w:t>
      </w:r>
    </w:p>
    <w:p w14:paraId="41DA5718" w14:textId="3583E2F6" w:rsidR="00A16399" w:rsidRPr="00114A10" w:rsidRDefault="00A16399" w:rsidP="00114A10">
      <w:pPr>
        <w:rPr>
          <w:rFonts w:ascii="Times New Roman" w:hAnsi="Times New Roman" w:cs="Times New Roman"/>
          <w:sz w:val="24"/>
          <w:szCs w:val="24"/>
        </w:rPr>
      </w:pPr>
      <w:r w:rsidRPr="00114A10">
        <w:rPr>
          <w:rFonts w:ascii="Times New Roman" w:hAnsi="Times New Roman" w:cs="Times New Roman"/>
          <w:sz w:val="24"/>
          <w:szCs w:val="24"/>
        </w:rPr>
        <w:t xml:space="preserve">Many modern cultures still use horses heavily in daily life (Bethke 2019, Kebede 2021, Ivanovich et al 2018). Looking at these cultures could increase understanding of how Celtic peoples may have lived alongside horses. </w:t>
      </w:r>
    </w:p>
    <w:p w14:paraId="5DA090D4" w14:textId="77777777" w:rsidR="00A16399" w:rsidRPr="00114A10" w:rsidRDefault="00A16399" w:rsidP="00A16399">
      <w:pPr>
        <w:jc w:val="center"/>
        <w:rPr>
          <w:rFonts w:ascii="Times New Roman" w:hAnsi="Times New Roman" w:cs="Times New Roman"/>
          <w:sz w:val="28"/>
          <w:szCs w:val="28"/>
        </w:rPr>
      </w:pPr>
    </w:p>
    <w:p w14:paraId="1B798838" w14:textId="77C0BC3A" w:rsidR="00A16399" w:rsidRPr="00114A10" w:rsidRDefault="00A16399" w:rsidP="00114A10">
      <w:pPr>
        <w:pStyle w:val="ListParagraph"/>
        <w:numPr>
          <w:ilvl w:val="0"/>
          <w:numId w:val="5"/>
        </w:numPr>
        <w:jc w:val="center"/>
        <w:rPr>
          <w:rFonts w:ascii="Times New Roman" w:hAnsi="Times New Roman" w:cs="Times New Roman"/>
          <w:b/>
          <w:bCs/>
          <w:sz w:val="28"/>
          <w:szCs w:val="28"/>
        </w:rPr>
      </w:pPr>
      <w:r w:rsidRPr="00114A10">
        <w:rPr>
          <w:rFonts w:ascii="Times New Roman" w:hAnsi="Times New Roman" w:cs="Times New Roman"/>
          <w:b/>
          <w:bCs/>
          <w:sz w:val="28"/>
          <w:szCs w:val="28"/>
        </w:rPr>
        <w:t xml:space="preserve">Symbiotic Relationship? </w:t>
      </w:r>
      <w:r w:rsidR="00114A10" w:rsidRPr="00114A10">
        <w:rPr>
          <w:rFonts w:ascii="Times New Roman" w:hAnsi="Times New Roman" w:cs="Times New Roman"/>
          <w:b/>
          <w:bCs/>
          <w:sz w:val="28"/>
          <w:szCs w:val="28"/>
        </w:rPr>
        <w:t xml:space="preserve">(More research needed for essay) </w:t>
      </w:r>
    </w:p>
    <w:p w14:paraId="721EAC20" w14:textId="77777777" w:rsidR="00114A10" w:rsidRPr="00114A10" w:rsidRDefault="00A16399"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Horses are intelligent and sensitive animals who can detect and empathise with human emotions. They can form lifelong bonds with humans and enjoy the companionship and relative safety of these bonds. There is evidence that Celtic peoples formed strong bonds with their horses, sometimes being buried with them (Halkon 2020) or creating touchingly elaborate burials for them (Anderson 2024). </w:t>
      </w:r>
    </w:p>
    <w:p w14:paraId="45E81EEE" w14:textId="5D105EEB" w:rsidR="00A16399" w:rsidRPr="00114A10" w:rsidRDefault="00114A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Horses can benefit the land they live on, which would have a positive impact on local wildlife and humans. Horses may have been semi-wild (Randall 2022). </w:t>
      </w:r>
    </w:p>
    <w:p w14:paraId="699B49E8" w14:textId="6E35D104" w:rsidR="00114A10" w:rsidRPr="00114A10" w:rsidRDefault="00114A10" w:rsidP="00114A10">
      <w:pPr>
        <w:pStyle w:val="ListParagraph"/>
        <w:numPr>
          <w:ilvl w:val="0"/>
          <w:numId w:val="1"/>
        </w:numPr>
        <w:rPr>
          <w:rFonts w:ascii="Times New Roman" w:hAnsi="Times New Roman" w:cs="Times New Roman"/>
          <w:sz w:val="24"/>
          <w:szCs w:val="24"/>
        </w:rPr>
      </w:pPr>
      <w:r w:rsidRPr="00114A10">
        <w:rPr>
          <w:rFonts w:ascii="Times New Roman" w:hAnsi="Times New Roman" w:cs="Times New Roman"/>
          <w:sz w:val="24"/>
          <w:szCs w:val="24"/>
        </w:rPr>
        <w:t xml:space="preserve">Horses are and were used as transport animals, allowing humans to travel further, faster. Utilising carts, humans could transport groups of people or larger amounts of goods over longer distances more efficiently. </w:t>
      </w:r>
    </w:p>
    <w:p w14:paraId="23C2AA94" w14:textId="2ECB6D7B" w:rsidR="00114A10" w:rsidRPr="00114A10" w:rsidRDefault="00114A10" w:rsidP="00114A10">
      <w:pPr>
        <w:jc w:val="center"/>
        <w:rPr>
          <w:rFonts w:ascii="Times New Roman" w:hAnsi="Times New Roman" w:cs="Times New Roman"/>
          <w:sz w:val="28"/>
          <w:szCs w:val="28"/>
        </w:rPr>
      </w:pPr>
    </w:p>
    <w:p w14:paraId="4D33CE44" w14:textId="77777777" w:rsidR="00114A10" w:rsidRPr="00114A10" w:rsidRDefault="00114A10">
      <w:pPr>
        <w:rPr>
          <w:rFonts w:ascii="Times New Roman" w:hAnsi="Times New Roman" w:cs="Times New Roman"/>
          <w:sz w:val="28"/>
          <w:szCs w:val="28"/>
        </w:rPr>
      </w:pPr>
      <w:r w:rsidRPr="00114A10">
        <w:rPr>
          <w:rFonts w:ascii="Times New Roman" w:hAnsi="Times New Roman" w:cs="Times New Roman"/>
          <w:sz w:val="28"/>
          <w:szCs w:val="28"/>
        </w:rPr>
        <w:br w:type="page"/>
      </w:r>
    </w:p>
    <w:p w14:paraId="05BC95CC" w14:textId="13843549" w:rsidR="00114A10" w:rsidRPr="00114A10" w:rsidRDefault="00114A10" w:rsidP="00114A10">
      <w:pPr>
        <w:jc w:val="center"/>
        <w:rPr>
          <w:rFonts w:ascii="Times New Roman" w:hAnsi="Times New Roman" w:cs="Times New Roman"/>
          <w:b/>
          <w:bCs/>
          <w:sz w:val="32"/>
          <w:szCs w:val="32"/>
        </w:rPr>
      </w:pPr>
      <w:r w:rsidRPr="00114A10">
        <w:rPr>
          <w:rFonts w:ascii="Times New Roman" w:hAnsi="Times New Roman" w:cs="Times New Roman"/>
          <w:b/>
          <w:bCs/>
          <w:sz w:val="32"/>
          <w:szCs w:val="32"/>
        </w:rPr>
        <w:lastRenderedPageBreak/>
        <w:t xml:space="preserve">Bibliography </w:t>
      </w:r>
    </w:p>
    <w:p w14:paraId="716AB3F5" w14:textId="77777777" w:rsidR="00114A10" w:rsidRPr="00114A10" w:rsidRDefault="00114A10" w:rsidP="00114A10">
      <w:pPr>
        <w:jc w:val="center"/>
        <w:rPr>
          <w:rFonts w:ascii="Times New Roman" w:hAnsi="Times New Roman" w:cs="Times New Roman"/>
          <w:sz w:val="28"/>
          <w:szCs w:val="28"/>
        </w:rPr>
      </w:pPr>
    </w:p>
    <w:p w14:paraId="4A94A356"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Anderson, Sonja. “These 28 Horses Were Buried in an Ancient Mass Grave. How Did They Die?” </w:t>
      </w:r>
      <w:r w:rsidRPr="00114A10">
        <w:rPr>
          <w:rFonts w:ascii="Times New Roman" w:hAnsi="Times New Roman" w:cs="Times New Roman"/>
          <w:i/>
          <w:iCs/>
          <w:sz w:val="24"/>
          <w:szCs w:val="24"/>
        </w:rPr>
        <w:t>Smithsonian Magazine</w:t>
      </w:r>
      <w:r w:rsidRPr="00114A10">
        <w:rPr>
          <w:rFonts w:ascii="Times New Roman" w:hAnsi="Times New Roman" w:cs="Times New Roman"/>
          <w:sz w:val="24"/>
          <w:szCs w:val="24"/>
        </w:rPr>
        <w:t>. 3</w:t>
      </w:r>
      <w:r w:rsidRPr="00114A10">
        <w:rPr>
          <w:rFonts w:ascii="Times New Roman" w:hAnsi="Times New Roman" w:cs="Times New Roman"/>
          <w:sz w:val="24"/>
          <w:szCs w:val="24"/>
          <w:vertAlign w:val="superscript"/>
        </w:rPr>
        <w:t>rd</w:t>
      </w:r>
      <w:r w:rsidRPr="00114A10">
        <w:rPr>
          <w:rFonts w:ascii="Times New Roman" w:hAnsi="Times New Roman" w:cs="Times New Roman"/>
          <w:sz w:val="24"/>
          <w:szCs w:val="24"/>
        </w:rPr>
        <w:t xml:space="preserve"> June, 2024. </w:t>
      </w:r>
    </w:p>
    <w:p w14:paraId="434B03AB"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Bethke, Brandi. Revisiting the Horse in Blackfoot Culture: Understanding the Development of Nomadic Pastoralism on the North American Plains. </w:t>
      </w:r>
      <w:r w:rsidRPr="00114A10">
        <w:rPr>
          <w:rFonts w:ascii="Times New Roman" w:hAnsi="Times New Roman" w:cs="Times New Roman"/>
          <w:i/>
          <w:iCs/>
          <w:sz w:val="24"/>
          <w:szCs w:val="24"/>
        </w:rPr>
        <w:t>Int J Histor Archaeol</w:t>
      </w:r>
      <w:r w:rsidRPr="00114A10">
        <w:rPr>
          <w:rFonts w:ascii="Times New Roman" w:hAnsi="Times New Roman" w:cs="Times New Roman"/>
          <w:sz w:val="24"/>
          <w:szCs w:val="24"/>
        </w:rPr>
        <w:t xml:space="preserve"> 24, 44–61 (2020). </w:t>
      </w:r>
      <w:hyperlink r:id="rId6" w:history="1">
        <w:r w:rsidRPr="00114A10">
          <w:rPr>
            <w:rStyle w:val="Hyperlink"/>
            <w:rFonts w:ascii="Times New Roman" w:hAnsi="Times New Roman" w:cs="Times New Roman"/>
            <w:sz w:val="24"/>
            <w:szCs w:val="24"/>
          </w:rPr>
          <w:t>https://doi.org/10.1007/s10761-019-00502-1</w:t>
        </w:r>
      </w:hyperlink>
      <w:r w:rsidRPr="00114A10">
        <w:rPr>
          <w:rFonts w:ascii="Times New Roman" w:hAnsi="Times New Roman" w:cs="Times New Roman"/>
          <w:sz w:val="24"/>
          <w:szCs w:val="24"/>
        </w:rPr>
        <w:t xml:space="preserve"> </w:t>
      </w:r>
    </w:p>
    <w:p w14:paraId="2FD88067"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Benson, Melinda H. “New Materialism: An Ontology for the Anthropocene.” </w:t>
      </w:r>
      <w:r w:rsidRPr="00114A10">
        <w:rPr>
          <w:rFonts w:ascii="Times New Roman" w:hAnsi="Times New Roman" w:cs="Times New Roman"/>
          <w:i/>
          <w:iCs/>
          <w:sz w:val="24"/>
          <w:szCs w:val="24"/>
        </w:rPr>
        <w:t>Natural Resources Journal 59</w:t>
      </w:r>
      <w:r w:rsidRPr="00114A10">
        <w:rPr>
          <w:rFonts w:ascii="Times New Roman" w:hAnsi="Times New Roman" w:cs="Times New Roman"/>
          <w:sz w:val="24"/>
          <w:szCs w:val="24"/>
        </w:rPr>
        <w:t xml:space="preserve">, no. 2 (2019): 251–80. </w:t>
      </w:r>
      <w:hyperlink r:id="rId7" w:history="1">
        <w:r w:rsidRPr="00114A10">
          <w:rPr>
            <w:rStyle w:val="Hyperlink"/>
            <w:rFonts w:ascii="Times New Roman" w:hAnsi="Times New Roman" w:cs="Times New Roman"/>
            <w:sz w:val="24"/>
            <w:szCs w:val="24"/>
          </w:rPr>
          <w:t>https://www.jstor.org/stable/26800037</w:t>
        </w:r>
      </w:hyperlink>
      <w:r w:rsidRPr="00114A10">
        <w:rPr>
          <w:rFonts w:ascii="Times New Roman" w:hAnsi="Times New Roman" w:cs="Times New Roman"/>
          <w:sz w:val="24"/>
          <w:szCs w:val="24"/>
        </w:rPr>
        <w:t xml:space="preserve"> </w:t>
      </w:r>
    </w:p>
    <w:p w14:paraId="1FC2BB9F"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British Museum, The. “Mount.” </w:t>
      </w:r>
      <w:r w:rsidRPr="00114A10">
        <w:rPr>
          <w:rFonts w:ascii="Times New Roman" w:hAnsi="Times New Roman" w:cs="Times New Roman"/>
          <w:i/>
          <w:iCs/>
          <w:sz w:val="24"/>
          <w:szCs w:val="24"/>
        </w:rPr>
        <w:t xml:space="preserve">The British Museum. </w:t>
      </w:r>
      <w:r w:rsidRPr="00114A10">
        <w:rPr>
          <w:rFonts w:ascii="Times New Roman" w:hAnsi="Times New Roman" w:cs="Times New Roman"/>
          <w:sz w:val="24"/>
          <w:szCs w:val="24"/>
        </w:rPr>
        <w:t xml:space="preserve">Museum number: 1847,0208.82 </w:t>
      </w:r>
      <w:hyperlink r:id="rId8" w:history="1">
        <w:r w:rsidRPr="00114A10">
          <w:rPr>
            <w:rStyle w:val="Hyperlink"/>
            <w:rFonts w:ascii="Times New Roman" w:hAnsi="Times New Roman" w:cs="Times New Roman"/>
            <w:sz w:val="24"/>
            <w:szCs w:val="24"/>
          </w:rPr>
          <w:t>https://www.britishmuseum.org/collection/object/H_1847-0208-82</w:t>
        </w:r>
      </w:hyperlink>
      <w:r w:rsidRPr="00114A10">
        <w:rPr>
          <w:rFonts w:ascii="Times New Roman" w:hAnsi="Times New Roman" w:cs="Times New Roman"/>
          <w:sz w:val="24"/>
          <w:szCs w:val="24"/>
        </w:rPr>
        <w:t xml:space="preserve"> </w:t>
      </w:r>
    </w:p>
    <w:p w14:paraId="0CA49230"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Creighton, John. “Visions of Power: Imagery and Symbols in Late Iron Age Britain.” </w:t>
      </w:r>
      <w:r w:rsidRPr="00114A10">
        <w:rPr>
          <w:rFonts w:ascii="Times New Roman" w:hAnsi="Times New Roman" w:cs="Times New Roman"/>
          <w:i/>
          <w:iCs/>
          <w:sz w:val="24"/>
          <w:szCs w:val="24"/>
        </w:rPr>
        <w:t>Britannia 26</w:t>
      </w:r>
      <w:r w:rsidRPr="00114A10">
        <w:rPr>
          <w:rFonts w:ascii="Times New Roman" w:hAnsi="Times New Roman" w:cs="Times New Roman"/>
          <w:sz w:val="24"/>
          <w:szCs w:val="24"/>
        </w:rPr>
        <w:t xml:space="preserve"> (1995): 285–301. </w:t>
      </w:r>
      <w:hyperlink r:id="rId9" w:history="1">
        <w:r w:rsidRPr="00114A10">
          <w:rPr>
            <w:rStyle w:val="Hyperlink"/>
            <w:rFonts w:ascii="Times New Roman" w:hAnsi="Times New Roman" w:cs="Times New Roman"/>
            <w:sz w:val="24"/>
            <w:szCs w:val="24"/>
          </w:rPr>
          <w:t>https://doi.org/10.2307/526880</w:t>
        </w:r>
      </w:hyperlink>
      <w:r w:rsidRPr="00114A10">
        <w:rPr>
          <w:rFonts w:ascii="Times New Roman" w:hAnsi="Times New Roman" w:cs="Times New Roman"/>
          <w:sz w:val="24"/>
          <w:szCs w:val="24"/>
        </w:rPr>
        <w:t xml:space="preserve"> </w:t>
      </w:r>
    </w:p>
    <w:p w14:paraId="20890398"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Halkon, Peter, ed. </w:t>
      </w:r>
      <w:r w:rsidRPr="00114A10">
        <w:rPr>
          <w:rFonts w:ascii="Times New Roman" w:hAnsi="Times New Roman" w:cs="Times New Roman"/>
          <w:i/>
          <w:iCs/>
          <w:sz w:val="24"/>
          <w:szCs w:val="24"/>
        </w:rPr>
        <w:t>The Arras Culture of Eastern Yorkshire – Celebrating the Iron Age: Proceedings of “Arras 200 – Celebrating the Iron Age." Royal Archaeological Institute Annual Conference.</w:t>
      </w:r>
      <w:r w:rsidRPr="00114A10">
        <w:rPr>
          <w:rFonts w:ascii="Times New Roman" w:hAnsi="Times New Roman" w:cs="Times New Roman"/>
          <w:sz w:val="24"/>
          <w:szCs w:val="24"/>
        </w:rPr>
        <w:t xml:space="preserve"> Oxbow Books, 2020. </w:t>
      </w:r>
      <w:hyperlink r:id="rId10" w:history="1">
        <w:r w:rsidRPr="00114A10">
          <w:rPr>
            <w:rStyle w:val="Hyperlink"/>
            <w:rFonts w:ascii="Times New Roman" w:hAnsi="Times New Roman" w:cs="Times New Roman"/>
            <w:sz w:val="24"/>
            <w:szCs w:val="24"/>
          </w:rPr>
          <w:t>https://doi.org/10.2307/j.ctv138wskk</w:t>
        </w:r>
      </w:hyperlink>
      <w:r w:rsidRPr="00114A10">
        <w:rPr>
          <w:rFonts w:ascii="Times New Roman" w:hAnsi="Times New Roman" w:cs="Times New Roman"/>
          <w:sz w:val="24"/>
          <w:szCs w:val="24"/>
        </w:rPr>
        <w:t xml:space="preserve">. </w:t>
      </w:r>
    </w:p>
    <w:p w14:paraId="435BB4FC"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Haselgrove, Colin, and Stefan Krmnicek. “The Archaeology of Money.” </w:t>
      </w:r>
      <w:r w:rsidRPr="00114A10">
        <w:rPr>
          <w:rFonts w:ascii="Times New Roman" w:hAnsi="Times New Roman" w:cs="Times New Roman"/>
          <w:i/>
          <w:iCs/>
          <w:sz w:val="24"/>
          <w:szCs w:val="24"/>
        </w:rPr>
        <w:t>Annual Review of Anthropology 41</w:t>
      </w:r>
      <w:r w:rsidRPr="00114A10">
        <w:rPr>
          <w:rFonts w:ascii="Times New Roman" w:hAnsi="Times New Roman" w:cs="Times New Roman"/>
          <w:sz w:val="24"/>
          <w:szCs w:val="24"/>
        </w:rPr>
        <w:t xml:space="preserve"> (2012): 235–50. http://www.jstor.org/stable/23270709 </w:t>
      </w:r>
    </w:p>
    <w:p w14:paraId="303B0E6D"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Ivanovich, Stepanov Aiaal, Popova Natalia Innokentevna, Romanova Ekaterina Nazarovna, Ivanov Revorii Vasilevich, Boyakova Sardana Ilinichna, and Khompodoeva Uigulana Viktorovna. 2018. “The Horse in the Life and Culture of Northern Nomads”. </w:t>
      </w:r>
      <w:r w:rsidRPr="00114A10">
        <w:rPr>
          <w:rFonts w:ascii="Times New Roman" w:hAnsi="Times New Roman" w:cs="Times New Roman"/>
          <w:i/>
          <w:iCs/>
          <w:sz w:val="24"/>
          <w:szCs w:val="24"/>
        </w:rPr>
        <w:t>Mongolian Journal of Agricultural Sciences</w:t>
      </w:r>
      <w:r w:rsidRPr="00114A10">
        <w:rPr>
          <w:rFonts w:ascii="Times New Roman" w:hAnsi="Times New Roman" w:cs="Times New Roman"/>
          <w:sz w:val="24"/>
          <w:szCs w:val="24"/>
        </w:rPr>
        <w:t xml:space="preserve"> 23 (01):47-51. </w:t>
      </w:r>
      <w:hyperlink r:id="rId11" w:history="1">
        <w:r w:rsidRPr="00114A10">
          <w:rPr>
            <w:rStyle w:val="Hyperlink"/>
            <w:rFonts w:ascii="Times New Roman" w:hAnsi="Times New Roman" w:cs="Times New Roman"/>
            <w:sz w:val="24"/>
            <w:szCs w:val="24"/>
          </w:rPr>
          <w:t>https://doi.org/10.5564/mjas.v23i01.1021</w:t>
        </w:r>
      </w:hyperlink>
      <w:r w:rsidRPr="00114A10">
        <w:rPr>
          <w:rFonts w:ascii="Times New Roman" w:hAnsi="Times New Roman" w:cs="Times New Roman"/>
          <w:sz w:val="24"/>
          <w:szCs w:val="24"/>
        </w:rPr>
        <w:t xml:space="preserve">. </w:t>
      </w:r>
    </w:p>
    <w:p w14:paraId="64A52E22"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Kazakevych, Gennadii. “Horse Rider Image on the Coins of the Eastern Celts and the Cult of War Goddess.” </w:t>
      </w:r>
      <w:r w:rsidRPr="00114A10">
        <w:rPr>
          <w:rFonts w:ascii="Times New Roman" w:hAnsi="Times New Roman" w:cs="Times New Roman"/>
          <w:i/>
          <w:iCs/>
          <w:sz w:val="24"/>
          <w:szCs w:val="24"/>
        </w:rPr>
        <w:t>The Ukrainian Numismatic Annual 5</w:t>
      </w:r>
      <w:r w:rsidRPr="00114A10">
        <w:rPr>
          <w:rFonts w:ascii="Times New Roman" w:hAnsi="Times New Roman" w:cs="Times New Roman"/>
          <w:sz w:val="24"/>
          <w:szCs w:val="24"/>
        </w:rPr>
        <w:t xml:space="preserve"> (2021): 81-92. </w:t>
      </w:r>
      <w:hyperlink r:id="rId12" w:history="1">
        <w:r w:rsidRPr="00114A10">
          <w:rPr>
            <w:rStyle w:val="Hyperlink"/>
            <w:rFonts w:ascii="Times New Roman" w:hAnsi="Times New Roman" w:cs="Times New Roman"/>
            <w:sz w:val="24"/>
            <w:szCs w:val="24"/>
          </w:rPr>
          <w:t>https://doi.org/10.31470/2616-6275-2021-5-81-92</w:t>
        </w:r>
      </w:hyperlink>
      <w:r w:rsidRPr="00114A10">
        <w:rPr>
          <w:rFonts w:ascii="Times New Roman" w:hAnsi="Times New Roman" w:cs="Times New Roman"/>
          <w:sz w:val="24"/>
          <w:szCs w:val="24"/>
        </w:rPr>
        <w:t xml:space="preserve"> </w:t>
      </w:r>
    </w:p>
    <w:p w14:paraId="2FE7B395"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Alemu Alene Kebede (2023) “A short history of Awi Agew horse culture, Northwestern Ethiopia.” </w:t>
      </w:r>
      <w:r w:rsidRPr="00114A10">
        <w:rPr>
          <w:rFonts w:ascii="Times New Roman" w:hAnsi="Times New Roman" w:cs="Times New Roman"/>
          <w:i/>
          <w:iCs/>
          <w:sz w:val="24"/>
          <w:szCs w:val="24"/>
        </w:rPr>
        <w:t>Cogent Arts &amp; Humanities</w:t>
      </w:r>
      <w:r w:rsidRPr="00114A10">
        <w:rPr>
          <w:rFonts w:ascii="Times New Roman" w:hAnsi="Times New Roman" w:cs="Times New Roman"/>
          <w:sz w:val="24"/>
          <w:szCs w:val="24"/>
        </w:rPr>
        <w:t>, 10:1, 2231705, DOI: 10.1080/23311983.2023.2231705</w:t>
      </w:r>
    </w:p>
    <w:p w14:paraId="66E11DD0"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Mays, Melinda. “Inscriptions on British Celtic Coins.” </w:t>
      </w:r>
      <w:r w:rsidRPr="00114A10">
        <w:rPr>
          <w:rFonts w:ascii="Times New Roman" w:hAnsi="Times New Roman" w:cs="Times New Roman"/>
          <w:i/>
          <w:iCs/>
          <w:sz w:val="24"/>
          <w:szCs w:val="24"/>
        </w:rPr>
        <w:t>The Numismatic Chronicle</w:t>
      </w:r>
      <w:r w:rsidRPr="00114A10">
        <w:rPr>
          <w:rFonts w:ascii="Times New Roman" w:hAnsi="Times New Roman" w:cs="Times New Roman"/>
          <w:sz w:val="24"/>
          <w:szCs w:val="24"/>
        </w:rPr>
        <w:t xml:space="preserve"> (1966) 152 (1992): 57–82. http://www.jstor.org/stable/42667833 </w:t>
      </w:r>
    </w:p>
    <w:p w14:paraId="6541A7BA"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Nimura, Courtney, Helen Chittock, Peter Hommel, and Chris Gosden, eds. Art in the Eurasian Iron Age: Context, Connections and Scale. Oxbow Books, 2020. https://doi.org/10.2307/j.ctv13gvh20 </w:t>
      </w:r>
    </w:p>
    <w:p w14:paraId="22CC6B61"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Randall, Clare. “Horse Country: Keeping – and eating – Iron Age horses at Ludgershall.” </w:t>
      </w:r>
      <w:r w:rsidRPr="00114A10">
        <w:rPr>
          <w:rFonts w:ascii="Times New Roman" w:hAnsi="Times New Roman" w:cs="Times New Roman"/>
          <w:i/>
          <w:iCs/>
          <w:sz w:val="24"/>
          <w:szCs w:val="24"/>
        </w:rPr>
        <w:t xml:space="preserve">Cotswolds Archaeology. </w:t>
      </w:r>
      <w:r w:rsidRPr="00114A10">
        <w:rPr>
          <w:rFonts w:ascii="Times New Roman" w:hAnsi="Times New Roman" w:cs="Times New Roman"/>
          <w:sz w:val="24"/>
          <w:szCs w:val="24"/>
        </w:rPr>
        <w:t>7</w:t>
      </w:r>
      <w:r w:rsidRPr="00114A10">
        <w:rPr>
          <w:rFonts w:ascii="Times New Roman" w:hAnsi="Times New Roman" w:cs="Times New Roman"/>
          <w:sz w:val="24"/>
          <w:szCs w:val="24"/>
          <w:vertAlign w:val="superscript"/>
        </w:rPr>
        <w:t>th</w:t>
      </w:r>
      <w:r w:rsidRPr="00114A10">
        <w:rPr>
          <w:rFonts w:ascii="Times New Roman" w:hAnsi="Times New Roman" w:cs="Times New Roman"/>
          <w:sz w:val="24"/>
          <w:szCs w:val="24"/>
        </w:rPr>
        <w:t xml:space="preserve"> June 2022. </w:t>
      </w:r>
    </w:p>
    <w:p w14:paraId="174035CB"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Religion, Atlantic. “Symbolism on Celtic Coins.” </w:t>
      </w:r>
      <w:r w:rsidRPr="00114A10">
        <w:rPr>
          <w:rFonts w:ascii="Times New Roman" w:hAnsi="Times New Roman" w:cs="Times New Roman"/>
          <w:i/>
          <w:iCs/>
          <w:sz w:val="24"/>
          <w:szCs w:val="24"/>
        </w:rPr>
        <w:t xml:space="preserve">The Atlantic Religion. </w:t>
      </w:r>
      <w:r w:rsidRPr="00114A10">
        <w:rPr>
          <w:rFonts w:ascii="Times New Roman" w:hAnsi="Times New Roman" w:cs="Times New Roman"/>
          <w:sz w:val="24"/>
          <w:szCs w:val="24"/>
        </w:rPr>
        <w:t>Photograph of coin. 28</w:t>
      </w:r>
      <w:r w:rsidRPr="00114A10">
        <w:rPr>
          <w:rFonts w:ascii="Times New Roman" w:hAnsi="Times New Roman" w:cs="Times New Roman"/>
          <w:sz w:val="24"/>
          <w:szCs w:val="24"/>
          <w:vertAlign w:val="superscript"/>
        </w:rPr>
        <w:t>th</w:t>
      </w:r>
      <w:r w:rsidRPr="00114A10">
        <w:rPr>
          <w:rFonts w:ascii="Times New Roman" w:hAnsi="Times New Roman" w:cs="Times New Roman"/>
          <w:sz w:val="24"/>
          <w:szCs w:val="24"/>
        </w:rPr>
        <w:t xml:space="preserve"> March, 2018. </w:t>
      </w:r>
      <w:hyperlink r:id="rId13" w:history="1">
        <w:r w:rsidRPr="00114A10">
          <w:rPr>
            <w:rStyle w:val="Hyperlink"/>
            <w:rFonts w:ascii="Times New Roman" w:hAnsi="Times New Roman" w:cs="Times New Roman"/>
            <w:sz w:val="24"/>
            <w:szCs w:val="24"/>
          </w:rPr>
          <w:t>https://atlanticreligion.com/2014/03/28/horse-symbolism-on-celtic-coins/</w:t>
        </w:r>
      </w:hyperlink>
      <w:r w:rsidRPr="00114A10">
        <w:rPr>
          <w:rFonts w:ascii="Times New Roman" w:hAnsi="Times New Roman" w:cs="Times New Roman"/>
          <w:sz w:val="24"/>
          <w:szCs w:val="24"/>
        </w:rPr>
        <w:t xml:space="preserve"> </w:t>
      </w:r>
    </w:p>
    <w:p w14:paraId="155C6026"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lastRenderedPageBreak/>
        <w:t xml:space="preserve">Van Heesch, Johan. “Celtic Coins and Religious Deposits in Belgium.” In </w:t>
      </w:r>
      <w:r w:rsidRPr="00114A10">
        <w:rPr>
          <w:rFonts w:ascii="Times New Roman" w:hAnsi="Times New Roman" w:cs="Times New Roman"/>
          <w:i/>
          <w:iCs/>
          <w:sz w:val="24"/>
          <w:szCs w:val="24"/>
        </w:rPr>
        <w:t>Ritual and Iron Age Coinage in North-West Europe</w:t>
      </w:r>
      <w:r w:rsidRPr="00114A10">
        <w:rPr>
          <w:rFonts w:ascii="Times New Roman" w:hAnsi="Times New Roman" w:cs="Times New Roman"/>
          <w:sz w:val="24"/>
          <w:szCs w:val="24"/>
        </w:rPr>
        <w:t xml:space="preserve">, edited by C. Haselgrove and D. Wigg. Philipp von Zabern, 2005. </w:t>
      </w:r>
    </w:p>
    <w:p w14:paraId="13E15C83"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Warmind, Morten. “Once More the Celtic Horse-Goddess.” </w:t>
      </w:r>
      <w:r w:rsidRPr="00114A10">
        <w:rPr>
          <w:rFonts w:ascii="Times New Roman" w:hAnsi="Times New Roman" w:cs="Times New Roman"/>
          <w:i/>
          <w:iCs/>
          <w:sz w:val="24"/>
          <w:szCs w:val="24"/>
        </w:rPr>
        <w:t>Proceedings of the</w:t>
      </w:r>
      <w:r w:rsidRPr="00114A10">
        <w:rPr>
          <w:rFonts w:ascii="Times New Roman" w:hAnsi="Times New Roman" w:cs="Times New Roman"/>
          <w:sz w:val="24"/>
          <w:szCs w:val="24"/>
        </w:rPr>
        <w:t xml:space="preserve"> </w:t>
      </w:r>
      <w:r w:rsidRPr="00114A10">
        <w:rPr>
          <w:rFonts w:ascii="Times New Roman" w:hAnsi="Times New Roman" w:cs="Times New Roman"/>
          <w:i/>
          <w:iCs/>
          <w:sz w:val="24"/>
          <w:szCs w:val="24"/>
        </w:rPr>
        <w:t>Harvard Celtic Colloquium 36</w:t>
      </w:r>
      <w:r w:rsidRPr="00114A10">
        <w:rPr>
          <w:rFonts w:ascii="Times New Roman" w:hAnsi="Times New Roman" w:cs="Times New Roman"/>
          <w:sz w:val="24"/>
          <w:szCs w:val="24"/>
        </w:rPr>
        <w:t xml:space="preserve"> (2016): 231–40. </w:t>
      </w:r>
      <w:hyperlink r:id="rId14" w:history="1">
        <w:r w:rsidRPr="00114A10">
          <w:rPr>
            <w:rStyle w:val="Hyperlink"/>
            <w:rFonts w:ascii="Times New Roman" w:hAnsi="Times New Roman" w:cs="Times New Roman"/>
            <w:sz w:val="24"/>
            <w:szCs w:val="24"/>
          </w:rPr>
          <w:t>http://www.jstor.org/stable/26383351</w:t>
        </w:r>
      </w:hyperlink>
      <w:r w:rsidRPr="00114A10">
        <w:rPr>
          <w:rFonts w:ascii="Times New Roman" w:hAnsi="Times New Roman" w:cs="Times New Roman"/>
          <w:sz w:val="24"/>
          <w:szCs w:val="24"/>
        </w:rPr>
        <w:t xml:space="preserve"> </w:t>
      </w:r>
    </w:p>
    <w:p w14:paraId="47A6C4BD"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Wentink, Karsten. “Vix.” </w:t>
      </w:r>
      <w:r w:rsidRPr="00114A10">
        <w:rPr>
          <w:rFonts w:ascii="Times New Roman" w:hAnsi="Times New Roman" w:cs="Times New Roman"/>
          <w:i/>
          <w:iCs/>
          <w:sz w:val="24"/>
          <w:szCs w:val="24"/>
        </w:rPr>
        <w:t xml:space="preserve">Photograph of artefact. </w:t>
      </w:r>
      <w:r w:rsidRPr="00114A10">
        <w:rPr>
          <w:rFonts w:ascii="Times New Roman" w:hAnsi="Times New Roman" w:cs="Times New Roman"/>
          <w:sz w:val="24"/>
          <w:szCs w:val="24"/>
        </w:rPr>
        <w:t>14</w:t>
      </w:r>
      <w:r w:rsidRPr="00114A10">
        <w:rPr>
          <w:rFonts w:ascii="Times New Roman" w:hAnsi="Times New Roman" w:cs="Times New Roman"/>
          <w:sz w:val="24"/>
          <w:szCs w:val="24"/>
          <w:vertAlign w:val="superscript"/>
        </w:rPr>
        <w:t>th</w:t>
      </w:r>
      <w:r w:rsidRPr="00114A10">
        <w:rPr>
          <w:rFonts w:ascii="Times New Roman" w:hAnsi="Times New Roman" w:cs="Times New Roman"/>
          <w:sz w:val="24"/>
          <w:szCs w:val="24"/>
        </w:rPr>
        <w:t xml:space="preserve"> September, 2018.  </w:t>
      </w:r>
      <w:hyperlink r:id="rId15" w:history="1">
        <w:r w:rsidRPr="00114A10">
          <w:rPr>
            <w:rStyle w:val="Hyperlink"/>
            <w:rFonts w:ascii="Times New Roman" w:hAnsi="Times New Roman" w:cs="Times New Roman"/>
            <w:sz w:val="24"/>
            <w:szCs w:val="24"/>
          </w:rPr>
          <w:t>https://www.flickr.com/photos/vankarsten/44622470792/in/album-72157698103601872/</w:t>
        </w:r>
      </w:hyperlink>
      <w:r w:rsidRPr="00114A10">
        <w:rPr>
          <w:rFonts w:ascii="Times New Roman" w:hAnsi="Times New Roman" w:cs="Times New Roman"/>
          <w:sz w:val="24"/>
          <w:szCs w:val="24"/>
        </w:rPr>
        <w:t xml:space="preserve"> </w:t>
      </w:r>
    </w:p>
    <w:p w14:paraId="63D65482" w14:textId="77777777" w:rsidR="00114A10" w:rsidRPr="00114A10" w:rsidRDefault="00114A10" w:rsidP="00114A10">
      <w:pPr>
        <w:rPr>
          <w:rFonts w:ascii="Times New Roman" w:hAnsi="Times New Roman" w:cs="Times New Roman"/>
          <w:sz w:val="24"/>
          <w:szCs w:val="24"/>
        </w:rPr>
      </w:pPr>
      <w:r w:rsidRPr="00114A10">
        <w:rPr>
          <w:rFonts w:ascii="Times New Roman" w:hAnsi="Times New Roman" w:cs="Times New Roman"/>
          <w:sz w:val="24"/>
          <w:szCs w:val="24"/>
        </w:rPr>
        <w:t xml:space="preserve">Wills, Matthew. “What Does it Mean to be Celtic?” </w:t>
      </w:r>
      <w:r w:rsidRPr="00114A10">
        <w:rPr>
          <w:rFonts w:ascii="Times New Roman" w:hAnsi="Times New Roman" w:cs="Times New Roman"/>
          <w:i/>
          <w:iCs/>
          <w:sz w:val="24"/>
          <w:szCs w:val="24"/>
        </w:rPr>
        <w:t>JSTOR Daily</w:t>
      </w:r>
      <w:r w:rsidRPr="00114A10">
        <w:rPr>
          <w:rFonts w:ascii="Times New Roman" w:hAnsi="Times New Roman" w:cs="Times New Roman"/>
          <w:sz w:val="24"/>
          <w:szCs w:val="24"/>
        </w:rPr>
        <w:t xml:space="preserve">. 19th June 2019.  </w:t>
      </w:r>
      <w:hyperlink r:id="rId16" w:history="1">
        <w:r w:rsidRPr="00114A10">
          <w:rPr>
            <w:rStyle w:val="Hyperlink"/>
            <w:rFonts w:ascii="Times New Roman" w:hAnsi="Times New Roman" w:cs="Times New Roman"/>
            <w:sz w:val="24"/>
            <w:szCs w:val="24"/>
          </w:rPr>
          <w:t>https://daily.jstor.org/what-does-it-mean-to-be-celtic/</w:t>
        </w:r>
      </w:hyperlink>
      <w:r w:rsidRPr="00114A10">
        <w:rPr>
          <w:rFonts w:ascii="Times New Roman" w:hAnsi="Times New Roman" w:cs="Times New Roman"/>
          <w:sz w:val="24"/>
          <w:szCs w:val="24"/>
        </w:rPr>
        <w:t xml:space="preserve"> </w:t>
      </w:r>
    </w:p>
    <w:p w14:paraId="3A33ABEB" w14:textId="77777777" w:rsidR="00114A10" w:rsidRPr="00114A10" w:rsidRDefault="00114A10" w:rsidP="00114A10">
      <w:pPr>
        <w:jc w:val="center"/>
        <w:rPr>
          <w:rFonts w:ascii="Times New Roman" w:hAnsi="Times New Roman" w:cs="Times New Roman"/>
          <w:sz w:val="28"/>
          <w:szCs w:val="28"/>
        </w:rPr>
      </w:pPr>
    </w:p>
    <w:sectPr w:rsidR="00114A10" w:rsidRPr="00114A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753CC"/>
    <w:multiLevelType w:val="hybridMultilevel"/>
    <w:tmpl w:val="0512E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6268CE"/>
    <w:multiLevelType w:val="hybridMultilevel"/>
    <w:tmpl w:val="15722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5C58B6"/>
    <w:multiLevelType w:val="hybridMultilevel"/>
    <w:tmpl w:val="EE480950"/>
    <w:lvl w:ilvl="0" w:tplc="2E9C7DA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8F739A"/>
    <w:multiLevelType w:val="hybridMultilevel"/>
    <w:tmpl w:val="97E0FE48"/>
    <w:lvl w:ilvl="0" w:tplc="0CD23D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AC30ED2"/>
    <w:multiLevelType w:val="hybridMultilevel"/>
    <w:tmpl w:val="81B44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1122799">
    <w:abstractNumId w:val="2"/>
  </w:num>
  <w:num w:numId="2" w16cid:durableId="1325402094">
    <w:abstractNumId w:val="4"/>
  </w:num>
  <w:num w:numId="3" w16cid:durableId="1978100199">
    <w:abstractNumId w:val="0"/>
  </w:num>
  <w:num w:numId="4" w16cid:durableId="1517231512">
    <w:abstractNumId w:val="3"/>
  </w:num>
  <w:num w:numId="5" w16cid:durableId="1338845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10"/>
    <w:rsid w:val="00114A10"/>
    <w:rsid w:val="00286810"/>
    <w:rsid w:val="004001AA"/>
    <w:rsid w:val="00594524"/>
    <w:rsid w:val="0060666C"/>
    <w:rsid w:val="00A16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B74F6"/>
  <w15:chartTrackingRefBased/>
  <w15:docId w15:val="{3D84921E-CEB3-4106-AF96-939F11450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8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8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8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8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8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8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8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8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8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8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8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8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8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8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8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8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8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810"/>
    <w:rPr>
      <w:rFonts w:eastAsiaTheme="majorEastAsia" w:cstheme="majorBidi"/>
      <w:color w:val="272727" w:themeColor="text1" w:themeTint="D8"/>
    </w:rPr>
  </w:style>
  <w:style w:type="paragraph" w:styleId="Title">
    <w:name w:val="Title"/>
    <w:basedOn w:val="Normal"/>
    <w:next w:val="Normal"/>
    <w:link w:val="TitleChar"/>
    <w:uiPriority w:val="10"/>
    <w:qFormat/>
    <w:rsid w:val="002868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8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8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8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810"/>
    <w:pPr>
      <w:spacing w:before="160"/>
      <w:jc w:val="center"/>
    </w:pPr>
    <w:rPr>
      <w:i/>
      <w:iCs/>
      <w:color w:val="404040" w:themeColor="text1" w:themeTint="BF"/>
    </w:rPr>
  </w:style>
  <w:style w:type="character" w:customStyle="1" w:styleId="QuoteChar">
    <w:name w:val="Quote Char"/>
    <w:basedOn w:val="DefaultParagraphFont"/>
    <w:link w:val="Quote"/>
    <w:uiPriority w:val="29"/>
    <w:rsid w:val="00286810"/>
    <w:rPr>
      <w:i/>
      <w:iCs/>
      <w:color w:val="404040" w:themeColor="text1" w:themeTint="BF"/>
    </w:rPr>
  </w:style>
  <w:style w:type="paragraph" w:styleId="ListParagraph">
    <w:name w:val="List Paragraph"/>
    <w:basedOn w:val="Normal"/>
    <w:uiPriority w:val="34"/>
    <w:qFormat/>
    <w:rsid w:val="00286810"/>
    <w:pPr>
      <w:ind w:left="720"/>
      <w:contextualSpacing/>
    </w:pPr>
  </w:style>
  <w:style w:type="character" w:styleId="IntenseEmphasis">
    <w:name w:val="Intense Emphasis"/>
    <w:basedOn w:val="DefaultParagraphFont"/>
    <w:uiPriority w:val="21"/>
    <w:qFormat/>
    <w:rsid w:val="00286810"/>
    <w:rPr>
      <w:i/>
      <w:iCs/>
      <w:color w:val="0F4761" w:themeColor="accent1" w:themeShade="BF"/>
    </w:rPr>
  </w:style>
  <w:style w:type="paragraph" w:styleId="IntenseQuote">
    <w:name w:val="Intense Quote"/>
    <w:basedOn w:val="Normal"/>
    <w:next w:val="Normal"/>
    <w:link w:val="IntenseQuoteChar"/>
    <w:uiPriority w:val="30"/>
    <w:qFormat/>
    <w:rsid w:val="002868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810"/>
    <w:rPr>
      <w:i/>
      <w:iCs/>
      <w:color w:val="0F4761" w:themeColor="accent1" w:themeShade="BF"/>
    </w:rPr>
  </w:style>
  <w:style w:type="character" w:styleId="IntenseReference">
    <w:name w:val="Intense Reference"/>
    <w:basedOn w:val="DefaultParagraphFont"/>
    <w:uiPriority w:val="32"/>
    <w:qFormat/>
    <w:rsid w:val="00286810"/>
    <w:rPr>
      <w:b/>
      <w:bCs/>
      <w:smallCaps/>
      <w:color w:val="0F4761" w:themeColor="accent1" w:themeShade="BF"/>
      <w:spacing w:val="5"/>
    </w:rPr>
  </w:style>
  <w:style w:type="character" w:styleId="Hyperlink">
    <w:name w:val="Hyperlink"/>
    <w:basedOn w:val="DefaultParagraphFont"/>
    <w:uiPriority w:val="99"/>
    <w:unhideWhenUsed/>
    <w:rsid w:val="00114A1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museum.org/collection/object/H_1847-0208-82" TargetMode="External"/><Relationship Id="rId13" Type="http://schemas.openxmlformats.org/officeDocument/2006/relationships/hyperlink" Target="https://atlanticreligion.com/2014/03/28/horse-symbolism-on-celtic-coi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stor.org/stable/26800037" TargetMode="External"/><Relationship Id="rId12" Type="http://schemas.openxmlformats.org/officeDocument/2006/relationships/hyperlink" Target="https://doi.org/10.31470/2616-6275-2021-5-81-9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aily.jstor.org/what-does-it-mean-to-be-celtic/" TargetMode="External"/><Relationship Id="rId1" Type="http://schemas.openxmlformats.org/officeDocument/2006/relationships/numbering" Target="numbering.xml"/><Relationship Id="rId6" Type="http://schemas.openxmlformats.org/officeDocument/2006/relationships/hyperlink" Target="https://doi.org/10.1007/s10761-019-00502-1" TargetMode="External"/><Relationship Id="rId11" Type="http://schemas.openxmlformats.org/officeDocument/2006/relationships/hyperlink" Target="https://doi.org/10.5564/mjas.v23i01.1021" TargetMode="External"/><Relationship Id="rId5" Type="http://schemas.openxmlformats.org/officeDocument/2006/relationships/image" Target="media/image1.png"/><Relationship Id="rId15" Type="http://schemas.openxmlformats.org/officeDocument/2006/relationships/hyperlink" Target="https://www.flickr.com/photos/vankarsten/44622470792/in/album-72157698103601872/" TargetMode="External"/><Relationship Id="rId10" Type="http://schemas.openxmlformats.org/officeDocument/2006/relationships/hyperlink" Target="https://doi.org/10.2307/j.ctv138wskk" TargetMode="External"/><Relationship Id="rId4" Type="http://schemas.openxmlformats.org/officeDocument/2006/relationships/webSettings" Target="webSettings.xml"/><Relationship Id="rId9" Type="http://schemas.openxmlformats.org/officeDocument/2006/relationships/hyperlink" Target="https://doi.org/10.2307/526880" TargetMode="External"/><Relationship Id="rId14" Type="http://schemas.openxmlformats.org/officeDocument/2006/relationships/hyperlink" Target="http://www.jstor.org/stable/263833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1173</Words>
  <Characters>6691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Webb</dc:creator>
  <cp:keywords/>
  <dc:description/>
  <cp:lastModifiedBy>Kira Webb</cp:lastModifiedBy>
  <cp:revision>1</cp:revision>
  <dcterms:created xsi:type="dcterms:W3CDTF">2024-11-23T22:35:00Z</dcterms:created>
  <dcterms:modified xsi:type="dcterms:W3CDTF">2024-11-23T23:10:00Z</dcterms:modified>
</cp:coreProperties>
</file>