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A4E9E" w14:textId="77777777" w:rsidR="005109DF" w:rsidRDefault="005109DF"/>
    <w:p w14:paraId="3DBE5BCD" w14:textId="77777777" w:rsidR="005109DF" w:rsidRDefault="005109DF"/>
    <w:p w14:paraId="5A8DC81D" w14:textId="7D98D85C" w:rsidR="005109DF" w:rsidRDefault="005109DF">
      <w:r>
        <w:rPr>
          <w:noProof/>
        </w:rPr>
        <w:drawing>
          <wp:inline distT="0" distB="0" distL="0" distR="0" wp14:anchorId="0AFC6ECB" wp14:editId="78E87E22">
            <wp:extent cx="1925955" cy="77087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34326" cy="774222"/>
                    </a:xfrm>
                    <a:prstGeom prst="rect">
                      <a:avLst/>
                    </a:prstGeom>
                    <a:noFill/>
                  </pic:spPr>
                </pic:pic>
              </a:graphicData>
            </a:graphic>
          </wp:inline>
        </w:drawing>
      </w:r>
    </w:p>
    <w:p w14:paraId="7BA3A7D6" w14:textId="77777777" w:rsidR="005109DF" w:rsidRDefault="005109DF"/>
    <w:p w14:paraId="2A3B5D86" w14:textId="77777777" w:rsidR="005109DF" w:rsidRDefault="005109DF"/>
    <w:p w14:paraId="5C237239" w14:textId="77777777" w:rsidR="005109DF" w:rsidRDefault="005109DF"/>
    <w:p w14:paraId="6D130045" w14:textId="58C33B7D" w:rsidR="005109DF" w:rsidRPr="00034E61" w:rsidRDefault="005109DF">
      <w:pPr>
        <w:rPr>
          <w:b/>
          <w:bCs/>
        </w:rPr>
      </w:pPr>
      <w:r w:rsidRPr="00034E61">
        <w:rPr>
          <w:b/>
          <w:bCs/>
        </w:rPr>
        <w:t xml:space="preserve">Student Name: Marius Secrieru </w:t>
      </w:r>
    </w:p>
    <w:p w14:paraId="54CE0EAA" w14:textId="5B097666" w:rsidR="005109DF" w:rsidRPr="00034E61" w:rsidRDefault="005109DF">
      <w:pPr>
        <w:rPr>
          <w:b/>
          <w:bCs/>
        </w:rPr>
      </w:pPr>
      <w:r w:rsidRPr="00034E61">
        <w:rPr>
          <w:b/>
          <w:bCs/>
        </w:rPr>
        <w:t xml:space="preserve">Student ID: 2114528 </w:t>
      </w:r>
    </w:p>
    <w:p w14:paraId="151000E6" w14:textId="2B88CF71" w:rsidR="005109DF" w:rsidRPr="00034E61" w:rsidRDefault="005109DF">
      <w:pPr>
        <w:rPr>
          <w:b/>
          <w:bCs/>
        </w:rPr>
      </w:pPr>
      <w:r w:rsidRPr="00034E61">
        <w:rPr>
          <w:b/>
          <w:bCs/>
        </w:rPr>
        <w:t xml:space="preserve">Module Name: Accounting Fundamentals </w:t>
      </w:r>
    </w:p>
    <w:p w14:paraId="2A2392E8" w14:textId="5859FBB4" w:rsidR="005109DF" w:rsidRPr="00034E61" w:rsidRDefault="005109DF">
      <w:pPr>
        <w:rPr>
          <w:b/>
          <w:bCs/>
        </w:rPr>
      </w:pPr>
      <w:r w:rsidRPr="00034E61">
        <w:rPr>
          <w:b/>
          <w:bCs/>
        </w:rPr>
        <w:t>Module Code: LCBB4001</w:t>
      </w:r>
    </w:p>
    <w:p w14:paraId="5EAA99EF" w14:textId="77777777" w:rsidR="005109DF" w:rsidRDefault="005109DF"/>
    <w:p w14:paraId="79BE48F8" w14:textId="77777777" w:rsidR="005109DF" w:rsidRDefault="005109DF"/>
    <w:p w14:paraId="7DF03A9D" w14:textId="04058310" w:rsidR="00A26DBB" w:rsidRDefault="00A26DBB"/>
    <w:p w14:paraId="6281B130" w14:textId="24775701" w:rsidR="00A26DBB" w:rsidRDefault="00A26DBB"/>
    <w:p w14:paraId="11518FAB" w14:textId="01013F7C" w:rsidR="00A26DBB" w:rsidRDefault="00A26DBB"/>
    <w:p w14:paraId="27ED198B" w14:textId="4DF9A464" w:rsidR="00A26DBB" w:rsidRDefault="00A26DBB"/>
    <w:p w14:paraId="7D246CD3" w14:textId="796FD0BC" w:rsidR="00A26DBB" w:rsidRDefault="00A26DBB"/>
    <w:p w14:paraId="51A7C6B0" w14:textId="2C7E3AA9" w:rsidR="00A26DBB" w:rsidRDefault="00A26DBB"/>
    <w:p w14:paraId="019D2E61" w14:textId="0608EF92" w:rsidR="00A26DBB" w:rsidRDefault="00A26DBB"/>
    <w:p w14:paraId="1FDB6D96" w14:textId="4007E5A6" w:rsidR="00A26DBB" w:rsidRDefault="00A26DBB"/>
    <w:p w14:paraId="0A01D6CE" w14:textId="039A4F31" w:rsidR="00A26DBB" w:rsidRDefault="00A26DBB"/>
    <w:p w14:paraId="51DCC0AC" w14:textId="1CD87754" w:rsidR="00A26DBB" w:rsidRDefault="00A26DBB"/>
    <w:p w14:paraId="37669A1F" w14:textId="76337179" w:rsidR="00A26DBB" w:rsidRDefault="00A26DBB"/>
    <w:p w14:paraId="2E952379" w14:textId="2A7E9DD1" w:rsidR="00A26DBB" w:rsidRDefault="00A26DBB"/>
    <w:p w14:paraId="567931FE" w14:textId="027FB9AA" w:rsidR="00A26DBB" w:rsidRDefault="00A26DBB"/>
    <w:p w14:paraId="790260CF" w14:textId="6B48CBED" w:rsidR="00A26DBB" w:rsidRDefault="00A26DBB"/>
    <w:p w14:paraId="623B4938" w14:textId="1774D4DE" w:rsidR="00A26DBB" w:rsidRDefault="00A26DBB"/>
    <w:p w14:paraId="2C9F67DA" w14:textId="66BFB90A" w:rsidR="00A26DBB" w:rsidRDefault="00A26DBB" w:rsidP="00A26DBB">
      <w:pPr>
        <w:keepNext/>
        <w:pageBreakBefore/>
        <w:suppressLineNumbers/>
        <w:suppressAutoHyphens/>
        <w:spacing w:before="240" w:after="120" w:line="360" w:lineRule="auto"/>
        <w:jc w:val="center"/>
      </w:pPr>
      <w:r w:rsidRPr="00A26DBB">
        <w:rPr>
          <w:rFonts w:ascii="Times New Roman" w:eastAsia="Droid Sans" w:hAnsi="Times New Roman" w:cs="Times New Roman"/>
          <w:b/>
          <w:bCs/>
          <w:color w:val="000000"/>
          <w:sz w:val="28"/>
          <w:szCs w:val="32"/>
          <w:lang w:eastAsia="ar-SA"/>
        </w:rPr>
        <w:lastRenderedPageBreak/>
        <w:t>Table of Contents</w:t>
      </w:r>
    </w:p>
    <w:p w14:paraId="78171539" w14:textId="203E885F" w:rsidR="00A26DBB" w:rsidRDefault="00A26DBB" w:rsidP="00A26DBB"/>
    <w:p w14:paraId="2208B373" w14:textId="642A8F98" w:rsidR="00A26DBB" w:rsidRDefault="00A26DBB"/>
    <w:p w14:paraId="4FD3A7B0" w14:textId="4FC6989F" w:rsidR="00A26DBB" w:rsidRPr="00034E61" w:rsidRDefault="00A26DBB">
      <w:pPr>
        <w:rPr>
          <w:rFonts w:ascii="Arial" w:hAnsi="Arial" w:cs="Arial"/>
        </w:rPr>
      </w:pPr>
      <w:r w:rsidRPr="00034E61">
        <w:rPr>
          <w:rFonts w:ascii="Arial" w:hAnsi="Arial" w:cs="Arial"/>
        </w:rPr>
        <w:t>Introduction ……………………………………………………</w:t>
      </w:r>
      <w:r w:rsidR="00034E61" w:rsidRPr="00034E61">
        <w:rPr>
          <w:rFonts w:ascii="Arial" w:hAnsi="Arial" w:cs="Arial"/>
        </w:rPr>
        <w:t>…</w:t>
      </w:r>
      <w:r w:rsidR="00034E61">
        <w:rPr>
          <w:rFonts w:ascii="Arial" w:hAnsi="Arial" w:cs="Arial"/>
        </w:rPr>
        <w:t>.……….</w:t>
      </w:r>
      <w:r w:rsidRPr="00034E61">
        <w:rPr>
          <w:rFonts w:ascii="Arial" w:hAnsi="Arial" w:cs="Arial"/>
        </w:rPr>
        <w:t>…</w:t>
      </w:r>
      <w:r w:rsidR="00034E61" w:rsidRPr="00034E61">
        <w:rPr>
          <w:rFonts w:ascii="Arial" w:hAnsi="Arial" w:cs="Arial"/>
        </w:rPr>
        <w:t>….</w:t>
      </w:r>
      <w:r w:rsidRPr="00034E61">
        <w:rPr>
          <w:rFonts w:ascii="Arial" w:hAnsi="Arial" w:cs="Arial"/>
        </w:rPr>
        <w:t>………</w:t>
      </w:r>
      <w:r w:rsidR="00034E61" w:rsidRPr="00034E61">
        <w:rPr>
          <w:rFonts w:ascii="Arial" w:hAnsi="Arial" w:cs="Arial"/>
        </w:rPr>
        <w:t>…….3</w:t>
      </w:r>
    </w:p>
    <w:p w14:paraId="50137C92" w14:textId="4046728D" w:rsidR="00A26DBB" w:rsidRPr="00034E61" w:rsidRDefault="00A26DBB">
      <w:pPr>
        <w:rPr>
          <w:rFonts w:ascii="Arial" w:hAnsi="Arial" w:cs="Arial"/>
        </w:rPr>
      </w:pPr>
      <w:r w:rsidRPr="00034E61">
        <w:rPr>
          <w:rFonts w:ascii="Arial" w:hAnsi="Arial" w:cs="Arial"/>
        </w:rPr>
        <w:t>Income Statement for Angela’s business of bed……………………</w:t>
      </w:r>
      <w:r w:rsidR="00034E61" w:rsidRPr="00034E61">
        <w:rPr>
          <w:rFonts w:ascii="Arial" w:hAnsi="Arial" w:cs="Arial"/>
        </w:rPr>
        <w:t>……</w:t>
      </w:r>
      <w:r w:rsidRPr="00034E61">
        <w:rPr>
          <w:rFonts w:ascii="Arial" w:hAnsi="Arial" w:cs="Arial"/>
        </w:rPr>
        <w:t>………</w:t>
      </w:r>
      <w:r w:rsidR="00034E61" w:rsidRPr="00034E61">
        <w:rPr>
          <w:rFonts w:ascii="Arial" w:hAnsi="Arial" w:cs="Arial"/>
        </w:rPr>
        <w:t>….……….3</w:t>
      </w:r>
    </w:p>
    <w:p w14:paraId="617EA8FB" w14:textId="09A162CC" w:rsidR="00A26DBB" w:rsidRPr="00034E61" w:rsidRDefault="00A26DBB">
      <w:pPr>
        <w:rPr>
          <w:rFonts w:ascii="Arial" w:hAnsi="Arial" w:cs="Arial"/>
        </w:rPr>
      </w:pPr>
      <w:r w:rsidRPr="00034E61">
        <w:rPr>
          <w:rFonts w:ascii="Arial" w:hAnsi="Arial" w:cs="Arial"/>
        </w:rPr>
        <w:t>Statement of financial position…………………………………………………………</w:t>
      </w:r>
      <w:r w:rsidR="00034E61" w:rsidRPr="00034E61">
        <w:rPr>
          <w:rFonts w:ascii="Arial" w:hAnsi="Arial" w:cs="Arial"/>
        </w:rPr>
        <w:t>……,</w:t>
      </w:r>
      <w:r w:rsidR="00034E61">
        <w:rPr>
          <w:rFonts w:ascii="Arial" w:hAnsi="Arial" w:cs="Arial"/>
        </w:rPr>
        <w:t>.4</w:t>
      </w:r>
    </w:p>
    <w:p w14:paraId="7A798277" w14:textId="39AA44FF" w:rsidR="000B51B3" w:rsidRPr="00034E61" w:rsidRDefault="00A26DBB">
      <w:pPr>
        <w:rPr>
          <w:rFonts w:ascii="Arial" w:hAnsi="Arial" w:cs="Arial"/>
        </w:rPr>
      </w:pPr>
      <w:r w:rsidRPr="00034E61">
        <w:rPr>
          <w:rFonts w:ascii="Arial" w:hAnsi="Arial" w:cs="Arial"/>
        </w:rPr>
        <w:t>The concept of accounting g theory</w:t>
      </w:r>
      <w:r w:rsidR="000B51B3" w:rsidRPr="00034E61">
        <w:rPr>
          <w:rFonts w:ascii="Arial" w:hAnsi="Arial" w:cs="Arial"/>
        </w:rPr>
        <w:t>. Consistency, materiality, monetary unit and going concern</w:t>
      </w:r>
      <w:r w:rsidR="00034E61">
        <w:rPr>
          <w:rFonts w:ascii="Arial" w:hAnsi="Arial" w:cs="Arial"/>
        </w:rPr>
        <w:t>…………………………………………………………………………………………….6</w:t>
      </w:r>
    </w:p>
    <w:p w14:paraId="46B73A37" w14:textId="0C6C28A0" w:rsidR="000B51B3" w:rsidRPr="00034E61" w:rsidRDefault="000B51B3">
      <w:pPr>
        <w:rPr>
          <w:rFonts w:ascii="Arial" w:hAnsi="Arial" w:cs="Arial"/>
        </w:rPr>
      </w:pPr>
      <w:r w:rsidRPr="00034E61">
        <w:rPr>
          <w:rFonts w:ascii="Arial" w:hAnsi="Arial" w:cs="Arial"/>
        </w:rPr>
        <w:t xml:space="preserve">Conclusion </w:t>
      </w:r>
      <w:r w:rsidR="00034E61" w:rsidRPr="00034E61">
        <w:rPr>
          <w:rFonts w:ascii="Arial" w:hAnsi="Arial" w:cs="Arial"/>
        </w:rPr>
        <w:t>………………………………………………………………………</w:t>
      </w:r>
      <w:r w:rsidR="00034E61">
        <w:rPr>
          <w:rFonts w:ascii="Arial" w:hAnsi="Arial" w:cs="Arial"/>
        </w:rPr>
        <w:t>…………………7</w:t>
      </w:r>
    </w:p>
    <w:p w14:paraId="50C86274" w14:textId="773DB5F5" w:rsidR="000B51B3" w:rsidRPr="00034E61" w:rsidRDefault="000B51B3">
      <w:pPr>
        <w:rPr>
          <w:rFonts w:ascii="Arial" w:hAnsi="Arial" w:cs="Arial"/>
        </w:rPr>
      </w:pPr>
      <w:r w:rsidRPr="00034E61">
        <w:rPr>
          <w:rFonts w:ascii="Arial" w:hAnsi="Arial" w:cs="Arial"/>
        </w:rPr>
        <w:t xml:space="preserve">References </w:t>
      </w:r>
      <w:r w:rsidR="00034E61" w:rsidRPr="00034E61">
        <w:rPr>
          <w:rFonts w:ascii="Arial" w:hAnsi="Arial" w:cs="Arial"/>
        </w:rPr>
        <w:t>………………………………………………………………………………………</w:t>
      </w:r>
      <w:r w:rsidR="00034E61">
        <w:rPr>
          <w:rFonts w:ascii="Arial" w:hAnsi="Arial" w:cs="Arial"/>
        </w:rPr>
        <w:t>…8</w:t>
      </w:r>
    </w:p>
    <w:p w14:paraId="706D6F85" w14:textId="77777777" w:rsidR="000B51B3" w:rsidRPr="00034E61" w:rsidRDefault="000B51B3">
      <w:pPr>
        <w:rPr>
          <w:rFonts w:ascii="Arial" w:hAnsi="Arial" w:cs="Arial"/>
        </w:rPr>
      </w:pPr>
    </w:p>
    <w:p w14:paraId="3C0DD445" w14:textId="77777777" w:rsidR="000B51B3" w:rsidRPr="00034E61" w:rsidRDefault="000B51B3">
      <w:pPr>
        <w:rPr>
          <w:rFonts w:ascii="Arial" w:hAnsi="Arial" w:cs="Arial"/>
        </w:rPr>
      </w:pPr>
    </w:p>
    <w:p w14:paraId="6B5522E0" w14:textId="77777777" w:rsidR="000B51B3" w:rsidRPr="00034E61" w:rsidRDefault="000B51B3">
      <w:pPr>
        <w:rPr>
          <w:rFonts w:ascii="Arial" w:hAnsi="Arial" w:cs="Arial"/>
        </w:rPr>
      </w:pPr>
    </w:p>
    <w:p w14:paraId="5F15C616" w14:textId="77777777" w:rsidR="000B51B3" w:rsidRDefault="000B51B3"/>
    <w:p w14:paraId="4B0B0156" w14:textId="77777777" w:rsidR="000B51B3" w:rsidRDefault="000B51B3"/>
    <w:p w14:paraId="0E4E9B06" w14:textId="77777777" w:rsidR="000B51B3" w:rsidRDefault="000B51B3"/>
    <w:p w14:paraId="5B414899" w14:textId="77777777" w:rsidR="000B51B3" w:rsidRDefault="000B51B3"/>
    <w:p w14:paraId="58B940C4" w14:textId="77777777" w:rsidR="000B51B3" w:rsidRDefault="000B51B3"/>
    <w:p w14:paraId="6C186675" w14:textId="77777777" w:rsidR="000B51B3" w:rsidRDefault="000B51B3"/>
    <w:p w14:paraId="78EE3A9F" w14:textId="77777777" w:rsidR="000B51B3" w:rsidRDefault="000B51B3"/>
    <w:p w14:paraId="055DED8A" w14:textId="77777777" w:rsidR="000B51B3" w:rsidRDefault="000B51B3"/>
    <w:p w14:paraId="4A267E14" w14:textId="77777777" w:rsidR="000B51B3" w:rsidRDefault="000B51B3"/>
    <w:p w14:paraId="7164082A" w14:textId="77777777" w:rsidR="000B51B3" w:rsidRDefault="000B51B3"/>
    <w:p w14:paraId="26845553" w14:textId="77777777" w:rsidR="000B51B3" w:rsidRDefault="000B51B3"/>
    <w:p w14:paraId="0D53A14E" w14:textId="77777777" w:rsidR="000B51B3" w:rsidRDefault="000B51B3"/>
    <w:p w14:paraId="67656488" w14:textId="77777777" w:rsidR="000B51B3" w:rsidRDefault="000B51B3"/>
    <w:p w14:paraId="0D0EF665" w14:textId="77777777" w:rsidR="000B51B3" w:rsidRDefault="000B51B3"/>
    <w:p w14:paraId="6CE3C0B2" w14:textId="77777777" w:rsidR="000B51B3" w:rsidRDefault="000B51B3"/>
    <w:p w14:paraId="3CDFD2C8" w14:textId="77777777" w:rsidR="000B51B3" w:rsidRDefault="000B51B3"/>
    <w:p w14:paraId="0C5B08EA" w14:textId="77777777" w:rsidR="000B51B3" w:rsidRDefault="000B51B3"/>
    <w:p w14:paraId="763A3CF4" w14:textId="77777777" w:rsidR="000B51B3" w:rsidRDefault="000B51B3"/>
    <w:p w14:paraId="6B65F54D" w14:textId="77777777" w:rsidR="000B51B3" w:rsidRDefault="000B51B3"/>
    <w:p w14:paraId="682621F4" w14:textId="77777777" w:rsidR="000B51B3" w:rsidRPr="000B51B3" w:rsidRDefault="000B51B3" w:rsidP="000B51B3">
      <w:pPr>
        <w:spacing w:line="360" w:lineRule="auto"/>
        <w:jc w:val="both"/>
        <w:rPr>
          <w:rFonts w:ascii="Times New Roman" w:hAnsi="Times New Roman" w:cs="Times New Roman"/>
          <w:b/>
          <w:bCs/>
          <w:sz w:val="24"/>
          <w:szCs w:val="24"/>
        </w:rPr>
      </w:pPr>
      <w:r w:rsidRPr="000B51B3">
        <w:rPr>
          <w:rFonts w:ascii="Times New Roman" w:hAnsi="Times New Roman" w:cs="Times New Roman"/>
          <w:b/>
          <w:bCs/>
          <w:sz w:val="24"/>
          <w:szCs w:val="24"/>
        </w:rPr>
        <w:t xml:space="preserve">Introduction </w:t>
      </w:r>
    </w:p>
    <w:p w14:paraId="7440DA61" w14:textId="46C2D3FD" w:rsidR="00023572" w:rsidRPr="00034E61" w:rsidRDefault="00A26DBB" w:rsidP="000B51B3">
      <w:pPr>
        <w:spacing w:line="360" w:lineRule="auto"/>
        <w:jc w:val="both"/>
        <w:rPr>
          <w:rFonts w:ascii="Arial" w:hAnsi="Arial" w:cs="Arial"/>
        </w:rPr>
      </w:pPr>
      <w:r w:rsidRPr="000B51B3">
        <w:rPr>
          <w:rFonts w:ascii="Times New Roman" w:hAnsi="Times New Roman" w:cs="Times New Roman"/>
          <w:sz w:val="24"/>
          <w:szCs w:val="24"/>
        </w:rPr>
        <w:t xml:space="preserve"> </w:t>
      </w:r>
      <w:r w:rsidR="000B51B3" w:rsidRPr="00034E61">
        <w:rPr>
          <w:rFonts w:ascii="Arial" w:hAnsi="Arial" w:cs="Arial"/>
        </w:rPr>
        <w:t xml:space="preserve">The accounting department is responsible for all of the most crucial parts of the organization's finances. Accounting is the process of documenting monetary transactions so that those involved in business may later analyse and evaluate the data using appropriate criteria. </w:t>
      </w:r>
      <w:r w:rsidR="000B51B3" w:rsidRPr="00034E61">
        <w:rPr>
          <w:rFonts w:ascii="Arial" w:hAnsi="Arial" w:cs="Arial"/>
        </w:rPr>
        <w:t>(</w:t>
      </w:r>
      <w:r w:rsidR="000B51B3" w:rsidRPr="00034E61">
        <w:rPr>
          <w:rFonts w:ascii="Arial" w:hAnsi="Arial" w:cs="Arial"/>
          <w:i/>
          <w:iCs/>
        </w:rPr>
        <w:t>Schroeder,</w:t>
      </w:r>
      <w:r w:rsidR="000B51B3" w:rsidRPr="00034E61">
        <w:rPr>
          <w:rFonts w:ascii="Arial" w:hAnsi="Arial" w:cs="Arial"/>
          <w:i/>
          <w:iCs/>
        </w:rPr>
        <w:t xml:space="preserve"> et. al., 2019).</w:t>
      </w:r>
      <w:r w:rsidR="000B51B3" w:rsidRPr="00034E61">
        <w:rPr>
          <w:rFonts w:ascii="Arial" w:hAnsi="Arial" w:cs="Arial"/>
        </w:rPr>
        <w:t xml:space="preserve"> </w:t>
      </w:r>
      <w:r w:rsidR="000B51B3" w:rsidRPr="00034E61">
        <w:rPr>
          <w:rFonts w:ascii="Arial" w:hAnsi="Arial" w:cs="Arial"/>
        </w:rPr>
        <w:t>Accounting is essential for each and every kind of business there is, in addition to being essential for individuals. Accounting is based on appropriate techniques and standards, which are issued by the local authorities and, on an international level, are known as GAAP</w:t>
      </w:r>
      <w:r w:rsidR="00023572" w:rsidRPr="00034E61">
        <w:rPr>
          <w:rFonts w:ascii="Arial" w:hAnsi="Arial" w:cs="Arial"/>
        </w:rPr>
        <w:t xml:space="preserve"> </w:t>
      </w:r>
      <w:r w:rsidR="00023572" w:rsidRPr="00034E61">
        <w:rPr>
          <w:rFonts w:ascii="Arial" w:hAnsi="Arial" w:cs="Arial"/>
          <w:i/>
          <w:iCs/>
        </w:rPr>
        <w:t>(</w:t>
      </w:r>
      <w:r w:rsidR="00023572" w:rsidRPr="00034E61">
        <w:rPr>
          <w:rFonts w:ascii="Arial" w:hAnsi="Arial" w:cs="Arial"/>
          <w:i/>
          <w:iCs/>
        </w:rPr>
        <w:t xml:space="preserve">Adams, </w:t>
      </w:r>
      <w:r w:rsidR="00023572" w:rsidRPr="00034E61">
        <w:rPr>
          <w:rFonts w:ascii="Arial" w:hAnsi="Arial" w:cs="Arial"/>
          <w:i/>
          <w:iCs/>
        </w:rPr>
        <w:t>and</w:t>
      </w:r>
      <w:r w:rsidR="00023572" w:rsidRPr="00034E61">
        <w:rPr>
          <w:rFonts w:ascii="Arial" w:hAnsi="Arial" w:cs="Arial"/>
          <w:i/>
          <w:iCs/>
        </w:rPr>
        <w:t xml:space="preserve"> Larrinaga</w:t>
      </w:r>
      <w:r w:rsidR="00023572" w:rsidRPr="00034E61">
        <w:rPr>
          <w:rFonts w:ascii="Arial" w:hAnsi="Arial" w:cs="Arial"/>
          <w:i/>
          <w:iCs/>
        </w:rPr>
        <w:t>, 2019).</w:t>
      </w:r>
      <w:r w:rsidR="00023572" w:rsidRPr="00034E61">
        <w:rPr>
          <w:rFonts w:ascii="Arial" w:hAnsi="Arial" w:cs="Arial"/>
        </w:rPr>
        <w:t xml:space="preserve"> </w:t>
      </w:r>
      <w:r w:rsidR="000B51B3" w:rsidRPr="00034E61">
        <w:rPr>
          <w:rFonts w:ascii="Arial" w:hAnsi="Arial" w:cs="Arial"/>
        </w:rPr>
        <w:t xml:space="preserve"> </w:t>
      </w:r>
      <w:r w:rsidR="000B51B3" w:rsidRPr="00034E61">
        <w:rPr>
          <w:rFonts w:ascii="Arial" w:hAnsi="Arial" w:cs="Arial"/>
        </w:rPr>
        <w:t>In this report, the situation of Angela, who owns and operates a business that sells beds and bedding out of rented space, is examined. The company's books of accounts include a number of different assets and liabilities. It was necessary to compile both the income statement and the balance sheet. In this section, we will go over the fundamentals of accounting, which include topics such as consistency, materiality, monetary unit, and going concern.</w:t>
      </w:r>
    </w:p>
    <w:p w14:paraId="0CD00CA1" w14:textId="3B4B746A" w:rsidR="00023572" w:rsidRDefault="00023572" w:rsidP="000B51B3">
      <w:pPr>
        <w:spacing w:line="360" w:lineRule="auto"/>
        <w:jc w:val="both"/>
        <w:rPr>
          <w:rFonts w:ascii="Times New Roman" w:hAnsi="Times New Roman" w:cs="Times New Roman"/>
          <w:b/>
          <w:bCs/>
          <w:sz w:val="24"/>
          <w:szCs w:val="24"/>
        </w:rPr>
      </w:pPr>
      <w:r w:rsidRPr="00023572">
        <w:rPr>
          <w:rFonts w:ascii="Times New Roman" w:hAnsi="Times New Roman" w:cs="Times New Roman"/>
          <w:b/>
          <w:bCs/>
          <w:sz w:val="24"/>
          <w:szCs w:val="24"/>
        </w:rPr>
        <w:t>Income Statement for Angela’s business of bed</w:t>
      </w:r>
      <w:r w:rsidRPr="00023572">
        <w:rPr>
          <w:b/>
          <w:bCs/>
        </w:rPr>
        <w:t xml:space="preserve"> </w:t>
      </w:r>
      <w:r w:rsidRPr="00023572">
        <w:rPr>
          <w:rFonts w:ascii="Times New Roman" w:hAnsi="Times New Roman" w:cs="Times New Roman"/>
          <w:b/>
          <w:bCs/>
          <w:sz w:val="24"/>
          <w:szCs w:val="24"/>
        </w:rPr>
        <w:t>according to the trial balance given</w:t>
      </w:r>
    </w:p>
    <w:tbl>
      <w:tblPr>
        <w:tblW w:w="9660" w:type="dxa"/>
        <w:tblInd w:w="108" w:type="dxa"/>
        <w:tblLook w:val="04A0" w:firstRow="1" w:lastRow="0" w:firstColumn="1" w:lastColumn="0" w:noHBand="0" w:noVBand="1"/>
      </w:tblPr>
      <w:tblGrid>
        <w:gridCol w:w="4451"/>
        <w:gridCol w:w="1412"/>
        <w:gridCol w:w="2317"/>
        <w:gridCol w:w="1412"/>
        <w:gridCol w:w="222"/>
      </w:tblGrid>
      <w:tr w:rsidR="00023572" w:rsidRPr="00023572" w14:paraId="1D2F2FC5" w14:textId="77777777" w:rsidTr="00023572">
        <w:trPr>
          <w:trHeight w:val="285"/>
        </w:trPr>
        <w:tc>
          <w:tcPr>
            <w:tcW w:w="4451" w:type="dxa"/>
            <w:tcBorders>
              <w:top w:val="nil"/>
              <w:left w:val="nil"/>
              <w:bottom w:val="nil"/>
              <w:right w:val="nil"/>
            </w:tcBorders>
            <w:shd w:val="clear" w:color="auto" w:fill="4472C4" w:themeFill="accent1"/>
            <w:noWrap/>
            <w:vAlign w:val="bottom"/>
            <w:hideMark/>
          </w:tcPr>
          <w:p w14:paraId="3A292D59"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Particular</w:t>
            </w:r>
          </w:p>
        </w:tc>
        <w:tc>
          <w:tcPr>
            <w:tcW w:w="1412" w:type="dxa"/>
            <w:tcBorders>
              <w:top w:val="nil"/>
              <w:left w:val="nil"/>
              <w:bottom w:val="nil"/>
              <w:right w:val="nil"/>
            </w:tcBorders>
            <w:shd w:val="clear" w:color="auto" w:fill="4472C4" w:themeFill="accent1"/>
            <w:noWrap/>
            <w:vAlign w:val="bottom"/>
            <w:hideMark/>
          </w:tcPr>
          <w:p w14:paraId="58BD7623"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Amount</w:t>
            </w:r>
          </w:p>
        </w:tc>
        <w:tc>
          <w:tcPr>
            <w:tcW w:w="2317" w:type="dxa"/>
            <w:tcBorders>
              <w:top w:val="nil"/>
              <w:left w:val="nil"/>
              <w:bottom w:val="nil"/>
              <w:right w:val="nil"/>
            </w:tcBorders>
            <w:shd w:val="clear" w:color="auto" w:fill="4472C4" w:themeFill="accent1"/>
            <w:noWrap/>
            <w:vAlign w:val="bottom"/>
            <w:hideMark/>
          </w:tcPr>
          <w:p w14:paraId="776A0F80"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Particular</w:t>
            </w:r>
          </w:p>
        </w:tc>
        <w:tc>
          <w:tcPr>
            <w:tcW w:w="1412" w:type="dxa"/>
            <w:tcBorders>
              <w:top w:val="nil"/>
              <w:left w:val="nil"/>
              <w:bottom w:val="nil"/>
              <w:right w:val="nil"/>
            </w:tcBorders>
            <w:shd w:val="clear" w:color="auto" w:fill="4472C4" w:themeFill="accent1"/>
            <w:noWrap/>
            <w:vAlign w:val="bottom"/>
            <w:hideMark/>
          </w:tcPr>
          <w:p w14:paraId="3AE1AC31"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Amount</w:t>
            </w:r>
          </w:p>
        </w:tc>
        <w:tc>
          <w:tcPr>
            <w:tcW w:w="68" w:type="dxa"/>
            <w:tcBorders>
              <w:top w:val="nil"/>
              <w:left w:val="nil"/>
              <w:bottom w:val="nil"/>
              <w:right w:val="nil"/>
            </w:tcBorders>
            <w:shd w:val="clear" w:color="auto" w:fill="auto"/>
            <w:noWrap/>
            <w:vAlign w:val="bottom"/>
            <w:hideMark/>
          </w:tcPr>
          <w:p w14:paraId="7E97B607"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p>
        </w:tc>
      </w:tr>
      <w:tr w:rsidR="00023572" w:rsidRPr="00023572" w14:paraId="089F3510" w14:textId="77777777" w:rsidTr="00023572">
        <w:trPr>
          <w:trHeight w:val="285"/>
        </w:trPr>
        <w:tc>
          <w:tcPr>
            <w:tcW w:w="4451" w:type="dxa"/>
            <w:tcBorders>
              <w:top w:val="nil"/>
              <w:left w:val="nil"/>
              <w:bottom w:val="nil"/>
              <w:right w:val="nil"/>
            </w:tcBorders>
            <w:shd w:val="clear" w:color="auto" w:fill="4472C4" w:themeFill="accent1"/>
            <w:noWrap/>
            <w:vAlign w:val="bottom"/>
            <w:hideMark/>
          </w:tcPr>
          <w:p w14:paraId="36484A8B"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Opening stock</w:t>
            </w:r>
          </w:p>
        </w:tc>
        <w:tc>
          <w:tcPr>
            <w:tcW w:w="1412" w:type="dxa"/>
            <w:tcBorders>
              <w:top w:val="nil"/>
              <w:left w:val="nil"/>
              <w:bottom w:val="nil"/>
              <w:right w:val="nil"/>
            </w:tcBorders>
            <w:shd w:val="clear" w:color="auto" w:fill="4472C4" w:themeFill="accent1"/>
            <w:noWrap/>
            <w:vAlign w:val="bottom"/>
            <w:hideMark/>
          </w:tcPr>
          <w:p w14:paraId="0E609642"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30222</w:t>
            </w:r>
          </w:p>
        </w:tc>
        <w:tc>
          <w:tcPr>
            <w:tcW w:w="2317" w:type="dxa"/>
            <w:tcBorders>
              <w:top w:val="nil"/>
              <w:left w:val="nil"/>
              <w:bottom w:val="nil"/>
              <w:right w:val="nil"/>
            </w:tcBorders>
            <w:shd w:val="clear" w:color="auto" w:fill="4472C4" w:themeFill="accent1"/>
            <w:noWrap/>
            <w:vAlign w:val="bottom"/>
            <w:hideMark/>
          </w:tcPr>
          <w:p w14:paraId="2A711AB3"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Sales</w:t>
            </w:r>
          </w:p>
        </w:tc>
        <w:tc>
          <w:tcPr>
            <w:tcW w:w="1412" w:type="dxa"/>
            <w:tcBorders>
              <w:top w:val="nil"/>
              <w:left w:val="nil"/>
              <w:bottom w:val="nil"/>
              <w:right w:val="nil"/>
            </w:tcBorders>
            <w:shd w:val="clear" w:color="auto" w:fill="4472C4" w:themeFill="accent1"/>
            <w:noWrap/>
            <w:vAlign w:val="bottom"/>
            <w:hideMark/>
          </w:tcPr>
          <w:p w14:paraId="501A0BC2"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310423</w:t>
            </w:r>
          </w:p>
        </w:tc>
        <w:tc>
          <w:tcPr>
            <w:tcW w:w="68" w:type="dxa"/>
            <w:tcBorders>
              <w:top w:val="nil"/>
              <w:left w:val="nil"/>
              <w:bottom w:val="nil"/>
              <w:right w:val="nil"/>
            </w:tcBorders>
            <w:shd w:val="clear" w:color="auto" w:fill="auto"/>
            <w:noWrap/>
            <w:vAlign w:val="bottom"/>
            <w:hideMark/>
          </w:tcPr>
          <w:p w14:paraId="1241FD4D"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p>
        </w:tc>
      </w:tr>
      <w:tr w:rsidR="00023572" w:rsidRPr="00023572" w14:paraId="312E5756" w14:textId="77777777" w:rsidTr="00023572">
        <w:trPr>
          <w:trHeight w:val="285"/>
        </w:trPr>
        <w:tc>
          <w:tcPr>
            <w:tcW w:w="4451" w:type="dxa"/>
            <w:tcBorders>
              <w:top w:val="nil"/>
              <w:left w:val="nil"/>
              <w:bottom w:val="nil"/>
              <w:right w:val="nil"/>
            </w:tcBorders>
            <w:shd w:val="clear" w:color="auto" w:fill="4472C4" w:themeFill="accent1"/>
            <w:noWrap/>
            <w:vAlign w:val="bottom"/>
            <w:hideMark/>
          </w:tcPr>
          <w:p w14:paraId="5EC3623B"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Purchases</w:t>
            </w:r>
          </w:p>
        </w:tc>
        <w:tc>
          <w:tcPr>
            <w:tcW w:w="1412" w:type="dxa"/>
            <w:tcBorders>
              <w:top w:val="nil"/>
              <w:left w:val="nil"/>
              <w:bottom w:val="nil"/>
              <w:right w:val="nil"/>
            </w:tcBorders>
            <w:shd w:val="clear" w:color="auto" w:fill="4472C4" w:themeFill="accent1"/>
            <w:noWrap/>
            <w:vAlign w:val="bottom"/>
            <w:hideMark/>
          </w:tcPr>
          <w:p w14:paraId="089C4CDA"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214165</w:t>
            </w:r>
          </w:p>
        </w:tc>
        <w:tc>
          <w:tcPr>
            <w:tcW w:w="2317" w:type="dxa"/>
            <w:tcBorders>
              <w:top w:val="nil"/>
              <w:left w:val="nil"/>
              <w:bottom w:val="nil"/>
              <w:right w:val="nil"/>
            </w:tcBorders>
            <w:shd w:val="clear" w:color="auto" w:fill="4472C4" w:themeFill="accent1"/>
            <w:noWrap/>
            <w:vAlign w:val="bottom"/>
            <w:hideMark/>
          </w:tcPr>
          <w:p w14:paraId="6F3CEB62"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Closing stock</w:t>
            </w:r>
          </w:p>
        </w:tc>
        <w:tc>
          <w:tcPr>
            <w:tcW w:w="1412" w:type="dxa"/>
            <w:tcBorders>
              <w:top w:val="nil"/>
              <w:left w:val="nil"/>
              <w:bottom w:val="nil"/>
              <w:right w:val="nil"/>
            </w:tcBorders>
            <w:shd w:val="clear" w:color="auto" w:fill="4472C4" w:themeFill="accent1"/>
            <w:noWrap/>
            <w:vAlign w:val="bottom"/>
            <w:hideMark/>
          </w:tcPr>
          <w:p w14:paraId="0F1F048B"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25164</w:t>
            </w:r>
          </w:p>
        </w:tc>
        <w:tc>
          <w:tcPr>
            <w:tcW w:w="68" w:type="dxa"/>
            <w:tcBorders>
              <w:top w:val="nil"/>
              <w:left w:val="nil"/>
              <w:bottom w:val="nil"/>
              <w:right w:val="nil"/>
            </w:tcBorders>
            <w:shd w:val="clear" w:color="auto" w:fill="auto"/>
            <w:noWrap/>
            <w:vAlign w:val="bottom"/>
            <w:hideMark/>
          </w:tcPr>
          <w:p w14:paraId="33FDF860"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p>
        </w:tc>
      </w:tr>
      <w:tr w:rsidR="00023572" w:rsidRPr="00023572" w14:paraId="4C89BBD2" w14:textId="77777777" w:rsidTr="00023572">
        <w:trPr>
          <w:trHeight w:val="285"/>
        </w:trPr>
        <w:tc>
          <w:tcPr>
            <w:tcW w:w="4451" w:type="dxa"/>
            <w:tcBorders>
              <w:top w:val="nil"/>
              <w:left w:val="nil"/>
              <w:bottom w:val="nil"/>
              <w:right w:val="nil"/>
            </w:tcBorders>
            <w:shd w:val="clear" w:color="auto" w:fill="4472C4" w:themeFill="accent1"/>
            <w:noWrap/>
            <w:vAlign w:val="bottom"/>
            <w:hideMark/>
          </w:tcPr>
          <w:p w14:paraId="59D95DA0"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Gross profit</w:t>
            </w:r>
          </w:p>
        </w:tc>
        <w:tc>
          <w:tcPr>
            <w:tcW w:w="1412" w:type="dxa"/>
            <w:tcBorders>
              <w:top w:val="nil"/>
              <w:left w:val="nil"/>
              <w:bottom w:val="nil"/>
              <w:right w:val="nil"/>
            </w:tcBorders>
            <w:shd w:val="clear" w:color="auto" w:fill="4472C4" w:themeFill="accent1"/>
            <w:noWrap/>
            <w:vAlign w:val="bottom"/>
            <w:hideMark/>
          </w:tcPr>
          <w:p w14:paraId="02E9A5BC"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91200</w:t>
            </w:r>
          </w:p>
        </w:tc>
        <w:tc>
          <w:tcPr>
            <w:tcW w:w="2317" w:type="dxa"/>
            <w:tcBorders>
              <w:top w:val="nil"/>
              <w:left w:val="nil"/>
              <w:bottom w:val="nil"/>
              <w:right w:val="nil"/>
            </w:tcBorders>
            <w:shd w:val="clear" w:color="auto" w:fill="4472C4" w:themeFill="accent1"/>
            <w:noWrap/>
            <w:vAlign w:val="bottom"/>
            <w:hideMark/>
          </w:tcPr>
          <w:p w14:paraId="5887D245"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p>
        </w:tc>
        <w:tc>
          <w:tcPr>
            <w:tcW w:w="1412" w:type="dxa"/>
            <w:tcBorders>
              <w:top w:val="nil"/>
              <w:left w:val="nil"/>
              <w:bottom w:val="nil"/>
              <w:right w:val="nil"/>
            </w:tcBorders>
            <w:shd w:val="clear" w:color="auto" w:fill="4472C4" w:themeFill="accent1"/>
            <w:noWrap/>
            <w:vAlign w:val="bottom"/>
            <w:hideMark/>
          </w:tcPr>
          <w:p w14:paraId="6D9A8B04"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68" w:type="dxa"/>
            <w:tcBorders>
              <w:top w:val="nil"/>
              <w:left w:val="nil"/>
              <w:bottom w:val="nil"/>
              <w:right w:val="nil"/>
            </w:tcBorders>
            <w:shd w:val="clear" w:color="auto" w:fill="auto"/>
            <w:noWrap/>
            <w:vAlign w:val="bottom"/>
            <w:hideMark/>
          </w:tcPr>
          <w:p w14:paraId="5CD40326"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r>
      <w:tr w:rsidR="00023572" w:rsidRPr="00023572" w14:paraId="00620E22" w14:textId="77777777" w:rsidTr="00023572">
        <w:trPr>
          <w:trHeight w:val="300"/>
        </w:trPr>
        <w:tc>
          <w:tcPr>
            <w:tcW w:w="4451" w:type="dxa"/>
            <w:tcBorders>
              <w:top w:val="nil"/>
              <w:left w:val="nil"/>
              <w:bottom w:val="nil"/>
              <w:right w:val="nil"/>
            </w:tcBorders>
            <w:shd w:val="clear" w:color="auto" w:fill="4472C4" w:themeFill="accent1"/>
            <w:noWrap/>
            <w:vAlign w:val="bottom"/>
            <w:hideMark/>
          </w:tcPr>
          <w:p w14:paraId="5AF73A29"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1412" w:type="dxa"/>
            <w:tcBorders>
              <w:top w:val="nil"/>
              <w:left w:val="nil"/>
              <w:bottom w:val="nil"/>
              <w:right w:val="nil"/>
            </w:tcBorders>
            <w:shd w:val="clear" w:color="auto" w:fill="4472C4" w:themeFill="accent1"/>
            <w:noWrap/>
            <w:vAlign w:val="bottom"/>
            <w:hideMark/>
          </w:tcPr>
          <w:p w14:paraId="597F0CB0"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2317" w:type="dxa"/>
            <w:tcBorders>
              <w:top w:val="nil"/>
              <w:left w:val="nil"/>
              <w:bottom w:val="nil"/>
              <w:right w:val="nil"/>
            </w:tcBorders>
            <w:shd w:val="clear" w:color="auto" w:fill="4472C4" w:themeFill="accent1"/>
            <w:noWrap/>
            <w:vAlign w:val="bottom"/>
            <w:hideMark/>
          </w:tcPr>
          <w:p w14:paraId="7A1694F3"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1412" w:type="dxa"/>
            <w:tcBorders>
              <w:top w:val="nil"/>
              <w:left w:val="nil"/>
              <w:bottom w:val="nil"/>
              <w:right w:val="nil"/>
            </w:tcBorders>
            <w:shd w:val="clear" w:color="auto" w:fill="4472C4" w:themeFill="accent1"/>
            <w:noWrap/>
            <w:vAlign w:val="bottom"/>
            <w:hideMark/>
          </w:tcPr>
          <w:p w14:paraId="4F5D2663"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68" w:type="dxa"/>
            <w:tcBorders>
              <w:top w:val="nil"/>
              <w:left w:val="nil"/>
              <w:bottom w:val="nil"/>
              <w:right w:val="nil"/>
            </w:tcBorders>
            <w:shd w:val="clear" w:color="auto" w:fill="auto"/>
            <w:noWrap/>
            <w:vAlign w:val="bottom"/>
            <w:hideMark/>
          </w:tcPr>
          <w:p w14:paraId="43968466"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r>
      <w:tr w:rsidR="00023572" w:rsidRPr="00023572" w14:paraId="01BAA979" w14:textId="77777777" w:rsidTr="00023572">
        <w:trPr>
          <w:trHeight w:val="285"/>
        </w:trPr>
        <w:tc>
          <w:tcPr>
            <w:tcW w:w="4451" w:type="dxa"/>
            <w:tcBorders>
              <w:top w:val="nil"/>
              <w:left w:val="nil"/>
              <w:bottom w:val="nil"/>
              <w:right w:val="nil"/>
            </w:tcBorders>
            <w:shd w:val="clear" w:color="auto" w:fill="4472C4" w:themeFill="accent1"/>
            <w:noWrap/>
            <w:vAlign w:val="bottom"/>
            <w:hideMark/>
          </w:tcPr>
          <w:p w14:paraId="4CC4CFFE"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Sundry Expenses</w:t>
            </w:r>
          </w:p>
        </w:tc>
        <w:tc>
          <w:tcPr>
            <w:tcW w:w="1412" w:type="dxa"/>
            <w:tcBorders>
              <w:top w:val="nil"/>
              <w:left w:val="nil"/>
              <w:bottom w:val="nil"/>
              <w:right w:val="nil"/>
            </w:tcBorders>
            <w:shd w:val="clear" w:color="auto" w:fill="4472C4" w:themeFill="accent1"/>
            <w:noWrap/>
            <w:vAlign w:val="bottom"/>
            <w:hideMark/>
          </w:tcPr>
          <w:p w14:paraId="356C3278"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2250</w:t>
            </w:r>
          </w:p>
        </w:tc>
        <w:tc>
          <w:tcPr>
            <w:tcW w:w="2317" w:type="dxa"/>
            <w:tcBorders>
              <w:top w:val="nil"/>
              <w:left w:val="nil"/>
              <w:bottom w:val="nil"/>
              <w:right w:val="nil"/>
            </w:tcBorders>
            <w:shd w:val="clear" w:color="auto" w:fill="4472C4" w:themeFill="accent1"/>
            <w:noWrap/>
            <w:vAlign w:val="bottom"/>
            <w:hideMark/>
          </w:tcPr>
          <w:p w14:paraId="12D8FCBD"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Gross profit</w:t>
            </w:r>
          </w:p>
        </w:tc>
        <w:tc>
          <w:tcPr>
            <w:tcW w:w="1412" w:type="dxa"/>
            <w:tcBorders>
              <w:top w:val="nil"/>
              <w:left w:val="nil"/>
              <w:bottom w:val="nil"/>
              <w:right w:val="nil"/>
            </w:tcBorders>
            <w:shd w:val="clear" w:color="auto" w:fill="4472C4" w:themeFill="accent1"/>
            <w:noWrap/>
            <w:vAlign w:val="bottom"/>
            <w:hideMark/>
          </w:tcPr>
          <w:p w14:paraId="29649BA7"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91200</w:t>
            </w:r>
          </w:p>
        </w:tc>
        <w:tc>
          <w:tcPr>
            <w:tcW w:w="68" w:type="dxa"/>
            <w:tcBorders>
              <w:top w:val="nil"/>
              <w:left w:val="nil"/>
              <w:bottom w:val="nil"/>
              <w:right w:val="nil"/>
            </w:tcBorders>
            <w:shd w:val="clear" w:color="auto" w:fill="auto"/>
            <w:noWrap/>
            <w:vAlign w:val="bottom"/>
            <w:hideMark/>
          </w:tcPr>
          <w:p w14:paraId="13B429F7"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p>
        </w:tc>
      </w:tr>
      <w:tr w:rsidR="00023572" w:rsidRPr="00023572" w14:paraId="6AA9B336" w14:textId="77777777" w:rsidTr="00023572">
        <w:trPr>
          <w:trHeight w:val="285"/>
        </w:trPr>
        <w:tc>
          <w:tcPr>
            <w:tcW w:w="4451" w:type="dxa"/>
            <w:tcBorders>
              <w:top w:val="nil"/>
              <w:left w:val="nil"/>
              <w:bottom w:val="nil"/>
              <w:right w:val="nil"/>
            </w:tcBorders>
            <w:shd w:val="clear" w:color="auto" w:fill="4472C4" w:themeFill="accent1"/>
            <w:noWrap/>
            <w:vAlign w:val="bottom"/>
            <w:hideMark/>
          </w:tcPr>
          <w:p w14:paraId="71043808"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Rental and insurance costs</w:t>
            </w:r>
          </w:p>
        </w:tc>
        <w:tc>
          <w:tcPr>
            <w:tcW w:w="1412" w:type="dxa"/>
            <w:tcBorders>
              <w:top w:val="nil"/>
              <w:left w:val="nil"/>
              <w:bottom w:val="nil"/>
              <w:right w:val="nil"/>
            </w:tcBorders>
            <w:shd w:val="clear" w:color="auto" w:fill="4472C4" w:themeFill="accent1"/>
            <w:noWrap/>
            <w:vAlign w:val="bottom"/>
            <w:hideMark/>
          </w:tcPr>
          <w:p w14:paraId="49E68A23"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19200</w:t>
            </w:r>
          </w:p>
        </w:tc>
        <w:tc>
          <w:tcPr>
            <w:tcW w:w="2317" w:type="dxa"/>
            <w:tcBorders>
              <w:top w:val="nil"/>
              <w:left w:val="nil"/>
              <w:bottom w:val="nil"/>
              <w:right w:val="nil"/>
            </w:tcBorders>
            <w:shd w:val="clear" w:color="auto" w:fill="4472C4" w:themeFill="accent1"/>
            <w:noWrap/>
            <w:vAlign w:val="bottom"/>
            <w:hideMark/>
          </w:tcPr>
          <w:p w14:paraId="2C4E3B9B"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p>
        </w:tc>
        <w:tc>
          <w:tcPr>
            <w:tcW w:w="1412" w:type="dxa"/>
            <w:tcBorders>
              <w:top w:val="nil"/>
              <w:left w:val="nil"/>
              <w:bottom w:val="nil"/>
              <w:right w:val="nil"/>
            </w:tcBorders>
            <w:shd w:val="clear" w:color="auto" w:fill="4472C4" w:themeFill="accent1"/>
            <w:noWrap/>
            <w:vAlign w:val="bottom"/>
            <w:hideMark/>
          </w:tcPr>
          <w:p w14:paraId="50516972"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68" w:type="dxa"/>
            <w:tcBorders>
              <w:top w:val="nil"/>
              <w:left w:val="nil"/>
              <w:bottom w:val="nil"/>
              <w:right w:val="nil"/>
            </w:tcBorders>
            <w:shd w:val="clear" w:color="auto" w:fill="auto"/>
            <w:noWrap/>
            <w:vAlign w:val="bottom"/>
            <w:hideMark/>
          </w:tcPr>
          <w:p w14:paraId="5E4726D5"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r>
      <w:tr w:rsidR="00023572" w:rsidRPr="00023572" w14:paraId="45B46AAB" w14:textId="77777777" w:rsidTr="00023572">
        <w:trPr>
          <w:trHeight w:val="285"/>
        </w:trPr>
        <w:tc>
          <w:tcPr>
            <w:tcW w:w="4451" w:type="dxa"/>
            <w:tcBorders>
              <w:top w:val="nil"/>
              <w:left w:val="nil"/>
              <w:bottom w:val="nil"/>
              <w:right w:val="nil"/>
            </w:tcBorders>
            <w:shd w:val="clear" w:color="auto" w:fill="4472C4" w:themeFill="accent1"/>
            <w:noWrap/>
            <w:vAlign w:val="bottom"/>
            <w:hideMark/>
          </w:tcPr>
          <w:p w14:paraId="0B4D05CC"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Administration expenses</w:t>
            </w:r>
          </w:p>
        </w:tc>
        <w:tc>
          <w:tcPr>
            <w:tcW w:w="1412" w:type="dxa"/>
            <w:tcBorders>
              <w:top w:val="nil"/>
              <w:left w:val="nil"/>
              <w:bottom w:val="nil"/>
              <w:right w:val="nil"/>
            </w:tcBorders>
            <w:shd w:val="clear" w:color="auto" w:fill="4472C4" w:themeFill="accent1"/>
            <w:noWrap/>
            <w:vAlign w:val="bottom"/>
            <w:hideMark/>
          </w:tcPr>
          <w:p w14:paraId="24E41B28"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2772</w:t>
            </w:r>
          </w:p>
        </w:tc>
        <w:tc>
          <w:tcPr>
            <w:tcW w:w="2317" w:type="dxa"/>
            <w:tcBorders>
              <w:top w:val="nil"/>
              <w:left w:val="nil"/>
              <w:bottom w:val="nil"/>
              <w:right w:val="nil"/>
            </w:tcBorders>
            <w:shd w:val="clear" w:color="auto" w:fill="4472C4" w:themeFill="accent1"/>
            <w:noWrap/>
            <w:vAlign w:val="bottom"/>
            <w:hideMark/>
          </w:tcPr>
          <w:p w14:paraId="5DF2A246"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p>
        </w:tc>
        <w:tc>
          <w:tcPr>
            <w:tcW w:w="1412" w:type="dxa"/>
            <w:tcBorders>
              <w:top w:val="nil"/>
              <w:left w:val="nil"/>
              <w:bottom w:val="nil"/>
              <w:right w:val="nil"/>
            </w:tcBorders>
            <w:shd w:val="clear" w:color="auto" w:fill="4472C4" w:themeFill="accent1"/>
            <w:noWrap/>
            <w:vAlign w:val="bottom"/>
            <w:hideMark/>
          </w:tcPr>
          <w:p w14:paraId="404841FA"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68" w:type="dxa"/>
            <w:tcBorders>
              <w:top w:val="nil"/>
              <w:left w:val="nil"/>
              <w:bottom w:val="nil"/>
              <w:right w:val="nil"/>
            </w:tcBorders>
            <w:shd w:val="clear" w:color="auto" w:fill="auto"/>
            <w:noWrap/>
            <w:vAlign w:val="bottom"/>
            <w:hideMark/>
          </w:tcPr>
          <w:p w14:paraId="2F17F8E6"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r>
      <w:tr w:rsidR="00023572" w:rsidRPr="00023572" w14:paraId="79ED25BB" w14:textId="77777777" w:rsidTr="00023572">
        <w:trPr>
          <w:trHeight w:val="285"/>
        </w:trPr>
        <w:tc>
          <w:tcPr>
            <w:tcW w:w="4451" w:type="dxa"/>
            <w:tcBorders>
              <w:top w:val="nil"/>
              <w:left w:val="nil"/>
              <w:bottom w:val="nil"/>
              <w:right w:val="nil"/>
            </w:tcBorders>
            <w:shd w:val="clear" w:color="auto" w:fill="4472C4" w:themeFill="accent1"/>
            <w:noWrap/>
            <w:vAlign w:val="bottom"/>
            <w:hideMark/>
          </w:tcPr>
          <w:p w14:paraId="356CF72A"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Salaries and wages</w:t>
            </w:r>
          </w:p>
        </w:tc>
        <w:tc>
          <w:tcPr>
            <w:tcW w:w="1412" w:type="dxa"/>
            <w:tcBorders>
              <w:top w:val="nil"/>
              <w:left w:val="nil"/>
              <w:bottom w:val="nil"/>
              <w:right w:val="nil"/>
            </w:tcBorders>
            <w:shd w:val="clear" w:color="auto" w:fill="4472C4" w:themeFill="accent1"/>
            <w:noWrap/>
            <w:vAlign w:val="bottom"/>
            <w:hideMark/>
          </w:tcPr>
          <w:p w14:paraId="3052E651"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35804</w:t>
            </w:r>
          </w:p>
        </w:tc>
        <w:tc>
          <w:tcPr>
            <w:tcW w:w="2317" w:type="dxa"/>
            <w:tcBorders>
              <w:top w:val="nil"/>
              <w:left w:val="nil"/>
              <w:bottom w:val="nil"/>
              <w:right w:val="nil"/>
            </w:tcBorders>
            <w:shd w:val="clear" w:color="auto" w:fill="4472C4" w:themeFill="accent1"/>
            <w:noWrap/>
            <w:vAlign w:val="bottom"/>
            <w:hideMark/>
          </w:tcPr>
          <w:p w14:paraId="775A8604"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p>
        </w:tc>
        <w:tc>
          <w:tcPr>
            <w:tcW w:w="1412" w:type="dxa"/>
            <w:tcBorders>
              <w:top w:val="nil"/>
              <w:left w:val="nil"/>
              <w:bottom w:val="nil"/>
              <w:right w:val="nil"/>
            </w:tcBorders>
            <w:shd w:val="clear" w:color="auto" w:fill="4472C4" w:themeFill="accent1"/>
            <w:noWrap/>
            <w:vAlign w:val="bottom"/>
            <w:hideMark/>
          </w:tcPr>
          <w:p w14:paraId="66D44A6D"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68" w:type="dxa"/>
            <w:tcBorders>
              <w:top w:val="nil"/>
              <w:left w:val="nil"/>
              <w:bottom w:val="nil"/>
              <w:right w:val="nil"/>
            </w:tcBorders>
            <w:shd w:val="clear" w:color="auto" w:fill="auto"/>
            <w:noWrap/>
            <w:vAlign w:val="bottom"/>
            <w:hideMark/>
          </w:tcPr>
          <w:p w14:paraId="793824EA"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r>
      <w:tr w:rsidR="00023572" w:rsidRPr="00023572" w14:paraId="70D0FC90" w14:textId="77777777" w:rsidTr="00023572">
        <w:trPr>
          <w:trHeight w:val="285"/>
        </w:trPr>
        <w:tc>
          <w:tcPr>
            <w:tcW w:w="4451" w:type="dxa"/>
            <w:tcBorders>
              <w:top w:val="nil"/>
              <w:left w:val="nil"/>
              <w:bottom w:val="nil"/>
              <w:right w:val="nil"/>
            </w:tcBorders>
            <w:shd w:val="clear" w:color="auto" w:fill="4472C4" w:themeFill="accent1"/>
            <w:noWrap/>
            <w:vAlign w:val="bottom"/>
            <w:hideMark/>
          </w:tcPr>
          <w:p w14:paraId="19CD7989"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Bad debt</w:t>
            </w:r>
          </w:p>
        </w:tc>
        <w:tc>
          <w:tcPr>
            <w:tcW w:w="1412" w:type="dxa"/>
            <w:tcBorders>
              <w:top w:val="nil"/>
              <w:left w:val="nil"/>
              <w:bottom w:val="nil"/>
              <w:right w:val="nil"/>
            </w:tcBorders>
            <w:shd w:val="clear" w:color="auto" w:fill="4472C4" w:themeFill="accent1"/>
            <w:noWrap/>
            <w:vAlign w:val="bottom"/>
            <w:hideMark/>
          </w:tcPr>
          <w:p w14:paraId="7ABC4752"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980</w:t>
            </w:r>
          </w:p>
        </w:tc>
        <w:tc>
          <w:tcPr>
            <w:tcW w:w="2317" w:type="dxa"/>
            <w:tcBorders>
              <w:top w:val="nil"/>
              <w:left w:val="nil"/>
              <w:bottom w:val="nil"/>
              <w:right w:val="nil"/>
            </w:tcBorders>
            <w:shd w:val="clear" w:color="auto" w:fill="4472C4" w:themeFill="accent1"/>
            <w:noWrap/>
            <w:vAlign w:val="bottom"/>
            <w:hideMark/>
          </w:tcPr>
          <w:p w14:paraId="24090ABA"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p>
        </w:tc>
        <w:tc>
          <w:tcPr>
            <w:tcW w:w="1412" w:type="dxa"/>
            <w:tcBorders>
              <w:top w:val="nil"/>
              <w:left w:val="nil"/>
              <w:bottom w:val="nil"/>
              <w:right w:val="nil"/>
            </w:tcBorders>
            <w:shd w:val="clear" w:color="auto" w:fill="4472C4" w:themeFill="accent1"/>
            <w:noWrap/>
            <w:vAlign w:val="bottom"/>
            <w:hideMark/>
          </w:tcPr>
          <w:p w14:paraId="09ED57D1"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68" w:type="dxa"/>
            <w:tcBorders>
              <w:top w:val="nil"/>
              <w:left w:val="nil"/>
              <w:bottom w:val="nil"/>
              <w:right w:val="nil"/>
            </w:tcBorders>
            <w:shd w:val="clear" w:color="auto" w:fill="auto"/>
            <w:noWrap/>
            <w:vAlign w:val="bottom"/>
            <w:hideMark/>
          </w:tcPr>
          <w:p w14:paraId="714EA305"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r>
      <w:tr w:rsidR="00023572" w:rsidRPr="00023572" w14:paraId="2D8EF46F" w14:textId="77777777" w:rsidTr="00023572">
        <w:trPr>
          <w:trHeight w:val="285"/>
        </w:trPr>
        <w:tc>
          <w:tcPr>
            <w:tcW w:w="4451" w:type="dxa"/>
            <w:tcBorders>
              <w:top w:val="nil"/>
              <w:left w:val="nil"/>
              <w:bottom w:val="nil"/>
              <w:right w:val="nil"/>
            </w:tcBorders>
            <w:shd w:val="clear" w:color="auto" w:fill="4472C4" w:themeFill="accent1"/>
            <w:noWrap/>
            <w:vAlign w:val="bottom"/>
            <w:hideMark/>
          </w:tcPr>
          <w:p w14:paraId="1C7602FF"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Depreciation</w:t>
            </w:r>
          </w:p>
        </w:tc>
        <w:tc>
          <w:tcPr>
            <w:tcW w:w="1412" w:type="dxa"/>
            <w:tcBorders>
              <w:top w:val="nil"/>
              <w:left w:val="nil"/>
              <w:bottom w:val="nil"/>
              <w:right w:val="nil"/>
            </w:tcBorders>
            <w:shd w:val="clear" w:color="auto" w:fill="4472C4" w:themeFill="accent1"/>
            <w:noWrap/>
            <w:vAlign w:val="bottom"/>
            <w:hideMark/>
          </w:tcPr>
          <w:p w14:paraId="765DACA7"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8138</w:t>
            </w:r>
          </w:p>
        </w:tc>
        <w:tc>
          <w:tcPr>
            <w:tcW w:w="2317" w:type="dxa"/>
            <w:tcBorders>
              <w:top w:val="nil"/>
              <w:left w:val="nil"/>
              <w:bottom w:val="nil"/>
              <w:right w:val="nil"/>
            </w:tcBorders>
            <w:shd w:val="clear" w:color="auto" w:fill="4472C4" w:themeFill="accent1"/>
            <w:noWrap/>
            <w:vAlign w:val="bottom"/>
            <w:hideMark/>
          </w:tcPr>
          <w:p w14:paraId="02B56F78"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p>
        </w:tc>
        <w:tc>
          <w:tcPr>
            <w:tcW w:w="1412" w:type="dxa"/>
            <w:tcBorders>
              <w:top w:val="nil"/>
              <w:left w:val="nil"/>
              <w:bottom w:val="nil"/>
              <w:right w:val="nil"/>
            </w:tcBorders>
            <w:shd w:val="clear" w:color="auto" w:fill="4472C4" w:themeFill="accent1"/>
            <w:noWrap/>
            <w:vAlign w:val="bottom"/>
            <w:hideMark/>
          </w:tcPr>
          <w:p w14:paraId="0581F82F"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68" w:type="dxa"/>
            <w:tcBorders>
              <w:top w:val="nil"/>
              <w:left w:val="nil"/>
              <w:bottom w:val="nil"/>
              <w:right w:val="nil"/>
            </w:tcBorders>
            <w:shd w:val="clear" w:color="auto" w:fill="auto"/>
            <w:noWrap/>
            <w:vAlign w:val="bottom"/>
            <w:hideMark/>
          </w:tcPr>
          <w:p w14:paraId="661ACF48"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r>
      <w:tr w:rsidR="00023572" w:rsidRPr="00023572" w14:paraId="3C4242D1" w14:textId="77777777" w:rsidTr="00023572">
        <w:trPr>
          <w:trHeight w:val="285"/>
        </w:trPr>
        <w:tc>
          <w:tcPr>
            <w:tcW w:w="4451" w:type="dxa"/>
            <w:tcBorders>
              <w:top w:val="nil"/>
              <w:left w:val="nil"/>
              <w:bottom w:val="nil"/>
              <w:right w:val="nil"/>
            </w:tcBorders>
            <w:shd w:val="clear" w:color="auto" w:fill="4472C4" w:themeFill="accent1"/>
            <w:noWrap/>
            <w:vAlign w:val="bottom"/>
            <w:hideMark/>
          </w:tcPr>
          <w:p w14:paraId="60441778" w14:textId="77777777" w:rsidR="00023572" w:rsidRPr="00023572" w:rsidRDefault="00023572" w:rsidP="00023572">
            <w:pPr>
              <w:spacing w:after="0" w:line="240" w:lineRule="auto"/>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Net profit</w:t>
            </w:r>
          </w:p>
        </w:tc>
        <w:tc>
          <w:tcPr>
            <w:tcW w:w="1412" w:type="dxa"/>
            <w:tcBorders>
              <w:top w:val="nil"/>
              <w:left w:val="nil"/>
              <w:bottom w:val="nil"/>
              <w:right w:val="nil"/>
            </w:tcBorders>
            <w:shd w:val="clear" w:color="auto" w:fill="4472C4" w:themeFill="accent1"/>
            <w:noWrap/>
            <w:vAlign w:val="bottom"/>
            <w:hideMark/>
          </w:tcPr>
          <w:p w14:paraId="2F454BEF"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r w:rsidRPr="00023572">
              <w:rPr>
                <w:rFonts w:ascii="Times New Roman" w:eastAsia="Times New Roman" w:hAnsi="Times New Roman" w:cs="Times New Roman"/>
                <w:color w:val="000000"/>
                <w:sz w:val="24"/>
                <w:szCs w:val="24"/>
                <w:lang w:val="en-US"/>
              </w:rPr>
              <w:t>22056</w:t>
            </w:r>
          </w:p>
        </w:tc>
        <w:tc>
          <w:tcPr>
            <w:tcW w:w="2317" w:type="dxa"/>
            <w:tcBorders>
              <w:top w:val="nil"/>
              <w:left w:val="nil"/>
              <w:bottom w:val="nil"/>
              <w:right w:val="nil"/>
            </w:tcBorders>
            <w:shd w:val="clear" w:color="auto" w:fill="4472C4" w:themeFill="accent1"/>
            <w:noWrap/>
            <w:vAlign w:val="bottom"/>
            <w:hideMark/>
          </w:tcPr>
          <w:p w14:paraId="107ED489" w14:textId="77777777" w:rsidR="00023572" w:rsidRPr="00023572" w:rsidRDefault="00023572" w:rsidP="00023572">
            <w:pPr>
              <w:spacing w:after="0" w:line="240" w:lineRule="auto"/>
              <w:jc w:val="right"/>
              <w:rPr>
                <w:rFonts w:ascii="Times New Roman" w:eastAsia="Times New Roman" w:hAnsi="Times New Roman" w:cs="Times New Roman"/>
                <w:color w:val="000000"/>
                <w:sz w:val="24"/>
                <w:szCs w:val="24"/>
                <w:lang w:val="en-US"/>
              </w:rPr>
            </w:pPr>
          </w:p>
        </w:tc>
        <w:tc>
          <w:tcPr>
            <w:tcW w:w="1412" w:type="dxa"/>
            <w:tcBorders>
              <w:top w:val="nil"/>
              <w:left w:val="nil"/>
              <w:bottom w:val="nil"/>
              <w:right w:val="nil"/>
            </w:tcBorders>
            <w:shd w:val="clear" w:color="auto" w:fill="4472C4" w:themeFill="accent1"/>
            <w:noWrap/>
            <w:vAlign w:val="bottom"/>
            <w:hideMark/>
          </w:tcPr>
          <w:p w14:paraId="6CAC54E6"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68" w:type="dxa"/>
            <w:tcBorders>
              <w:top w:val="nil"/>
              <w:left w:val="nil"/>
              <w:bottom w:val="nil"/>
              <w:right w:val="nil"/>
            </w:tcBorders>
            <w:shd w:val="clear" w:color="auto" w:fill="auto"/>
            <w:noWrap/>
            <w:vAlign w:val="bottom"/>
            <w:hideMark/>
          </w:tcPr>
          <w:p w14:paraId="2A41E02F"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r>
      <w:tr w:rsidR="00023572" w:rsidRPr="00023572" w14:paraId="3596DEC6" w14:textId="77777777" w:rsidTr="00023572">
        <w:trPr>
          <w:trHeight w:val="300"/>
        </w:trPr>
        <w:tc>
          <w:tcPr>
            <w:tcW w:w="4451" w:type="dxa"/>
            <w:tcBorders>
              <w:top w:val="nil"/>
              <w:left w:val="nil"/>
              <w:bottom w:val="nil"/>
              <w:right w:val="nil"/>
            </w:tcBorders>
            <w:shd w:val="clear" w:color="auto" w:fill="auto"/>
            <w:noWrap/>
            <w:vAlign w:val="bottom"/>
            <w:hideMark/>
          </w:tcPr>
          <w:p w14:paraId="550A1A4D" w14:textId="77777777"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1412" w:type="dxa"/>
            <w:tcBorders>
              <w:top w:val="nil"/>
              <w:left w:val="nil"/>
              <w:bottom w:val="nil"/>
              <w:right w:val="nil"/>
            </w:tcBorders>
            <w:shd w:val="clear" w:color="auto" w:fill="FFFF00"/>
            <w:noWrap/>
            <w:vAlign w:val="bottom"/>
            <w:hideMark/>
          </w:tcPr>
          <w:p w14:paraId="7F9FD5A9" w14:textId="77777777" w:rsidR="00023572" w:rsidRPr="00023572" w:rsidRDefault="00023572" w:rsidP="00023572">
            <w:pPr>
              <w:spacing w:after="0" w:line="240" w:lineRule="auto"/>
              <w:jc w:val="right"/>
              <w:rPr>
                <w:rFonts w:ascii="Times New Roman" w:eastAsia="Times New Roman" w:hAnsi="Times New Roman" w:cs="Times New Roman"/>
                <w:b/>
                <w:bCs/>
                <w:color w:val="000000"/>
                <w:sz w:val="24"/>
                <w:szCs w:val="24"/>
                <w:lang w:val="en-US"/>
              </w:rPr>
            </w:pPr>
            <w:r w:rsidRPr="00023572">
              <w:rPr>
                <w:rFonts w:ascii="Times New Roman" w:eastAsia="Times New Roman" w:hAnsi="Times New Roman" w:cs="Times New Roman"/>
                <w:b/>
                <w:bCs/>
                <w:color w:val="000000"/>
                <w:sz w:val="24"/>
                <w:szCs w:val="24"/>
                <w:lang w:val="en-US"/>
              </w:rPr>
              <w:t>91200</w:t>
            </w:r>
          </w:p>
        </w:tc>
        <w:tc>
          <w:tcPr>
            <w:tcW w:w="2317" w:type="dxa"/>
            <w:tcBorders>
              <w:top w:val="nil"/>
              <w:left w:val="nil"/>
              <w:bottom w:val="nil"/>
              <w:right w:val="nil"/>
            </w:tcBorders>
            <w:shd w:val="clear" w:color="auto" w:fill="FFFF00"/>
            <w:noWrap/>
            <w:vAlign w:val="bottom"/>
            <w:hideMark/>
          </w:tcPr>
          <w:p w14:paraId="31D49E7F" w14:textId="77777777" w:rsidR="00023572" w:rsidRPr="00023572" w:rsidRDefault="00023572" w:rsidP="00023572">
            <w:pPr>
              <w:spacing w:after="0" w:line="240" w:lineRule="auto"/>
              <w:jc w:val="right"/>
              <w:rPr>
                <w:rFonts w:ascii="Times New Roman" w:eastAsia="Times New Roman" w:hAnsi="Times New Roman" w:cs="Times New Roman"/>
                <w:b/>
                <w:bCs/>
                <w:color w:val="000000"/>
                <w:sz w:val="24"/>
                <w:szCs w:val="24"/>
                <w:lang w:val="en-US"/>
              </w:rPr>
            </w:pPr>
          </w:p>
        </w:tc>
        <w:tc>
          <w:tcPr>
            <w:tcW w:w="1412" w:type="dxa"/>
            <w:tcBorders>
              <w:top w:val="nil"/>
              <w:left w:val="nil"/>
              <w:bottom w:val="nil"/>
              <w:right w:val="nil"/>
            </w:tcBorders>
            <w:shd w:val="clear" w:color="auto" w:fill="FFFF00"/>
            <w:noWrap/>
            <w:vAlign w:val="bottom"/>
            <w:hideMark/>
          </w:tcPr>
          <w:p w14:paraId="44D12968" w14:textId="77777777" w:rsidR="00023572" w:rsidRPr="00023572" w:rsidRDefault="00023572" w:rsidP="00023572">
            <w:pPr>
              <w:spacing w:after="0" w:line="240" w:lineRule="auto"/>
              <w:jc w:val="right"/>
              <w:rPr>
                <w:rFonts w:ascii="Times New Roman" w:eastAsia="Times New Roman" w:hAnsi="Times New Roman" w:cs="Times New Roman"/>
                <w:b/>
                <w:bCs/>
                <w:color w:val="000000"/>
                <w:sz w:val="24"/>
                <w:szCs w:val="24"/>
                <w:lang w:val="en-US"/>
              </w:rPr>
            </w:pPr>
            <w:r w:rsidRPr="00023572">
              <w:rPr>
                <w:rFonts w:ascii="Times New Roman" w:eastAsia="Times New Roman" w:hAnsi="Times New Roman" w:cs="Times New Roman"/>
                <w:b/>
                <w:bCs/>
                <w:color w:val="000000"/>
                <w:sz w:val="24"/>
                <w:szCs w:val="24"/>
                <w:lang w:val="en-US"/>
              </w:rPr>
              <w:t>91200</w:t>
            </w:r>
          </w:p>
        </w:tc>
        <w:tc>
          <w:tcPr>
            <w:tcW w:w="68" w:type="dxa"/>
            <w:tcBorders>
              <w:top w:val="nil"/>
              <w:left w:val="nil"/>
              <w:bottom w:val="nil"/>
              <w:right w:val="nil"/>
            </w:tcBorders>
            <w:shd w:val="clear" w:color="auto" w:fill="auto"/>
            <w:noWrap/>
            <w:vAlign w:val="bottom"/>
            <w:hideMark/>
          </w:tcPr>
          <w:p w14:paraId="272E4842" w14:textId="77777777" w:rsidR="00023572" w:rsidRPr="00023572" w:rsidRDefault="00023572" w:rsidP="00023572">
            <w:pPr>
              <w:spacing w:after="0" w:line="240" w:lineRule="auto"/>
              <w:jc w:val="right"/>
              <w:rPr>
                <w:rFonts w:ascii="Times New Roman" w:eastAsia="Times New Roman" w:hAnsi="Times New Roman" w:cs="Times New Roman"/>
                <w:b/>
                <w:bCs/>
                <w:color w:val="000000"/>
                <w:sz w:val="24"/>
                <w:szCs w:val="24"/>
                <w:lang w:val="en-US"/>
              </w:rPr>
            </w:pPr>
          </w:p>
        </w:tc>
      </w:tr>
      <w:tr w:rsidR="00023572" w:rsidRPr="00023572" w14:paraId="173684F3" w14:textId="77777777" w:rsidTr="00023572">
        <w:trPr>
          <w:trHeight w:val="300"/>
        </w:trPr>
        <w:tc>
          <w:tcPr>
            <w:tcW w:w="4451" w:type="dxa"/>
            <w:tcBorders>
              <w:top w:val="nil"/>
              <w:left w:val="nil"/>
              <w:bottom w:val="nil"/>
              <w:right w:val="nil"/>
            </w:tcBorders>
            <w:shd w:val="clear" w:color="auto" w:fill="auto"/>
            <w:noWrap/>
            <w:vAlign w:val="bottom"/>
          </w:tcPr>
          <w:p w14:paraId="3F56BF55" w14:textId="77777777" w:rsidR="00023572" w:rsidRDefault="00023572" w:rsidP="00023572">
            <w:pPr>
              <w:spacing w:after="0" w:line="240" w:lineRule="auto"/>
              <w:rPr>
                <w:rFonts w:ascii="Times New Roman" w:eastAsia="Times New Roman" w:hAnsi="Times New Roman" w:cs="Times New Roman"/>
                <w:sz w:val="24"/>
                <w:szCs w:val="24"/>
                <w:lang w:val="en-US"/>
              </w:rPr>
            </w:pPr>
          </w:p>
          <w:p w14:paraId="6136380A" w14:textId="21972AEE" w:rsidR="00023572" w:rsidRPr="00023572" w:rsidRDefault="00023572" w:rsidP="00023572">
            <w:pPr>
              <w:spacing w:after="0" w:line="240" w:lineRule="auto"/>
              <w:rPr>
                <w:rFonts w:ascii="Times New Roman" w:eastAsia="Times New Roman" w:hAnsi="Times New Roman" w:cs="Times New Roman"/>
                <w:sz w:val="24"/>
                <w:szCs w:val="24"/>
                <w:lang w:val="en-US"/>
              </w:rPr>
            </w:pPr>
          </w:p>
        </w:tc>
        <w:tc>
          <w:tcPr>
            <w:tcW w:w="1412" w:type="dxa"/>
            <w:tcBorders>
              <w:top w:val="nil"/>
              <w:left w:val="nil"/>
              <w:bottom w:val="nil"/>
              <w:right w:val="nil"/>
            </w:tcBorders>
            <w:shd w:val="clear" w:color="auto" w:fill="FFFF00"/>
            <w:noWrap/>
            <w:vAlign w:val="bottom"/>
          </w:tcPr>
          <w:p w14:paraId="7810BE95" w14:textId="77777777" w:rsidR="00023572" w:rsidRPr="00023572" w:rsidRDefault="00023572" w:rsidP="00023572">
            <w:pPr>
              <w:spacing w:after="0" w:line="240" w:lineRule="auto"/>
              <w:jc w:val="right"/>
              <w:rPr>
                <w:rFonts w:ascii="Times New Roman" w:eastAsia="Times New Roman" w:hAnsi="Times New Roman" w:cs="Times New Roman"/>
                <w:b/>
                <w:bCs/>
                <w:color w:val="000000"/>
                <w:sz w:val="24"/>
                <w:szCs w:val="24"/>
                <w:lang w:val="en-US"/>
              </w:rPr>
            </w:pPr>
          </w:p>
        </w:tc>
        <w:tc>
          <w:tcPr>
            <w:tcW w:w="2317" w:type="dxa"/>
            <w:tcBorders>
              <w:top w:val="nil"/>
              <w:left w:val="nil"/>
              <w:bottom w:val="nil"/>
              <w:right w:val="nil"/>
            </w:tcBorders>
            <w:shd w:val="clear" w:color="auto" w:fill="FFFF00"/>
            <w:noWrap/>
            <w:vAlign w:val="bottom"/>
          </w:tcPr>
          <w:p w14:paraId="356C49FF" w14:textId="77777777" w:rsidR="00023572" w:rsidRPr="00023572" w:rsidRDefault="00023572" w:rsidP="00023572">
            <w:pPr>
              <w:spacing w:after="0" w:line="240" w:lineRule="auto"/>
              <w:rPr>
                <w:rFonts w:ascii="Times New Roman" w:eastAsia="Times New Roman" w:hAnsi="Times New Roman" w:cs="Times New Roman"/>
                <w:b/>
                <w:bCs/>
                <w:color w:val="000000"/>
                <w:sz w:val="24"/>
                <w:szCs w:val="24"/>
                <w:lang w:val="en-US"/>
              </w:rPr>
            </w:pPr>
          </w:p>
        </w:tc>
        <w:tc>
          <w:tcPr>
            <w:tcW w:w="1412" w:type="dxa"/>
            <w:tcBorders>
              <w:top w:val="nil"/>
              <w:left w:val="nil"/>
              <w:bottom w:val="nil"/>
              <w:right w:val="nil"/>
            </w:tcBorders>
            <w:shd w:val="clear" w:color="auto" w:fill="FFFF00"/>
            <w:noWrap/>
            <w:vAlign w:val="bottom"/>
          </w:tcPr>
          <w:p w14:paraId="165F9CD2" w14:textId="77777777" w:rsidR="00023572" w:rsidRPr="00023572" w:rsidRDefault="00023572" w:rsidP="00023572">
            <w:pPr>
              <w:spacing w:after="0" w:line="240" w:lineRule="auto"/>
              <w:jc w:val="right"/>
              <w:rPr>
                <w:rFonts w:ascii="Times New Roman" w:eastAsia="Times New Roman" w:hAnsi="Times New Roman" w:cs="Times New Roman"/>
                <w:b/>
                <w:bCs/>
                <w:color w:val="000000"/>
                <w:sz w:val="24"/>
                <w:szCs w:val="24"/>
                <w:lang w:val="en-US"/>
              </w:rPr>
            </w:pPr>
          </w:p>
        </w:tc>
        <w:tc>
          <w:tcPr>
            <w:tcW w:w="68" w:type="dxa"/>
            <w:tcBorders>
              <w:top w:val="nil"/>
              <w:left w:val="nil"/>
              <w:bottom w:val="nil"/>
              <w:right w:val="nil"/>
            </w:tcBorders>
            <w:shd w:val="clear" w:color="auto" w:fill="auto"/>
            <w:noWrap/>
            <w:vAlign w:val="bottom"/>
          </w:tcPr>
          <w:p w14:paraId="6D0FEE51" w14:textId="77777777" w:rsidR="00023572" w:rsidRPr="00023572" w:rsidRDefault="00023572" w:rsidP="00023572">
            <w:pPr>
              <w:spacing w:after="0" w:line="240" w:lineRule="auto"/>
              <w:jc w:val="right"/>
              <w:rPr>
                <w:rFonts w:ascii="Times New Roman" w:eastAsia="Times New Roman" w:hAnsi="Times New Roman" w:cs="Times New Roman"/>
                <w:b/>
                <w:bCs/>
                <w:color w:val="000000"/>
                <w:sz w:val="24"/>
                <w:szCs w:val="24"/>
                <w:lang w:val="en-US"/>
              </w:rPr>
            </w:pPr>
          </w:p>
        </w:tc>
      </w:tr>
    </w:tbl>
    <w:p w14:paraId="46E88DB2" w14:textId="2E66767E" w:rsidR="00023572" w:rsidRDefault="00023572" w:rsidP="00023572">
      <w:pPr>
        <w:suppressAutoHyphens/>
        <w:spacing w:after="0" w:line="360" w:lineRule="auto"/>
        <w:jc w:val="both"/>
        <w:rPr>
          <w:rFonts w:ascii="Times New Roman" w:eastAsia="Calibri" w:hAnsi="Times New Roman" w:cs="Times New Roman"/>
          <w:color w:val="000000"/>
          <w:sz w:val="24"/>
          <w:szCs w:val="24"/>
          <w:lang w:eastAsia="ar-SA"/>
        </w:rPr>
      </w:pPr>
      <w:bookmarkStart w:id="0" w:name="__RefHeading__82572_47130857"/>
      <w:bookmarkEnd w:id="0"/>
    </w:p>
    <w:p w14:paraId="2BDC9AD0" w14:textId="492BEBA3" w:rsidR="00251911" w:rsidRDefault="00251911" w:rsidP="00023572">
      <w:pPr>
        <w:suppressAutoHyphens/>
        <w:spacing w:after="0" w:line="360" w:lineRule="auto"/>
        <w:jc w:val="both"/>
        <w:rPr>
          <w:rFonts w:ascii="Times New Roman" w:eastAsia="Calibri" w:hAnsi="Times New Roman" w:cs="Times New Roman"/>
          <w:color w:val="000000"/>
          <w:sz w:val="24"/>
          <w:szCs w:val="24"/>
          <w:lang w:eastAsia="ar-SA"/>
        </w:rPr>
      </w:pPr>
    </w:p>
    <w:p w14:paraId="34FBB065" w14:textId="36AAE6E9" w:rsidR="00251911" w:rsidRDefault="00251911" w:rsidP="00023572">
      <w:pPr>
        <w:suppressAutoHyphens/>
        <w:spacing w:after="0" w:line="360" w:lineRule="auto"/>
        <w:jc w:val="both"/>
        <w:rPr>
          <w:rFonts w:ascii="Times New Roman" w:eastAsia="Calibri" w:hAnsi="Times New Roman" w:cs="Times New Roman"/>
          <w:color w:val="000000"/>
          <w:sz w:val="24"/>
          <w:szCs w:val="24"/>
          <w:lang w:eastAsia="ar-SA"/>
        </w:rPr>
      </w:pPr>
    </w:p>
    <w:p w14:paraId="556958C7" w14:textId="457FA5DB" w:rsidR="00251911" w:rsidRDefault="00251911" w:rsidP="00023572">
      <w:pPr>
        <w:suppressAutoHyphens/>
        <w:spacing w:after="0" w:line="360" w:lineRule="auto"/>
        <w:jc w:val="both"/>
        <w:rPr>
          <w:rFonts w:ascii="Times New Roman" w:eastAsia="Calibri" w:hAnsi="Times New Roman" w:cs="Times New Roman"/>
          <w:color w:val="000000"/>
          <w:sz w:val="24"/>
          <w:szCs w:val="24"/>
          <w:lang w:eastAsia="ar-SA"/>
        </w:rPr>
      </w:pPr>
    </w:p>
    <w:p w14:paraId="4D0A9B0C" w14:textId="2AEB090E" w:rsidR="00251911" w:rsidRDefault="00251911" w:rsidP="00023572">
      <w:pPr>
        <w:suppressAutoHyphens/>
        <w:spacing w:after="0" w:line="360" w:lineRule="auto"/>
        <w:jc w:val="both"/>
        <w:rPr>
          <w:rFonts w:ascii="Times New Roman" w:eastAsia="Calibri" w:hAnsi="Times New Roman" w:cs="Times New Roman"/>
          <w:color w:val="000000"/>
          <w:sz w:val="24"/>
          <w:szCs w:val="24"/>
          <w:lang w:eastAsia="ar-SA"/>
        </w:rPr>
      </w:pPr>
    </w:p>
    <w:p w14:paraId="15C734EE" w14:textId="164655F2" w:rsidR="00251911" w:rsidRDefault="00251911" w:rsidP="00023572">
      <w:pPr>
        <w:suppressAutoHyphens/>
        <w:spacing w:after="0" w:line="360" w:lineRule="auto"/>
        <w:jc w:val="both"/>
        <w:rPr>
          <w:rFonts w:ascii="Times New Roman" w:eastAsia="Calibri" w:hAnsi="Times New Roman" w:cs="Times New Roman"/>
          <w:color w:val="000000"/>
          <w:sz w:val="24"/>
          <w:szCs w:val="24"/>
          <w:lang w:eastAsia="ar-SA"/>
        </w:rPr>
      </w:pPr>
    </w:p>
    <w:p w14:paraId="235BE355" w14:textId="172CF31F" w:rsidR="00251911" w:rsidRDefault="00251911" w:rsidP="00023572">
      <w:pPr>
        <w:suppressAutoHyphens/>
        <w:spacing w:after="0" w:line="360" w:lineRule="auto"/>
        <w:jc w:val="both"/>
        <w:rPr>
          <w:rFonts w:ascii="Times New Roman" w:eastAsia="Calibri" w:hAnsi="Times New Roman" w:cs="Times New Roman"/>
          <w:color w:val="000000"/>
          <w:sz w:val="24"/>
          <w:szCs w:val="24"/>
          <w:lang w:eastAsia="ar-SA"/>
        </w:rPr>
      </w:pPr>
    </w:p>
    <w:p w14:paraId="652149CC" w14:textId="77777777" w:rsidR="00251911" w:rsidRPr="00023572" w:rsidRDefault="00251911" w:rsidP="00023572">
      <w:pPr>
        <w:suppressAutoHyphens/>
        <w:spacing w:after="0" w:line="360" w:lineRule="auto"/>
        <w:jc w:val="both"/>
        <w:rPr>
          <w:rFonts w:ascii="Times New Roman" w:eastAsia="Calibri" w:hAnsi="Times New Roman" w:cs="Times New Roman"/>
          <w:color w:val="000000"/>
          <w:sz w:val="24"/>
          <w:szCs w:val="24"/>
          <w:lang w:eastAsia="ar-SA"/>
        </w:rPr>
      </w:pPr>
    </w:p>
    <w:p w14:paraId="58BDE8BD" w14:textId="77777777" w:rsidR="00023572" w:rsidRPr="00023572" w:rsidRDefault="00023572" w:rsidP="000B51B3">
      <w:pPr>
        <w:spacing w:line="360" w:lineRule="auto"/>
        <w:jc w:val="both"/>
        <w:rPr>
          <w:rFonts w:ascii="Times New Roman" w:hAnsi="Times New Roman" w:cs="Times New Roman"/>
          <w:b/>
          <w:bCs/>
          <w:sz w:val="24"/>
          <w:szCs w:val="24"/>
        </w:rPr>
      </w:pPr>
    </w:p>
    <w:p w14:paraId="6FB4D61E" w14:textId="7970508F" w:rsidR="00023572" w:rsidRDefault="00023572" w:rsidP="000B51B3">
      <w:pPr>
        <w:spacing w:line="360" w:lineRule="auto"/>
        <w:jc w:val="both"/>
        <w:rPr>
          <w:rFonts w:ascii="Times New Roman" w:hAnsi="Times New Roman" w:cs="Times New Roman"/>
          <w:b/>
          <w:bCs/>
          <w:sz w:val="24"/>
          <w:szCs w:val="24"/>
        </w:rPr>
      </w:pPr>
      <w:r w:rsidRPr="00023572">
        <w:rPr>
          <w:rFonts w:ascii="Times New Roman" w:hAnsi="Times New Roman" w:cs="Times New Roman"/>
          <w:b/>
          <w:bCs/>
          <w:sz w:val="24"/>
          <w:szCs w:val="24"/>
        </w:rPr>
        <w:t>Statement of financial position</w:t>
      </w:r>
    </w:p>
    <w:tbl>
      <w:tblPr>
        <w:tblW w:w="9661" w:type="dxa"/>
        <w:tblInd w:w="108" w:type="dxa"/>
        <w:tblLook w:val="04A0" w:firstRow="1" w:lastRow="0" w:firstColumn="1" w:lastColumn="0" w:noHBand="0" w:noVBand="1"/>
      </w:tblPr>
      <w:tblGrid>
        <w:gridCol w:w="3061"/>
        <w:gridCol w:w="1841"/>
        <w:gridCol w:w="2835"/>
        <w:gridCol w:w="1841"/>
        <w:gridCol w:w="222"/>
      </w:tblGrid>
      <w:tr w:rsidR="00251911" w:rsidRPr="00251911" w14:paraId="2E74BAEC" w14:textId="77777777" w:rsidTr="00251911">
        <w:trPr>
          <w:trHeight w:val="300"/>
        </w:trPr>
        <w:tc>
          <w:tcPr>
            <w:tcW w:w="3061" w:type="dxa"/>
            <w:tcBorders>
              <w:top w:val="nil"/>
              <w:left w:val="nil"/>
              <w:bottom w:val="nil"/>
              <w:right w:val="nil"/>
            </w:tcBorders>
            <w:shd w:val="clear" w:color="auto" w:fill="4472C4" w:themeFill="accent1"/>
            <w:noWrap/>
            <w:vAlign w:val="bottom"/>
            <w:hideMark/>
          </w:tcPr>
          <w:p w14:paraId="16C125EF" w14:textId="77777777" w:rsidR="00251911" w:rsidRPr="00251911" w:rsidRDefault="00251911" w:rsidP="00251911">
            <w:pPr>
              <w:spacing w:after="0" w:line="240" w:lineRule="auto"/>
              <w:jc w:val="center"/>
              <w:rPr>
                <w:rFonts w:ascii="Arimo" w:eastAsia="Times New Roman" w:hAnsi="Arimo" w:cs="Times New Roman"/>
                <w:b/>
                <w:bCs/>
                <w:color w:val="000000"/>
                <w:lang w:val="en-US"/>
              </w:rPr>
            </w:pPr>
            <w:r w:rsidRPr="00251911">
              <w:rPr>
                <w:rFonts w:ascii="Arimo" w:eastAsia="Times New Roman" w:hAnsi="Arimo" w:cs="Times New Roman"/>
                <w:b/>
                <w:bCs/>
                <w:color w:val="000000"/>
                <w:lang w:val="en-US"/>
              </w:rPr>
              <w:t>Liabilities</w:t>
            </w:r>
          </w:p>
        </w:tc>
        <w:tc>
          <w:tcPr>
            <w:tcW w:w="1841" w:type="dxa"/>
            <w:tcBorders>
              <w:top w:val="nil"/>
              <w:left w:val="nil"/>
              <w:bottom w:val="nil"/>
              <w:right w:val="nil"/>
            </w:tcBorders>
            <w:shd w:val="clear" w:color="auto" w:fill="4472C4" w:themeFill="accent1"/>
            <w:noWrap/>
            <w:vAlign w:val="bottom"/>
            <w:hideMark/>
          </w:tcPr>
          <w:p w14:paraId="0AD901F7" w14:textId="77777777" w:rsidR="00251911" w:rsidRPr="00251911" w:rsidRDefault="00251911" w:rsidP="00251911">
            <w:pPr>
              <w:spacing w:after="0" w:line="240" w:lineRule="auto"/>
              <w:rPr>
                <w:rFonts w:ascii="Arimo" w:eastAsia="Times New Roman" w:hAnsi="Arimo" w:cs="Times New Roman"/>
                <w:b/>
                <w:bCs/>
                <w:color w:val="000000"/>
                <w:lang w:val="en-US"/>
              </w:rPr>
            </w:pPr>
            <w:r w:rsidRPr="00251911">
              <w:rPr>
                <w:rFonts w:ascii="Arimo" w:eastAsia="Times New Roman" w:hAnsi="Arimo" w:cs="Times New Roman"/>
                <w:b/>
                <w:bCs/>
                <w:color w:val="000000"/>
                <w:lang w:val="en-US"/>
              </w:rPr>
              <w:t>Amount</w:t>
            </w:r>
          </w:p>
        </w:tc>
        <w:tc>
          <w:tcPr>
            <w:tcW w:w="2835" w:type="dxa"/>
            <w:tcBorders>
              <w:top w:val="nil"/>
              <w:left w:val="nil"/>
              <w:bottom w:val="nil"/>
              <w:right w:val="nil"/>
            </w:tcBorders>
            <w:shd w:val="clear" w:color="auto" w:fill="4472C4" w:themeFill="accent1"/>
            <w:noWrap/>
            <w:vAlign w:val="bottom"/>
            <w:hideMark/>
          </w:tcPr>
          <w:p w14:paraId="422D26CA" w14:textId="77777777" w:rsidR="00251911" w:rsidRPr="00251911" w:rsidRDefault="00251911" w:rsidP="00251911">
            <w:pPr>
              <w:spacing w:after="0" w:line="240" w:lineRule="auto"/>
              <w:rPr>
                <w:rFonts w:ascii="Arimo" w:eastAsia="Times New Roman" w:hAnsi="Arimo" w:cs="Times New Roman"/>
                <w:b/>
                <w:bCs/>
                <w:color w:val="000000"/>
                <w:lang w:val="en-US"/>
              </w:rPr>
            </w:pPr>
            <w:r w:rsidRPr="00251911">
              <w:rPr>
                <w:rFonts w:ascii="Arimo" w:eastAsia="Times New Roman" w:hAnsi="Arimo" w:cs="Times New Roman"/>
                <w:b/>
                <w:bCs/>
                <w:color w:val="000000"/>
                <w:lang w:val="en-US"/>
              </w:rPr>
              <w:t>Asset</w:t>
            </w:r>
          </w:p>
        </w:tc>
        <w:tc>
          <w:tcPr>
            <w:tcW w:w="1841" w:type="dxa"/>
            <w:tcBorders>
              <w:top w:val="nil"/>
              <w:left w:val="nil"/>
              <w:bottom w:val="nil"/>
              <w:right w:val="nil"/>
            </w:tcBorders>
            <w:shd w:val="clear" w:color="auto" w:fill="4472C4" w:themeFill="accent1"/>
            <w:noWrap/>
            <w:vAlign w:val="bottom"/>
            <w:hideMark/>
          </w:tcPr>
          <w:p w14:paraId="5935E6DA" w14:textId="77777777" w:rsidR="00251911" w:rsidRPr="00251911" w:rsidRDefault="00251911" w:rsidP="00251911">
            <w:pPr>
              <w:spacing w:after="0" w:line="240" w:lineRule="auto"/>
              <w:rPr>
                <w:rFonts w:ascii="Arimo" w:eastAsia="Times New Roman" w:hAnsi="Arimo" w:cs="Times New Roman"/>
                <w:b/>
                <w:bCs/>
                <w:color w:val="000000"/>
                <w:lang w:val="en-US"/>
              </w:rPr>
            </w:pPr>
            <w:r w:rsidRPr="00251911">
              <w:rPr>
                <w:rFonts w:ascii="Arimo" w:eastAsia="Times New Roman" w:hAnsi="Arimo" w:cs="Times New Roman"/>
                <w:b/>
                <w:bCs/>
                <w:color w:val="000000"/>
                <w:lang w:val="en-US"/>
              </w:rPr>
              <w:t>Amount</w:t>
            </w:r>
          </w:p>
        </w:tc>
        <w:tc>
          <w:tcPr>
            <w:tcW w:w="83" w:type="dxa"/>
            <w:tcBorders>
              <w:top w:val="nil"/>
              <w:left w:val="nil"/>
              <w:bottom w:val="nil"/>
              <w:right w:val="nil"/>
            </w:tcBorders>
            <w:shd w:val="clear" w:color="auto" w:fill="auto"/>
            <w:noWrap/>
            <w:vAlign w:val="bottom"/>
            <w:hideMark/>
          </w:tcPr>
          <w:p w14:paraId="03E62060" w14:textId="77777777" w:rsidR="00251911" w:rsidRPr="00251911" w:rsidRDefault="00251911" w:rsidP="00251911">
            <w:pPr>
              <w:spacing w:after="0" w:line="240" w:lineRule="auto"/>
              <w:rPr>
                <w:rFonts w:ascii="Arimo" w:eastAsia="Times New Roman" w:hAnsi="Arimo" w:cs="Times New Roman"/>
                <w:b/>
                <w:bCs/>
                <w:color w:val="000000"/>
                <w:lang w:val="en-US"/>
              </w:rPr>
            </w:pPr>
          </w:p>
        </w:tc>
      </w:tr>
      <w:tr w:rsidR="00251911" w:rsidRPr="00251911" w14:paraId="5215C088" w14:textId="77777777" w:rsidTr="00251911">
        <w:trPr>
          <w:trHeight w:val="285"/>
        </w:trPr>
        <w:tc>
          <w:tcPr>
            <w:tcW w:w="3061" w:type="dxa"/>
            <w:tcBorders>
              <w:top w:val="nil"/>
              <w:left w:val="nil"/>
              <w:bottom w:val="nil"/>
              <w:right w:val="nil"/>
            </w:tcBorders>
            <w:shd w:val="clear" w:color="auto" w:fill="4472C4" w:themeFill="accent1"/>
            <w:noWrap/>
            <w:vAlign w:val="bottom"/>
            <w:hideMark/>
          </w:tcPr>
          <w:p w14:paraId="4F33C47A" w14:textId="77777777" w:rsidR="00251911" w:rsidRPr="00251911" w:rsidRDefault="00251911" w:rsidP="00251911">
            <w:pPr>
              <w:spacing w:after="0" w:line="240" w:lineRule="auto"/>
              <w:rPr>
                <w:rFonts w:ascii="Arimo" w:eastAsia="Times New Roman" w:hAnsi="Arimo" w:cs="Times New Roman"/>
                <w:color w:val="000000"/>
                <w:lang w:val="en-US"/>
              </w:rPr>
            </w:pPr>
            <w:r w:rsidRPr="00251911">
              <w:rPr>
                <w:rFonts w:ascii="Arimo" w:eastAsia="Times New Roman" w:hAnsi="Arimo" w:cs="Times New Roman"/>
                <w:color w:val="000000"/>
                <w:lang w:val="en-US"/>
              </w:rPr>
              <w:t>Capital</w:t>
            </w:r>
          </w:p>
        </w:tc>
        <w:tc>
          <w:tcPr>
            <w:tcW w:w="1841" w:type="dxa"/>
            <w:tcBorders>
              <w:top w:val="nil"/>
              <w:left w:val="nil"/>
              <w:bottom w:val="nil"/>
              <w:right w:val="nil"/>
            </w:tcBorders>
            <w:shd w:val="clear" w:color="auto" w:fill="4472C4" w:themeFill="accent1"/>
            <w:noWrap/>
            <w:vAlign w:val="bottom"/>
            <w:hideMark/>
          </w:tcPr>
          <w:p w14:paraId="100566DF" w14:textId="77777777" w:rsidR="00251911" w:rsidRPr="00251911" w:rsidRDefault="00251911" w:rsidP="00251911">
            <w:pPr>
              <w:spacing w:after="0" w:line="240" w:lineRule="auto"/>
              <w:jc w:val="right"/>
              <w:rPr>
                <w:rFonts w:ascii="Arimo" w:eastAsia="Times New Roman" w:hAnsi="Arimo" w:cs="Times New Roman"/>
                <w:color w:val="000000"/>
                <w:lang w:val="en-US"/>
              </w:rPr>
            </w:pPr>
            <w:r w:rsidRPr="00251911">
              <w:rPr>
                <w:rFonts w:ascii="Arimo" w:eastAsia="Times New Roman" w:hAnsi="Arimo" w:cs="Times New Roman"/>
                <w:color w:val="000000"/>
                <w:lang w:val="en-US"/>
              </w:rPr>
              <w:t>4993</w:t>
            </w:r>
          </w:p>
        </w:tc>
        <w:tc>
          <w:tcPr>
            <w:tcW w:w="2835" w:type="dxa"/>
            <w:tcBorders>
              <w:top w:val="nil"/>
              <w:left w:val="nil"/>
              <w:bottom w:val="nil"/>
              <w:right w:val="nil"/>
            </w:tcBorders>
            <w:shd w:val="clear" w:color="auto" w:fill="4472C4" w:themeFill="accent1"/>
            <w:noWrap/>
            <w:vAlign w:val="bottom"/>
            <w:hideMark/>
          </w:tcPr>
          <w:p w14:paraId="3A4837BA" w14:textId="77777777" w:rsidR="00251911" w:rsidRPr="00251911" w:rsidRDefault="00251911" w:rsidP="00251911">
            <w:pPr>
              <w:spacing w:after="0" w:line="240" w:lineRule="auto"/>
              <w:rPr>
                <w:rFonts w:ascii="Arimo" w:eastAsia="Times New Roman" w:hAnsi="Arimo" w:cs="Times New Roman"/>
                <w:color w:val="000000"/>
                <w:lang w:val="en-US"/>
              </w:rPr>
            </w:pPr>
            <w:r w:rsidRPr="00251911">
              <w:rPr>
                <w:rFonts w:ascii="Arimo" w:eastAsia="Times New Roman" w:hAnsi="Arimo" w:cs="Times New Roman"/>
                <w:color w:val="000000"/>
                <w:lang w:val="en-US"/>
              </w:rPr>
              <w:t>Delivery Van</w:t>
            </w:r>
          </w:p>
        </w:tc>
        <w:tc>
          <w:tcPr>
            <w:tcW w:w="1841" w:type="dxa"/>
            <w:tcBorders>
              <w:top w:val="nil"/>
              <w:left w:val="nil"/>
              <w:bottom w:val="nil"/>
              <w:right w:val="nil"/>
            </w:tcBorders>
            <w:shd w:val="clear" w:color="auto" w:fill="4472C4" w:themeFill="accent1"/>
            <w:noWrap/>
            <w:vAlign w:val="bottom"/>
            <w:hideMark/>
          </w:tcPr>
          <w:p w14:paraId="7F8EB5AE" w14:textId="77777777" w:rsidR="00251911" w:rsidRPr="00251911" w:rsidRDefault="00251911" w:rsidP="00251911">
            <w:pPr>
              <w:spacing w:after="0" w:line="240" w:lineRule="auto"/>
              <w:jc w:val="right"/>
              <w:rPr>
                <w:rFonts w:ascii="Arimo" w:eastAsia="Times New Roman" w:hAnsi="Arimo" w:cs="Times New Roman"/>
                <w:color w:val="000000"/>
                <w:lang w:val="en-US"/>
              </w:rPr>
            </w:pPr>
            <w:r w:rsidRPr="00251911">
              <w:rPr>
                <w:rFonts w:ascii="Arimo" w:eastAsia="Times New Roman" w:hAnsi="Arimo" w:cs="Times New Roman"/>
                <w:color w:val="000000"/>
                <w:lang w:val="en-US"/>
              </w:rPr>
              <w:t>16142</w:t>
            </w:r>
          </w:p>
        </w:tc>
        <w:tc>
          <w:tcPr>
            <w:tcW w:w="83" w:type="dxa"/>
            <w:tcBorders>
              <w:top w:val="nil"/>
              <w:left w:val="nil"/>
              <w:bottom w:val="nil"/>
              <w:right w:val="nil"/>
            </w:tcBorders>
            <w:shd w:val="clear" w:color="auto" w:fill="auto"/>
            <w:noWrap/>
            <w:vAlign w:val="bottom"/>
            <w:hideMark/>
          </w:tcPr>
          <w:p w14:paraId="20DCCF9F" w14:textId="77777777" w:rsidR="00251911" w:rsidRPr="00251911" w:rsidRDefault="00251911" w:rsidP="00251911">
            <w:pPr>
              <w:spacing w:after="0" w:line="240" w:lineRule="auto"/>
              <w:jc w:val="right"/>
              <w:rPr>
                <w:rFonts w:ascii="Arimo" w:eastAsia="Times New Roman" w:hAnsi="Arimo" w:cs="Times New Roman"/>
                <w:color w:val="000000"/>
                <w:lang w:val="en-US"/>
              </w:rPr>
            </w:pPr>
          </w:p>
        </w:tc>
      </w:tr>
      <w:tr w:rsidR="00251911" w:rsidRPr="00251911" w14:paraId="17C3D52E" w14:textId="77777777" w:rsidTr="00251911">
        <w:trPr>
          <w:trHeight w:val="285"/>
        </w:trPr>
        <w:tc>
          <w:tcPr>
            <w:tcW w:w="3061" w:type="dxa"/>
            <w:tcBorders>
              <w:top w:val="nil"/>
              <w:left w:val="nil"/>
              <w:bottom w:val="nil"/>
              <w:right w:val="nil"/>
            </w:tcBorders>
            <w:shd w:val="clear" w:color="auto" w:fill="4472C4" w:themeFill="accent1"/>
            <w:noWrap/>
            <w:vAlign w:val="bottom"/>
            <w:hideMark/>
          </w:tcPr>
          <w:p w14:paraId="2787FCF8" w14:textId="77777777" w:rsidR="00251911" w:rsidRPr="00251911" w:rsidRDefault="00251911" w:rsidP="00251911">
            <w:pPr>
              <w:spacing w:after="0" w:line="240" w:lineRule="auto"/>
              <w:rPr>
                <w:rFonts w:ascii="Arimo" w:eastAsia="Times New Roman" w:hAnsi="Arimo" w:cs="Times New Roman"/>
                <w:color w:val="000000"/>
                <w:lang w:val="en-US"/>
              </w:rPr>
            </w:pPr>
            <w:r w:rsidRPr="00251911">
              <w:rPr>
                <w:rFonts w:ascii="Arimo" w:eastAsia="Times New Roman" w:hAnsi="Arimo" w:cs="Times New Roman"/>
                <w:color w:val="000000"/>
                <w:lang w:val="en-US"/>
              </w:rPr>
              <w:t>Drawing</w:t>
            </w:r>
          </w:p>
        </w:tc>
        <w:tc>
          <w:tcPr>
            <w:tcW w:w="1841" w:type="dxa"/>
            <w:tcBorders>
              <w:top w:val="nil"/>
              <w:left w:val="nil"/>
              <w:bottom w:val="nil"/>
              <w:right w:val="nil"/>
            </w:tcBorders>
            <w:shd w:val="clear" w:color="auto" w:fill="4472C4" w:themeFill="accent1"/>
            <w:noWrap/>
            <w:vAlign w:val="bottom"/>
            <w:hideMark/>
          </w:tcPr>
          <w:p w14:paraId="27008E96" w14:textId="77777777" w:rsidR="00251911" w:rsidRPr="00251911" w:rsidRDefault="00251911" w:rsidP="00251911">
            <w:pPr>
              <w:spacing w:after="0" w:line="240" w:lineRule="auto"/>
              <w:jc w:val="right"/>
              <w:rPr>
                <w:rFonts w:ascii="Arimo" w:eastAsia="Times New Roman" w:hAnsi="Arimo" w:cs="Times New Roman"/>
                <w:color w:val="000000"/>
                <w:lang w:val="en-US"/>
              </w:rPr>
            </w:pPr>
            <w:r w:rsidRPr="00251911">
              <w:rPr>
                <w:rFonts w:ascii="Arimo" w:eastAsia="Times New Roman" w:hAnsi="Arimo" w:cs="Times New Roman"/>
                <w:color w:val="000000"/>
                <w:lang w:val="en-US"/>
              </w:rPr>
              <w:t>-18270</w:t>
            </w:r>
          </w:p>
        </w:tc>
        <w:tc>
          <w:tcPr>
            <w:tcW w:w="2835" w:type="dxa"/>
            <w:tcBorders>
              <w:top w:val="nil"/>
              <w:left w:val="nil"/>
              <w:bottom w:val="nil"/>
              <w:right w:val="nil"/>
            </w:tcBorders>
            <w:shd w:val="clear" w:color="auto" w:fill="4472C4" w:themeFill="accent1"/>
            <w:noWrap/>
            <w:vAlign w:val="bottom"/>
            <w:hideMark/>
          </w:tcPr>
          <w:p w14:paraId="5B6AD7D3" w14:textId="77777777" w:rsidR="00251911" w:rsidRPr="00251911" w:rsidRDefault="00251911" w:rsidP="00251911">
            <w:pPr>
              <w:spacing w:after="0" w:line="240" w:lineRule="auto"/>
              <w:rPr>
                <w:rFonts w:ascii="Arimo" w:eastAsia="Times New Roman" w:hAnsi="Arimo" w:cs="Times New Roman"/>
                <w:color w:val="000000"/>
                <w:lang w:val="en-US"/>
              </w:rPr>
            </w:pPr>
            <w:r w:rsidRPr="00251911">
              <w:rPr>
                <w:rFonts w:ascii="Arimo" w:eastAsia="Times New Roman" w:hAnsi="Arimo" w:cs="Times New Roman"/>
                <w:color w:val="000000"/>
                <w:lang w:val="en-US"/>
              </w:rPr>
              <w:t>Shop fitting</w:t>
            </w:r>
          </w:p>
        </w:tc>
        <w:tc>
          <w:tcPr>
            <w:tcW w:w="1841" w:type="dxa"/>
            <w:tcBorders>
              <w:top w:val="nil"/>
              <w:left w:val="nil"/>
              <w:bottom w:val="nil"/>
              <w:right w:val="nil"/>
            </w:tcBorders>
            <w:shd w:val="clear" w:color="auto" w:fill="4472C4" w:themeFill="accent1"/>
            <w:noWrap/>
            <w:vAlign w:val="bottom"/>
            <w:hideMark/>
          </w:tcPr>
          <w:p w14:paraId="2CE6907F" w14:textId="77777777" w:rsidR="00251911" w:rsidRPr="00251911" w:rsidRDefault="00251911" w:rsidP="00251911">
            <w:pPr>
              <w:spacing w:after="0" w:line="240" w:lineRule="auto"/>
              <w:jc w:val="right"/>
              <w:rPr>
                <w:rFonts w:ascii="Arimo" w:eastAsia="Times New Roman" w:hAnsi="Arimo" w:cs="Times New Roman"/>
                <w:color w:val="000000"/>
                <w:lang w:val="en-US"/>
              </w:rPr>
            </w:pPr>
            <w:r w:rsidRPr="00251911">
              <w:rPr>
                <w:rFonts w:ascii="Arimo" w:eastAsia="Times New Roman" w:hAnsi="Arimo" w:cs="Times New Roman"/>
                <w:color w:val="000000"/>
                <w:lang w:val="en-US"/>
              </w:rPr>
              <w:t>3660</w:t>
            </w:r>
          </w:p>
        </w:tc>
        <w:tc>
          <w:tcPr>
            <w:tcW w:w="83" w:type="dxa"/>
            <w:tcBorders>
              <w:top w:val="nil"/>
              <w:left w:val="nil"/>
              <w:bottom w:val="nil"/>
              <w:right w:val="nil"/>
            </w:tcBorders>
            <w:shd w:val="clear" w:color="auto" w:fill="auto"/>
            <w:noWrap/>
            <w:vAlign w:val="bottom"/>
            <w:hideMark/>
          </w:tcPr>
          <w:p w14:paraId="24421F9F" w14:textId="77777777" w:rsidR="00251911" w:rsidRPr="00251911" w:rsidRDefault="00251911" w:rsidP="00251911">
            <w:pPr>
              <w:spacing w:after="0" w:line="240" w:lineRule="auto"/>
              <w:jc w:val="right"/>
              <w:rPr>
                <w:rFonts w:ascii="Arimo" w:eastAsia="Times New Roman" w:hAnsi="Arimo" w:cs="Times New Roman"/>
                <w:color w:val="000000"/>
                <w:lang w:val="en-US"/>
              </w:rPr>
            </w:pPr>
          </w:p>
        </w:tc>
      </w:tr>
      <w:tr w:rsidR="00251911" w:rsidRPr="00251911" w14:paraId="71C9EEC0" w14:textId="77777777" w:rsidTr="00251911">
        <w:trPr>
          <w:trHeight w:val="285"/>
        </w:trPr>
        <w:tc>
          <w:tcPr>
            <w:tcW w:w="3061" w:type="dxa"/>
            <w:tcBorders>
              <w:top w:val="nil"/>
              <w:left w:val="nil"/>
              <w:bottom w:val="nil"/>
              <w:right w:val="nil"/>
            </w:tcBorders>
            <w:shd w:val="clear" w:color="auto" w:fill="4472C4" w:themeFill="accent1"/>
            <w:noWrap/>
            <w:vAlign w:val="bottom"/>
            <w:hideMark/>
          </w:tcPr>
          <w:p w14:paraId="4ED604F3" w14:textId="77777777" w:rsidR="00251911" w:rsidRPr="00251911" w:rsidRDefault="00251911" w:rsidP="00251911">
            <w:pPr>
              <w:spacing w:after="0" w:line="240" w:lineRule="auto"/>
              <w:rPr>
                <w:rFonts w:ascii="Arimo" w:eastAsia="Times New Roman" w:hAnsi="Arimo" w:cs="Times New Roman"/>
                <w:color w:val="000000"/>
                <w:lang w:val="en-US"/>
              </w:rPr>
            </w:pPr>
            <w:r w:rsidRPr="00251911">
              <w:rPr>
                <w:rFonts w:ascii="Arimo" w:eastAsia="Times New Roman" w:hAnsi="Arimo" w:cs="Times New Roman"/>
                <w:color w:val="000000"/>
                <w:lang w:val="en-US"/>
              </w:rPr>
              <w:t>Net profit</w:t>
            </w:r>
          </w:p>
        </w:tc>
        <w:tc>
          <w:tcPr>
            <w:tcW w:w="1841" w:type="dxa"/>
            <w:tcBorders>
              <w:top w:val="nil"/>
              <w:left w:val="nil"/>
              <w:bottom w:val="nil"/>
              <w:right w:val="nil"/>
            </w:tcBorders>
            <w:shd w:val="clear" w:color="auto" w:fill="4472C4" w:themeFill="accent1"/>
            <w:noWrap/>
            <w:vAlign w:val="bottom"/>
            <w:hideMark/>
          </w:tcPr>
          <w:p w14:paraId="0388C3CF" w14:textId="77777777" w:rsidR="00251911" w:rsidRPr="00251911" w:rsidRDefault="00251911" w:rsidP="00251911">
            <w:pPr>
              <w:spacing w:after="0" w:line="240" w:lineRule="auto"/>
              <w:jc w:val="right"/>
              <w:rPr>
                <w:rFonts w:ascii="Arimo" w:eastAsia="Times New Roman" w:hAnsi="Arimo" w:cs="Times New Roman"/>
                <w:color w:val="000000"/>
                <w:lang w:val="en-US"/>
              </w:rPr>
            </w:pPr>
            <w:r w:rsidRPr="00251911">
              <w:rPr>
                <w:rFonts w:ascii="Arimo" w:eastAsia="Times New Roman" w:hAnsi="Arimo" w:cs="Times New Roman"/>
                <w:color w:val="000000"/>
                <w:lang w:val="en-US"/>
              </w:rPr>
              <w:t>22056</w:t>
            </w:r>
          </w:p>
        </w:tc>
        <w:tc>
          <w:tcPr>
            <w:tcW w:w="2835" w:type="dxa"/>
            <w:tcBorders>
              <w:top w:val="nil"/>
              <w:left w:val="nil"/>
              <w:bottom w:val="nil"/>
              <w:right w:val="nil"/>
            </w:tcBorders>
            <w:shd w:val="clear" w:color="auto" w:fill="4472C4" w:themeFill="accent1"/>
            <w:noWrap/>
            <w:vAlign w:val="bottom"/>
            <w:hideMark/>
          </w:tcPr>
          <w:p w14:paraId="30CC9466" w14:textId="77777777" w:rsidR="00251911" w:rsidRPr="00251911" w:rsidRDefault="00251911" w:rsidP="00251911">
            <w:pPr>
              <w:spacing w:after="0" w:line="240" w:lineRule="auto"/>
              <w:rPr>
                <w:rFonts w:ascii="Arimo" w:eastAsia="Times New Roman" w:hAnsi="Arimo" w:cs="Times New Roman"/>
                <w:color w:val="000000"/>
                <w:lang w:val="en-US"/>
              </w:rPr>
            </w:pPr>
            <w:r w:rsidRPr="00251911">
              <w:rPr>
                <w:rFonts w:ascii="Arimo" w:eastAsia="Times New Roman" w:hAnsi="Arimo" w:cs="Times New Roman"/>
                <w:color w:val="000000"/>
                <w:lang w:val="en-US"/>
              </w:rPr>
              <w:t>Closing stock</w:t>
            </w:r>
          </w:p>
        </w:tc>
        <w:tc>
          <w:tcPr>
            <w:tcW w:w="1841" w:type="dxa"/>
            <w:tcBorders>
              <w:top w:val="nil"/>
              <w:left w:val="nil"/>
              <w:bottom w:val="nil"/>
              <w:right w:val="nil"/>
            </w:tcBorders>
            <w:shd w:val="clear" w:color="auto" w:fill="4472C4" w:themeFill="accent1"/>
            <w:noWrap/>
            <w:vAlign w:val="bottom"/>
            <w:hideMark/>
          </w:tcPr>
          <w:p w14:paraId="3365C960" w14:textId="77777777" w:rsidR="00251911" w:rsidRPr="00251911" w:rsidRDefault="00251911" w:rsidP="00251911">
            <w:pPr>
              <w:spacing w:after="0" w:line="240" w:lineRule="auto"/>
              <w:jc w:val="right"/>
              <w:rPr>
                <w:rFonts w:ascii="Arimo" w:eastAsia="Times New Roman" w:hAnsi="Arimo" w:cs="Times New Roman"/>
                <w:color w:val="000000"/>
                <w:lang w:val="en-US"/>
              </w:rPr>
            </w:pPr>
            <w:r w:rsidRPr="00251911">
              <w:rPr>
                <w:rFonts w:ascii="Arimo" w:eastAsia="Times New Roman" w:hAnsi="Arimo" w:cs="Times New Roman"/>
                <w:color w:val="000000"/>
                <w:lang w:val="en-US"/>
              </w:rPr>
              <w:t>25164</w:t>
            </w:r>
          </w:p>
        </w:tc>
        <w:tc>
          <w:tcPr>
            <w:tcW w:w="83" w:type="dxa"/>
            <w:tcBorders>
              <w:top w:val="nil"/>
              <w:left w:val="nil"/>
              <w:bottom w:val="nil"/>
              <w:right w:val="nil"/>
            </w:tcBorders>
            <w:shd w:val="clear" w:color="auto" w:fill="auto"/>
            <w:noWrap/>
            <w:vAlign w:val="bottom"/>
            <w:hideMark/>
          </w:tcPr>
          <w:p w14:paraId="62EB23D1" w14:textId="77777777" w:rsidR="00251911" w:rsidRPr="00251911" w:rsidRDefault="00251911" w:rsidP="00251911">
            <w:pPr>
              <w:spacing w:after="0" w:line="240" w:lineRule="auto"/>
              <w:jc w:val="right"/>
              <w:rPr>
                <w:rFonts w:ascii="Arimo" w:eastAsia="Times New Roman" w:hAnsi="Arimo" w:cs="Times New Roman"/>
                <w:color w:val="000000"/>
                <w:lang w:val="en-US"/>
              </w:rPr>
            </w:pPr>
          </w:p>
        </w:tc>
      </w:tr>
      <w:tr w:rsidR="00251911" w:rsidRPr="00251911" w14:paraId="4E2944C8" w14:textId="77777777" w:rsidTr="00251911">
        <w:trPr>
          <w:trHeight w:val="285"/>
        </w:trPr>
        <w:tc>
          <w:tcPr>
            <w:tcW w:w="3061" w:type="dxa"/>
            <w:tcBorders>
              <w:top w:val="nil"/>
              <w:left w:val="nil"/>
              <w:bottom w:val="nil"/>
              <w:right w:val="nil"/>
            </w:tcBorders>
            <w:shd w:val="clear" w:color="auto" w:fill="4472C4" w:themeFill="accent1"/>
            <w:noWrap/>
            <w:vAlign w:val="bottom"/>
            <w:hideMark/>
          </w:tcPr>
          <w:p w14:paraId="6AD9362E" w14:textId="77777777" w:rsidR="00251911" w:rsidRPr="00251911" w:rsidRDefault="00251911" w:rsidP="00251911">
            <w:pPr>
              <w:spacing w:after="0" w:line="240" w:lineRule="auto"/>
              <w:rPr>
                <w:rFonts w:ascii="Arimo" w:eastAsia="Times New Roman" w:hAnsi="Arimo" w:cs="Times New Roman"/>
                <w:color w:val="000000"/>
                <w:lang w:val="en-US"/>
              </w:rPr>
            </w:pPr>
            <w:r w:rsidRPr="00251911">
              <w:rPr>
                <w:rFonts w:ascii="Arimo" w:eastAsia="Times New Roman" w:hAnsi="Arimo" w:cs="Times New Roman"/>
                <w:color w:val="000000"/>
                <w:lang w:val="en-US"/>
              </w:rPr>
              <w:t>Creditor VAT</w:t>
            </w:r>
          </w:p>
        </w:tc>
        <w:tc>
          <w:tcPr>
            <w:tcW w:w="1841" w:type="dxa"/>
            <w:tcBorders>
              <w:top w:val="nil"/>
              <w:left w:val="nil"/>
              <w:bottom w:val="nil"/>
              <w:right w:val="nil"/>
            </w:tcBorders>
            <w:shd w:val="clear" w:color="auto" w:fill="4472C4" w:themeFill="accent1"/>
            <w:noWrap/>
            <w:vAlign w:val="bottom"/>
            <w:hideMark/>
          </w:tcPr>
          <w:p w14:paraId="2A007B6C" w14:textId="77777777" w:rsidR="00251911" w:rsidRPr="00251911" w:rsidRDefault="00251911" w:rsidP="00251911">
            <w:pPr>
              <w:spacing w:after="0" w:line="240" w:lineRule="auto"/>
              <w:jc w:val="right"/>
              <w:rPr>
                <w:rFonts w:ascii="Arimo" w:eastAsia="Times New Roman" w:hAnsi="Arimo" w:cs="Times New Roman"/>
                <w:color w:val="000000"/>
                <w:lang w:val="en-US"/>
              </w:rPr>
            </w:pPr>
            <w:r w:rsidRPr="00251911">
              <w:rPr>
                <w:rFonts w:ascii="Arimo" w:eastAsia="Times New Roman" w:hAnsi="Arimo" w:cs="Times New Roman"/>
                <w:color w:val="000000"/>
                <w:lang w:val="en-US"/>
              </w:rPr>
              <w:t>7729</w:t>
            </w:r>
          </w:p>
        </w:tc>
        <w:tc>
          <w:tcPr>
            <w:tcW w:w="2835" w:type="dxa"/>
            <w:tcBorders>
              <w:top w:val="nil"/>
              <w:left w:val="nil"/>
              <w:bottom w:val="nil"/>
              <w:right w:val="nil"/>
            </w:tcBorders>
            <w:shd w:val="clear" w:color="auto" w:fill="4472C4" w:themeFill="accent1"/>
            <w:noWrap/>
            <w:vAlign w:val="bottom"/>
            <w:hideMark/>
          </w:tcPr>
          <w:p w14:paraId="6F8BA9AF" w14:textId="77777777" w:rsidR="00251911" w:rsidRPr="00251911" w:rsidRDefault="00251911" w:rsidP="00251911">
            <w:pPr>
              <w:spacing w:after="0" w:line="240" w:lineRule="auto"/>
              <w:rPr>
                <w:rFonts w:ascii="Arimo" w:eastAsia="Times New Roman" w:hAnsi="Arimo" w:cs="Times New Roman"/>
                <w:color w:val="000000"/>
                <w:lang w:val="en-US"/>
              </w:rPr>
            </w:pPr>
            <w:r w:rsidRPr="00251911">
              <w:rPr>
                <w:rFonts w:ascii="Arimo" w:eastAsia="Times New Roman" w:hAnsi="Arimo" w:cs="Times New Roman"/>
                <w:color w:val="000000"/>
                <w:lang w:val="en-US"/>
              </w:rPr>
              <w:t>Trade Debtor</w:t>
            </w:r>
          </w:p>
        </w:tc>
        <w:tc>
          <w:tcPr>
            <w:tcW w:w="1841" w:type="dxa"/>
            <w:tcBorders>
              <w:top w:val="nil"/>
              <w:left w:val="nil"/>
              <w:bottom w:val="nil"/>
              <w:right w:val="nil"/>
            </w:tcBorders>
            <w:shd w:val="clear" w:color="auto" w:fill="4472C4" w:themeFill="accent1"/>
            <w:noWrap/>
            <w:vAlign w:val="bottom"/>
            <w:hideMark/>
          </w:tcPr>
          <w:p w14:paraId="5BF99B67" w14:textId="77777777" w:rsidR="00251911" w:rsidRPr="00251911" w:rsidRDefault="00251911" w:rsidP="00251911">
            <w:pPr>
              <w:spacing w:after="0" w:line="240" w:lineRule="auto"/>
              <w:jc w:val="right"/>
              <w:rPr>
                <w:rFonts w:ascii="Arimo" w:eastAsia="Times New Roman" w:hAnsi="Arimo" w:cs="Times New Roman"/>
                <w:color w:val="000000"/>
                <w:lang w:val="en-US"/>
              </w:rPr>
            </w:pPr>
            <w:r w:rsidRPr="00251911">
              <w:rPr>
                <w:rFonts w:ascii="Arimo" w:eastAsia="Times New Roman" w:hAnsi="Arimo" w:cs="Times New Roman"/>
                <w:color w:val="000000"/>
                <w:lang w:val="en-US"/>
              </w:rPr>
              <w:t>5880</w:t>
            </w:r>
          </w:p>
        </w:tc>
        <w:tc>
          <w:tcPr>
            <w:tcW w:w="83" w:type="dxa"/>
            <w:tcBorders>
              <w:top w:val="nil"/>
              <w:left w:val="nil"/>
              <w:bottom w:val="nil"/>
              <w:right w:val="nil"/>
            </w:tcBorders>
            <w:shd w:val="clear" w:color="auto" w:fill="auto"/>
            <w:noWrap/>
            <w:vAlign w:val="bottom"/>
            <w:hideMark/>
          </w:tcPr>
          <w:p w14:paraId="11CBAFF0" w14:textId="77777777" w:rsidR="00251911" w:rsidRPr="00251911" w:rsidRDefault="00251911" w:rsidP="00251911">
            <w:pPr>
              <w:spacing w:after="0" w:line="240" w:lineRule="auto"/>
              <w:jc w:val="right"/>
              <w:rPr>
                <w:rFonts w:ascii="Arimo" w:eastAsia="Times New Roman" w:hAnsi="Arimo" w:cs="Times New Roman"/>
                <w:color w:val="000000"/>
                <w:lang w:val="en-US"/>
              </w:rPr>
            </w:pPr>
          </w:p>
        </w:tc>
      </w:tr>
      <w:tr w:rsidR="00251911" w:rsidRPr="00251911" w14:paraId="7DF97C98" w14:textId="77777777" w:rsidTr="00251911">
        <w:trPr>
          <w:trHeight w:val="285"/>
        </w:trPr>
        <w:tc>
          <w:tcPr>
            <w:tcW w:w="3061" w:type="dxa"/>
            <w:tcBorders>
              <w:top w:val="nil"/>
              <w:left w:val="nil"/>
              <w:bottom w:val="nil"/>
              <w:right w:val="nil"/>
            </w:tcBorders>
            <w:shd w:val="clear" w:color="auto" w:fill="4472C4" w:themeFill="accent1"/>
            <w:noWrap/>
            <w:vAlign w:val="bottom"/>
            <w:hideMark/>
          </w:tcPr>
          <w:p w14:paraId="20408825" w14:textId="77777777" w:rsidR="00251911" w:rsidRPr="00251911" w:rsidRDefault="00251911" w:rsidP="00251911">
            <w:pPr>
              <w:spacing w:after="0" w:line="240" w:lineRule="auto"/>
              <w:rPr>
                <w:rFonts w:ascii="Arimo" w:eastAsia="Times New Roman" w:hAnsi="Arimo" w:cs="Times New Roman"/>
                <w:color w:val="000000"/>
                <w:lang w:val="en-US"/>
              </w:rPr>
            </w:pPr>
            <w:r w:rsidRPr="00251911">
              <w:rPr>
                <w:rFonts w:ascii="Arimo" w:eastAsia="Times New Roman" w:hAnsi="Arimo" w:cs="Times New Roman"/>
                <w:color w:val="000000"/>
                <w:lang w:val="en-US"/>
              </w:rPr>
              <w:t>Trade Creditor</w:t>
            </w:r>
          </w:p>
        </w:tc>
        <w:tc>
          <w:tcPr>
            <w:tcW w:w="1841" w:type="dxa"/>
            <w:tcBorders>
              <w:top w:val="nil"/>
              <w:left w:val="nil"/>
              <w:bottom w:val="nil"/>
              <w:right w:val="nil"/>
            </w:tcBorders>
            <w:shd w:val="clear" w:color="auto" w:fill="4472C4" w:themeFill="accent1"/>
            <w:noWrap/>
            <w:vAlign w:val="bottom"/>
            <w:hideMark/>
          </w:tcPr>
          <w:p w14:paraId="66B3C4F6" w14:textId="77777777" w:rsidR="00251911" w:rsidRPr="00251911" w:rsidRDefault="00251911" w:rsidP="00251911">
            <w:pPr>
              <w:spacing w:after="0" w:line="240" w:lineRule="auto"/>
              <w:jc w:val="right"/>
              <w:rPr>
                <w:rFonts w:ascii="Arimo" w:eastAsia="Times New Roman" w:hAnsi="Arimo" w:cs="Times New Roman"/>
                <w:color w:val="000000"/>
                <w:lang w:val="en-US"/>
              </w:rPr>
            </w:pPr>
            <w:r w:rsidRPr="00251911">
              <w:rPr>
                <w:rFonts w:ascii="Arimo" w:eastAsia="Times New Roman" w:hAnsi="Arimo" w:cs="Times New Roman"/>
                <w:color w:val="000000"/>
                <w:lang w:val="en-US"/>
              </w:rPr>
              <w:t>34420</w:t>
            </w:r>
          </w:p>
        </w:tc>
        <w:tc>
          <w:tcPr>
            <w:tcW w:w="2835" w:type="dxa"/>
            <w:tcBorders>
              <w:top w:val="nil"/>
              <w:left w:val="nil"/>
              <w:bottom w:val="nil"/>
              <w:right w:val="nil"/>
            </w:tcBorders>
            <w:shd w:val="clear" w:color="auto" w:fill="4472C4" w:themeFill="accent1"/>
            <w:noWrap/>
            <w:vAlign w:val="bottom"/>
            <w:hideMark/>
          </w:tcPr>
          <w:p w14:paraId="19980330" w14:textId="77777777" w:rsidR="00251911" w:rsidRPr="00251911" w:rsidRDefault="00251911" w:rsidP="00251911">
            <w:pPr>
              <w:spacing w:after="0" w:line="240" w:lineRule="auto"/>
              <w:rPr>
                <w:rFonts w:ascii="Arimo" w:eastAsia="Times New Roman" w:hAnsi="Arimo" w:cs="Times New Roman"/>
                <w:color w:val="000000"/>
                <w:lang w:val="en-US"/>
              </w:rPr>
            </w:pPr>
            <w:r w:rsidRPr="00251911">
              <w:rPr>
                <w:rFonts w:ascii="Arimo" w:eastAsia="Times New Roman" w:hAnsi="Arimo" w:cs="Times New Roman"/>
                <w:color w:val="000000"/>
                <w:lang w:val="en-US"/>
              </w:rPr>
              <w:t>Cash at bank</w:t>
            </w:r>
          </w:p>
        </w:tc>
        <w:tc>
          <w:tcPr>
            <w:tcW w:w="1841" w:type="dxa"/>
            <w:tcBorders>
              <w:top w:val="nil"/>
              <w:left w:val="nil"/>
              <w:bottom w:val="nil"/>
              <w:right w:val="nil"/>
            </w:tcBorders>
            <w:shd w:val="clear" w:color="auto" w:fill="4472C4" w:themeFill="accent1"/>
            <w:noWrap/>
            <w:vAlign w:val="bottom"/>
            <w:hideMark/>
          </w:tcPr>
          <w:p w14:paraId="77BEF88A" w14:textId="77777777" w:rsidR="00251911" w:rsidRPr="00251911" w:rsidRDefault="00251911" w:rsidP="00251911">
            <w:pPr>
              <w:spacing w:after="0" w:line="240" w:lineRule="auto"/>
              <w:jc w:val="right"/>
              <w:rPr>
                <w:rFonts w:ascii="Arimo" w:eastAsia="Times New Roman" w:hAnsi="Arimo" w:cs="Times New Roman"/>
                <w:color w:val="000000"/>
                <w:lang w:val="en-US"/>
              </w:rPr>
            </w:pPr>
            <w:r w:rsidRPr="00251911">
              <w:rPr>
                <w:rFonts w:ascii="Arimo" w:eastAsia="Times New Roman" w:hAnsi="Arimo" w:cs="Times New Roman"/>
                <w:color w:val="000000"/>
                <w:lang w:val="en-US"/>
              </w:rPr>
              <w:t>82</w:t>
            </w:r>
          </w:p>
        </w:tc>
        <w:tc>
          <w:tcPr>
            <w:tcW w:w="83" w:type="dxa"/>
            <w:tcBorders>
              <w:top w:val="nil"/>
              <w:left w:val="nil"/>
              <w:bottom w:val="nil"/>
              <w:right w:val="nil"/>
            </w:tcBorders>
            <w:shd w:val="clear" w:color="auto" w:fill="auto"/>
            <w:noWrap/>
            <w:vAlign w:val="bottom"/>
            <w:hideMark/>
          </w:tcPr>
          <w:p w14:paraId="7451B77F" w14:textId="77777777" w:rsidR="00251911" w:rsidRPr="00251911" w:rsidRDefault="00251911" w:rsidP="00251911">
            <w:pPr>
              <w:spacing w:after="0" w:line="240" w:lineRule="auto"/>
              <w:jc w:val="right"/>
              <w:rPr>
                <w:rFonts w:ascii="Arimo" w:eastAsia="Times New Roman" w:hAnsi="Arimo" w:cs="Times New Roman"/>
                <w:color w:val="000000"/>
                <w:lang w:val="en-US"/>
              </w:rPr>
            </w:pPr>
          </w:p>
        </w:tc>
      </w:tr>
      <w:tr w:rsidR="00251911" w:rsidRPr="00251911" w14:paraId="4DD6181E" w14:textId="77777777" w:rsidTr="00251911">
        <w:trPr>
          <w:trHeight w:val="300"/>
        </w:trPr>
        <w:tc>
          <w:tcPr>
            <w:tcW w:w="3061" w:type="dxa"/>
            <w:tcBorders>
              <w:top w:val="nil"/>
              <w:left w:val="nil"/>
              <w:bottom w:val="nil"/>
              <w:right w:val="nil"/>
            </w:tcBorders>
            <w:shd w:val="clear" w:color="auto" w:fill="auto"/>
            <w:noWrap/>
            <w:vAlign w:val="bottom"/>
            <w:hideMark/>
          </w:tcPr>
          <w:p w14:paraId="672DBDFD" w14:textId="77777777" w:rsidR="00251911" w:rsidRPr="00251911" w:rsidRDefault="00251911" w:rsidP="00251911">
            <w:pPr>
              <w:spacing w:after="0" w:line="240" w:lineRule="auto"/>
              <w:rPr>
                <w:rFonts w:ascii="Times New Roman" w:eastAsia="Times New Roman" w:hAnsi="Times New Roman" w:cs="Times New Roman"/>
                <w:sz w:val="20"/>
                <w:szCs w:val="20"/>
                <w:lang w:val="en-US"/>
              </w:rPr>
            </w:pPr>
          </w:p>
        </w:tc>
        <w:tc>
          <w:tcPr>
            <w:tcW w:w="1841" w:type="dxa"/>
            <w:tcBorders>
              <w:top w:val="nil"/>
              <w:left w:val="nil"/>
              <w:bottom w:val="nil"/>
              <w:right w:val="nil"/>
            </w:tcBorders>
            <w:shd w:val="clear" w:color="auto" w:fill="FFFF00"/>
            <w:noWrap/>
            <w:vAlign w:val="bottom"/>
            <w:hideMark/>
          </w:tcPr>
          <w:p w14:paraId="60DE8CF7" w14:textId="77777777" w:rsidR="00251911" w:rsidRPr="00251911" w:rsidRDefault="00251911" w:rsidP="00251911">
            <w:pPr>
              <w:spacing w:after="0" w:line="240" w:lineRule="auto"/>
              <w:jc w:val="right"/>
              <w:rPr>
                <w:rFonts w:ascii="Arimo" w:eastAsia="Times New Roman" w:hAnsi="Arimo" w:cs="Times New Roman"/>
                <w:b/>
                <w:bCs/>
                <w:color w:val="000000"/>
                <w:lang w:val="en-US"/>
              </w:rPr>
            </w:pPr>
            <w:r w:rsidRPr="00251911">
              <w:rPr>
                <w:rFonts w:ascii="Arimo" w:eastAsia="Times New Roman" w:hAnsi="Arimo" w:cs="Times New Roman"/>
                <w:b/>
                <w:bCs/>
                <w:color w:val="000000"/>
                <w:lang w:val="en-US"/>
              </w:rPr>
              <w:t>50928</w:t>
            </w:r>
          </w:p>
        </w:tc>
        <w:tc>
          <w:tcPr>
            <w:tcW w:w="2835" w:type="dxa"/>
            <w:tcBorders>
              <w:top w:val="nil"/>
              <w:left w:val="nil"/>
              <w:bottom w:val="nil"/>
              <w:right w:val="nil"/>
            </w:tcBorders>
            <w:shd w:val="clear" w:color="auto" w:fill="FFFF00"/>
            <w:noWrap/>
            <w:vAlign w:val="bottom"/>
            <w:hideMark/>
          </w:tcPr>
          <w:p w14:paraId="54D2DBD0" w14:textId="77777777" w:rsidR="00251911" w:rsidRPr="00251911" w:rsidRDefault="00251911" w:rsidP="00251911">
            <w:pPr>
              <w:spacing w:after="0" w:line="240" w:lineRule="auto"/>
              <w:jc w:val="right"/>
              <w:rPr>
                <w:rFonts w:ascii="Arimo" w:eastAsia="Times New Roman" w:hAnsi="Arimo" w:cs="Times New Roman"/>
                <w:b/>
                <w:bCs/>
                <w:color w:val="000000"/>
                <w:lang w:val="en-US"/>
              </w:rPr>
            </w:pPr>
          </w:p>
        </w:tc>
        <w:tc>
          <w:tcPr>
            <w:tcW w:w="1841" w:type="dxa"/>
            <w:tcBorders>
              <w:top w:val="nil"/>
              <w:left w:val="nil"/>
              <w:bottom w:val="nil"/>
              <w:right w:val="nil"/>
            </w:tcBorders>
            <w:shd w:val="clear" w:color="auto" w:fill="FFFF00"/>
            <w:noWrap/>
            <w:vAlign w:val="bottom"/>
            <w:hideMark/>
          </w:tcPr>
          <w:p w14:paraId="38478C9C" w14:textId="77777777" w:rsidR="00251911" w:rsidRPr="00251911" w:rsidRDefault="00251911" w:rsidP="00251911">
            <w:pPr>
              <w:spacing w:after="0" w:line="240" w:lineRule="auto"/>
              <w:jc w:val="right"/>
              <w:rPr>
                <w:rFonts w:ascii="Arimo" w:eastAsia="Times New Roman" w:hAnsi="Arimo" w:cs="Times New Roman"/>
                <w:b/>
                <w:bCs/>
                <w:color w:val="000000"/>
                <w:lang w:val="en-US"/>
              </w:rPr>
            </w:pPr>
            <w:r w:rsidRPr="00251911">
              <w:rPr>
                <w:rFonts w:ascii="Arimo" w:eastAsia="Times New Roman" w:hAnsi="Arimo" w:cs="Times New Roman"/>
                <w:b/>
                <w:bCs/>
                <w:color w:val="000000"/>
                <w:lang w:val="en-US"/>
              </w:rPr>
              <w:t>50928</w:t>
            </w:r>
          </w:p>
        </w:tc>
        <w:tc>
          <w:tcPr>
            <w:tcW w:w="83" w:type="dxa"/>
            <w:tcBorders>
              <w:top w:val="nil"/>
              <w:left w:val="nil"/>
              <w:bottom w:val="nil"/>
              <w:right w:val="nil"/>
            </w:tcBorders>
            <w:shd w:val="clear" w:color="auto" w:fill="auto"/>
            <w:noWrap/>
            <w:vAlign w:val="bottom"/>
            <w:hideMark/>
          </w:tcPr>
          <w:p w14:paraId="2BEA128B" w14:textId="77777777" w:rsidR="00251911" w:rsidRPr="00251911" w:rsidRDefault="00251911" w:rsidP="00251911">
            <w:pPr>
              <w:spacing w:after="0" w:line="240" w:lineRule="auto"/>
              <w:jc w:val="right"/>
              <w:rPr>
                <w:rFonts w:ascii="Arimo" w:eastAsia="Times New Roman" w:hAnsi="Arimo" w:cs="Times New Roman"/>
                <w:b/>
                <w:bCs/>
                <w:color w:val="000000"/>
                <w:lang w:val="en-US"/>
              </w:rPr>
            </w:pPr>
          </w:p>
        </w:tc>
      </w:tr>
      <w:tr w:rsidR="00251911" w:rsidRPr="00251911" w14:paraId="6357A63A" w14:textId="77777777" w:rsidTr="00251911">
        <w:trPr>
          <w:trHeight w:val="285"/>
        </w:trPr>
        <w:tc>
          <w:tcPr>
            <w:tcW w:w="3061" w:type="dxa"/>
            <w:tcBorders>
              <w:top w:val="nil"/>
              <w:left w:val="nil"/>
              <w:bottom w:val="nil"/>
              <w:right w:val="nil"/>
            </w:tcBorders>
            <w:shd w:val="clear" w:color="auto" w:fill="auto"/>
            <w:noWrap/>
            <w:vAlign w:val="bottom"/>
            <w:hideMark/>
          </w:tcPr>
          <w:p w14:paraId="29680487" w14:textId="77777777" w:rsidR="00251911" w:rsidRPr="00251911" w:rsidRDefault="00251911" w:rsidP="00251911">
            <w:pPr>
              <w:spacing w:after="0" w:line="240" w:lineRule="auto"/>
              <w:rPr>
                <w:rFonts w:ascii="Times New Roman" w:eastAsia="Times New Roman" w:hAnsi="Times New Roman" w:cs="Times New Roman"/>
                <w:sz w:val="20"/>
                <w:szCs w:val="20"/>
                <w:lang w:val="en-US"/>
              </w:rPr>
            </w:pPr>
          </w:p>
        </w:tc>
        <w:tc>
          <w:tcPr>
            <w:tcW w:w="1841" w:type="dxa"/>
            <w:tcBorders>
              <w:top w:val="nil"/>
              <w:left w:val="nil"/>
              <w:bottom w:val="nil"/>
              <w:right w:val="nil"/>
            </w:tcBorders>
            <w:shd w:val="clear" w:color="auto" w:fill="FFFF00"/>
            <w:noWrap/>
            <w:vAlign w:val="bottom"/>
            <w:hideMark/>
          </w:tcPr>
          <w:p w14:paraId="1682696A" w14:textId="77777777" w:rsidR="00251911" w:rsidRPr="00251911" w:rsidRDefault="00251911" w:rsidP="00251911">
            <w:pPr>
              <w:spacing w:after="0" w:line="240" w:lineRule="auto"/>
              <w:rPr>
                <w:rFonts w:ascii="Times New Roman" w:eastAsia="Times New Roman" w:hAnsi="Times New Roman" w:cs="Times New Roman"/>
                <w:sz w:val="20"/>
                <w:szCs w:val="20"/>
                <w:lang w:val="en-US"/>
              </w:rPr>
            </w:pPr>
          </w:p>
        </w:tc>
        <w:tc>
          <w:tcPr>
            <w:tcW w:w="2835" w:type="dxa"/>
            <w:tcBorders>
              <w:top w:val="nil"/>
              <w:left w:val="nil"/>
              <w:bottom w:val="nil"/>
              <w:right w:val="nil"/>
            </w:tcBorders>
            <w:shd w:val="clear" w:color="auto" w:fill="FFFF00"/>
            <w:noWrap/>
            <w:vAlign w:val="bottom"/>
            <w:hideMark/>
          </w:tcPr>
          <w:p w14:paraId="2412CE18" w14:textId="77777777" w:rsidR="00251911" w:rsidRPr="00251911" w:rsidRDefault="00251911" w:rsidP="00251911">
            <w:pPr>
              <w:spacing w:after="0" w:line="240" w:lineRule="auto"/>
              <w:rPr>
                <w:rFonts w:ascii="Times New Roman" w:eastAsia="Times New Roman" w:hAnsi="Times New Roman" w:cs="Times New Roman"/>
                <w:sz w:val="20"/>
                <w:szCs w:val="20"/>
                <w:lang w:val="en-US"/>
              </w:rPr>
            </w:pPr>
          </w:p>
        </w:tc>
        <w:tc>
          <w:tcPr>
            <w:tcW w:w="1841" w:type="dxa"/>
            <w:tcBorders>
              <w:top w:val="nil"/>
              <w:left w:val="nil"/>
              <w:bottom w:val="nil"/>
              <w:right w:val="nil"/>
            </w:tcBorders>
            <w:shd w:val="clear" w:color="auto" w:fill="FFFF00"/>
            <w:noWrap/>
            <w:vAlign w:val="bottom"/>
            <w:hideMark/>
          </w:tcPr>
          <w:p w14:paraId="0079263F" w14:textId="77777777" w:rsidR="00251911" w:rsidRPr="00251911" w:rsidRDefault="00251911" w:rsidP="00251911">
            <w:pPr>
              <w:spacing w:after="0" w:line="240" w:lineRule="auto"/>
              <w:rPr>
                <w:rFonts w:ascii="Times New Roman" w:eastAsia="Times New Roman" w:hAnsi="Times New Roman" w:cs="Times New Roman"/>
                <w:sz w:val="20"/>
                <w:szCs w:val="20"/>
                <w:lang w:val="en-US"/>
              </w:rPr>
            </w:pPr>
          </w:p>
        </w:tc>
        <w:tc>
          <w:tcPr>
            <w:tcW w:w="83" w:type="dxa"/>
            <w:tcBorders>
              <w:top w:val="nil"/>
              <w:left w:val="nil"/>
              <w:bottom w:val="nil"/>
              <w:right w:val="nil"/>
            </w:tcBorders>
            <w:shd w:val="clear" w:color="auto" w:fill="auto"/>
            <w:noWrap/>
            <w:vAlign w:val="bottom"/>
            <w:hideMark/>
          </w:tcPr>
          <w:p w14:paraId="42BCE2DA" w14:textId="77777777" w:rsidR="00251911" w:rsidRPr="00251911" w:rsidRDefault="00251911" w:rsidP="00251911">
            <w:pPr>
              <w:spacing w:after="0" w:line="240" w:lineRule="auto"/>
              <w:rPr>
                <w:rFonts w:ascii="Times New Roman" w:eastAsia="Times New Roman" w:hAnsi="Times New Roman" w:cs="Times New Roman"/>
                <w:sz w:val="20"/>
                <w:szCs w:val="20"/>
                <w:lang w:val="en-US"/>
              </w:rPr>
            </w:pPr>
          </w:p>
        </w:tc>
      </w:tr>
      <w:tr w:rsidR="00251911" w:rsidRPr="00251911" w14:paraId="4E2C5549" w14:textId="77777777" w:rsidTr="00251911">
        <w:trPr>
          <w:trHeight w:val="285"/>
        </w:trPr>
        <w:tc>
          <w:tcPr>
            <w:tcW w:w="3061" w:type="dxa"/>
            <w:tcBorders>
              <w:top w:val="nil"/>
              <w:left w:val="nil"/>
              <w:bottom w:val="nil"/>
              <w:right w:val="nil"/>
            </w:tcBorders>
            <w:shd w:val="clear" w:color="auto" w:fill="auto"/>
            <w:noWrap/>
            <w:vAlign w:val="bottom"/>
          </w:tcPr>
          <w:p w14:paraId="4A4598D5" w14:textId="77777777" w:rsidR="00251911" w:rsidRPr="00251911" w:rsidRDefault="00251911" w:rsidP="00251911">
            <w:pPr>
              <w:spacing w:after="0" w:line="240" w:lineRule="auto"/>
              <w:rPr>
                <w:rFonts w:ascii="Times New Roman" w:eastAsia="Times New Roman" w:hAnsi="Times New Roman" w:cs="Times New Roman"/>
                <w:sz w:val="20"/>
                <w:szCs w:val="20"/>
                <w:lang w:val="en-US"/>
              </w:rPr>
            </w:pPr>
          </w:p>
        </w:tc>
        <w:tc>
          <w:tcPr>
            <w:tcW w:w="1841" w:type="dxa"/>
            <w:tcBorders>
              <w:top w:val="nil"/>
              <w:left w:val="nil"/>
              <w:bottom w:val="nil"/>
              <w:right w:val="nil"/>
            </w:tcBorders>
            <w:shd w:val="clear" w:color="auto" w:fill="FFFF00"/>
            <w:noWrap/>
            <w:vAlign w:val="bottom"/>
          </w:tcPr>
          <w:p w14:paraId="6B050861" w14:textId="77777777" w:rsidR="00251911" w:rsidRPr="00251911" w:rsidRDefault="00251911" w:rsidP="00251911">
            <w:pPr>
              <w:spacing w:after="0" w:line="240" w:lineRule="auto"/>
              <w:rPr>
                <w:rFonts w:ascii="Times New Roman" w:eastAsia="Times New Roman" w:hAnsi="Times New Roman" w:cs="Times New Roman"/>
                <w:sz w:val="20"/>
                <w:szCs w:val="20"/>
                <w:lang w:val="en-US"/>
              </w:rPr>
            </w:pPr>
          </w:p>
        </w:tc>
        <w:tc>
          <w:tcPr>
            <w:tcW w:w="2835" w:type="dxa"/>
            <w:tcBorders>
              <w:top w:val="nil"/>
              <w:left w:val="nil"/>
              <w:bottom w:val="nil"/>
              <w:right w:val="nil"/>
            </w:tcBorders>
            <w:shd w:val="clear" w:color="auto" w:fill="FFFF00"/>
            <w:noWrap/>
            <w:vAlign w:val="bottom"/>
          </w:tcPr>
          <w:p w14:paraId="3B1F6BBF" w14:textId="77777777" w:rsidR="00251911" w:rsidRPr="00251911" w:rsidRDefault="00251911" w:rsidP="00251911">
            <w:pPr>
              <w:spacing w:after="0" w:line="240" w:lineRule="auto"/>
              <w:rPr>
                <w:rFonts w:ascii="Times New Roman" w:eastAsia="Times New Roman" w:hAnsi="Times New Roman" w:cs="Times New Roman"/>
                <w:sz w:val="20"/>
                <w:szCs w:val="20"/>
                <w:lang w:val="en-US"/>
              </w:rPr>
            </w:pPr>
          </w:p>
        </w:tc>
        <w:tc>
          <w:tcPr>
            <w:tcW w:w="1841" w:type="dxa"/>
            <w:tcBorders>
              <w:top w:val="nil"/>
              <w:left w:val="nil"/>
              <w:bottom w:val="nil"/>
              <w:right w:val="nil"/>
            </w:tcBorders>
            <w:shd w:val="clear" w:color="auto" w:fill="FFFF00"/>
            <w:noWrap/>
            <w:vAlign w:val="bottom"/>
          </w:tcPr>
          <w:p w14:paraId="3F7557A0" w14:textId="77777777" w:rsidR="00251911" w:rsidRPr="00251911" w:rsidRDefault="00251911" w:rsidP="00251911">
            <w:pPr>
              <w:spacing w:after="0" w:line="240" w:lineRule="auto"/>
              <w:rPr>
                <w:rFonts w:ascii="Times New Roman" w:eastAsia="Times New Roman" w:hAnsi="Times New Roman" w:cs="Times New Roman"/>
                <w:sz w:val="20"/>
                <w:szCs w:val="20"/>
                <w:lang w:val="en-US"/>
              </w:rPr>
            </w:pPr>
          </w:p>
        </w:tc>
        <w:tc>
          <w:tcPr>
            <w:tcW w:w="83" w:type="dxa"/>
            <w:tcBorders>
              <w:top w:val="nil"/>
              <w:left w:val="nil"/>
              <w:bottom w:val="nil"/>
              <w:right w:val="nil"/>
            </w:tcBorders>
            <w:shd w:val="clear" w:color="auto" w:fill="auto"/>
            <w:noWrap/>
            <w:vAlign w:val="bottom"/>
          </w:tcPr>
          <w:p w14:paraId="13AF7BC8" w14:textId="77777777" w:rsidR="00251911" w:rsidRPr="00251911" w:rsidRDefault="00251911" w:rsidP="00251911">
            <w:pPr>
              <w:spacing w:after="0" w:line="240" w:lineRule="auto"/>
              <w:rPr>
                <w:rFonts w:ascii="Times New Roman" w:eastAsia="Times New Roman" w:hAnsi="Times New Roman" w:cs="Times New Roman"/>
                <w:sz w:val="20"/>
                <w:szCs w:val="20"/>
                <w:lang w:val="en-US"/>
              </w:rPr>
            </w:pPr>
          </w:p>
        </w:tc>
      </w:tr>
    </w:tbl>
    <w:p w14:paraId="3490ECFE" w14:textId="04D9F11A" w:rsidR="00251911" w:rsidRDefault="00251911" w:rsidP="00251911">
      <w:pPr>
        <w:suppressAutoHyphens/>
        <w:spacing w:after="0" w:line="360" w:lineRule="auto"/>
        <w:jc w:val="both"/>
        <w:rPr>
          <w:rFonts w:ascii="Times New Roman" w:eastAsia="Calibri" w:hAnsi="Times New Roman" w:cs="Times New Roman"/>
          <w:color w:val="000000"/>
          <w:sz w:val="24"/>
          <w:lang w:eastAsia="ar-SA"/>
        </w:rPr>
      </w:pPr>
    </w:p>
    <w:p w14:paraId="38032373" w14:textId="3A6D9714" w:rsidR="00251911" w:rsidRPr="00251911" w:rsidRDefault="00251911" w:rsidP="00251911">
      <w:pPr>
        <w:suppressAutoHyphens/>
        <w:spacing w:after="0" w:line="360" w:lineRule="auto"/>
        <w:jc w:val="both"/>
        <w:rPr>
          <w:rFonts w:ascii="Times New Roman" w:eastAsia="Calibri" w:hAnsi="Times New Roman" w:cs="Times New Roman"/>
          <w:b/>
          <w:bCs/>
          <w:color w:val="000000"/>
          <w:sz w:val="24"/>
          <w:lang w:eastAsia="ar-SA"/>
        </w:rPr>
      </w:pPr>
      <w:r w:rsidRPr="00251911">
        <w:rPr>
          <w:rFonts w:ascii="Times New Roman" w:eastAsia="Calibri" w:hAnsi="Times New Roman" w:cs="Times New Roman"/>
          <w:b/>
          <w:bCs/>
          <w:color w:val="000000"/>
          <w:sz w:val="24"/>
          <w:lang w:eastAsia="ar-SA"/>
        </w:rPr>
        <w:t>The concept of accounting theory. Consistency, materiality, monetary unit and going concern</w:t>
      </w:r>
    </w:p>
    <w:p w14:paraId="64CF6473" w14:textId="5B9E09DC" w:rsidR="00023572" w:rsidRPr="00034E61" w:rsidRDefault="00251911" w:rsidP="000B51B3">
      <w:pPr>
        <w:spacing w:line="360" w:lineRule="auto"/>
        <w:jc w:val="both"/>
        <w:rPr>
          <w:rFonts w:ascii="Arial" w:hAnsi="Arial" w:cs="Arial"/>
        </w:rPr>
      </w:pPr>
      <w:r w:rsidRPr="00034E61">
        <w:rPr>
          <w:rFonts w:ascii="Arial" w:hAnsi="Arial" w:cs="Arial"/>
        </w:rPr>
        <w:t>Accounting principles are a collection of standards that an organisation must follow in order to comply with legal requirements for the preparation of financial reports. These principles are designed to simplify the process of understanding by standardising the phrases and procedures that are used in accounting</w:t>
      </w:r>
      <w:r w:rsidRPr="00034E61">
        <w:rPr>
          <w:rFonts w:ascii="Arial" w:hAnsi="Arial" w:cs="Arial"/>
        </w:rPr>
        <w:t xml:space="preserve"> (</w:t>
      </w:r>
      <w:r w:rsidRPr="00034E61">
        <w:rPr>
          <w:rFonts w:ascii="Arial" w:hAnsi="Arial" w:cs="Arial"/>
          <w:i/>
          <w:iCs/>
        </w:rPr>
        <w:t xml:space="preserve">Semenyshena, </w:t>
      </w:r>
      <w:r w:rsidRPr="00034E61">
        <w:rPr>
          <w:rFonts w:ascii="Arial" w:hAnsi="Arial" w:cs="Arial"/>
          <w:i/>
          <w:iCs/>
        </w:rPr>
        <w:t xml:space="preserve">and </w:t>
      </w:r>
      <w:r w:rsidRPr="00034E61">
        <w:rPr>
          <w:rFonts w:ascii="Arial" w:hAnsi="Arial" w:cs="Arial"/>
          <w:i/>
          <w:iCs/>
        </w:rPr>
        <w:t xml:space="preserve"> Khorunzhak</w:t>
      </w:r>
      <w:r w:rsidRPr="00034E61">
        <w:rPr>
          <w:rFonts w:ascii="Arial" w:hAnsi="Arial" w:cs="Arial"/>
          <w:i/>
          <w:iCs/>
        </w:rPr>
        <w:t>, 2020).</w:t>
      </w:r>
      <w:r w:rsidRPr="00034E61">
        <w:rPr>
          <w:rFonts w:ascii="Arial" w:hAnsi="Arial" w:cs="Arial"/>
        </w:rPr>
        <w:t xml:space="preserve"> </w:t>
      </w:r>
      <w:r w:rsidRPr="00034E61">
        <w:rPr>
          <w:rFonts w:ascii="Arial" w:hAnsi="Arial" w:cs="Arial"/>
        </w:rPr>
        <w:t xml:space="preserve"> These accounting rules ensure that the books of accounts are accurate and well organised. Accounting in the records of organisations in the United Kingdom is performed using a programme called the Financial Reporting System (FRS). The International Accounting Standards Board (IASB) is the organisation responsible for developing global reporting initiative standards for financial statements (IFRS)</w:t>
      </w:r>
      <w:r w:rsidR="004A1C69" w:rsidRPr="00034E61">
        <w:rPr>
          <w:rFonts w:ascii="Arial" w:hAnsi="Arial" w:cs="Arial"/>
        </w:rPr>
        <w:t xml:space="preserve"> </w:t>
      </w:r>
      <w:r w:rsidR="004A1C69" w:rsidRPr="00034E61">
        <w:rPr>
          <w:rFonts w:ascii="Arial" w:hAnsi="Arial" w:cs="Arial"/>
          <w:i/>
          <w:iCs/>
        </w:rPr>
        <w:t>(</w:t>
      </w:r>
      <w:r w:rsidR="004A1C69" w:rsidRPr="00034E61">
        <w:rPr>
          <w:rFonts w:ascii="Arial" w:hAnsi="Arial" w:cs="Arial"/>
          <w:i/>
          <w:iCs/>
        </w:rPr>
        <w:t xml:space="preserve"> Lee</w:t>
      </w:r>
      <w:r w:rsidR="004A1C69" w:rsidRPr="00034E61">
        <w:rPr>
          <w:rFonts w:ascii="Arial" w:hAnsi="Arial" w:cs="Arial"/>
          <w:i/>
          <w:iCs/>
        </w:rPr>
        <w:t>, 2020).</w:t>
      </w:r>
      <w:r w:rsidR="004A1C69" w:rsidRPr="00034E61">
        <w:rPr>
          <w:rFonts w:ascii="Arial" w:hAnsi="Arial" w:cs="Arial"/>
        </w:rPr>
        <w:t xml:space="preserve"> </w:t>
      </w:r>
      <w:r w:rsidRPr="00034E61">
        <w:rPr>
          <w:rFonts w:ascii="Arial" w:hAnsi="Arial" w:cs="Arial"/>
        </w:rPr>
        <w:t xml:space="preserve"> The most essential principles are:</w:t>
      </w:r>
    </w:p>
    <w:p w14:paraId="408F197D" w14:textId="15CBFF40" w:rsidR="004A1C69" w:rsidRPr="00034E61" w:rsidRDefault="004A1C69" w:rsidP="004A1C69">
      <w:pPr>
        <w:spacing w:line="360" w:lineRule="auto"/>
        <w:jc w:val="both"/>
        <w:rPr>
          <w:rFonts w:ascii="Arial" w:hAnsi="Arial" w:cs="Arial"/>
        </w:rPr>
      </w:pPr>
      <w:r w:rsidRPr="00034E61">
        <w:rPr>
          <w:rFonts w:ascii="Arial" w:hAnsi="Arial" w:cs="Arial"/>
        </w:rPr>
        <w:t>The accrual principle specifies that all costs relating to a specific term, regardless of whether they have been paid for or not, must be reported within that year.</w:t>
      </w:r>
    </w:p>
    <w:p w14:paraId="217D566F" w14:textId="19197701" w:rsidR="004A1C69" w:rsidRPr="00034E61" w:rsidRDefault="004A1C69" w:rsidP="004A1C69">
      <w:pPr>
        <w:spacing w:line="360" w:lineRule="auto"/>
        <w:jc w:val="both"/>
        <w:rPr>
          <w:rFonts w:ascii="Arial" w:hAnsi="Arial" w:cs="Arial"/>
        </w:rPr>
      </w:pPr>
      <w:r w:rsidRPr="00034E61">
        <w:rPr>
          <w:rFonts w:ascii="Arial" w:hAnsi="Arial" w:cs="Arial"/>
        </w:rPr>
        <w:t>• The principles of conservatism state that all projected losses should be completely rewritten, but all potential profits should not be reported. This is in accordance with the concept known as "conservatism principles."</w:t>
      </w:r>
      <w:r w:rsidR="00EE31F8" w:rsidRPr="00034E61">
        <w:rPr>
          <w:rFonts w:ascii="Arial" w:hAnsi="Arial" w:cs="Arial"/>
        </w:rPr>
        <w:t xml:space="preserve"> (</w:t>
      </w:r>
      <w:r w:rsidR="00EE31F8" w:rsidRPr="00034E61">
        <w:rPr>
          <w:rFonts w:ascii="Arial" w:hAnsi="Arial" w:cs="Arial"/>
          <w:i/>
          <w:iCs/>
        </w:rPr>
        <w:t xml:space="preserve">Fleischman, </w:t>
      </w:r>
      <w:r w:rsidR="00EE31F8" w:rsidRPr="00034E61">
        <w:rPr>
          <w:rFonts w:ascii="Arial" w:hAnsi="Arial" w:cs="Arial"/>
          <w:i/>
          <w:iCs/>
        </w:rPr>
        <w:t xml:space="preserve">and </w:t>
      </w:r>
      <w:r w:rsidR="00EE31F8" w:rsidRPr="00034E61">
        <w:rPr>
          <w:rFonts w:ascii="Arial" w:hAnsi="Arial" w:cs="Arial"/>
          <w:i/>
          <w:iCs/>
        </w:rPr>
        <w:t xml:space="preserve"> McLean</w:t>
      </w:r>
      <w:r w:rsidR="00EE31F8" w:rsidRPr="00034E61">
        <w:rPr>
          <w:rFonts w:ascii="Arial" w:hAnsi="Arial" w:cs="Arial"/>
          <w:i/>
          <w:iCs/>
        </w:rPr>
        <w:t xml:space="preserve">, 2020). </w:t>
      </w:r>
    </w:p>
    <w:p w14:paraId="507FACCE" w14:textId="3DBC86F0" w:rsidR="004A1C69" w:rsidRPr="00034E61" w:rsidRDefault="004A1C69" w:rsidP="004A1C69">
      <w:pPr>
        <w:spacing w:line="360" w:lineRule="auto"/>
        <w:jc w:val="both"/>
        <w:rPr>
          <w:rFonts w:ascii="Arial" w:hAnsi="Arial" w:cs="Arial"/>
        </w:rPr>
      </w:pPr>
      <w:r w:rsidRPr="00034E61">
        <w:rPr>
          <w:rFonts w:ascii="Arial" w:hAnsi="Arial" w:cs="Arial"/>
        </w:rPr>
        <w:t>• The cost principle states that the value of any asset should be documented at its historical or initial cost.</w:t>
      </w:r>
    </w:p>
    <w:p w14:paraId="40704F95" w14:textId="55143AD7" w:rsidR="004A1C69" w:rsidRPr="00034E61" w:rsidRDefault="004A1C69" w:rsidP="004A1C69">
      <w:pPr>
        <w:spacing w:line="360" w:lineRule="auto"/>
        <w:jc w:val="both"/>
        <w:rPr>
          <w:rFonts w:ascii="Arial" w:hAnsi="Arial" w:cs="Arial"/>
        </w:rPr>
      </w:pPr>
      <w:r w:rsidRPr="00034E61">
        <w:rPr>
          <w:rFonts w:ascii="Arial" w:hAnsi="Arial" w:cs="Arial"/>
        </w:rPr>
        <w:t>• The idea of an economic entity says that a company should be seen as a separate legal entity from its shareholders or owners</w:t>
      </w:r>
      <w:r w:rsidRPr="00034E61">
        <w:rPr>
          <w:rFonts w:ascii="Arial" w:hAnsi="Arial" w:cs="Arial"/>
        </w:rPr>
        <w:t xml:space="preserve"> (</w:t>
      </w:r>
      <w:r w:rsidRPr="00034E61">
        <w:rPr>
          <w:rFonts w:ascii="Arial" w:hAnsi="Arial" w:cs="Arial"/>
          <w:i/>
          <w:iCs/>
        </w:rPr>
        <w:t>Breton</w:t>
      </w:r>
      <w:r w:rsidRPr="00034E61">
        <w:rPr>
          <w:rFonts w:ascii="Arial" w:hAnsi="Arial" w:cs="Arial"/>
          <w:i/>
          <w:iCs/>
        </w:rPr>
        <w:t>, 2018).</w:t>
      </w:r>
      <w:r w:rsidRPr="00034E61">
        <w:rPr>
          <w:rFonts w:ascii="Arial" w:hAnsi="Arial" w:cs="Arial"/>
        </w:rPr>
        <w:t xml:space="preserve"> </w:t>
      </w:r>
    </w:p>
    <w:p w14:paraId="2239C680" w14:textId="735133A4" w:rsidR="004A1C69" w:rsidRPr="00034E61" w:rsidRDefault="004A1C69" w:rsidP="004A1C69">
      <w:pPr>
        <w:spacing w:line="360" w:lineRule="auto"/>
        <w:jc w:val="both"/>
        <w:rPr>
          <w:rFonts w:ascii="Arial" w:hAnsi="Arial" w:cs="Arial"/>
        </w:rPr>
      </w:pPr>
      <w:r w:rsidRPr="00034E61">
        <w:rPr>
          <w:rFonts w:ascii="Arial" w:hAnsi="Arial" w:cs="Arial"/>
        </w:rPr>
        <w:lastRenderedPageBreak/>
        <w:t>• The concept of full disclosure instructs the company to share all of the data in a way that is complete, fair, and accessible.</w:t>
      </w:r>
    </w:p>
    <w:p w14:paraId="76EA5F9C" w14:textId="0D371923" w:rsidR="004A1C69" w:rsidRPr="00034E61" w:rsidRDefault="004A1C69" w:rsidP="004A1C69">
      <w:pPr>
        <w:spacing w:line="360" w:lineRule="auto"/>
        <w:jc w:val="both"/>
        <w:rPr>
          <w:rFonts w:ascii="Arial" w:hAnsi="Arial" w:cs="Arial"/>
        </w:rPr>
      </w:pPr>
      <w:r w:rsidRPr="00034E61">
        <w:rPr>
          <w:rFonts w:ascii="Arial" w:hAnsi="Arial" w:cs="Arial"/>
        </w:rPr>
        <w:t>• The concept is the notion that serves as proof that a corporation is going to continue operating for an indeterminate length of time.</w:t>
      </w:r>
    </w:p>
    <w:p w14:paraId="58ED2CF0" w14:textId="7DC5F955" w:rsidR="004A1C69" w:rsidRPr="00034E61" w:rsidRDefault="004A1C69" w:rsidP="004A1C69">
      <w:pPr>
        <w:spacing w:line="360" w:lineRule="auto"/>
        <w:jc w:val="both"/>
        <w:rPr>
          <w:rFonts w:ascii="Arial" w:hAnsi="Arial" w:cs="Arial"/>
        </w:rPr>
      </w:pPr>
      <w:r w:rsidRPr="00034E61">
        <w:rPr>
          <w:rFonts w:ascii="Arial" w:hAnsi="Arial" w:cs="Arial"/>
        </w:rPr>
        <w:t>• The concept of matching dictates that the books of account must be balanced on both the debit and credit sides. This is known as the dual component of the books of account. As a result, the debit part of the financial statements has to correspond with the cost sid</w:t>
      </w:r>
      <w:r w:rsidR="00EE31F8" w:rsidRPr="00034E61">
        <w:rPr>
          <w:rFonts w:ascii="Arial" w:hAnsi="Arial" w:cs="Arial"/>
        </w:rPr>
        <w:t>e (</w:t>
      </w:r>
      <w:r w:rsidR="00EE31F8" w:rsidRPr="00034E61">
        <w:rPr>
          <w:rFonts w:ascii="Arial" w:hAnsi="Arial" w:cs="Arial"/>
          <w:i/>
          <w:iCs/>
        </w:rPr>
        <w:t>Akat'eva</w:t>
      </w:r>
      <w:r w:rsidR="00EE31F8" w:rsidRPr="00034E61">
        <w:rPr>
          <w:rFonts w:ascii="Arial" w:hAnsi="Arial" w:cs="Arial"/>
          <w:i/>
          <w:iCs/>
        </w:rPr>
        <w:t>, 2018).</w:t>
      </w:r>
      <w:r w:rsidR="00EE31F8" w:rsidRPr="00034E61">
        <w:rPr>
          <w:rFonts w:ascii="Arial" w:hAnsi="Arial" w:cs="Arial"/>
        </w:rPr>
        <w:t xml:space="preserve"> </w:t>
      </w:r>
    </w:p>
    <w:p w14:paraId="527BCD14" w14:textId="21767B03" w:rsidR="00D156A2" w:rsidRPr="00034E61" w:rsidRDefault="00D156A2" w:rsidP="00D156A2">
      <w:pPr>
        <w:spacing w:line="360" w:lineRule="auto"/>
        <w:jc w:val="both"/>
        <w:rPr>
          <w:rFonts w:ascii="Arial" w:hAnsi="Arial" w:cs="Arial"/>
        </w:rPr>
      </w:pPr>
      <w:r w:rsidRPr="00034E61">
        <w:rPr>
          <w:rFonts w:ascii="Arial" w:hAnsi="Arial" w:cs="Arial"/>
        </w:rPr>
        <w:t>The concept of materiality states that any important data that might have an impact on the choices that investors make must be made public.</w:t>
      </w:r>
    </w:p>
    <w:p w14:paraId="68955075" w14:textId="5959D74A" w:rsidR="00D156A2" w:rsidRPr="00034E61" w:rsidRDefault="00D156A2" w:rsidP="00D156A2">
      <w:pPr>
        <w:spacing w:line="360" w:lineRule="auto"/>
        <w:jc w:val="both"/>
        <w:rPr>
          <w:rFonts w:ascii="Arial" w:hAnsi="Arial" w:cs="Arial"/>
        </w:rPr>
      </w:pPr>
      <w:r w:rsidRPr="00034E61">
        <w:rPr>
          <w:rFonts w:ascii="Arial" w:hAnsi="Arial" w:cs="Arial"/>
        </w:rPr>
        <w:t>• The monetary unit principle is the idea that every activity that can be measured in terms of currency should be documented. This principle implies that transactions should be recorded.</w:t>
      </w:r>
    </w:p>
    <w:p w14:paraId="05F7B239" w14:textId="66A50A5F" w:rsidR="00D156A2" w:rsidRPr="00034E61" w:rsidRDefault="00D156A2" w:rsidP="00D156A2">
      <w:pPr>
        <w:spacing w:line="360" w:lineRule="auto"/>
        <w:jc w:val="both"/>
        <w:rPr>
          <w:rFonts w:ascii="Arial" w:hAnsi="Arial" w:cs="Arial"/>
        </w:rPr>
      </w:pPr>
      <w:r w:rsidRPr="00034E61">
        <w:rPr>
          <w:rFonts w:ascii="Arial" w:hAnsi="Arial" w:cs="Arial"/>
        </w:rPr>
        <w:t>• The concept of reliability stipulates that every entry in an organization's accounting records must be supported by documentation or a proof in order for such entries to be included.</w:t>
      </w:r>
    </w:p>
    <w:p w14:paraId="76935158" w14:textId="48B99C88" w:rsidR="00D156A2" w:rsidRPr="00034E61" w:rsidRDefault="00D156A2" w:rsidP="00D156A2">
      <w:pPr>
        <w:spacing w:line="360" w:lineRule="auto"/>
        <w:jc w:val="both"/>
        <w:rPr>
          <w:rFonts w:ascii="Arial" w:hAnsi="Arial" w:cs="Arial"/>
        </w:rPr>
      </w:pPr>
      <w:r w:rsidRPr="00034E61">
        <w:rPr>
          <w:rFonts w:ascii="Arial" w:hAnsi="Arial" w:cs="Arial"/>
        </w:rPr>
        <w:t>• The principle of income statements says that all of an organization's income for a certain time period should be included in the financial statement for the same year it was earned.</w:t>
      </w:r>
      <w:r w:rsidRPr="00034E61">
        <w:rPr>
          <w:rFonts w:ascii="Arial" w:hAnsi="Arial" w:cs="Arial"/>
        </w:rPr>
        <w:t xml:space="preserve"> (</w:t>
      </w:r>
      <w:r w:rsidRPr="00034E61">
        <w:rPr>
          <w:rFonts w:ascii="Arial" w:hAnsi="Arial" w:cs="Arial"/>
          <w:i/>
          <w:iCs/>
        </w:rPr>
        <w:t>Baldvinsdottir,</w:t>
      </w:r>
      <w:r w:rsidRPr="00034E61">
        <w:rPr>
          <w:rFonts w:ascii="Arial" w:hAnsi="Arial" w:cs="Arial"/>
          <w:i/>
          <w:iCs/>
        </w:rPr>
        <w:t xml:space="preserve"> et. al., 2010).</w:t>
      </w:r>
      <w:r w:rsidRPr="00034E61">
        <w:rPr>
          <w:rFonts w:ascii="Arial" w:hAnsi="Arial" w:cs="Arial"/>
        </w:rPr>
        <w:t xml:space="preserve"> </w:t>
      </w:r>
    </w:p>
    <w:p w14:paraId="2EFB336E" w14:textId="3EBBD6B3" w:rsidR="00EE31F8" w:rsidRPr="00034E61" w:rsidRDefault="00D156A2" w:rsidP="00D156A2">
      <w:pPr>
        <w:spacing w:line="360" w:lineRule="auto"/>
        <w:jc w:val="both"/>
        <w:rPr>
          <w:rFonts w:ascii="Arial" w:hAnsi="Arial" w:cs="Arial"/>
        </w:rPr>
      </w:pPr>
      <w:r w:rsidRPr="00034E61">
        <w:rPr>
          <w:rFonts w:ascii="Arial" w:hAnsi="Arial" w:cs="Arial"/>
        </w:rPr>
        <w:t>•According to the timeframe concept, accounting is performed for a predetermined amount of time, which may be either six or twelve months. in order to ensure that final statements are produced within a certain amount of time. In addition, for the purpose of satisfying tax obligations</w:t>
      </w:r>
      <w:r w:rsidRPr="00034E61">
        <w:rPr>
          <w:rFonts w:ascii="Arial" w:hAnsi="Arial" w:cs="Arial"/>
        </w:rPr>
        <w:t xml:space="preserve"> (</w:t>
      </w:r>
      <w:r w:rsidRPr="00034E61">
        <w:rPr>
          <w:rFonts w:ascii="Arial" w:hAnsi="Arial" w:cs="Arial"/>
          <w:i/>
          <w:iCs/>
        </w:rPr>
        <w:t xml:space="preserve">Fleischman, </w:t>
      </w:r>
      <w:r w:rsidRPr="00034E61">
        <w:rPr>
          <w:rFonts w:ascii="Arial" w:hAnsi="Arial" w:cs="Arial"/>
          <w:i/>
          <w:iCs/>
        </w:rPr>
        <w:t>and</w:t>
      </w:r>
      <w:r w:rsidRPr="00034E61">
        <w:rPr>
          <w:rFonts w:ascii="Arial" w:hAnsi="Arial" w:cs="Arial"/>
          <w:i/>
          <w:iCs/>
        </w:rPr>
        <w:t xml:space="preserve"> McLean</w:t>
      </w:r>
      <w:r w:rsidRPr="00034E61">
        <w:rPr>
          <w:rFonts w:ascii="Arial" w:hAnsi="Arial" w:cs="Arial"/>
          <w:i/>
          <w:iCs/>
        </w:rPr>
        <w:t>, 2020).</w:t>
      </w:r>
      <w:r w:rsidRPr="00034E61">
        <w:rPr>
          <w:rFonts w:ascii="Arial" w:hAnsi="Arial" w:cs="Arial"/>
        </w:rPr>
        <w:t xml:space="preserve"> </w:t>
      </w:r>
    </w:p>
    <w:p w14:paraId="22EA1D7A" w14:textId="6FA98DC7" w:rsidR="00D156A2" w:rsidRPr="00034E61" w:rsidRDefault="00D156A2" w:rsidP="00D156A2">
      <w:pPr>
        <w:spacing w:line="360" w:lineRule="auto"/>
        <w:jc w:val="both"/>
        <w:rPr>
          <w:rFonts w:ascii="Arial" w:hAnsi="Arial" w:cs="Arial"/>
        </w:rPr>
      </w:pPr>
      <w:r w:rsidRPr="00034E61">
        <w:rPr>
          <w:rFonts w:ascii="Arial" w:hAnsi="Arial" w:cs="Arial"/>
        </w:rPr>
        <w:t>Accounting principles provide a methodical approach to the documentation of corporate transactions, which is only one of the many benefits they offe</w:t>
      </w:r>
      <w:r w:rsidR="00042873" w:rsidRPr="00034E61">
        <w:rPr>
          <w:rFonts w:ascii="Arial" w:hAnsi="Arial" w:cs="Arial"/>
        </w:rPr>
        <w:t xml:space="preserve">r </w:t>
      </w:r>
      <w:r w:rsidRPr="00034E61">
        <w:rPr>
          <w:rFonts w:ascii="Arial" w:hAnsi="Arial" w:cs="Arial"/>
        </w:rPr>
        <w:t xml:space="preserve"> </w:t>
      </w:r>
      <w:r w:rsidR="00042873" w:rsidRPr="00034E61">
        <w:rPr>
          <w:rFonts w:ascii="Arial" w:hAnsi="Arial" w:cs="Arial"/>
        </w:rPr>
        <w:t>(</w:t>
      </w:r>
      <w:r w:rsidR="00042873" w:rsidRPr="00034E61">
        <w:rPr>
          <w:rFonts w:ascii="Arial" w:hAnsi="Arial" w:cs="Arial"/>
          <w:i/>
          <w:iCs/>
        </w:rPr>
        <w:t xml:space="preserve">Crosson, </w:t>
      </w:r>
      <w:r w:rsidR="00042873" w:rsidRPr="00034E61">
        <w:rPr>
          <w:rFonts w:ascii="Arial" w:hAnsi="Arial" w:cs="Arial"/>
          <w:i/>
          <w:iCs/>
        </w:rPr>
        <w:t>and</w:t>
      </w:r>
      <w:r w:rsidR="00042873" w:rsidRPr="00034E61">
        <w:rPr>
          <w:rFonts w:ascii="Arial" w:hAnsi="Arial" w:cs="Arial"/>
          <w:i/>
          <w:iCs/>
        </w:rPr>
        <w:t xml:space="preserve"> Needles</w:t>
      </w:r>
      <w:r w:rsidR="00042873" w:rsidRPr="00034E61">
        <w:rPr>
          <w:rFonts w:ascii="Arial" w:hAnsi="Arial" w:cs="Arial"/>
          <w:i/>
          <w:iCs/>
        </w:rPr>
        <w:t>, 2014).</w:t>
      </w:r>
      <w:r w:rsidR="00042873" w:rsidRPr="00034E61">
        <w:rPr>
          <w:rFonts w:ascii="Arial" w:hAnsi="Arial" w:cs="Arial"/>
        </w:rPr>
        <w:t xml:space="preserve"> </w:t>
      </w:r>
      <w:r w:rsidRPr="00034E61">
        <w:rPr>
          <w:rFonts w:ascii="Arial" w:hAnsi="Arial" w:cs="Arial"/>
        </w:rPr>
        <w:t>The financial statements are prepared in accordance with the provided procedures and standards. It is helpful in making comparisons between the different financial statements. Accounting principles make it possible to compare different financial positions since they standardise and provide a correct method of accounting. This makes accounting an essential tool (</w:t>
      </w:r>
      <w:r w:rsidR="00042873" w:rsidRPr="00034E61">
        <w:rPr>
          <w:rFonts w:ascii="Arial" w:hAnsi="Arial" w:cs="Arial"/>
          <w:i/>
          <w:iCs/>
        </w:rPr>
        <w:t xml:space="preserve">Glautier, </w:t>
      </w:r>
      <w:r w:rsidR="00042873" w:rsidRPr="00034E61">
        <w:rPr>
          <w:rFonts w:ascii="Arial" w:hAnsi="Arial" w:cs="Arial"/>
          <w:i/>
          <w:iCs/>
        </w:rPr>
        <w:t>and</w:t>
      </w:r>
      <w:r w:rsidR="00042873" w:rsidRPr="00034E61">
        <w:rPr>
          <w:rFonts w:ascii="Arial" w:hAnsi="Arial" w:cs="Arial"/>
          <w:i/>
          <w:iCs/>
        </w:rPr>
        <w:t xml:space="preserve"> Underdown</w:t>
      </w:r>
      <w:r w:rsidR="00042873" w:rsidRPr="00034E61">
        <w:rPr>
          <w:rFonts w:ascii="Arial" w:hAnsi="Arial" w:cs="Arial"/>
          <w:i/>
          <w:iCs/>
        </w:rPr>
        <w:t>, 2001).</w:t>
      </w:r>
      <w:r w:rsidR="00042873" w:rsidRPr="00034E61">
        <w:rPr>
          <w:rFonts w:ascii="Arial" w:hAnsi="Arial" w:cs="Arial"/>
        </w:rPr>
        <w:t xml:space="preserve"> </w:t>
      </w:r>
      <w:r w:rsidRPr="00034E61">
        <w:rPr>
          <w:rFonts w:ascii="Arial" w:hAnsi="Arial" w:cs="Arial"/>
        </w:rPr>
        <w:t>Because these rules might be used in more than one country, the financial records will become even more important. In the event that a lawsuit is filed as proof, these deeds as evidence are relevant. An assessment of each of the organization's alternative investments and costs is provided so that this data may be put to use inside the company.</w:t>
      </w:r>
    </w:p>
    <w:p w14:paraId="472877D4" w14:textId="56B0EBE0" w:rsidR="00D156A2" w:rsidRPr="00034E61" w:rsidRDefault="00D156A2" w:rsidP="00D156A2">
      <w:pPr>
        <w:spacing w:line="360" w:lineRule="auto"/>
        <w:jc w:val="both"/>
        <w:rPr>
          <w:rFonts w:ascii="Arial" w:hAnsi="Arial" w:cs="Arial"/>
        </w:rPr>
      </w:pPr>
      <w:r w:rsidRPr="00034E61">
        <w:rPr>
          <w:rFonts w:ascii="Arial" w:hAnsi="Arial" w:cs="Arial"/>
        </w:rPr>
        <w:lastRenderedPageBreak/>
        <w:t>In order to remain in compliance with the standards, the accounting principles must be adhered to in a consistent and uninterrupted manner. The Generally Accepted Accounting Principles (GAAP) are a set of accounting principles that are applicable to all different kinds of businesses and organisations now operating in the economy</w:t>
      </w:r>
      <w:r w:rsidR="00042873" w:rsidRPr="00034E61">
        <w:rPr>
          <w:rFonts w:ascii="Arial" w:hAnsi="Arial" w:cs="Arial"/>
        </w:rPr>
        <w:t xml:space="preserve"> (</w:t>
      </w:r>
      <w:r w:rsidR="00042873" w:rsidRPr="00034E61">
        <w:rPr>
          <w:rFonts w:ascii="Arial" w:hAnsi="Arial" w:cs="Arial"/>
          <w:i/>
          <w:iCs/>
        </w:rPr>
        <w:t xml:space="preserve">Malmi, </w:t>
      </w:r>
      <w:r w:rsidR="00042873" w:rsidRPr="00034E61">
        <w:rPr>
          <w:rFonts w:ascii="Arial" w:hAnsi="Arial" w:cs="Arial"/>
          <w:i/>
          <w:iCs/>
        </w:rPr>
        <w:t>and</w:t>
      </w:r>
      <w:r w:rsidR="00042873" w:rsidRPr="00034E61">
        <w:rPr>
          <w:rFonts w:ascii="Arial" w:hAnsi="Arial" w:cs="Arial"/>
          <w:i/>
          <w:iCs/>
        </w:rPr>
        <w:t xml:space="preserve"> Granlund</w:t>
      </w:r>
      <w:r w:rsidR="00042873" w:rsidRPr="00034E61">
        <w:rPr>
          <w:rFonts w:ascii="Arial" w:hAnsi="Arial" w:cs="Arial"/>
          <w:i/>
          <w:iCs/>
        </w:rPr>
        <w:t>, 2009).</w:t>
      </w:r>
      <w:r w:rsidR="00042873" w:rsidRPr="00034E61">
        <w:rPr>
          <w:rFonts w:ascii="Arial" w:hAnsi="Arial" w:cs="Arial"/>
        </w:rPr>
        <w:t xml:space="preserve"> </w:t>
      </w:r>
      <w:r w:rsidRPr="00034E61">
        <w:rPr>
          <w:rFonts w:ascii="Arial" w:hAnsi="Arial" w:cs="Arial"/>
        </w:rPr>
        <w:t>The following is an explanation of some of the accounting principles:</w:t>
      </w:r>
    </w:p>
    <w:p w14:paraId="5C55CF75" w14:textId="230CED4D" w:rsidR="00042873" w:rsidRPr="00034E61" w:rsidRDefault="00633653" w:rsidP="00633653">
      <w:pPr>
        <w:spacing w:line="360" w:lineRule="auto"/>
        <w:jc w:val="both"/>
        <w:rPr>
          <w:rFonts w:ascii="Arial" w:hAnsi="Arial" w:cs="Arial"/>
        </w:rPr>
      </w:pPr>
      <w:r w:rsidRPr="00034E61">
        <w:rPr>
          <w:rFonts w:ascii="Arial" w:hAnsi="Arial" w:cs="Arial"/>
          <w:b/>
          <w:bCs/>
        </w:rPr>
        <w:t>1.</w:t>
      </w:r>
      <w:r w:rsidRPr="00034E61">
        <w:rPr>
          <w:rFonts w:ascii="Arial" w:hAnsi="Arial" w:cs="Arial"/>
          <w:b/>
          <w:bCs/>
        </w:rPr>
        <w:t>The Consistency Principle</w:t>
      </w:r>
      <w:r w:rsidRPr="00034E61">
        <w:rPr>
          <w:rFonts w:ascii="Arial" w:hAnsi="Arial" w:cs="Arial"/>
        </w:rPr>
        <w:t xml:space="preserve"> stipulates that a company or other organisation should continue to use the same accounting approach across all of the financial periods that it records. The use of this concept ensures that users of financial statements may correctly draw conclusions based on the information provided</w:t>
      </w:r>
      <w:r w:rsidRPr="00034E61">
        <w:rPr>
          <w:rFonts w:ascii="Arial" w:hAnsi="Arial" w:cs="Arial"/>
        </w:rPr>
        <w:t xml:space="preserve"> </w:t>
      </w:r>
      <w:r w:rsidRPr="00034E61">
        <w:rPr>
          <w:rFonts w:ascii="Arial" w:hAnsi="Arial" w:cs="Arial"/>
          <w:i/>
          <w:iCs/>
        </w:rPr>
        <w:t>(</w:t>
      </w:r>
      <w:r w:rsidRPr="00034E61">
        <w:rPr>
          <w:rFonts w:ascii="Arial" w:hAnsi="Arial" w:cs="Arial"/>
          <w:i/>
          <w:iCs/>
        </w:rPr>
        <w:t>Liao,</w:t>
      </w:r>
      <w:r w:rsidRPr="00034E61">
        <w:rPr>
          <w:rFonts w:ascii="Arial" w:hAnsi="Arial" w:cs="Arial"/>
          <w:i/>
          <w:iCs/>
        </w:rPr>
        <w:t xml:space="preserve"> et. al., 2020).</w:t>
      </w:r>
      <w:r w:rsidRPr="00034E61">
        <w:rPr>
          <w:rFonts w:ascii="Arial" w:hAnsi="Arial" w:cs="Arial"/>
        </w:rPr>
        <w:t xml:space="preserve"> </w:t>
      </w:r>
      <w:r w:rsidRPr="00034E61">
        <w:rPr>
          <w:rFonts w:ascii="Arial" w:hAnsi="Arial" w:cs="Arial"/>
        </w:rPr>
        <w:t xml:space="preserve"> Because adhering to a consistent set of accounting principles and processes makes it easier to carry out the process of accounting in a manner that is more methodical, the consistency principle is essential for a company, both from an accounting and an auditing perspective. When it comes to auditors, on the other hand, it is important to compare data in order to generate an accurate audit report of the company. In addition to this, it enables the company's owners and other stakeholders to develop confidence in the organisation and maintain openness. And to have faith that the firm in question runs an honest operation. In addition to this, it makes the financial report simpler to comprehend for them. The uniformity results in fewer opportunities for variances, which in turn leads to a report that is easier to read</w:t>
      </w:r>
      <w:r w:rsidRPr="00034E61">
        <w:rPr>
          <w:rFonts w:ascii="Arial" w:hAnsi="Arial" w:cs="Arial"/>
        </w:rPr>
        <w:t xml:space="preserve"> </w:t>
      </w:r>
      <w:r w:rsidRPr="00034E61">
        <w:rPr>
          <w:rFonts w:ascii="Arial" w:hAnsi="Arial" w:cs="Arial"/>
          <w:i/>
          <w:iCs/>
        </w:rPr>
        <w:t>(</w:t>
      </w:r>
      <w:r w:rsidRPr="00034E61">
        <w:rPr>
          <w:rFonts w:ascii="Arial" w:hAnsi="Arial" w:cs="Arial"/>
          <w:i/>
          <w:iCs/>
        </w:rPr>
        <w:t>Mangiameli</w:t>
      </w:r>
      <w:r w:rsidRPr="00034E61">
        <w:rPr>
          <w:rFonts w:ascii="Arial" w:hAnsi="Arial" w:cs="Arial"/>
          <w:i/>
          <w:iCs/>
        </w:rPr>
        <w:t>, 2021</w:t>
      </w:r>
      <w:r w:rsidRPr="00034E61">
        <w:rPr>
          <w:rFonts w:ascii="Arial" w:hAnsi="Arial" w:cs="Arial"/>
        </w:rPr>
        <w:t xml:space="preserve">). </w:t>
      </w:r>
      <w:r w:rsidRPr="00034E61">
        <w:rPr>
          <w:rFonts w:ascii="Arial" w:hAnsi="Arial" w:cs="Arial"/>
        </w:rPr>
        <w:t>This aids in making better decisions for the company's operations. </w:t>
      </w:r>
    </w:p>
    <w:p w14:paraId="5C40C16E" w14:textId="0DAAB9E6" w:rsidR="00633653" w:rsidRPr="00034E61" w:rsidRDefault="00633653" w:rsidP="00633653">
      <w:pPr>
        <w:spacing w:line="360" w:lineRule="auto"/>
        <w:jc w:val="both"/>
        <w:rPr>
          <w:rFonts w:ascii="Arial" w:hAnsi="Arial" w:cs="Arial"/>
        </w:rPr>
      </w:pPr>
      <w:r w:rsidRPr="00034E61">
        <w:rPr>
          <w:rFonts w:ascii="Arial" w:hAnsi="Arial" w:cs="Arial"/>
        </w:rPr>
        <w:t xml:space="preserve">Situations need modification of the accounting concept. Better financial statements imply more dependable, relevant data. Third, when the company owner or principal business changes. It helps bookkeepers register financial billing and invoicing for company finances. It helps auditors compare accounting period </w:t>
      </w:r>
      <w:r w:rsidR="00034E61" w:rsidRPr="00034E61">
        <w:rPr>
          <w:rFonts w:ascii="Arial" w:hAnsi="Arial" w:cs="Arial"/>
        </w:rPr>
        <w:t>data because</w:t>
      </w:r>
      <w:r w:rsidRPr="00034E61">
        <w:rPr>
          <w:rFonts w:ascii="Arial" w:hAnsi="Arial" w:cs="Arial"/>
        </w:rPr>
        <w:t xml:space="preserve"> various terms employ the same approach and criteria. Each one of these assists top-level managers in making effective, profitable judgments. This accounting approach reduces staff training and development costs by continually using the previous system</w:t>
      </w:r>
      <w:r w:rsidR="00CF09E7" w:rsidRPr="00034E61">
        <w:rPr>
          <w:rFonts w:ascii="Arial" w:hAnsi="Arial" w:cs="Arial"/>
        </w:rPr>
        <w:t xml:space="preserve"> (</w:t>
      </w:r>
      <w:r w:rsidR="00CF09E7" w:rsidRPr="00034E61">
        <w:rPr>
          <w:rFonts w:ascii="Arial" w:hAnsi="Arial" w:cs="Arial"/>
          <w:i/>
          <w:iCs/>
        </w:rPr>
        <w:t xml:space="preserve">Hideg, </w:t>
      </w:r>
      <w:r w:rsidR="00CF09E7" w:rsidRPr="00034E61">
        <w:rPr>
          <w:rFonts w:ascii="Arial" w:hAnsi="Arial" w:cs="Arial"/>
          <w:i/>
          <w:iCs/>
        </w:rPr>
        <w:t>and</w:t>
      </w:r>
      <w:r w:rsidR="00CF09E7" w:rsidRPr="00034E61">
        <w:rPr>
          <w:rFonts w:ascii="Arial" w:hAnsi="Arial" w:cs="Arial"/>
          <w:i/>
          <w:iCs/>
        </w:rPr>
        <w:t xml:space="preserve"> Ferris</w:t>
      </w:r>
      <w:r w:rsidR="00CF09E7" w:rsidRPr="00034E61">
        <w:rPr>
          <w:rFonts w:ascii="Arial" w:hAnsi="Arial" w:cs="Arial"/>
          <w:i/>
          <w:iCs/>
        </w:rPr>
        <w:t>, 2017).</w:t>
      </w:r>
      <w:r w:rsidR="00CF09E7" w:rsidRPr="00034E61">
        <w:rPr>
          <w:rFonts w:ascii="Arial" w:hAnsi="Arial" w:cs="Arial"/>
        </w:rPr>
        <w:t xml:space="preserve"> </w:t>
      </w:r>
      <w:r w:rsidRPr="00034E61">
        <w:rPr>
          <w:rFonts w:ascii="Arial" w:hAnsi="Arial" w:cs="Arial"/>
        </w:rPr>
        <w:t>Consistent accounting concepts help with financial situation comparisons.</w:t>
      </w:r>
    </w:p>
    <w:p w14:paraId="3B49708D" w14:textId="77777777" w:rsidR="00633653" w:rsidRPr="00034E61" w:rsidRDefault="00633653" w:rsidP="00633653">
      <w:pPr>
        <w:spacing w:line="360" w:lineRule="auto"/>
        <w:jc w:val="both"/>
        <w:rPr>
          <w:rFonts w:ascii="Arial" w:hAnsi="Arial" w:cs="Arial"/>
        </w:rPr>
      </w:pPr>
    </w:p>
    <w:p w14:paraId="41F866A2" w14:textId="42127C7C" w:rsidR="00633653" w:rsidRPr="00034E61" w:rsidRDefault="00633653" w:rsidP="00633653">
      <w:pPr>
        <w:spacing w:line="360" w:lineRule="auto"/>
        <w:jc w:val="both"/>
        <w:rPr>
          <w:rFonts w:ascii="Arial" w:hAnsi="Arial" w:cs="Arial"/>
        </w:rPr>
      </w:pPr>
      <w:r w:rsidRPr="00034E61">
        <w:rPr>
          <w:rFonts w:ascii="Arial" w:hAnsi="Arial" w:cs="Arial"/>
        </w:rPr>
        <w:t>In Angela's bed-and-bedding firm, various depreciation methods are used for various assets. Accounting processes and policies shouldn't change every year. rises from mistakes and fraud. makes comparisons and interpretations difficult.</w:t>
      </w:r>
    </w:p>
    <w:p w14:paraId="524BF5A5" w14:textId="79ED39C0" w:rsidR="00CF09E7" w:rsidRPr="00034E61" w:rsidRDefault="00CF09E7" w:rsidP="00CF09E7">
      <w:pPr>
        <w:spacing w:line="360" w:lineRule="auto"/>
        <w:jc w:val="both"/>
        <w:rPr>
          <w:rFonts w:ascii="Arial" w:hAnsi="Arial" w:cs="Arial"/>
        </w:rPr>
      </w:pPr>
      <w:r w:rsidRPr="00034E61">
        <w:rPr>
          <w:rFonts w:ascii="Arial" w:hAnsi="Arial" w:cs="Arial"/>
          <w:b/>
          <w:bCs/>
        </w:rPr>
        <w:t>2.</w:t>
      </w:r>
      <w:r w:rsidRPr="00034E61">
        <w:rPr>
          <w:rFonts w:ascii="Arial" w:hAnsi="Arial" w:cs="Arial"/>
          <w:b/>
          <w:bCs/>
        </w:rPr>
        <w:t>Materiality</w:t>
      </w:r>
      <w:r w:rsidRPr="00034E61">
        <w:rPr>
          <w:rFonts w:ascii="Arial" w:hAnsi="Arial" w:cs="Arial"/>
        </w:rPr>
        <w:t xml:space="preserve"> is a principle of accounting that indicates all goods that have the capacity to impact a shareholder's choice must be registered or reported in detail in a company's financial statements using common accounting principles (GAAP) standard</w:t>
      </w:r>
      <w:r w:rsidR="00A60DF1" w:rsidRPr="00034E61">
        <w:rPr>
          <w:rFonts w:ascii="Arial" w:hAnsi="Arial" w:cs="Arial"/>
        </w:rPr>
        <w:t xml:space="preserve"> (</w:t>
      </w:r>
      <w:r w:rsidR="00A60DF1" w:rsidRPr="00034E61">
        <w:rPr>
          <w:rFonts w:ascii="Arial" w:hAnsi="Arial" w:cs="Arial"/>
          <w:i/>
          <w:iCs/>
        </w:rPr>
        <w:t xml:space="preserve">Bennett, </w:t>
      </w:r>
      <w:r w:rsidR="00A60DF1" w:rsidRPr="00034E61">
        <w:rPr>
          <w:rFonts w:ascii="Arial" w:hAnsi="Arial" w:cs="Arial"/>
          <w:i/>
          <w:iCs/>
        </w:rPr>
        <w:t>and</w:t>
      </w:r>
      <w:r w:rsidR="00A60DF1" w:rsidRPr="00034E61">
        <w:rPr>
          <w:rFonts w:ascii="Arial" w:hAnsi="Arial" w:cs="Arial"/>
          <w:i/>
          <w:iCs/>
        </w:rPr>
        <w:t xml:space="preserve"> Hatfield</w:t>
      </w:r>
      <w:r w:rsidR="00A60DF1" w:rsidRPr="00034E61">
        <w:rPr>
          <w:rFonts w:ascii="Arial" w:hAnsi="Arial" w:cs="Arial"/>
          <w:i/>
          <w:iCs/>
        </w:rPr>
        <w:t xml:space="preserve">, </w:t>
      </w:r>
      <w:r w:rsidR="00A60DF1" w:rsidRPr="00034E61">
        <w:rPr>
          <w:rFonts w:ascii="Arial" w:hAnsi="Arial" w:cs="Arial"/>
          <w:i/>
          <w:iCs/>
        </w:rPr>
        <w:lastRenderedPageBreak/>
        <w:t xml:space="preserve">2017). </w:t>
      </w:r>
      <w:r w:rsidRPr="00034E61">
        <w:rPr>
          <w:rFonts w:ascii="Arial" w:hAnsi="Arial" w:cs="Arial"/>
        </w:rPr>
        <w:t>This principle requires that material information be disclosed in accordance with accounting standards principles (GAAP). </w:t>
      </w:r>
    </w:p>
    <w:p w14:paraId="5A3E733E" w14:textId="3603B68A" w:rsidR="00CF09E7" w:rsidRPr="00034E61" w:rsidRDefault="00CF09E7" w:rsidP="00CF09E7">
      <w:pPr>
        <w:spacing w:line="360" w:lineRule="auto"/>
        <w:jc w:val="both"/>
        <w:rPr>
          <w:rFonts w:ascii="Arial" w:hAnsi="Arial" w:cs="Arial"/>
        </w:rPr>
      </w:pPr>
      <w:r w:rsidRPr="00034E61">
        <w:rPr>
          <w:rFonts w:ascii="Arial" w:hAnsi="Arial" w:cs="Arial"/>
        </w:rPr>
        <w:t>The term "materiality" refers to the significance of the data that is included in an organization's balance sheet. It comes down to the fact that a certain business decision is important enough that it should be shared with the company's stakeholders and shareholders</w:t>
      </w:r>
      <w:r w:rsidR="00A60DF1" w:rsidRPr="00034E61">
        <w:rPr>
          <w:rFonts w:ascii="Arial" w:hAnsi="Arial" w:cs="Arial"/>
        </w:rPr>
        <w:t xml:space="preserve"> (</w:t>
      </w:r>
      <w:r w:rsidR="00A60DF1" w:rsidRPr="00034E61">
        <w:rPr>
          <w:rFonts w:ascii="Arial" w:hAnsi="Arial" w:cs="Arial"/>
          <w:i/>
          <w:iCs/>
        </w:rPr>
        <w:t>Whitehead</w:t>
      </w:r>
      <w:r w:rsidR="00A60DF1" w:rsidRPr="00034E61">
        <w:rPr>
          <w:rFonts w:ascii="Arial" w:hAnsi="Arial" w:cs="Arial"/>
          <w:i/>
          <w:iCs/>
        </w:rPr>
        <w:t>, 2017).</w:t>
      </w:r>
      <w:r w:rsidR="00A60DF1" w:rsidRPr="00034E61">
        <w:rPr>
          <w:rFonts w:ascii="Arial" w:hAnsi="Arial" w:cs="Arial"/>
        </w:rPr>
        <w:t xml:space="preserve"> </w:t>
      </w:r>
      <w:r w:rsidRPr="00034E61">
        <w:rPr>
          <w:rFonts w:ascii="Arial" w:hAnsi="Arial" w:cs="Arial"/>
        </w:rPr>
        <w:t xml:space="preserve"> This piece of information cannot be left out of the report because it is important enough. The idea of materiality is closely related to a number of other accounting rules, including</w:t>
      </w:r>
      <w:r w:rsidR="00A60DF1" w:rsidRPr="00034E61">
        <w:rPr>
          <w:rFonts w:ascii="Arial" w:hAnsi="Arial" w:cs="Arial"/>
        </w:rPr>
        <w:t xml:space="preserve">: </w:t>
      </w:r>
    </w:p>
    <w:p w14:paraId="1E59E0D8" w14:textId="6A7F15C8" w:rsidR="00A60DF1" w:rsidRPr="00034E61" w:rsidRDefault="00A60DF1" w:rsidP="00A60DF1">
      <w:pPr>
        <w:spacing w:line="360" w:lineRule="auto"/>
        <w:jc w:val="both"/>
        <w:rPr>
          <w:rFonts w:ascii="Arial" w:hAnsi="Arial" w:cs="Arial"/>
        </w:rPr>
      </w:pPr>
      <w:r w:rsidRPr="00034E61">
        <w:rPr>
          <w:rFonts w:ascii="Arial" w:hAnsi="Arial" w:cs="Arial"/>
        </w:rPr>
        <w:t xml:space="preserve"> 1.</w:t>
      </w:r>
      <w:r w:rsidRPr="00034E61">
        <w:rPr>
          <w:rFonts w:ascii="Arial" w:hAnsi="Arial" w:cs="Arial"/>
          <w:b/>
          <w:bCs/>
        </w:rPr>
        <w:t>Relevance</w:t>
      </w:r>
      <w:r w:rsidRPr="00034E61">
        <w:rPr>
          <w:rFonts w:ascii="Arial" w:hAnsi="Arial" w:cs="Arial"/>
        </w:rPr>
        <w:t xml:space="preserve"> is determined by whether or not the information in question has an effect on the users' financial choices; data that does so is said to be relevant to the stakeholders in the organization's financial da</w:t>
      </w:r>
      <w:r w:rsidRPr="00034E61">
        <w:rPr>
          <w:rFonts w:ascii="Arial" w:hAnsi="Arial" w:cs="Arial"/>
        </w:rPr>
        <w:t>ta</w:t>
      </w:r>
      <w:r w:rsidRPr="00034E61">
        <w:rPr>
          <w:rFonts w:ascii="Arial" w:hAnsi="Arial" w:cs="Arial"/>
        </w:rPr>
        <w:t xml:space="preserve"> </w:t>
      </w:r>
      <w:r w:rsidRPr="00034E61">
        <w:rPr>
          <w:rFonts w:ascii="Arial" w:hAnsi="Arial" w:cs="Arial"/>
        </w:rPr>
        <w:t>(</w:t>
      </w:r>
      <w:r w:rsidRPr="00034E61">
        <w:rPr>
          <w:rFonts w:ascii="Arial" w:hAnsi="Arial" w:cs="Arial"/>
          <w:i/>
          <w:iCs/>
        </w:rPr>
        <w:t xml:space="preserve">Loughran, </w:t>
      </w:r>
      <w:r w:rsidRPr="00034E61">
        <w:rPr>
          <w:rFonts w:ascii="Arial" w:hAnsi="Arial" w:cs="Arial"/>
          <w:i/>
          <w:iCs/>
        </w:rPr>
        <w:t>and</w:t>
      </w:r>
      <w:r w:rsidRPr="00034E61">
        <w:rPr>
          <w:rFonts w:ascii="Arial" w:hAnsi="Arial" w:cs="Arial"/>
          <w:i/>
          <w:iCs/>
        </w:rPr>
        <w:t xml:space="preserve"> McDonald</w:t>
      </w:r>
      <w:r w:rsidRPr="00034E61">
        <w:rPr>
          <w:rFonts w:ascii="Arial" w:hAnsi="Arial" w:cs="Arial"/>
          <w:i/>
          <w:iCs/>
        </w:rPr>
        <w:t>, 2016).</w:t>
      </w:r>
      <w:r w:rsidRPr="00034E61">
        <w:rPr>
          <w:rFonts w:ascii="Arial" w:hAnsi="Arial" w:cs="Arial"/>
        </w:rPr>
        <w:t xml:space="preserve"> </w:t>
      </w:r>
    </w:p>
    <w:p w14:paraId="7D9099D8" w14:textId="0C742B15" w:rsidR="00A60DF1" w:rsidRPr="00034E61" w:rsidRDefault="00A60DF1" w:rsidP="00A60DF1">
      <w:pPr>
        <w:spacing w:line="360" w:lineRule="auto"/>
        <w:jc w:val="both"/>
        <w:rPr>
          <w:rFonts w:ascii="Arial" w:hAnsi="Arial" w:cs="Arial"/>
        </w:rPr>
      </w:pPr>
      <w:r w:rsidRPr="00034E61">
        <w:rPr>
          <w:rFonts w:ascii="Arial" w:hAnsi="Arial" w:cs="Arial"/>
        </w:rPr>
        <w:t xml:space="preserve">2. </w:t>
      </w:r>
      <w:r w:rsidRPr="00034E61">
        <w:rPr>
          <w:rFonts w:ascii="Arial" w:hAnsi="Arial" w:cs="Arial"/>
          <w:b/>
          <w:bCs/>
        </w:rPr>
        <w:t>Dependability:</w:t>
      </w:r>
      <w:r w:rsidRPr="00034E61">
        <w:rPr>
          <w:rFonts w:ascii="Arial" w:hAnsi="Arial" w:cs="Arial"/>
        </w:rPr>
        <w:t xml:space="preserve"> If a significant piece of data is missing or incorrectly represented, the user's ability to make critical decisions based on the financial statements would be negatively impacted, which might have serious consequences. The accuracy of the data will suffer as a result of this</w:t>
      </w:r>
      <w:r w:rsidRPr="00034E61">
        <w:rPr>
          <w:rFonts w:ascii="Arial" w:hAnsi="Arial" w:cs="Arial"/>
        </w:rPr>
        <w:t xml:space="preserve">. </w:t>
      </w:r>
    </w:p>
    <w:p w14:paraId="6430C80F" w14:textId="25975DEC" w:rsidR="00A60DF1" w:rsidRPr="00034E61" w:rsidRDefault="00A60DF1" w:rsidP="00A60DF1">
      <w:pPr>
        <w:spacing w:line="360" w:lineRule="auto"/>
        <w:jc w:val="both"/>
        <w:rPr>
          <w:rFonts w:ascii="Arial" w:hAnsi="Arial" w:cs="Arial"/>
        </w:rPr>
      </w:pPr>
      <w:r w:rsidRPr="00034E61">
        <w:rPr>
          <w:rFonts w:ascii="Arial" w:hAnsi="Arial" w:cs="Arial"/>
        </w:rPr>
        <w:t xml:space="preserve">3. </w:t>
      </w:r>
      <w:r w:rsidRPr="00034E61">
        <w:rPr>
          <w:rFonts w:ascii="Arial" w:hAnsi="Arial" w:cs="Arial"/>
          <w:b/>
          <w:bCs/>
        </w:rPr>
        <w:t>The financial statement</w:t>
      </w:r>
      <w:r w:rsidRPr="00034E61">
        <w:rPr>
          <w:rFonts w:ascii="Arial" w:hAnsi="Arial" w:cs="Arial"/>
        </w:rPr>
        <w:t xml:space="preserve"> of the company must be complete. It is considered deception and misunderstanding if the financial statement of the organisation omits vital information in the financial report.</w:t>
      </w:r>
    </w:p>
    <w:p w14:paraId="7E3C915D" w14:textId="56C32637" w:rsidR="00FC1FB7" w:rsidRPr="00034E61" w:rsidRDefault="00FC1FB7" w:rsidP="00FC1FB7">
      <w:pPr>
        <w:spacing w:line="360" w:lineRule="auto"/>
        <w:jc w:val="both"/>
        <w:rPr>
          <w:rFonts w:ascii="Arial" w:hAnsi="Arial" w:cs="Arial"/>
        </w:rPr>
      </w:pPr>
      <w:r w:rsidRPr="00034E61">
        <w:rPr>
          <w:rFonts w:ascii="Arial" w:hAnsi="Arial" w:cs="Arial"/>
        </w:rPr>
        <w:t>Materiality allows consumers of financial statements to ignore irrelevant information</w:t>
      </w:r>
      <w:r w:rsidRPr="00034E61">
        <w:rPr>
          <w:rFonts w:ascii="Arial" w:hAnsi="Arial" w:cs="Arial"/>
        </w:rPr>
        <w:t xml:space="preserve">. </w:t>
      </w:r>
      <w:r w:rsidRPr="00034E61">
        <w:rPr>
          <w:rFonts w:ascii="Arial" w:hAnsi="Arial" w:cs="Arial"/>
        </w:rPr>
        <w:t>Materiality varies with organisations and jobs</w:t>
      </w:r>
      <w:r w:rsidRPr="00034E61">
        <w:rPr>
          <w:rFonts w:ascii="Arial" w:hAnsi="Arial" w:cs="Arial"/>
        </w:rPr>
        <w:t xml:space="preserve"> (</w:t>
      </w:r>
      <w:r w:rsidRPr="00034E61">
        <w:rPr>
          <w:rFonts w:ascii="Arial" w:hAnsi="Arial" w:cs="Arial"/>
          <w:i/>
          <w:iCs/>
        </w:rPr>
        <w:t xml:space="preserve">Cerbone, </w:t>
      </w:r>
      <w:r w:rsidRPr="00034E61">
        <w:rPr>
          <w:rFonts w:ascii="Arial" w:hAnsi="Arial" w:cs="Arial"/>
          <w:i/>
          <w:iCs/>
        </w:rPr>
        <w:t>and</w:t>
      </w:r>
      <w:r w:rsidRPr="00034E61">
        <w:rPr>
          <w:rFonts w:ascii="Arial" w:hAnsi="Arial" w:cs="Arial"/>
          <w:i/>
          <w:iCs/>
        </w:rPr>
        <w:t xml:space="preserve"> Maroun</w:t>
      </w:r>
      <w:r w:rsidRPr="00034E61">
        <w:rPr>
          <w:rFonts w:ascii="Arial" w:hAnsi="Arial" w:cs="Arial"/>
          <w:i/>
          <w:iCs/>
        </w:rPr>
        <w:t>. 2020</w:t>
      </w:r>
      <w:r w:rsidRPr="00034E61">
        <w:rPr>
          <w:rFonts w:ascii="Arial" w:hAnsi="Arial" w:cs="Arial"/>
        </w:rPr>
        <w:t xml:space="preserve">). </w:t>
      </w:r>
      <w:r w:rsidRPr="00034E61">
        <w:rPr>
          <w:rFonts w:ascii="Arial" w:hAnsi="Arial" w:cs="Arial"/>
        </w:rPr>
        <w:t>Three materiality concepts Cash All transactions may not be significant in the present period of reporting, but as the company's transactions are analysed, they become much more substantial over time. materials idea It says that a corporate asset that is valuable but not important in decision making should be disregarded or not reported separately. Materiality doesn't apply to inventories, according to some. Sometimes inventory purchases and sales affect an investor's investment choice. Any transaction that affects a company's income is deemed significant.</w:t>
      </w:r>
    </w:p>
    <w:p w14:paraId="74A1A0A8" w14:textId="77777777" w:rsidR="00FC1FB7" w:rsidRPr="00034E61" w:rsidRDefault="00FC1FB7" w:rsidP="00FC1FB7">
      <w:pPr>
        <w:spacing w:line="360" w:lineRule="auto"/>
        <w:jc w:val="both"/>
        <w:rPr>
          <w:rFonts w:ascii="Arial" w:hAnsi="Arial" w:cs="Arial"/>
        </w:rPr>
      </w:pPr>
    </w:p>
    <w:p w14:paraId="3AFAF496" w14:textId="4E2C578A" w:rsidR="00FC1FB7" w:rsidRPr="00034E61" w:rsidRDefault="00FC1FB7" w:rsidP="00FC1FB7">
      <w:pPr>
        <w:spacing w:line="360" w:lineRule="auto"/>
        <w:jc w:val="both"/>
        <w:rPr>
          <w:rFonts w:ascii="Arial" w:hAnsi="Arial" w:cs="Arial"/>
        </w:rPr>
      </w:pPr>
      <w:r w:rsidRPr="00034E61">
        <w:rPr>
          <w:rFonts w:ascii="Arial" w:hAnsi="Arial" w:cs="Arial"/>
        </w:rPr>
        <w:t>Angela's company must provide substantial information if it's important to the owner and financial statement users. Angela purchased stationery, which is a small asset. Therefore, it might be shown as a cost instead of an asset in the books of accounts.</w:t>
      </w:r>
    </w:p>
    <w:p w14:paraId="16271EDB" w14:textId="24A342E3" w:rsidR="00FC1FB7" w:rsidRPr="00034E61" w:rsidRDefault="00D80773" w:rsidP="00FC1FB7">
      <w:pPr>
        <w:spacing w:line="360" w:lineRule="auto"/>
        <w:jc w:val="both"/>
        <w:rPr>
          <w:rFonts w:ascii="Arial" w:hAnsi="Arial" w:cs="Arial"/>
        </w:rPr>
      </w:pPr>
      <w:r w:rsidRPr="00034E61">
        <w:rPr>
          <w:rFonts w:ascii="Arial" w:hAnsi="Arial" w:cs="Arial"/>
          <w:b/>
          <w:bCs/>
        </w:rPr>
        <w:t>The monetary unit</w:t>
      </w:r>
      <w:r w:rsidRPr="00034E61">
        <w:rPr>
          <w:rFonts w:ascii="Arial" w:hAnsi="Arial" w:cs="Arial"/>
        </w:rPr>
        <w:t xml:space="preserve"> concept argues that only currency-valued business transactions should be documented. Non-monetary transactions must not be documented. All transactions are measured in money units</w:t>
      </w:r>
      <w:r w:rsidRPr="00034E61">
        <w:rPr>
          <w:rFonts w:ascii="Arial" w:hAnsi="Arial" w:cs="Arial"/>
        </w:rPr>
        <w:t xml:space="preserve"> (</w:t>
      </w:r>
      <w:r w:rsidRPr="00034E61">
        <w:rPr>
          <w:rFonts w:ascii="Arial" w:hAnsi="Arial" w:cs="Arial"/>
          <w:i/>
          <w:iCs/>
        </w:rPr>
        <w:t xml:space="preserve">Higgins, </w:t>
      </w:r>
      <w:r w:rsidRPr="00034E61">
        <w:rPr>
          <w:rFonts w:ascii="Arial" w:hAnsi="Arial" w:cs="Arial"/>
          <w:i/>
          <w:iCs/>
        </w:rPr>
        <w:t>and</w:t>
      </w:r>
      <w:r w:rsidRPr="00034E61">
        <w:rPr>
          <w:rFonts w:ascii="Arial" w:hAnsi="Arial" w:cs="Arial"/>
          <w:i/>
          <w:iCs/>
        </w:rPr>
        <w:t xml:space="preserve"> Nandram</w:t>
      </w:r>
      <w:r w:rsidRPr="00034E61">
        <w:rPr>
          <w:rFonts w:ascii="Arial" w:hAnsi="Arial" w:cs="Arial"/>
          <w:i/>
          <w:iCs/>
        </w:rPr>
        <w:t>, 2009).</w:t>
      </w:r>
      <w:r w:rsidRPr="00034E61">
        <w:rPr>
          <w:rFonts w:ascii="Arial" w:hAnsi="Arial" w:cs="Arial"/>
        </w:rPr>
        <w:t xml:space="preserve"> </w:t>
      </w:r>
      <w:r w:rsidRPr="00034E61">
        <w:rPr>
          <w:rFonts w:ascii="Arial" w:hAnsi="Arial" w:cs="Arial"/>
        </w:rPr>
        <w:t>This principle is ubiquitous. It's the best and fairest way to communicate. This allows fraud and forgery</w:t>
      </w:r>
      <w:r w:rsidRPr="00034E61">
        <w:rPr>
          <w:rFonts w:ascii="Arial" w:hAnsi="Arial" w:cs="Arial"/>
        </w:rPr>
        <w:t xml:space="preserve">. </w:t>
      </w:r>
      <w:r w:rsidRPr="00034E61">
        <w:rPr>
          <w:rFonts w:ascii="Arial" w:hAnsi="Arial" w:cs="Arial"/>
        </w:rPr>
        <w:t xml:space="preserve">Transparently </w:t>
      </w:r>
      <w:r w:rsidRPr="00034E61">
        <w:rPr>
          <w:rFonts w:ascii="Arial" w:hAnsi="Arial" w:cs="Arial"/>
        </w:rPr>
        <w:lastRenderedPageBreak/>
        <w:t>documented transactions aid comparison and understanding. Since accounting is about money, currency value is important. This method eliminates bartering and payments in kind, which makes books of accounts more accurate. Recording transactions is straightforward, removing ambiguity and uncertainty. The monetary idea simplifies company finance communication. It makes contrasting a company's earnings and financial status easy.</w:t>
      </w:r>
    </w:p>
    <w:p w14:paraId="2649BD68" w14:textId="6ECDED9D" w:rsidR="00D80773" w:rsidRPr="00034E61" w:rsidRDefault="00D80773" w:rsidP="00FC1FB7">
      <w:pPr>
        <w:spacing w:line="360" w:lineRule="auto"/>
        <w:jc w:val="both"/>
        <w:rPr>
          <w:rFonts w:ascii="Arial" w:hAnsi="Arial" w:cs="Arial"/>
        </w:rPr>
      </w:pPr>
      <w:r w:rsidRPr="00034E61">
        <w:rPr>
          <w:rFonts w:ascii="Arial" w:hAnsi="Arial" w:cs="Arial"/>
        </w:rPr>
        <w:t xml:space="preserve">It is only due to this idea that a comparison between planned and actual achievement in terms of earnings or profit can possibly be made. This concept does not </w:t>
      </w:r>
      <w:r w:rsidRPr="00034E61">
        <w:rPr>
          <w:rFonts w:ascii="Arial" w:hAnsi="Arial" w:cs="Arial"/>
        </w:rPr>
        <w:t>consider</w:t>
      </w:r>
      <w:r w:rsidRPr="00034E61">
        <w:rPr>
          <w:rFonts w:ascii="Arial" w:hAnsi="Arial" w:cs="Arial"/>
        </w:rPr>
        <w:t xml:space="preserve"> the fact that the monetary value of an asset or money transfer decreases over time, despite the fact that it must be adhered to and is very important for keeping record</w:t>
      </w:r>
      <w:r w:rsidRPr="00034E61">
        <w:rPr>
          <w:rFonts w:ascii="Arial" w:hAnsi="Arial" w:cs="Arial"/>
        </w:rPr>
        <w:t>s (</w:t>
      </w:r>
      <w:r w:rsidRPr="00034E61">
        <w:rPr>
          <w:rFonts w:ascii="Arial" w:hAnsi="Arial" w:cs="Arial"/>
          <w:i/>
          <w:iCs/>
        </w:rPr>
        <w:t>Hoogduin,</w:t>
      </w:r>
      <w:r w:rsidRPr="00034E61">
        <w:rPr>
          <w:rFonts w:ascii="Arial" w:hAnsi="Arial" w:cs="Arial"/>
          <w:i/>
          <w:iCs/>
        </w:rPr>
        <w:t xml:space="preserve"> et. al., 2015).</w:t>
      </w:r>
      <w:r w:rsidRPr="00034E61">
        <w:rPr>
          <w:rFonts w:ascii="Arial" w:hAnsi="Arial" w:cs="Arial"/>
        </w:rPr>
        <w:t xml:space="preserve"> </w:t>
      </w:r>
      <w:r w:rsidRPr="00034E61">
        <w:rPr>
          <w:rFonts w:ascii="Arial" w:hAnsi="Arial" w:cs="Arial"/>
        </w:rPr>
        <w:t>Despite these two facts, the concept must be adhered to and is very important for recording transactions. As a consequence, it seems that the findings are not very accurate or dependable. Additionally, the receipts in the form of types and gifts are not documented, which creates a gap through which the organisation may commit fraud and compromise the integrity of its financial statements. As a result, the implementation of this idea is fraught with the possibility that a proprietor or an employee may engage in dishonest behaviour. In the present scenario, Angela's company, which specialises in mattresses and bedding, is to have all of its inventory appraised in euros, and sales are to be considered.</w:t>
      </w:r>
    </w:p>
    <w:p w14:paraId="6D218795" w14:textId="7754A5E4" w:rsidR="00DD2773" w:rsidRPr="00034E61" w:rsidRDefault="00DD2773" w:rsidP="00FC1FB7">
      <w:pPr>
        <w:spacing w:line="360" w:lineRule="auto"/>
        <w:jc w:val="both"/>
        <w:rPr>
          <w:rFonts w:ascii="Arial" w:hAnsi="Arial" w:cs="Arial"/>
        </w:rPr>
      </w:pPr>
      <w:r w:rsidRPr="00034E61">
        <w:rPr>
          <w:rFonts w:ascii="Arial" w:hAnsi="Arial" w:cs="Arial"/>
        </w:rPr>
        <w:t>A "</w:t>
      </w:r>
      <w:r w:rsidRPr="00034E61">
        <w:rPr>
          <w:rFonts w:ascii="Arial" w:hAnsi="Arial" w:cs="Arial"/>
          <w:b/>
          <w:bCs/>
        </w:rPr>
        <w:t>going concern"</w:t>
      </w:r>
      <w:r w:rsidRPr="00034E61">
        <w:rPr>
          <w:rFonts w:ascii="Arial" w:hAnsi="Arial" w:cs="Arial"/>
        </w:rPr>
        <w:t xml:space="preserve"> is a term that is used in the field of accounting to describe an organisation that maintains all of the resources necessary to continue running the firm for an indeterminate amount of time</w:t>
      </w:r>
      <w:r w:rsidRPr="00034E61">
        <w:rPr>
          <w:rFonts w:ascii="Arial" w:hAnsi="Arial" w:cs="Arial"/>
        </w:rPr>
        <w:t xml:space="preserve"> (</w:t>
      </w:r>
      <w:r w:rsidRPr="00034E61">
        <w:rPr>
          <w:rFonts w:ascii="Arial" w:hAnsi="Arial" w:cs="Arial"/>
          <w:i/>
          <w:iCs/>
        </w:rPr>
        <w:t xml:space="preserve">George-Silviu, </w:t>
      </w:r>
      <w:r w:rsidRPr="00034E61">
        <w:rPr>
          <w:rFonts w:ascii="Arial" w:hAnsi="Arial" w:cs="Arial"/>
          <w:i/>
          <w:iCs/>
        </w:rPr>
        <w:t xml:space="preserve">and </w:t>
      </w:r>
      <w:r w:rsidRPr="00034E61">
        <w:rPr>
          <w:rFonts w:ascii="Arial" w:hAnsi="Arial" w:cs="Arial"/>
          <w:i/>
          <w:iCs/>
        </w:rPr>
        <w:t>Melinda-Timea</w:t>
      </w:r>
      <w:r w:rsidRPr="00034E61">
        <w:rPr>
          <w:rFonts w:ascii="Arial" w:hAnsi="Arial" w:cs="Arial"/>
          <w:i/>
          <w:iCs/>
        </w:rPr>
        <w:t>, 2015).</w:t>
      </w:r>
      <w:r w:rsidRPr="00034E61">
        <w:rPr>
          <w:rFonts w:ascii="Arial" w:hAnsi="Arial" w:cs="Arial"/>
        </w:rPr>
        <w:t xml:space="preserve"> </w:t>
      </w:r>
      <w:r w:rsidRPr="00034E61">
        <w:rPr>
          <w:rFonts w:ascii="Arial" w:hAnsi="Arial" w:cs="Arial"/>
        </w:rPr>
        <w:t>Until evidence to the contrary is revealed it may be assumed that</w:t>
      </w:r>
      <w:r w:rsidRPr="00034E61">
        <w:rPr>
          <w:rFonts w:ascii="Arial" w:hAnsi="Arial" w:cs="Arial"/>
        </w:rPr>
        <w:t>.</w:t>
      </w:r>
      <w:r w:rsidRPr="00034E61">
        <w:rPr>
          <w:rFonts w:ascii="Arial" w:hAnsi="Arial" w:cs="Arial"/>
        </w:rPr>
        <w:t xml:space="preserve"> This idea also relates to generating sufficient revenue to save oneself from having to declare bankruptcy. If a corporation is believed to be a continuing concern in its financial reporting, the company is permitted to postpone the recognition of certain costs. There are a few instances that demonstrate that a business is no longer a going concern, such as when credit is denied to the firm, losses continue, a lawsuit is filed against the business, or the corporation declares bankruptcy on its own. If a firm is no longer considered a going concern, specific information about the company has to be included in its financial statement</w:t>
      </w:r>
      <w:r w:rsidRPr="00034E61">
        <w:rPr>
          <w:rFonts w:ascii="Arial" w:hAnsi="Arial" w:cs="Arial"/>
        </w:rPr>
        <w:t>s. (</w:t>
      </w:r>
      <w:r w:rsidRPr="00034E61">
        <w:rPr>
          <w:rFonts w:ascii="Arial" w:hAnsi="Arial" w:cs="Arial"/>
          <w:i/>
          <w:iCs/>
        </w:rPr>
        <w:t>Carson,</w:t>
      </w:r>
      <w:r w:rsidRPr="00034E61">
        <w:rPr>
          <w:rFonts w:ascii="Arial" w:hAnsi="Arial" w:cs="Arial"/>
          <w:i/>
          <w:iCs/>
        </w:rPr>
        <w:t xml:space="preserve"> et. al., 2013</w:t>
      </w:r>
      <w:r w:rsidRPr="00034E61">
        <w:rPr>
          <w:rFonts w:ascii="Arial" w:hAnsi="Arial" w:cs="Arial"/>
        </w:rPr>
        <w:t xml:space="preserve">). </w:t>
      </w:r>
      <w:r w:rsidRPr="00034E61">
        <w:rPr>
          <w:rFonts w:ascii="Arial" w:hAnsi="Arial" w:cs="Arial"/>
        </w:rPr>
        <w:t>A corporation that is not a going concern is either in the process of liquidating or is in the process of liquidating. Both the generally accepted accounting principle (GAAP) and the international financial reporting standard place a significant emphasis on the going concern accounting concept (IFRS). The fact that this firm is able to operate with the necessary amount of working capital is shown by the fact that it is able to display its financial statements. </w:t>
      </w:r>
    </w:p>
    <w:p w14:paraId="056D1118" w14:textId="0D642DE3" w:rsidR="00DD2773" w:rsidRPr="00034E61" w:rsidRDefault="000C24B3" w:rsidP="00FC1FB7">
      <w:pPr>
        <w:spacing w:line="360" w:lineRule="auto"/>
        <w:jc w:val="both"/>
        <w:rPr>
          <w:rFonts w:ascii="Arial" w:hAnsi="Arial" w:cs="Arial"/>
        </w:rPr>
      </w:pPr>
      <w:r w:rsidRPr="00034E61">
        <w:rPr>
          <w:rFonts w:ascii="Arial" w:hAnsi="Arial" w:cs="Arial"/>
        </w:rPr>
        <w:t xml:space="preserve">The company is in a position to pay off all of its obligations at the end of the accounting period. There is a demand for the products and services that are being offered in the market. It is </w:t>
      </w:r>
      <w:r w:rsidRPr="00034E61">
        <w:rPr>
          <w:rFonts w:ascii="Arial" w:hAnsi="Arial" w:cs="Arial"/>
        </w:rPr>
        <w:lastRenderedPageBreak/>
        <w:t>essential that the incorporation of concepts into the books of accounts go without interruption at any point. The idea of carrying on business as usual is an essential component in the process of determining how assets should be handled. During the early stages of its existence, a company will work to acquire assets that will ultimately be to its advantage in the long run. Because of this idea, the organisation will be able to record such expenses in a manner that is dispersed throughout time. Despite the fact that there are a great number of advantages to the idea, there are a number of drawbacks to it as well. The cost, rather than the asset's current market worth, is what is reflected in financial accounts. The financial statements are appraised based on the current market price throughout the liquidation process. This figure will indicate how much it differs from the value that was established at cost. Shareholders are vulnerable to manipulation in the event that a firm prepares its financial statements using the going concern foundation idea, even though the corporation is in the process of being liquidated. For example, Angela's firm, which specialises in beds and bedding, maintains its bookkeeping on a going concern basis. indicating that the corporate entity has the intention of functioning and operating in the market at some point in the future</w:t>
      </w:r>
      <w:r w:rsidRPr="00034E61">
        <w:rPr>
          <w:rFonts w:ascii="Arial" w:hAnsi="Arial" w:cs="Arial"/>
        </w:rPr>
        <w:t xml:space="preserve"> (</w:t>
      </w:r>
      <w:r w:rsidRPr="00034E61">
        <w:rPr>
          <w:rFonts w:ascii="Arial" w:hAnsi="Arial" w:cs="Arial"/>
          <w:i/>
          <w:iCs/>
        </w:rPr>
        <w:t>Lee, and Wolnizer, 2021</w:t>
      </w:r>
      <w:r w:rsidRPr="00034E61">
        <w:rPr>
          <w:rFonts w:ascii="Arial" w:hAnsi="Arial" w:cs="Arial"/>
        </w:rPr>
        <w:t>). Deferred payments include terms such as outstanding, accrued, unearned, and prepaid</w:t>
      </w:r>
      <w:r w:rsidRPr="00034E61">
        <w:rPr>
          <w:rFonts w:ascii="Arial" w:hAnsi="Arial" w:cs="Arial"/>
        </w:rPr>
        <w:t xml:space="preserve">. </w:t>
      </w:r>
      <w:r w:rsidRPr="00034E61">
        <w:rPr>
          <w:rFonts w:ascii="Arial" w:hAnsi="Arial" w:cs="Arial"/>
        </w:rPr>
        <w:t>Based on this idea, which is what this study is about, it is very clear that the company is still in business.</w:t>
      </w:r>
    </w:p>
    <w:p w14:paraId="574125D8" w14:textId="2CBB40CE" w:rsidR="000C24B3" w:rsidRPr="00034E61" w:rsidRDefault="000C24B3" w:rsidP="00FC1FB7">
      <w:pPr>
        <w:spacing w:line="360" w:lineRule="auto"/>
        <w:jc w:val="both"/>
        <w:rPr>
          <w:rFonts w:ascii="Arial" w:hAnsi="Arial" w:cs="Arial"/>
          <w:b/>
          <w:bCs/>
        </w:rPr>
      </w:pPr>
      <w:r w:rsidRPr="00034E61">
        <w:rPr>
          <w:rFonts w:ascii="Arial" w:hAnsi="Arial" w:cs="Arial"/>
          <w:b/>
          <w:bCs/>
        </w:rPr>
        <w:t xml:space="preserve">Conclusion </w:t>
      </w:r>
    </w:p>
    <w:p w14:paraId="64986C12" w14:textId="1D841E1E" w:rsidR="000C24B3" w:rsidRPr="00034E61" w:rsidRDefault="000C24B3" w:rsidP="000B51B3">
      <w:pPr>
        <w:spacing w:line="360" w:lineRule="auto"/>
        <w:jc w:val="both"/>
        <w:rPr>
          <w:rFonts w:ascii="Arial" w:hAnsi="Arial" w:cs="Arial"/>
        </w:rPr>
      </w:pPr>
      <w:r w:rsidRPr="00034E61">
        <w:rPr>
          <w:rFonts w:ascii="Arial" w:hAnsi="Arial" w:cs="Arial"/>
        </w:rPr>
        <w:t>The income statement and the statement of financial position in the report were developed by taking into consideration all of the requirements that were stipulated. Accounting principles are a collection of rules and procedures that demonstrate how financial reports are generated. When compiling a set of financial records for a business or firm, there are a number of accounting principles that must be strictly adhered to. A technique that is chosen must be consistently followed throughout the accounting year in order to adhere to the concept of consistency, which specifies that this principle. The term "materiality" refers to the need for all relevant information to be made visible. The monetary unit principle states that the value of all transactions should be expressed in terms of the currency in circulation. And according to the concept of going concern, the accounting for an organisation should be done in such a manner that it will continue to exist in the future.</w:t>
      </w:r>
    </w:p>
    <w:p w14:paraId="5B1F274A" w14:textId="55332DA1" w:rsidR="000C24B3" w:rsidRPr="00034E61" w:rsidRDefault="000C24B3" w:rsidP="000B51B3">
      <w:pPr>
        <w:spacing w:line="360" w:lineRule="auto"/>
        <w:jc w:val="both"/>
        <w:rPr>
          <w:rFonts w:ascii="Arial" w:hAnsi="Arial" w:cs="Arial"/>
        </w:rPr>
      </w:pPr>
    </w:p>
    <w:p w14:paraId="089D0CE3" w14:textId="0C041A8A" w:rsidR="000C24B3" w:rsidRPr="00034E61" w:rsidRDefault="000C24B3" w:rsidP="000B51B3">
      <w:pPr>
        <w:spacing w:line="360" w:lineRule="auto"/>
        <w:jc w:val="both"/>
        <w:rPr>
          <w:rFonts w:ascii="Arial" w:hAnsi="Arial" w:cs="Arial"/>
        </w:rPr>
      </w:pPr>
    </w:p>
    <w:p w14:paraId="147ACAD8" w14:textId="77777777" w:rsidR="000C24B3" w:rsidRPr="00034E61" w:rsidRDefault="000C24B3" w:rsidP="000B51B3">
      <w:pPr>
        <w:spacing w:line="360" w:lineRule="auto"/>
        <w:jc w:val="both"/>
        <w:rPr>
          <w:rFonts w:ascii="Arial" w:hAnsi="Arial" w:cs="Arial"/>
        </w:rPr>
      </w:pPr>
    </w:p>
    <w:p w14:paraId="2C66873C" w14:textId="77777777" w:rsidR="00023572" w:rsidRPr="00034E61" w:rsidRDefault="00023572" w:rsidP="000B51B3">
      <w:pPr>
        <w:spacing w:line="360" w:lineRule="auto"/>
        <w:jc w:val="both"/>
        <w:rPr>
          <w:rFonts w:ascii="Arial" w:hAnsi="Arial" w:cs="Arial"/>
        </w:rPr>
      </w:pPr>
    </w:p>
    <w:p w14:paraId="099E797A" w14:textId="2B35B92C" w:rsidR="00023572" w:rsidRPr="00034E61" w:rsidRDefault="00023572" w:rsidP="000B51B3">
      <w:pPr>
        <w:spacing w:line="360" w:lineRule="auto"/>
        <w:jc w:val="both"/>
        <w:rPr>
          <w:rFonts w:ascii="Arial" w:hAnsi="Arial" w:cs="Arial"/>
          <w:b/>
          <w:bCs/>
        </w:rPr>
      </w:pPr>
      <w:r w:rsidRPr="00034E61">
        <w:rPr>
          <w:rFonts w:ascii="Arial" w:hAnsi="Arial" w:cs="Arial"/>
          <w:b/>
          <w:bCs/>
        </w:rPr>
        <w:lastRenderedPageBreak/>
        <w:t>References</w:t>
      </w:r>
    </w:p>
    <w:p w14:paraId="20F9A98E" w14:textId="24EA70C6" w:rsidR="000B51B3" w:rsidRPr="00034E61" w:rsidRDefault="000B51B3" w:rsidP="000B51B3">
      <w:pPr>
        <w:spacing w:line="360" w:lineRule="auto"/>
        <w:jc w:val="both"/>
        <w:rPr>
          <w:rFonts w:ascii="Arial" w:hAnsi="Arial" w:cs="Arial"/>
        </w:rPr>
      </w:pPr>
    </w:p>
    <w:p w14:paraId="50F51AA5" w14:textId="5C2E83FE" w:rsidR="000B51B3" w:rsidRPr="00034E61" w:rsidRDefault="00023572" w:rsidP="000B51B3">
      <w:pPr>
        <w:spacing w:line="360" w:lineRule="auto"/>
        <w:jc w:val="both"/>
        <w:rPr>
          <w:rFonts w:ascii="Arial" w:hAnsi="Arial" w:cs="Arial"/>
        </w:rPr>
      </w:pPr>
      <w:r w:rsidRPr="00034E61">
        <w:rPr>
          <w:rFonts w:ascii="Arial" w:hAnsi="Arial" w:cs="Arial"/>
        </w:rPr>
        <w:t>Adams, C.A. and Larrinaga, C., 2019. Progress: engaging with organisations in pursuit of improved sustainability accounting and performance. Accounting, Auditing &amp; Accountability Journal.</w:t>
      </w:r>
    </w:p>
    <w:p w14:paraId="7F8A9FD4" w14:textId="1CCD70EA" w:rsidR="00EE31F8" w:rsidRPr="00034E61" w:rsidRDefault="00EE31F8" w:rsidP="000B51B3">
      <w:pPr>
        <w:spacing w:line="360" w:lineRule="auto"/>
        <w:jc w:val="both"/>
        <w:rPr>
          <w:rFonts w:ascii="Arial" w:hAnsi="Arial" w:cs="Arial"/>
        </w:rPr>
      </w:pPr>
      <w:r w:rsidRPr="00034E61">
        <w:rPr>
          <w:rFonts w:ascii="Arial" w:hAnsi="Arial" w:cs="Arial"/>
        </w:rPr>
        <w:t>Akat'eva, M.D., 2018. Principles of accounting: A retrospective evaluation of its formation and improvement. Mezhdunarodnyi bukhgalterskii uchet= International Accounting, 21(4), pp.441-451.</w:t>
      </w:r>
    </w:p>
    <w:p w14:paraId="107185B8" w14:textId="0D0D7F29" w:rsidR="00A60DF1" w:rsidRPr="00034E61" w:rsidRDefault="00A60DF1" w:rsidP="000B51B3">
      <w:pPr>
        <w:spacing w:line="360" w:lineRule="auto"/>
        <w:jc w:val="both"/>
        <w:rPr>
          <w:rFonts w:ascii="Arial" w:hAnsi="Arial" w:cs="Arial"/>
        </w:rPr>
      </w:pPr>
      <w:r w:rsidRPr="00034E61">
        <w:rPr>
          <w:rFonts w:ascii="Arial" w:hAnsi="Arial" w:cs="Arial"/>
        </w:rPr>
        <w:t xml:space="preserve">Bennett, G.B. and Hatfield, R.C., 2017. Do approaching deadlines influence auditors' materiality </w:t>
      </w:r>
      <w:r w:rsidR="00034E61" w:rsidRPr="00034E61">
        <w:rPr>
          <w:rFonts w:ascii="Arial" w:hAnsi="Arial" w:cs="Arial"/>
        </w:rPr>
        <w:t>assessments?</w:t>
      </w:r>
      <w:r w:rsidRPr="00034E61">
        <w:rPr>
          <w:rFonts w:ascii="Arial" w:hAnsi="Arial" w:cs="Arial"/>
        </w:rPr>
        <w:t xml:space="preserve"> Auditing: A Journal of Practice &amp; Theory, 36(4), pp.29-48.</w:t>
      </w:r>
    </w:p>
    <w:p w14:paraId="6C7E7A49" w14:textId="276AADBE" w:rsidR="00D156A2" w:rsidRPr="00034E61" w:rsidRDefault="00D156A2" w:rsidP="000B51B3">
      <w:pPr>
        <w:spacing w:line="360" w:lineRule="auto"/>
        <w:jc w:val="both"/>
        <w:rPr>
          <w:rFonts w:ascii="Arial" w:hAnsi="Arial" w:cs="Arial"/>
        </w:rPr>
      </w:pPr>
      <w:r w:rsidRPr="00034E61">
        <w:rPr>
          <w:rFonts w:ascii="Arial" w:hAnsi="Arial" w:cs="Arial"/>
        </w:rPr>
        <w:t>Baldvinsdottir, G., Mitchell, F. and Nørreklit, H., 2010. Issues in the relationship between theory and practice in management accounting. Management Accounting Research, 21(2), pp.79-82.</w:t>
      </w:r>
    </w:p>
    <w:p w14:paraId="19094730" w14:textId="76EB515D" w:rsidR="00EE31F8" w:rsidRDefault="00EE31F8" w:rsidP="000B51B3">
      <w:pPr>
        <w:spacing w:line="360" w:lineRule="auto"/>
        <w:jc w:val="both"/>
        <w:rPr>
          <w:rFonts w:ascii="Times New Roman" w:hAnsi="Times New Roman" w:cs="Times New Roman"/>
          <w:sz w:val="24"/>
          <w:szCs w:val="24"/>
        </w:rPr>
      </w:pPr>
      <w:r w:rsidRPr="00034E61">
        <w:rPr>
          <w:rFonts w:ascii="Arial" w:hAnsi="Arial" w:cs="Arial"/>
        </w:rPr>
        <w:t>Breton, G., 2018. A postmodern accounting theory: An institutional approach. Emerald Gr</w:t>
      </w:r>
      <w:r w:rsidRPr="00EE31F8">
        <w:rPr>
          <w:rFonts w:ascii="Times New Roman" w:hAnsi="Times New Roman" w:cs="Times New Roman"/>
          <w:sz w:val="24"/>
          <w:szCs w:val="24"/>
        </w:rPr>
        <w:t>oup Publishing.</w:t>
      </w:r>
    </w:p>
    <w:p w14:paraId="3C9D666E" w14:textId="75F29BEC" w:rsidR="00DD2773" w:rsidRPr="00034E61" w:rsidRDefault="00DD2773" w:rsidP="000B51B3">
      <w:pPr>
        <w:spacing w:line="360" w:lineRule="auto"/>
        <w:jc w:val="both"/>
        <w:rPr>
          <w:rFonts w:ascii="Arial" w:hAnsi="Arial" w:cs="Arial"/>
        </w:rPr>
      </w:pPr>
      <w:r w:rsidRPr="00034E61">
        <w:rPr>
          <w:rFonts w:ascii="Arial" w:hAnsi="Arial" w:cs="Arial"/>
        </w:rPr>
        <w:t>Carson, E., Fargher, N.L., Geiger, M.A., Lennox, C.S., Raghunandan, K. and Willekens, M., 2013. Audit reporting for going-concern uncertainty: A research synthesis. Auditing: A Journal of Practice &amp; Theory, 32(Supplement 1), pp.353-384.</w:t>
      </w:r>
    </w:p>
    <w:p w14:paraId="1F0520C8" w14:textId="0AD2A5B9" w:rsidR="00FC1FB7" w:rsidRPr="00034E61" w:rsidRDefault="00FC1FB7" w:rsidP="000B51B3">
      <w:pPr>
        <w:spacing w:line="360" w:lineRule="auto"/>
        <w:jc w:val="both"/>
        <w:rPr>
          <w:rFonts w:ascii="Arial" w:hAnsi="Arial" w:cs="Arial"/>
        </w:rPr>
      </w:pPr>
      <w:r w:rsidRPr="00034E61">
        <w:rPr>
          <w:rFonts w:ascii="Arial" w:hAnsi="Arial" w:cs="Arial"/>
        </w:rPr>
        <w:t>Cerbone, D. and Maroun, W., 2020. Materiality in an integrated reporting setting: Insights using an institutional logics framework. The British Accounting Review, 52(3), p.100876.</w:t>
      </w:r>
    </w:p>
    <w:p w14:paraId="02BE7C8A" w14:textId="0CD8AE76" w:rsidR="00042873" w:rsidRPr="00034E61" w:rsidRDefault="00042873" w:rsidP="000B51B3">
      <w:pPr>
        <w:spacing w:line="360" w:lineRule="auto"/>
        <w:jc w:val="both"/>
        <w:rPr>
          <w:rFonts w:ascii="Arial" w:hAnsi="Arial" w:cs="Arial"/>
        </w:rPr>
      </w:pPr>
      <w:r w:rsidRPr="00034E61">
        <w:rPr>
          <w:rFonts w:ascii="Arial" w:hAnsi="Arial" w:cs="Arial"/>
        </w:rPr>
        <w:t>Crosson, S.V. and Needles, B.E., 2014. Managerial accounting. South-Western Cengage Learning.</w:t>
      </w:r>
    </w:p>
    <w:p w14:paraId="2165F399" w14:textId="03089B91" w:rsidR="00EE31F8" w:rsidRPr="00034E61" w:rsidRDefault="00EE31F8" w:rsidP="000B51B3">
      <w:pPr>
        <w:spacing w:line="360" w:lineRule="auto"/>
        <w:jc w:val="both"/>
        <w:rPr>
          <w:rFonts w:ascii="Arial" w:hAnsi="Arial" w:cs="Arial"/>
        </w:rPr>
      </w:pPr>
      <w:r w:rsidRPr="00034E61">
        <w:rPr>
          <w:rFonts w:ascii="Arial" w:hAnsi="Arial" w:cs="Arial"/>
        </w:rPr>
        <w:t>Fleischman, R. and McLean, T., 2020. Management accounting: Theory and practice. In The Routledge companion to accounting history (pp. 214-251). Routledge.</w:t>
      </w:r>
    </w:p>
    <w:p w14:paraId="7C44B19C" w14:textId="76E5D0CB" w:rsidR="00042873" w:rsidRPr="00034E61" w:rsidRDefault="00042873" w:rsidP="000B51B3">
      <w:pPr>
        <w:spacing w:line="360" w:lineRule="auto"/>
        <w:jc w:val="both"/>
        <w:rPr>
          <w:rFonts w:ascii="Arial" w:hAnsi="Arial" w:cs="Arial"/>
        </w:rPr>
      </w:pPr>
      <w:r w:rsidRPr="00034E61">
        <w:rPr>
          <w:rFonts w:ascii="Arial" w:hAnsi="Arial" w:cs="Arial"/>
        </w:rPr>
        <w:t>Glautier, M.W.E. and Underdown, B., 2001. Accounting theory and practice. Pearson education.</w:t>
      </w:r>
    </w:p>
    <w:p w14:paraId="69880649" w14:textId="4E4B66CA" w:rsidR="00DD2773" w:rsidRPr="00034E61" w:rsidRDefault="00DD2773" w:rsidP="000B51B3">
      <w:pPr>
        <w:spacing w:line="360" w:lineRule="auto"/>
        <w:jc w:val="both"/>
        <w:rPr>
          <w:rFonts w:ascii="Arial" w:hAnsi="Arial" w:cs="Arial"/>
        </w:rPr>
      </w:pPr>
      <w:r w:rsidRPr="00034E61">
        <w:rPr>
          <w:rFonts w:ascii="Arial" w:hAnsi="Arial" w:cs="Arial"/>
        </w:rPr>
        <w:t>George-Silviu, C. and Melinda-Timea, F., 2015. New audit reporting challenges: auditing the going concern basis of accounting. Procedia Economics and Finance, 32, pp.216-224.</w:t>
      </w:r>
    </w:p>
    <w:p w14:paraId="77B93D46" w14:textId="0F9E14CB" w:rsidR="00D80773" w:rsidRPr="00034E61" w:rsidRDefault="00D80773" w:rsidP="000B51B3">
      <w:pPr>
        <w:spacing w:line="360" w:lineRule="auto"/>
        <w:jc w:val="both"/>
        <w:rPr>
          <w:rFonts w:ascii="Arial" w:hAnsi="Arial" w:cs="Arial"/>
        </w:rPr>
      </w:pPr>
      <w:r w:rsidRPr="00034E61">
        <w:rPr>
          <w:rFonts w:ascii="Arial" w:hAnsi="Arial" w:cs="Arial"/>
        </w:rPr>
        <w:t>Higgins, H.N. and Nandram, B., 2009. Monetary unit sampling: Improving estimation of the total audit error. Advances in Accounting, 25(2), pp.174-182.</w:t>
      </w:r>
    </w:p>
    <w:p w14:paraId="3E907594" w14:textId="37B7D6A5" w:rsidR="00DD2773" w:rsidRPr="00034E61" w:rsidRDefault="00DD2773" w:rsidP="000B51B3">
      <w:pPr>
        <w:spacing w:line="360" w:lineRule="auto"/>
        <w:jc w:val="both"/>
        <w:rPr>
          <w:rFonts w:ascii="Arial" w:hAnsi="Arial" w:cs="Arial"/>
        </w:rPr>
      </w:pPr>
      <w:r w:rsidRPr="00034E61">
        <w:rPr>
          <w:rFonts w:ascii="Arial" w:hAnsi="Arial" w:cs="Arial"/>
        </w:rPr>
        <w:lastRenderedPageBreak/>
        <w:t xml:space="preserve">Hoogduin, L.A., Hall, T.W., Tsay, J.J. and Pierce, B.J., 2015. Does systematic selection lead to unreliable risk assessments in monetary-unit sampling </w:t>
      </w:r>
      <w:r w:rsidR="00034E61" w:rsidRPr="00034E61">
        <w:rPr>
          <w:rFonts w:ascii="Arial" w:hAnsi="Arial" w:cs="Arial"/>
        </w:rPr>
        <w:t>applications?</w:t>
      </w:r>
      <w:r w:rsidRPr="00034E61">
        <w:rPr>
          <w:rFonts w:ascii="Arial" w:hAnsi="Arial" w:cs="Arial"/>
        </w:rPr>
        <w:t xml:space="preserve"> Auditing: A Journal of Practice &amp; Theory, 34(4), pp.85-107.</w:t>
      </w:r>
    </w:p>
    <w:p w14:paraId="4686A6D0" w14:textId="1DF7AF72" w:rsidR="00CF09E7" w:rsidRPr="00034E61" w:rsidRDefault="00CF09E7" w:rsidP="000B51B3">
      <w:pPr>
        <w:spacing w:line="360" w:lineRule="auto"/>
        <w:jc w:val="both"/>
        <w:rPr>
          <w:rFonts w:ascii="Arial" w:hAnsi="Arial" w:cs="Arial"/>
        </w:rPr>
      </w:pPr>
      <w:r w:rsidRPr="00034E61">
        <w:rPr>
          <w:rFonts w:ascii="Arial" w:hAnsi="Arial" w:cs="Arial"/>
        </w:rPr>
        <w:t>Hideg, I. and Ferris, D.L., 2017. Dialectical thinking and fairness-based perspectives of affirmative action. Journal of Applied Psychology, 102(5), p.782.</w:t>
      </w:r>
    </w:p>
    <w:p w14:paraId="237EA4B1" w14:textId="7276F8DD" w:rsidR="004A1C69" w:rsidRPr="00034E61" w:rsidRDefault="004A1C69" w:rsidP="000B51B3">
      <w:pPr>
        <w:spacing w:line="360" w:lineRule="auto"/>
        <w:jc w:val="both"/>
        <w:rPr>
          <w:rFonts w:ascii="Arial" w:hAnsi="Arial" w:cs="Arial"/>
        </w:rPr>
      </w:pPr>
      <w:r w:rsidRPr="00034E61">
        <w:rPr>
          <w:rFonts w:ascii="Arial" w:hAnsi="Arial" w:cs="Arial"/>
        </w:rPr>
        <w:t>Lee, T.A., 2020. Financial accounting theory. In The Routledge companion to accounting history (pp. 159-184). Routledge.</w:t>
      </w:r>
    </w:p>
    <w:p w14:paraId="59363477" w14:textId="6847B2B5" w:rsidR="00633653" w:rsidRPr="00034E61" w:rsidRDefault="00633653" w:rsidP="000B51B3">
      <w:pPr>
        <w:spacing w:line="360" w:lineRule="auto"/>
        <w:jc w:val="both"/>
        <w:rPr>
          <w:rFonts w:ascii="Arial" w:hAnsi="Arial" w:cs="Arial"/>
        </w:rPr>
      </w:pPr>
      <w:r w:rsidRPr="00034E61">
        <w:rPr>
          <w:rFonts w:ascii="Arial" w:hAnsi="Arial" w:cs="Arial"/>
        </w:rPr>
        <w:t>Liao, G.Y., Tseng, F.C., Cheng, T.C.E. and Teng, C.I., 2020. Impact of gaming habits on motivation to attain gaming goals, perceived price fairness, and online gamer loyalty: Perspective of consistency principle. Telematics and Informatics, 49, p.101367.</w:t>
      </w:r>
    </w:p>
    <w:p w14:paraId="219FB427" w14:textId="3FF07B6A" w:rsidR="00FC1FB7" w:rsidRPr="00034E61" w:rsidRDefault="00FC1FB7" w:rsidP="000B51B3">
      <w:pPr>
        <w:spacing w:line="360" w:lineRule="auto"/>
        <w:jc w:val="both"/>
        <w:rPr>
          <w:rFonts w:ascii="Arial" w:hAnsi="Arial" w:cs="Arial"/>
        </w:rPr>
      </w:pPr>
      <w:r w:rsidRPr="00034E61">
        <w:rPr>
          <w:rFonts w:ascii="Arial" w:hAnsi="Arial" w:cs="Arial"/>
        </w:rPr>
        <w:t>Loughran, T. and McDonald, B., 2016. Textual analysis in accounting and finance: A survey. Journal of Accounting Research, 54(4), pp.1187-1230.</w:t>
      </w:r>
    </w:p>
    <w:p w14:paraId="07BB69DA" w14:textId="0B5D17BC" w:rsidR="000C24B3" w:rsidRPr="00034E61" w:rsidRDefault="000C24B3" w:rsidP="000B51B3">
      <w:pPr>
        <w:spacing w:line="360" w:lineRule="auto"/>
        <w:jc w:val="both"/>
        <w:rPr>
          <w:rFonts w:ascii="Arial" w:hAnsi="Arial" w:cs="Arial"/>
        </w:rPr>
      </w:pPr>
      <w:r w:rsidRPr="00034E61">
        <w:rPr>
          <w:rFonts w:ascii="Arial" w:hAnsi="Arial" w:cs="Arial"/>
        </w:rPr>
        <w:t>Lee, T.A. and Wolnizer, P.W. eds., 2021. The Quest for a Science of Accounting: An Anthology of the Research of Robert R. Sterling. Routledge.</w:t>
      </w:r>
    </w:p>
    <w:p w14:paraId="0C54D21C" w14:textId="21364D37" w:rsidR="00042873" w:rsidRPr="00034E61" w:rsidRDefault="00042873" w:rsidP="000B51B3">
      <w:pPr>
        <w:spacing w:line="360" w:lineRule="auto"/>
        <w:jc w:val="both"/>
        <w:rPr>
          <w:rFonts w:ascii="Arial" w:hAnsi="Arial" w:cs="Arial"/>
        </w:rPr>
      </w:pPr>
      <w:r w:rsidRPr="00034E61">
        <w:rPr>
          <w:rFonts w:ascii="Arial" w:hAnsi="Arial" w:cs="Arial"/>
        </w:rPr>
        <w:t>Malmi, T. and Granlund, M., 2009. In search of management accounting theory. European accounting review, 18(3), pp.597-620.</w:t>
      </w:r>
    </w:p>
    <w:p w14:paraId="3B3CF146" w14:textId="599ADD5F" w:rsidR="00633653" w:rsidRPr="00034E61" w:rsidRDefault="00633653" w:rsidP="000B51B3">
      <w:pPr>
        <w:spacing w:line="360" w:lineRule="auto"/>
        <w:jc w:val="both"/>
        <w:rPr>
          <w:rFonts w:ascii="Arial" w:hAnsi="Arial" w:cs="Arial"/>
        </w:rPr>
      </w:pPr>
      <w:r w:rsidRPr="00034E61">
        <w:rPr>
          <w:rFonts w:ascii="Arial" w:hAnsi="Arial" w:cs="Arial"/>
        </w:rPr>
        <w:t>Mangiameli, S., 2021. Article 7 [Policy Consistency; Principle of Conferral of Powers]. In Treaty on the Functioning of the European Union-A Commentary (pp. 255-260). Springer, Cham.</w:t>
      </w:r>
    </w:p>
    <w:p w14:paraId="76777920" w14:textId="677BD9B5" w:rsidR="000B51B3" w:rsidRPr="00034E61" w:rsidRDefault="000B51B3" w:rsidP="000B51B3">
      <w:pPr>
        <w:spacing w:line="360" w:lineRule="auto"/>
        <w:jc w:val="both"/>
        <w:rPr>
          <w:rFonts w:ascii="Arial" w:hAnsi="Arial" w:cs="Arial"/>
        </w:rPr>
      </w:pPr>
      <w:r w:rsidRPr="00034E61">
        <w:rPr>
          <w:rFonts w:ascii="Arial" w:hAnsi="Arial" w:cs="Arial"/>
        </w:rPr>
        <w:t>Schroeder, R.G., Clark, M.W. and Cathey, J.M., 2019. Financial accounting theory and analysis: text and cases. John Wiley &amp; Sons.</w:t>
      </w:r>
    </w:p>
    <w:p w14:paraId="155BE2AD" w14:textId="397A4CBC" w:rsidR="00251911" w:rsidRPr="00034E61" w:rsidRDefault="00251911" w:rsidP="000B51B3">
      <w:pPr>
        <w:spacing w:line="360" w:lineRule="auto"/>
        <w:jc w:val="both"/>
        <w:rPr>
          <w:rFonts w:ascii="Arial" w:hAnsi="Arial" w:cs="Arial"/>
        </w:rPr>
      </w:pPr>
      <w:r w:rsidRPr="00034E61">
        <w:rPr>
          <w:rFonts w:ascii="Arial" w:hAnsi="Arial" w:cs="Arial"/>
        </w:rPr>
        <w:t>Semenyshena, N., Khorunzhak, N. and Zadorozhnyi, Z.M., 2020. The institutionalization of accounting: the impact of national standards on the development of economies. Independent Journal of Management &amp; Production, 11(8), pp.695-711.</w:t>
      </w:r>
    </w:p>
    <w:p w14:paraId="23DE97CC" w14:textId="73C4CB57" w:rsidR="00A60DF1" w:rsidRPr="00034E61" w:rsidRDefault="00A60DF1" w:rsidP="000B51B3">
      <w:pPr>
        <w:spacing w:line="360" w:lineRule="auto"/>
        <w:jc w:val="both"/>
        <w:rPr>
          <w:rFonts w:ascii="Arial" w:hAnsi="Arial" w:cs="Arial"/>
        </w:rPr>
      </w:pPr>
      <w:r w:rsidRPr="00034E61">
        <w:rPr>
          <w:rFonts w:ascii="Arial" w:hAnsi="Arial" w:cs="Arial"/>
        </w:rPr>
        <w:t>Whitehead, J., 2017. Prioritizing sustainability indicators: Using materiality analysis to guide sustainability assessment and strategy. Business Strategy and the Environment, 26(3), pp.399-412.</w:t>
      </w:r>
    </w:p>
    <w:sectPr w:rsidR="00A60DF1" w:rsidRPr="00034E6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64AEC" w14:textId="77777777" w:rsidR="00207467" w:rsidRDefault="00207467" w:rsidP="00A26DBB">
      <w:pPr>
        <w:spacing w:after="0" w:line="240" w:lineRule="auto"/>
      </w:pPr>
      <w:r>
        <w:separator/>
      </w:r>
    </w:p>
  </w:endnote>
  <w:endnote w:type="continuationSeparator" w:id="0">
    <w:p w14:paraId="29E8F449" w14:textId="77777777" w:rsidR="00207467" w:rsidRDefault="00207467" w:rsidP="00A26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roid Sans">
    <w:charset w:val="80"/>
    <w:family w:val="auto"/>
    <w:pitch w:val="variable"/>
  </w:font>
  <w:font w:name="Arial">
    <w:panose1 w:val="020B0604020202020204"/>
    <w:charset w:val="00"/>
    <w:family w:val="swiss"/>
    <w:pitch w:val="variable"/>
    <w:sig w:usb0="E0002EFF" w:usb1="C000785B" w:usb2="00000009" w:usb3="00000000" w:csb0="000001FF" w:csb1="00000000"/>
  </w:font>
  <w:font w:name="Arimo">
    <w:altName w:val="Yu Gothic"/>
    <w:charset w:val="8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024981"/>
      <w:docPartObj>
        <w:docPartGallery w:val="Page Numbers (Bottom of Page)"/>
        <w:docPartUnique/>
      </w:docPartObj>
    </w:sdtPr>
    <w:sdtEndPr>
      <w:rPr>
        <w:noProof/>
      </w:rPr>
    </w:sdtEndPr>
    <w:sdtContent>
      <w:p w14:paraId="43F30309" w14:textId="41AEA19D" w:rsidR="00034E61" w:rsidRDefault="00034E6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88004A" w14:textId="77777777" w:rsidR="00034E61" w:rsidRDefault="00034E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DFB322" w14:textId="77777777" w:rsidR="00207467" w:rsidRDefault="00207467" w:rsidP="00A26DBB">
      <w:pPr>
        <w:spacing w:after="0" w:line="240" w:lineRule="auto"/>
      </w:pPr>
      <w:r>
        <w:separator/>
      </w:r>
    </w:p>
  </w:footnote>
  <w:footnote w:type="continuationSeparator" w:id="0">
    <w:p w14:paraId="299A0418" w14:textId="77777777" w:rsidR="00207467" w:rsidRDefault="00207467" w:rsidP="00A26D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D4950"/>
    <w:multiLevelType w:val="hybridMultilevel"/>
    <w:tmpl w:val="E410FF94"/>
    <w:lvl w:ilvl="0" w:tplc="FFAC1FF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39401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6DBB"/>
    <w:rsid w:val="00023572"/>
    <w:rsid w:val="00034E61"/>
    <w:rsid w:val="00042873"/>
    <w:rsid w:val="000B51B3"/>
    <w:rsid w:val="000C24B3"/>
    <w:rsid w:val="00207467"/>
    <w:rsid w:val="00251911"/>
    <w:rsid w:val="004A1C69"/>
    <w:rsid w:val="005109DF"/>
    <w:rsid w:val="005A26DA"/>
    <w:rsid w:val="00633653"/>
    <w:rsid w:val="00A26DBB"/>
    <w:rsid w:val="00A60DF1"/>
    <w:rsid w:val="00CF09E7"/>
    <w:rsid w:val="00D156A2"/>
    <w:rsid w:val="00D80773"/>
    <w:rsid w:val="00DD2773"/>
    <w:rsid w:val="00EE31F8"/>
    <w:rsid w:val="00FC1F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C88DAC"/>
  <w15:chartTrackingRefBased/>
  <w15:docId w15:val="{813BBC01-FF71-47AB-AF11-6193FCCF7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26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6DBB"/>
  </w:style>
  <w:style w:type="paragraph" w:styleId="Footer">
    <w:name w:val="footer"/>
    <w:basedOn w:val="Normal"/>
    <w:link w:val="FooterChar"/>
    <w:uiPriority w:val="99"/>
    <w:unhideWhenUsed/>
    <w:rsid w:val="00A26D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6DBB"/>
  </w:style>
  <w:style w:type="paragraph" w:styleId="ListParagraph">
    <w:name w:val="List Paragraph"/>
    <w:basedOn w:val="Normal"/>
    <w:uiPriority w:val="34"/>
    <w:qFormat/>
    <w:rsid w:val="006336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11</Pages>
  <Words>3227</Words>
  <Characters>18394</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marius</dc:creator>
  <cp:keywords/>
  <dc:description/>
  <cp:lastModifiedBy>mihaela chiriac</cp:lastModifiedBy>
  <cp:revision>1</cp:revision>
  <dcterms:created xsi:type="dcterms:W3CDTF">2022-08-15T10:59:00Z</dcterms:created>
  <dcterms:modified xsi:type="dcterms:W3CDTF">2022-08-15T12:28:00Z</dcterms:modified>
</cp:coreProperties>
</file>