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5CE4" w:rsidRPr="00CF5CE4" w:rsidRDefault="00CF5CE4" w:rsidP="00CF5CE4">
      <w:pPr>
        <w:spacing w:after="0" w:line="360" w:lineRule="auto"/>
        <w:ind w:left="-180" w:right="-334"/>
        <w:rPr>
          <w:rFonts w:ascii="Trebuchet MS" w:eastAsia="SimSun" w:hAnsi="Trebuchet MS" w:cs="Tahoma"/>
          <w:color w:val="000000"/>
          <w:sz w:val="24"/>
          <w:szCs w:val="24"/>
          <w:lang w:eastAsia="zh-CN"/>
        </w:rPr>
      </w:pPr>
      <w:r w:rsidRPr="00CF5CE4">
        <w:rPr>
          <w:rFonts w:ascii="Georgia" w:eastAsia="SimSun" w:hAnsi="Georgia" w:cs="Times New Roman"/>
          <w:noProof/>
          <w:color w:val="000000"/>
          <w:sz w:val="21"/>
          <w:szCs w:val="21"/>
          <w:lang w:eastAsia="zh-CN"/>
        </w:rPr>
        <w:drawing>
          <wp:inline distT="0" distB="0" distL="0" distR="0" wp14:anchorId="2C0B67F2" wp14:editId="4C9F6E01">
            <wp:extent cx="1661426" cy="605155"/>
            <wp:effectExtent l="19050" t="19050" r="15240" b="2349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690306" cy="615674"/>
                    </a:xfrm>
                    <a:prstGeom prst="rect">
                      <a:avLst/>
                    </a:prstGeom>
                    <a:noFill/>
                    <a:ln w="19050" cmpd="sng">
                      <a:solidFill>
                        <a:srgbClr val="000000"/>
                      </a:solidFill>
                      <a:miter lim="800000"/>
                      <a:headEnd/>
                      <a:tailEnd/>
                    </a:ln>
                    <a:effectLst/>
                  </pic:spPr>
                </pic:pic>
              </a:graphicData>
            </a:graphic>
          </wp:inline>
        </w:drawing>
      </w:r>
    </w:p>
    <w:p w:rsidR="00CF5CE4" w:rsidRPr="00CF5CE4" w:rsidRDefault="00CF5CE4" w:rsidP="00CF5CE4">
      <w:pPr>
        <w:keepNext/>
        <w:spacing w:before="240" w:after="60" w:line="360" w:lineRule="auto"/>
        <w:jc w:val="center"/>
        <w:outlineLvl w:val="0"/>
        <w:rPr>
          <w:rFonts w:ascii="Arial" w:eastAsia="SimSun" w:hAnsi="Arial" w:cs="Arial"/>
          <w:b/>
          <w:bCs/>
          <w:kern w:val="32"/>
          <w:lang w:val="cy-GB" w:eastAsia="zh-CN"/>
        </w:rPr>
      </w:pPr>
      <w:r w:rsidRPr="00CF5CE4">
        <w:rPr>
          <w:rFonts w:ascii="Arial" w:eastAsia="SimSun" w:hAnsi="Arial" w:cs="Arial"/>
          <w:b/>
          <w:bCs/>
          <w:kern w:val="32"/>
          <w:lang w:val="cy-GB" w:eastAsia="zh-CN"/>
        </w:rPr>
        <w:t>Undergraduate assignment feedback form</w:t>
      </w:r>
    </w:p>
    <w:p w:rsidR="00CF5CE4" w:rsidRPr="00CF5CE4" w:rsidRDefault="00CF5CE4" w:rsidP="00CF5CE4">
      <w:pPr>
        <w:spacing w:after="0" w:line="360" w:lineRule="auto"/>
        <w:jc w:val="center"/>
        <w:rPr>
          <w:rFonts w:ascii="Arial" w:eastAsia="SimSun" w:hAnsi="Arial" w:cs="Arial"/>
          <w:b/>
          <w:lang w:val="cy-GB" w:eastAsia="zh-CN"/>
        </w:rPr>
      </w:pPr>
      <w:r w:rsidRPr="00CF5CE4">
        <w:rPr>
          <w:rFonts w:ascii="Arial" w:eastAsia="SimSun" w:hAnsi="Arial" w:cs="Arial"/>
          <w:b/>
          <w:lang w:val="cy-GB" w:eastAsia="zh-CN"/>
        </w:rPr>
        <w:t>(to be completed by marker)</w:t>
      </w:r>
    </w:p>
    <w:p w:rsidR="00CF5CE4" w:rsidRPr="00CF5CE4" w:rsidRDefault="00CF5CE4" w:rsidP="00CF5CE4">
      <w:pPr>
        <w:keepNext/>
        <w:spacing w:after="0" w:line="36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CF5CE4" w:rsidRPr="00CF5CE4" w:rsidTr="001D6AF0">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CF5CE4" w:rsidRPr="00CF5CE4" w:rsidRDefault="00CF5CE4" w:rsidP="00CF5CE4">
            <w:pPr>
              <w:spacing w:after="0" w:line="360" w:lineRule="auto"/>
              <w:ind w:right="34"/>
              <w:rPr>
                <w:rFonts w:ascii="Calibri" w:eastAsia="SimSun" w:hAnsi="Calibri" w:cs="Tahoma"/>
                <w:i/>
                <w:color w:val="000000"/>
                <w:sz w:val="24"/>
                <w:szCs w:val="24"/>
                <w:lang w:eastAsia="zh-CN"/>
              </w:rPr>
            </w:pPr>
            <w:r w:rsidRPr="00CF5CE4">
              <w:rPr>
                <w:rFonts w:ascii="Calibri" w:eastAsia="SimSun" w:hAnsi="Calibri" w:cs="Tahoma"/>
                <w:i/>
                <w:color w:val="000000"/>
                <w:sz w:val="24"/>
                <w:szCs w:val="24"/>
                <w:lang w:eastAsia="zh-CN"/>
              </w:rPr>
              <w:t>Student Name: Jane Manley</w:t>
            </w:r>
          </w:p>
          <w:p w:rsidR="00CF5CE4" w:rsidRPr="00CF5CE4" w:rsidRDefault="00CF5CE4" w:rsidP="00CF5CE4">
            <w:pPr>
              <w:spacing w:after="0" w:line="360" w:lineRule="auto"/>
              <w:ind w:right="34"/>
              <w:rPr>
                <w:rFonts w:ascii="Calibri" w:eastAsia="SimSun" w:hAnsi="Calibri" w:cs="Tahoma"/>
                <w:i/>
                <w:color w:val="000000"/>
                <w:sz w:val="24"/>
                <w:szCs w:val="24"/>
                <w:lang w:eastAsia="zh-CN"/>
              </w:rPr>
            </w:pPr>
          </w:p>
        </w:tc>
      </w:tr>
      <w:tr w:rsidR="00CF5CE4" w:rsidRPr="00CF5CE4" w:rsidTr="001D6AF0">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CF5CE4" w:rsidRPr="00CF5CE4" w:rsidRDefault="00CF5CE4" w:rsidP="00CF5CE4">
            <w:pPr>
              <w:spacing w:after="0" w:line="360" w:lineRule="auto"/>
              <w:ind w:right="34"/>
              <w:rPr>
                <w:rFonts w:ascii="Calibri" w:eastAsia="SimSun" w:hAnsi="Calibri" w:cs="Tahoma"/>
                <w:i/>
                <w:color w:val="000000"/>
                <w:sz w:val="24"/>
                <w:szCs w:val="24"/>
                <w:lang w:eastAsia="zh-CN"/>
              </w:rPr>
            </w:pPr>
            <w:r w:rsidRPr="00CF5CE4">
              <w:rPr>
                <w:rFonts w:ascii="Calibri" w:eastAsia="SimSun" w:hAnsi="Calibri" w:cs="Tahoma"/>
                <w:i/>
                <w:color w:val="000000"/>
                <w:sz w:val="24"/>
                <w:szCs w:val="24"/>
                <w:lang w:eastAsia="zh-CN"/>
              </w:rPr>
              <w:t>Module Code: HPRS5040</w:t>
            </w:r>
          </w:p>
          <w:p w:rsidR="00CF5CE4" w:rsidRPr="00CF5CE4" w:rsidRDefault="00CF5CE4" w:rsidP="00CF5CE4">
            <w:pPr>
              <w:spacing w:after="0" w:line="360" w:lineRule="auto"/>
              <w:ind w:right="34"/>
              <w:rPr>
                <w:rFonts w:ascii="Calibri" w:eastAsia="SimSun" w:hAnsi="Calibri" w:cs="Tahoma"/>
                <w:i/>
                <w:color w:val="000000"/>
                <w:sz w:val="24"/>
                <w:szCs w:val="24"/>
                <w:lang w:eastAsia="zh-CN"/>
              </w:rPr>
            </w:pPr>
            <w:r w:rsidRPr="00CF5CE4">
              <w:rPr>
                <w:rFonts w:ascii="Calibri" w:eastAsia="SimSun" w:hAnsi="Calibri" w:cs="Tahoma"/>
                <w:i/>
                <w:color w:val="000000"/>
                <w:sz w:val="24"/>
                <w:szCs w:val="24"/>
                <w:lang w:eastAsia="zh-CN"/>
              </w:rPr>
              <w:t>Module title - Religion, Media &amp; Popular Culture: from Manuscripts to Disney</w:t>
            </w:r>
          </w:p>
          <w:p w:rsidR="00CF5CE4" w:rsidRPr="00CF5CE4" w:rsidRDefault="00CF5CE4" w:rsidP="00CF5CE4">
            <w:pPr>
              <w:spacing w:after="0" w:line="360" w:lineRule="auto"/>
              <w:ind w:right="34"/>
              <w:rPr>
                <w:rFonts w:ascii="Calibri" w:eastAsia="SimSun" w:hAnsi="Calibri" w:cs="Tahoma"/>
                <w:i/>
                <w:color w:val="00000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rsidR="00CF5CE4" w:rsidRPr="00CF5CE4" w:rsidRDefault="00CF5CE4" w:rsidP="00CF5CE4">
            <w:pPr>
              <w:spacing w:after="0" w:line="360" w:lineRule="auto"/>
              <w:ind w:right="34"/>
              <w:rPr>
                <w:rFonts w:ascii="Calibri" w:eastAsia="SimSun" w:hAnsi="Calibri" w:cs="Tahoma"/>
                <w:i/>
                <w:color w:val="000000"/>
                <w:sz w:val="24"/>
                <w:szCs w:val="24"/>
                <w:lang w:eastAsia="zh-CN"/>
              </w:rPr>
            </w:pPr>
            <w:r w:rsidRPr="00CF5CE4">
              <w:rPr>
                <w:rFonts w:ascii="Calibri" w:eastAsia="SimSun" w:hAnsi="Calibri" w:cs="Tahoma"/>
                <w:i/>
                <w:color w:val="000000"/>
                <w:sz w:val="24"/>
                <w:szCs w:val="24"/>
                <w:lang w:eastAsia="zh-CN"/>
              </w:rPr>
              <w:t>Student number: 0202616</w:t>
            </w:r>
          </w:p>
        </w:tc>
      </w:tr>
      <w:tr w:rsidR="00CF5CE4" w:rsidRPr="00CF5CE4" w:rsidTr="001D6AF0">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CF5CE4" w:rsidRPr="00CF5CE4" w:rsidRDefault="00CF5CE4" w:rsidP="00CF5CE4">
            <w:pPr>
              <w:spacing w:after="0" w:line="360" w:lineRule="auto"/>
              <w:rPr>
                <w:rFonts w:ascii="Calibri" w:eastAsia="SimSun" w:hAnsi="Calibri" w:cs="Tahoma"/>
                <w:i/>
                <w:color w:val="000000"/>
                <w:sz w:val="24"/>
                <w:szCs w:val="24"/>
                <w:lang w:eastAsia="zh-CN"/>
              </w:rPr>
            </w:pPr>
            <w:r w:rsidRPr="00CF5CE4">
              <w:rPr>
                <w:rFonts w:ascii="Calibri" w:eastAsia="SimSun" w:hAnsi="Calibri" w:cs="Tahoma"/>
                <w:i/>
                <w:color w:val="000000"/>
                <w:sz w:val="24"/>
                <w:szCs w:val="24"/>
                <w:lang w:eastAsia="zh-CN"/>
              </w:rPr>
              <w:t>For completion by marker:</w:t>
            </w:r>
          </w:p>
          <w:p w:rsidR="00CF5CE4" w:rsidRPr="00CF5CE4" w:rsidRDefault="00CF5CE4" w:rsidP="00CF5CE4">
            <w:pPr>
              <w:spacing w:before="100" w:beforeAutospacing="1" w:after="100" w:afterAutospacing="1" w:line="360" w:lineRule="auto"/>
              <w:rPr>
                <w:rFonts w:ascii="Calibri" w:eastAsia="SimSun" w:hAnsi="Calibri" w:cs="Tahoma"/>
                <w:i/>
                <w:color w:val="000000"/>
                <w:sz w:val="24"/>
                <w:szCs w:val="24"/>
                <w:lang w:eastAsia="zh-CN"/>
              </w:rPr>
            </w:pPr>
            <w:r w:rsidRPr="00CF5CE4">
              <w:rPr>
                <w:rFonts w:ascii="Calibri" w:eastAsia="SimSun" w:hAnsi="Calibri" w:cs="Tahoma"/>
                <w:i/>
                <w:color w:val="000000"/>
                <w:sz w:val="24"/>
                <w:szCs w:val="24"/>
                <w:lang w:eastAsia="zh-CN"/>
              </w:rPr>
              <w:t>Comments:</w:t>
            </w:r>
          </w:p>
          <w:p w:rsidR="00CF5CE4" w:rsidRPr="00CF5CE4" w:rsidRDefault="00CF5CE4" w:rsidP="00CF5CE4">
            <w:pPr>
              <w:spacing w:before="100" w:beforeAutospacing="1" w:after="100" w:afterAutospacing="1" w:line="360" w:lineRule="auto"/>
              <w:rPr>
                <w:rFonts w:ascii="Calibri" w:eastAsia="SimSun" w:hAnsi="Calibri" w:cs="Tahoma"/>
                <w:i/>
                <w:color w:val="000000"/>
                <w:sz w:val="24"/>
                <w:szCs w:val="24"/>
                <w:lang w:eastAsia="zh-CN"/>
              </w:rPr>
            </w:pPr>
          </w:p>
          <w:p w:rsidR="00CF5CE4" w:rsidRPr="00CF5CE4" w:rsidRDefault="00CF5CE4" w:rsidP="00CF5CE4">
            <w:pPr>
              <w:spacing w:before="100" w:beforeAutospacing="1" w:after="100" w:afterAutospacing="1" w:line="360" w:lineRule="auto"/>
              <w:rPr>
                <w:rFonts w:ascii="Calibri" w:eastAsia="SimSun" w:hAnsi="Calibri" w:cs="Tahoma"/>
                <w:i/>
                <w:color w:val="000000"/>
                <w:sz w:val="24"/>
                <w:szCs w:val="24"/>
                <w:lang w:eastAsia="zh-CN"/>
              </w:rPr>
            </w:pPr>
          </w:p>
          <w:p w:rsidR="00CF5CE4" w:rsidRPr="00CF5CE4" w:rsidRDefault="00CF5CE4" w:rsidP="00CF5CE4">
            <w:pPr>
              <w:spacing w:before="100" w:beforeAutospacing="1" w:after="100" w:afterAutospacing="1" w:line="360" w:lineRule="auto"/>
              <w:rPr>
                <w:rFonts w:ascii="Calibri" w:eastAsia="SimSun" w:hAnsi="Calibri" w:cs="Tahoma"/>
                <w:i/>
                <w:color w:val="000000"/>
                <w:sz w:val="24"/>
                <w:szCs w:val="24"/>
                <w:lang w:eastAsia="zh-CN"/>
              </w:rPr>
            </w:pPr>
          </w:p>
          <w:p w:rsidR="00CF5CE4" w:rsidRPr="00CF5CE4" w:rsidRDefault="00CF5CE4" w:rsidP="00CF5CE4">
            <w:pPr>
              <w:spacing w:before="100" w:beforeAutospacing="1" w:after="100" w:afterAutospacing="1" w:line="360" w:lineRule="auto"/>
              <w:rPr>
                <w:rFonts w:ascii="Calibri" w:eastAsia="SimSun" w:hAnsi="Calibri" w:cs="Tahoma"/>
                <w:i/>
                <w:color w:val="000000"/>
                <w:sz w:val="24"/>
                <w:szCs w:val="24"/>
                <w:lang w:eastAsia="zh-CN"/>
              </w:rPr>
            </w:pPr>
          </w:p>
          <w:p w:rsidR="00CF5CE4" w:rsidRPr="00CF5CE4" w:rsidRDefault="00CF5CE4" w:rsidP="00CF5CE4">
            <w:pPr>
              <w:spacing w:before="100" w:beforeAutospacing="1" w:after="100" w:afterAutospacing="1" w:line="360" w:lineRule="auto"/>
              <w:rPr>
                <w:rFonts w:ascii="Calibri" w:eastAsia="SimSun" w:hAnsi="Calibri" w:cs="Tahoma"/>
                <w:i/>
                <w:color w:val="000000"/>
                <w:sz w:val="24"/>
                <w:szCs w:val="24"/>
                <w:lang w:eastAsia="zh-CN"/>
              </w:rPr>
            </w:pPr>
          </w:p>
          <w:p w:rsidR="00CF5CE4" w:rsidRPr="00CF5CE4" w:rsidRDefault="00CF5CE4" w:rsidP="00CF5CE4">
            <w:pPr>
              <w:spacing w:before="100" w:beforeAutospacing="1" w:after="100" w:afterAutospacing="1" w:line="360" w:lineRule="auto"/>
              <w:rPr>
                <w:rFonts w:ascii="Calibri" w:eastAsia="SimSun" w:hAnsi="Calibri" w:cs="Tahoma"/>
                <w:i/>
                <w:color w:val="000000"/>
                <w:sz w:val="24"/>
                <w:szCs w:val="24"/>
                <w:lang w:eastAsia="zh-CN"/>
              </w:rPr>
            </w:pPr>
          </w:p>
          <w:p w:rsidR="00CF5CE4" w:rsidRPr="00CF5CE4" w:rsidRDefault="00CF5CE4" w:rsidP="00CF5CE4">
            <w:pPr>
              <w:spacing w:before="100" w:beforeAutospacing="1" w:after="100" w:afterAutospacing="1" w:line="360" w:lineRule="auto"/>
              <w:rPr>
                <w:rFonts w:ascii="Calibri" w:eastAsia="SimSun" w:hAnsi="Calibri" w:cs="Tahoma"/>
                <w:i/>
                <w:color w:val="000000"/>
                <w:sz w:val="24"/>
                <w:szCs w:val="24"/>
                <w:lang w:eastAsia="zh-CN"/>
              </w:rPr>
            </w:pPr>
          </w:p>
        </w:tc>
      </w:tr>
      <w:tr w:rsidR="00CF5CE4" w:rsidRPr="00CF5CE4" w:rsidTr="001D6AF0">
        <w:trPr>
          <w:trHeight w:val="492"/>
        </w:trPr>
        <w:tc>
          <w:tcPr>
            <w:tcW w:w="6768" w:type="dxa"/>
            <w:gridSpan w:val="2"/>
            <w:tcBorders>
              <w:top w:val="single" w:sz="4" w:space="0" w:color="auto"/>
            </w:tcBorders>
            <w:vAlign w:val="center"/>
          </w:tcPr>
          <w:p w:rsidR="00CF5CE4" w:rsidRPr="00CF5CE4" w:rsidRDefault="00CF5CE4" w:rsidP="00CF5CE4">
            <w:pPr>
              <w:spacing w:before="100" w:beforeAutospacing="1" w:after="100" w:afterAutospacing="1" w:line="360" w:lineRule="auto"/>
              <w:ind w:left="142" w:right="34"/>
              <w:rPr>
                <w:rFonts w:ascii="Calibri" w:eastAsia="SimSun" w:hAnsi="Calibri" w:cs="Tahoma"/>
                <w:i/>
                <w:color w:val="000000"/>
                <w:sz w:val="24"/>
                <w:szCs w:val="24"/>
                <w:lang w:eastAsia="zh-CN"/>
              </w:rPr>
            </w:pPr>
            <w:r w:rsidRPr="00CF5CE4">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rsidR="00CF5CE4" w:rsidRPr="00CF5CE4" w:rsidRDefault="00CF5CE4" w:rsidP="00CF5CE4">
            <w:pPr>
              <w:spacing w:before="100" w:beforeAutospacing="1" w:after="0" w:afterAutospacing="1" w:line="360" w:lineRule="auto"/>
              <w:ind w:left="142" w:right="34"/>
              <w:rPr>
                <w:rFonts w:ascii="Calibri" w:eastAsia="SimSun" w:hAnsi="Calibri" w:cs="Tahoma"/>
                <w:i/>
                <w:color w:val="000000"/>
                <w:sz w:val="24"/>
                <w:szCs w:val="24"/>
                <w:lang w:eastAsia="zh-CN"/>
              </w:rPr>
            </w:pPr>
            <w:r w:rsidRPr="00CF5CE4">
              <w:rPr>
                <w:rFonts w:ascii="Calibri" w:eastAsia="SimSun" w:hAnsi="Calibri" w:cs="Tahoma"/>
                <w:i/>
                <w:color w:val="000000"/>
                <w:sz w:val="24"/>
                <w:szCs w:val="24"/>
                <w:lang w:eastAsia="zh-CN"/>
              </w:rPr>
              <w:t>Date:</w:t>
            </w:r>
          </w:p>
        </w:tc>
      </w:tr>
      <w:tr w:rsidR="00CF5CE4" w:rsidRPr="00CF5CE4" w:rsidTr="001D6AF0">
        <w:tc>
          <w:tcPr>
            <w:tcW w:w="8755" w:type="dxa"/>
            <w:gridSpan w:val="3"/>
            <w:vAlign w:val="center"/>
          </w:tcPr>
          <w:p w:rsidR="00CF5CE4" w:rsidRPr="00CF5CE4" w:rsidRDefault="00CF5CE4" w:rsidP="00CF5CE4">
            <w:pPr>
              <w:spacing w:after="0" w:line="360" w:lineRule="auto"/>
              <w:ind w:left="142" w:right="34"/>
              <w:rPr>
                <w:rFonts w:ascii="Calibri" w:eastAsia="SimSun" w:hAnsi="Calibri" w:cs="Tahoma"/>
                <w:i/>
                <w:color w:val="000000"/>
                <w:sz w:val="24"/>
                <w:szCs w:val="24"/>
                <w:lang w:eastAsia="zh-CN"/>
              </w:rPr>
            </w:pPr>
            <w:r w:rsidRPr="00CF5CE4">
              <w:rPr>
                <w:rFonts w:ascii="Calibri" w:eastAsia="SimSun" w:hAnsi="Calibri" w:cs="Tahoma"/>
                <w:i/>
                <w:color w:val="000000"/>
                <w:sz w:val="24"/>
                <w:szCs w:val="24"/>
                <w:lang w:eastAsia="zh-CN"/>
              </w:rPr>
              <w:t xml:space="preserve">Provisional mark: </w:t>
            </w:r>
          </w:p>
          <w:p w:rsidR="00CF5CE4" w:rsidRPr="00CF5CE4" w:rsidRDefault="00CF5CE4" w:rsidP="00CF5CE4">
            <w:pPr>
              <w:spacing w:after="0" w:line="360" w:lineRule="auto"/>
              <w:ind w:left="142" w:right="34"/>
              <w:rPr>
                <w:rFonts w:ascii="Calibri" w:eastAsia="SimSun" w:hAnsi="Calibri" w:cs="Tahoma"/>
                <w:i/>
                <w:color w:val="000000"/>
                <w:sz w:val="24"/>
                <w:szCs w:val="24"/>
                <w:lang w:eastAsia="zh-CN"/>
              </w:rPr>
            </w:pPr>
            <w:r w:rsidRPr="00CF5CE4">
              <w:rPr>
                <w:rFonts w:ascii="Calibri" w:eastAsia="SimSun" w:hAnsi="Calibri" w:cs="Tahoma"/>
                <w:b/>
                <w:i/>
                <w:color w:val="000000"/>
                <w:sz w:val="24"/>
                <w:szCs w:val="24"/>
                <w:lang w:eastAsia="zh-CN"/>
              </w:rPr>
              <w:t>NB.</w:t>
            </w:r>
            <w:r w:rsidRPr="00CF5CE4">
              <w:rPr>
                <w:rFonts w:ascii="Calibri" w:eastAsia="SimSun" w:hAnsi="Calibri" w:cs="Tahoma"/>
                <w:i/>
                <w:color w:val="000000"/>
                <w:sz w:val="24"/>
                <w:szCs w:val="24"/>
                <w:lang w:eastAsia="zh-CN"/>
              </w:rPr>
              <w:t xml:space="preserve">  All marks are provisional until confirmed by the final examination board. </w:t>
            </w:r>
          </w:p>
        </w:tc>
      </w:tr>
    </w:tbl>
    <w:p w:rsidR="00CF5CE4" w:rsidRPr="00CF5CE4" w:rsidRDefault="00CF5CE4" w:rsidP="00CF5CE4">
      <w:pPr>
        <w:spacing w:after="0" w:line="360" w:lineRule="auto"/>
        <w:ind w:right="-335"/>
        <w:jc w:val="center"/>
        <w:rPr>
          <w:rFonts w:ascii="Corbel" w:eastAsia="Yu Gothic Light" w:hAnsi="Corbel" w:cs="Tahoma"/>
          <w:b/>
          <w:bCs/>
          <w:color w:val="000000"/>
          <w:sz w:val="32"/>
          <w:szCs w:val="32"/>
          <w:u w:val="single"/>
          <w:lang w:eastAsia="zh-CN"/>
        </w:rPr>
      </w:pPr>
    </w:p>
    <w:p w:rsidR="004619F6" w:rsidRDefault="004619F6" w:rsidP="00CF5CE4">
      <w:pPr>
        <w:spacing w:after="0" w:line="360" w:lineRule="auto"/>
        <w:ind w:right="-335"/>
        <w:jc w:val="center"/>
        <w:rPr>
          <w:rFonts w:ascii="Corbel" w:eastAsia="Yu Gothic Light" w:hAnsi="Corbel" w:cs="Tahoma"/>
          <w:b/>
          <w:bCs/>
          <w:color w:val="000000"/>
          <w:sz w:val="32"/>
          <w:szCs w:val="32"/>
          <w:u w:val="single"/>
          <w:lang w:eastAsia="zh-CN"/>
        </w:rPr>
      </w:pPr>
    </w:p>
    <w:p w:rsidR="00CF5CE4" w:rsidRPr="00CF5CE4" w:rsidRDefault="00CF5CE4" w:rsidP="00CF5CE4">
      <w:pPr>
        <w:spacing w:after="0" w:line="360" w:lineRule="auto"/>
        <w:ind w:right="-335"/>
        <w:jc w:val="center"/>
        <w:rPr>
          <w:rFonts w:ascii="Corbel" w:eastAsia="Yu Gothic Light" w:hAnsi="Corbel" w:cs="Tahoma"/>
          <w:b/>
          <w:bCs/>
          <w:color w:val="000000"/>
          <w:sz w:val="32"/>
          <w:szCs w:val="32"/>
          <w:u w:val="single"/>
          <w:lang w:eastAsia="zh-CN"/>
        </w:rPr>
      </w:pPr>
      <w:r w:rsidRPr="00CF5CE4">
        <w:rPr>
          <w:rFonts w:ascii="Corbel" w:eastAsia="Yu Gothic Light" w:hAnsi="Corbel" w:cs="Tahoma"/>
          <w:b/>
          <w:bCs/>
          <w:color w:val="000000"/>
          <w:sz w:val="32"/>
          <w:szCs w:val="32"/>
          <w:u w:val="single"/>
          <w:lang w:eastAsia="zh-CN"/>
        </w:rPr>
        <w:lastRenderedPageBreak/>
        <w:t xml:space="preserve">A Film Review </w:t>
      </w:r>
    </w:p>
    <w:p w:rsidR="00CF5CE4" w:rsidRPr="00CF5CE4" w:rsidRDefault="00CF5CE4" w:rsidP="00CF5CE4">
      <w:pPr>
        <w:spacing w:after="0" w:line="360" w:lineRule="auto"/>
        <w:ind w:right="-335"/>
        <w:jc w:val="center"/>
        <w:rPr>
          <w:rFonts w:ascii="Corbel" w:eastAsia="Yu Gothic Light" w:hAnsi="Corbel" w:cs="Tahoma"/>
          <w:b/>
          <w:bCs/>
          <w:color w:val="000000"/>
          <w:sz w:val="32"/>
          <w:szCs w:val="32"/>
          <w:u w:val="single"/>
          <w:lang w:eastAsia="zh-CN"/>
        </w:rPr>
      </w:pPr>
      <w:r w:rsidRPr="00CF5CE4">
        <w:rPr>
          <w:rFonts w:ascii="Corbel" w:eastAsia="Yu Gothic Light" w:hAnsi="Corbel" w:cs="Tahoma"/>
          <w:b/>
          <w:bCs/>
          <w:color w:val="000000"/>
          <w:sz w:val="32"/>
          <w:szCs w:val="32"/>
          <w:u w:val="single"/>
          <w:lang w:eastAsia="zh-CN"/>
        </w:rPr>
        <w:t>Looking at religious themes in Milos Forman’s ‘Amadeus’</w:t>
      </w:r>
    </w:p>
    <w:p w:rsidR="00CF5CE4" w:rsidRPr="00CF5CE4" w:rsidRDefault="00CF5CE4" w:rsidP="00CF5CE4">
      <w:pPr>
        <w:spacing w:after="0" w:line="360" w:lineRule="auto"/>
        <w:ind w:right="-335"/>
        <w:jc w:val="center"/>
        <w:rPr>
          <w:rFonts w:ascii="Corbel" w:eastAsia="Yu Gothic Light" w:hAnsi="Corbel" w:cs="Tahoma"/>
          <w:b/>
          <w:bCs/>
          <w:color w:val="000000"/>
          <w:sz w:val="32"/>
          <w:szCs w:val="32"/>
          <w:u w:val="single"/>
          <w:lang w:eastAsia="zh-CN"/>
        </w:rPr>
      </w:pPr>
    </w:p>
    <w:p w:rsidR="00CF5CE4" w:rsidRPr="00CF5CE4" w:rsidRDefault="00CF5CE4" w:rsidP="00CF5CE4">
      <w:pPr>
        <w:spacing w:after="0" w:line="360" w:lineRule="auto"/>
        <w:ind w:right="-335"/>
        <w:jc w:val="both"/>
        <w:rPr>
          <w:rFonts w:ascii="Corbel" w:eastAsia="Yu Gothic Light" w:hAnsi="Corbel" w:cs="Tahoma"/>
          <w:bCs/>
          <w:color w:val="000000"/>
          <w:sz w:val="28"/>
          <w:szCs w:val="28"/>
          <w:lang w:eastAsia="zh-CN"/>
        </w:rPr>
      </w:pPr>
      <w:bookmarkStart w:id="0" w:name="_Hlk10125768"/>
      <w:r w:rsidRPr="00CF5CE4">
        <w:rPr>
          <w:rFonts w:ascii="Corbel" w:eastAsia="Yu Gothic Light" w:hAnsi="Corbel" w:cs="Tahoma"/>
          <w:bCs/>
          <w:i/>
          <w:color w:val="000000"/>
          <w:sz w:val="28"/>
          <w:szCs w:val="28"/>
          <w:lang w:eastAsia="zh-CN"/>
        </w:rPr>
        <w:t>Amadeus (</w:t>
      </w:r>
      <w:r w:rsidRPr="00CF5CE4">
        <w:rPr>
          <w:rFonts w:ascii="Corbel" w:eastAsia="Yu Gothic Light" w:hAnsi="Corbel" w:cs="Tahoma"/>
          <w:bCs/>
          <w:color w:val="000000"/>
          <w:sz w:val="28"/>
          <w:szCs w:val="28"/>
          <w:lang w:eastAsia="zh-CN"/>
        </w:rPr>
        <w:t>Warner Bros, A.O.L, Time Warner. The Saul Zaentz Company. Directed by Milos Forman, 1984).</w:t>
      </w:r>
    </w:p>
    <w:bookmarkEnd w:id="0"/>
    <w:p w:rsidR="00CF5CE4" w:rsidRPr="00CF5CE4" w:rsidRDefault="00CF5CE4" w:rsidP="00CF5CE4">
      <w:pPr>
        <w:spacing w:after="0" w:line="360" w:lineRule="auto"/>
        <w:ind w:right="-335"/>
        <w:jc w:val="both"/>
        <w:rPr>
          <w:rFonts w:ascii="Corbel" w:eastAsia="Yu Gothic Light" w:hAnsi="Corbel" w:cs="Tahoma"/>
          <w:bCs/>
          <w:color w:val="000000"/>
          <w:sz w:val="28"/>
          <w:szCs w:val="28"/>
          <w:lang w:eastAsia="zh-CN"/>
        </w:rPr>
      </w:pPr>
    </w:p>
    <w:p w:rsidR="00CF5CE4" w:rsidRPr="00CF5CE4" w:rsidRDefault="00CF5CE4" w:rsidP="00CF5CE4">
      <w:pPr>
        <w:spacing w:after="0" w:line="360" w:lineRule="auto"/>
        <w:ind w:right="-335"/>
        <w:jc w:val="center"/>
        <w:rPr>
          <w:rFonts w:ascii="Corbel" w:eastAsia="Yu Gothic Light" w:hAnsi="Corbel" w:cs="Tahoma"/>
          <w:b/>
          <w:bCs/>
          <w:sz w:val="28"/>
          <w:szCs w:val="28"/>
          <w:lang w:eastAsia="zh-CN"/>
        </w:rPr>
      </w:pPr>
      <w:r w:rsidRPr="00CF5CE4">
        <w:rPr>
          <w:rFonts w:ascii="Corbel" w:eastAsia="Yu Gothic Light" w:hAnsi="Corbel" w:cs="Tahoma"/>
          <w:bCs/>
          <w:color w:val="000000"/>
          <w:sz w:val="28"/>
          <w:szCs w:val="28"/>
          <w:lang w:eastAsia="zh-CN"/>
        </w:rPr>
        <w:t>Amadeus means “love of God”</w:t>
      </w:r>
      <w:r w:rsidRPr="00CF5CE4">
        <w:rPr>
          <w:rFonts w:ascii="Corbel" w:eastAsia="Yu Gothic Light" w:hAnsi="Corbel" w:cs="Tahoma"/>
          <w:bCs/>
          <w:color w:val="000000"/>
          <w:sz w:val="28"/>
          <w:szCs w:val="28"/>
          <w:vertAlign w:val="superscript"/>
          <w:lang w:eastAsia="zh-CN"/>
        </w:rPr>
        <w:footnoteReference w:id="1"/>
      </w:r>
      <w:r w:rsidRPr="00CF5CE4">
        <w:rPr>
          <w:rFonts w:ascii="Corbel" w:eastAsia="Yu Gothic Light" w:hAnsi="Corbel" w:cs="Tahoma"/>
          <w:bCs/>
          <w:color w:val="000000"/>
          <w:sz w:val="28"/>
          <w:szCs w:val="28"/>
          <w:lang w:eastAsia="zh-CN"/>
        </w:rPr>
        <w:t xml:space="preserve">,  Salieri no translation found, but in </w:t>
      </w:r>
      <w:r w:rsidRPr="00CF5CE4">
        <w:rPr>
          <w:rFonts w:ascii="Corbel" w:eastAsia="SimSun" w:hAnsi="Corbel" w:cs="Times New Roman"/>
          <w:bCs/>
          <w:sz w:val="28"/>
          <w:szCs w:val="28"/>
          <w:lang w:eastAsia="zh-CN"/>
        </w:rPr>
        <w:t>Chaldean Numerology the numerical value of Salieri is 7</w:t>
      </w:r>
      <w:r w:rsidRPr="00CF5CE4">
        <w:rPr>
          <w:rFonts w:ascii="Corbel" w:eastAsia="SimSun" w:hAnsi="Corbel" w:cs="Times New Roman"/>
          <w:bCs/>
          <w:sz w:val="28"/>
          <w:szCs w:val="28"/>
          <w:vertAlign w:val="superscript"/>
          <w:lang w:eastAsia="zh-CN"/>
        </w:rPr>
        <w:footnoteReference w:id="2"/>
      </w:r>
      <w:r w:rsidRPr="00CF5CE4">
        <w:rPr>
          <w:rFonts w:ascii="Corbel" w:eastAsia="SimSun" w:hAnsi="Corbel" w:cs="Times New Roman"/>
          <w:bCs/>
          <w:sz w:val="28"/>
          <w:szCs w:val="28"/>
          <w:lang w:eastAsia="zh-CN"/>
        </w:rPr>
        <w:t>.</w:t>
      </w:r>
    </w:p>
    <w:p w:rsidR="00CF5CE4" w:rsidRPr="00CF5CE4" w:rsidRDefault="00CF5CE4" w:rsidP="00CF5CE4">
      <w:pPr>
        <w:spacing w:after="0" w:line="360" w:lineRule="auto"/>
        <w:ind w:right="-335"/>
        <w:jc w:val="center"/>
        <w:rPr>
          <w:rFonts w:ascii="Corbel" w:eastAsia="Yu Gothic Light" w:hAnsi="Corbel" w:cs="Tahoma"/>
          <w:bCs/>
          <w:color w:val="000000"/>
          <w:sz w:val="28"/>
          <w:szCs w:val="28"/>
          <w:lang w:eastAsia="zh-CN"/>
        </w:rPr>
      </w:pPr>
    </w:p>
    <w:p w:rsidR="00CF5CE4" w:rsidRPr="00CF5CE4" w:rsidRDefault="00CF5CE4" w:rsidP="00CF5CE4">
      <w:pPr>
        <w:spacing w:after="0" w:line="360" w:lineRule="auto"/>
        <w:ind w:right="-335"/>
        <w:jc w:val="both"/>
        <w:rPr>
          <w:rFonts w:ascii="Corbel" w:eastAsia="Yu Gothic Light" w:hAnsi="Corbel" w:cs="Tahoma"/>
          <w:bCs/>
          <w:sz w:val="28"/>
          <w:szCs w:val="28"/>
          <w:lang w:eastAsia="zh-CN"/>
        </w:rPr>
      </w:pPr>
      <w:r w:rsidRPr="00CF5CE4">
        <w:rPr>
          <w:rFonts w:ascii="Corbel" w:eastAsia="Yu Gothic Light" w:hAnsi="Corbel" w:cs="Tahoma"/>
          <w:bCs/>
          <w:color w:val="FF0000"/>
          <w:sz w:val="28"/>
          <w:szCs w:val="28"/>
          <w:lang w:eastAsia="zh-CN"/>
        </w:rPr>
        <w:t xml:space="preserve">          </w:t>
      </w:r>
      <w:r w:rsidRPr="00CF5CE4">
        <w:rPr>
          <w:rFonts w:ascii="Corbel" w:eastAsia="Yu Gothic Light" w:hAnsi="Corbel" w:cs="Tahoma"/>
          <w:bCs/>
          <w:sz w:val="28"/>
          <w:szCs w:val="28"/>
          <w:lang w:eastAsia="zh-CN"/>
        </w:rPr>
        <w:t xml:space="preserve">Released as a film in 1984, </w:t>
      </w:r>
      <w:r w:rsidRPr="00CF5CE4">
        <w:rPr>
          <w:rFonts w:ascii="Corbel" w:eastAsia="Yu Gothic Light" w:hAnsi="Corbel" w:cs="Tahoma"/>
          <w:bCs/>
          <w:i/>
          <w:sz w:val="28"/>
          <w:szCs w:val="28"/>
          <w:lang w:eastAsia="zh-CN"/>
        </w:rPr>
        <w:t xml:space="preserve">Amadeus </w:t>
      </w:r>
      <w:r w:rsidRPr="00CF5CE4">
        <w:rPr>
          <w:rFonts w:ascii="Corbel" w:eastAsia="Yu Gothic Light" w:hAnsi="Corbel" w:cs="Tahoma"/>
          <w:bCs/>
          <w:sz w:val="28"/>
          <w:szCs w:val="28"/>
          <w:lang w:eastAsia="zh-CN"/>
        </w:rPr>
        <w:t>is adapted from the award winning</w:t>
      </w:r>
      <w:r w:rsidRPr="00CF5CE4">
        <w:rPr>
          <w:rFonts w:ascii="Corbel" w:eastAsia="Yu Gothic Light" w:hAnsi="Corbel" w:cs="Tahoma"/>
          <w:bCs/>
          <w:sz w:val="28"/>
          <w:szCs w:val="28"/>
          <w:vertAlign w:val="superscript"/>
          <w:lang w:eastAsia="zh-CN"/>
        </w:rPr>
        <w:footnoteReference w:id="3"/>
      </w:r>
      <w:r w:rsidRPr="00CF5CE4">
        <w:rPr>
          <w:rFonts w:ascii="Corbel" w:eastAsia="Yu Gothic Light" w:hAnsi="Corbel" w:cs="Tahoma"/>
          <w:bCs/>
          <w:sz w:val="28"/>
          <w:szCs w:val="28"/>
          <w:lang w:eastAsia="zh-CN"/>
        </w:rPr>
        <w:t xml:space="preserve"> Peter Shaffer play of 1979; first seen on the 26</w:t>
      </w:r>
      <w:r w:rsidRPr="00CF5CE4">
        <w:rPr>
          <w:rFonts w:ascii="Corbel" w:eastAsia="Yu Gothic Light" w:hAnsi="Corbel" w:cs="Tahoma"/>
          <w:bCs/>
          <w:sz w:val="28"/>
          <w:szCs w:val="28"/>
          <w:vertAlign w:val="superscript"/>
          <w:lang w:eastAsia="zh-CN"/>
        </w:rPr>
        <w:t>th</w:t>
      </w:r>
      <w:r w:rsidRPr="00CF5CE4">
        <w:rPr>
          <w:rFonts w:ascii="Corbel" w:eastAsia="Yu Gothic Light" w:hAnsi="Corbel" w:cs="Tahoma"/>
          <w:bCs/>
          <w:sz w:val="28"/>
          <w:szCs w:val="28"/>
          <w:lang w:eastAsia="zh-CN"/>
        </w:rPr>
        <w:t xml:space="preserve"> October 1979 at the Olivier Theatre - Simon Callow and Paul Schofield playing the leading roles</w:t>
      </w:r>
      <w:r w:rsidRPr="00CF5CE4">
        <w:rPr>
          <w:rFonts w:ascii="Corbel" w:eastAsia="Yu Gothic Light" w:hAnsi="Corbel" w:cs="Tahoma"/>
          <w:bCs/>
          <w:sz w:val="28"/>
          <w:szCs w:val="28"/>
          <w:vertAlign w:val="superscript"/>
          <w:lang w:eastAsia="zh-CN"/>
        </w:rPr>
        <w:footnoteReference w:id="4"/>
      </w:r>
      <w:r w:rsidRPr="00CF5CE4">
        <w:rPr>
          <w:rFonts w:ascii="Corbel" w:eastAsia="Yu Gothic Light" w:hAnsi="Corbel" w:cs="Tahoma"/>
          <w:bCs/>
          <w:sz w:val="28"/>
          <w:szCs w:val="28"/>
          <w:lang w:eastAsia="zh-CN"/>
        </w:rPr>
        <w:t xml:space="preserve">. Shaffer may have based his play on Aleksandr </w:t>
      </w:r>
      <w:proofErr w:type="spellStart"/>
      <w:r w:rsidRPr="00CF5CE4">
        <w:rPr>
          <w:rFonts w:ascii="Corbel" w:eastAsia="Yu Gothic Light" w:hAnsi="Corbel" w:cs="Tahoma"/>
          <w:bCs/>
          <w:sz w:val="28"/>
          <w:szCs w:val="28"/>
          <w:lang w:eastAsia="zh-CN"/>
        </w:rPr>
        <w:t>Puskin’s</w:t>
      </w:r>
      <w:proofErr w:type="spellEnd"/>
      <w:r w:rsidRPr="00CF5CE4">
        <w:rPr>
          <w:rFonts w:ascii="Corbel" w:eastAsia="Yu Gothic Light" w:hAnsi="Corbel" w:cs="Tahoma"/>
          <w:bCs/>
          <w:sz w:val="28"/>
          <w:szCs w:val="28"/>
          <w:lang w:eastAsia="zh-CN"/>
        </w:rPr>
        <w:t xml:space="preserve"> work ‘</w:t>
      </w:r>
      <w:proofErr w:type="spellStart"/>
      <w:r w:rsidRPr="00CF5CE4">
        <w:rPr>
          <w:rFonts w:ascii="Corbel" w:eastAsia="Yu Gothic Light" w:hAnsi="Corbel" w:cs="Tahoma"/>
          <w:bCs/>
          <w:sz w:val="28"/>
          <w:szCs w:val="28"/>
          <w:lang w:eastAsia="zh-CN"/>
        </w:rPr>
        <w:t>Mocart</w:t>
      </w:r>
      <w:proofErr w:type="spellEnd"/>
      <w:r w:rsidRPr="00CF5CE4">
        <w:rPr>
          <w:rFonts w:ascii="Corbel" w:eastAsia="Yu Gothic Light" w:hAnsi="Corbel" w:cs="Tahoma"/>
          <w:bCs/>
          <w:sz w:val="28"/>
          <w:szCs w:val="28"/>
          <w:lang w:eastAsia="zh-CN"/>
        </w:rPr>
        <w:t xml:space="preserve"> </w:t>
      </w:r>
      <w:proofErr w:type="spellStart"/>
      <w:r w:rsidRPr="00CF5CE4">
        <w:rPr>
          <w:rFonts w:ascii="Corbel" w:eastAsia="Yu Gothic Light" w:hAnsi="Corbel" w:cs="Tahoma"/>
          <w:bCs/>
          <w:sz w:val="28"/>
          <w:szCs w:val="28"/>
          <w:lang w:eastAsia="zh-CN"/>
        </w:rPr>
        <w:t>i</w:t>
      </w:r>
      <w:proofErr w:type="spellEnd"/>
      <w:r w:rsidRPr="00CF5CE4">
        <w:rPr>
          <w:rFonts w:ascii="Corbel" w:eastAsia="Yu Gothic Light" w:hAnsi="Corbel" w:cs="Tahoma"/>
          <w:bCs/>
          <w:sz w:val="28"/>
          <w:szCs w:val="28"/>
          <w:lang w:eastAsia="zh-CN"/>
        </w:rPr>
        <w:t xml:space="preserve"> </w:t>
      </w:r>
      <w:proofErr w:type="spellStart"/>
      <w:r w:rsidRPr="00CF5CE4">
        <w:rPr>
          <w:rFonts w:ascii="Corbel" w:eastAsia="Yu Gothic Light" w:hAnsi="Corbel" w:cs="Tahoma"/>
          <w:bCs/>
          <w:sz w:val="28"/>
          <w:szCs w:val="28"/>
          <w:lang w:eastAsia="zh-CN"/>
        </w:rPr>
        <w:t>Sal’eri</w:t>
      </w:r>
      <w:proofErr w:type="spellEnd"/>
      <w:r w:rsidRPr="00CF5CE4">
        <w:rPr>
          <w:rFonts w:ascii="Corbel" w:eastAsia="Yu Gothic Light" w:hAnsi="Corbel" w:cs="Tahoma"/>
          <w:bCs/>
          <w:sz w:val="28"/>
          <w:szCs w:val="28"/>
          <w:lang w:eastAsia="zh-CN"/>
        </w:rPr>
        <w:t>’, published in 1832, it has the same plot as Shaffer uses; seeing the story through the eyes of Salieri, rather than the more famous Mozart</w:t>
      </w:r>
      <w:r w:rsidRPr="00CF5CE4">
        <w:rPr>
          <w:rFonts w:ascii="Corbel" w:eastAsia="Yu Gothic Light" w:hAnsi="Corbel" w:cs="Tahoma"/>
          <w:bCs/>
          <w:sz w:val="28"/>
          <w:szCs w:val="28"/>
          <w:vertAlign w:val="superscript"/>
          <w:lang w:eastAsia="zh-CN"/>
        </w:rPr>
        <w:footnoteReference w:id="5"/>
      </w:r>
      <w:r w:rsidRPr="00CF5CE4">
        <w:rPr>
          <w:rFonts w:ascii="Corbel" w:eastAsia="Yu Gothic Light" w:hAnsi="Corbel" w:cs="Tahoma"/>
          <w:bCs/>
          <w:sz w:val="28"/>
          <w:szCs w:val="28"/>
          <w:lang w:eastAsia="zh-CN"/>
        </w:rPr>
        <w:t xml:space="preserve">. C.J. </w:t>
      </w:r>
      <w:proofErr w:type="spellStart"/>
      <w:r w:rsidRPr="00CF5CE4">
        <w:rPr>
          <w:rFonts w:ascii="Corbel" w:eastAsia="Yu Gothic Light" w:hAnsi="Corbel" w:cs="Tahoma"/>
          <w:bCs/>
          <w:sz w:val="28"/>
          <w:szCs w:val="28"/>
          <w:lang w:eastAsia="zh-CN"/>
        </w:rPr>
        <w:t>Gianakaris</w:t>
      </w:r>
      <w:proofErr w:type="spellEnd"/>
      <w:r w:rsidRPr="00CF5CE4">
        <w:rPr>
          <w:rFonts w:ascii="Corbel" w:eastAsia="Yu Gothic Light" w:hAnsi="Corbel" w:cs="Tahoma"/>
          <w:bCs/>
          <w:sz w:val="28"/>
          <w:szCs w:val="28"/>
          <w:lang w:eastAsia="zh-CN"/>
        </w:rPr>
        <w:t xml:space="preserve"> sees this as Shaffer using a psychological approach; Salieri was not the obvious choice as his fame was forgotten when the play was written</w:t>
      </w:r>
      <w:bookmarkStart w:id="1" w:name="_Hlk9960050"/>
      <w:r w:rsidRPr="00CF5CE4">
        <w:rPr>
          <w:rFonts w:ascii="Corbel" w:eastAsia="Yu Gothic Light" w:hAnsi="Corbel" w:cs="Tahoma"/>
          <w:bCs/>
          <w:sz w:val="28"/>
          <w:szCs w:val="28"/>
          <w:lang w:eastAsia="zh-CN"/>
        </w:rPr>
        <w:t xml:space="preserve">. In Milos Forman’s film, the lead roles are played by F. Murray Hamilton as the court composer Salieri, and Tom </w:t>
      </w:r>
      <w:proofErr w:type="spellStart"/>
      <w:r w:rsidRPr="00CF5CE4">
        <w:rPr>
          <w:rFonts w:ascii="Corbel" w:eastAsia="Yu Gothic Light" w:hAnsi="Corbel" w:cs="Tahoma"/>
          <w:bCs/>
          <w:sz w:val="28"/>
          <w:szCs w:val="28"/>
          <w:lang w:eastAsia="zh-CN"/>
        </w:rPr>
        <w:t>Hulce</w:t>
      </w:r>
      <w:proofErr w:type="spellEnd"/>
      <w:r w:rsidRPr="00CF5CE4">
        <w:rPr>
          <w:rFonts w:ascii="Corbel" w:eastAsia="Yu Gothic Light" w:hAnsi="Corbel" w:cs="Tahoma"/>
          <w:bCs/>
          <w:sz w:val="28"/>
          <w:szCs w:val="28"/>
          <w:lang w:eastAsia="zh-CN"/>
        </w:rPr>
        <w:t xml:space="preserve"> as Wolfgang Amadeus Mozart.</w:t>
      </w:r>
    </w:p>
    <w:bookmarkEnd w:id="1"/>
    <w:p w:rsidR="00CF5CE4" w:rsidRPr="00CF5CE4" w:rsidRDefault="00CF5CE4" w:rsidP="00CF5CE4">
      <w:pPr>
        <w:spacing w:after="0" w:line="360" w:lineRule="auto"/>
        <w:ind w:right="-335"/>
        <w:jc w:val="both"/>
        <w:rPr>
          <w:rFonts w:ascii="Corbel" w:eastAsia="Yu Gothic Light" w:hAnsi="Corbel" w:cs="Tahoma"/>
          <w:bCs/>
          <w:sz w:val="28"/>
          <w:szCs w:val="28"/>
          <w:lang w:eastAsia="zh-CN"/>
        </w:rPr>
      </w:pPr>
      <w:r w:rsidRPr="00CF5CE4">
        <w:rPr>
          <w:rFonts w:ascii="Corbel" w:eastAsia="Yu Gothic Light" w:hAnsi="Corbel" w:cs="Tahoma"/>
          <w:bCs/>
          <w:sz w:val="28"/>
          <w:szCs w:val="28"/>
          <w:lang w:eastAsia="zh-CN"/>
        </w:rPr>
        <w:lastRenderedPageBreak/>
        <w:t xml:space="preserve">          As a film, </w:t>
      </w:r>
      <w:r w:rsidRPr="00CF5CE4">
        <w:rPr>
          <w:rFonts w:ascii="Corbel" w:eastAsia="Yu Gothic Light" w:hAnsi="Corbel" w:cs="Tahoma"/>
          <w:bCs/>
          <w:i/>
          <w:sz w:val="28"/>
          <w:szCs w:val="28"/>
          <w:lang w:eastAsia="zh-CN"/>
        </w:rPr>
        <w:t>Amadeus</w:t>
      </w:r>
      <w:r w:rsidRPr="00CF5CE4">
        <w:rPr>
          <w:rFonts w:ascii="Corbel" w:eastAsia="Yu Gothic Light" w:hAnsi="Corbel" w:cs="Tahoma"/>
          <w:bCs/>
          <w:sz w:val="28"/>
          <w:szCs w:val="28"/>
          <w:lang w:eastAsia="zh-CN"/>
        </w:rPr>
        <w:t xml:space="preserve"> was huge hit with the public; eight Oscars, four Golden Globes, four Baftas and two Grammys are the proof of this. Very briefly, the narrative of the film is as follows.</w:t>
      </w:r>
    </w:p>
    <w:p w:rsidR="00CF5CE4" w:rsidRPr="00CF5CE4" w:rsidRDefault="00CF5CE4" w:rsidP="00CF5CE4">
      <w:pPr>
        <w:spacing w:line="360" w:lineRule="auto"/>
        <w:jc w:val="both"/>
        <w:rPr>
          <w:rFonts w:ascii="Corbel" w:eastAsia="Yu Gothic Light" w:hAnsi="Corbel" w:cs="Tahoma"/>
          <w:bCs/>
          <w:sz w:val="28"/>
          <w:szCs w:val="28"/>
          <w:lang w:eastAsia="zh-CN"/>
        </w:rPr>
      </w:pPr>
      <w:r w:rsidRPr="00CF5CE4">
        <w:rPr>
          <w:rFonts w:ascii="Corbel" w:eastAsia="Yu Gothic Light" w:hAnsi="Corbel" w:cs="Tahoma"/>
          <w:bCs/>
          <w:sz w:val="28"/>
          <w:szCs w:val="28"/>
          <w:lang w:eastAsia="zh-CN"/>
        </w:rPr>
        <w:t xml:space="preserve">          Antonio Salieri, an elderly composer, tries and fails to commit suicide after shouting he was the one who murdered Mozart many years ago. Taken to an asylum, he receives a priest to take his confession; but instead he is given a long story describing Mozart and Salieri’s entwined lives using flashbacks. We are shown Mozart as the young prodigy, playing and composing with his father whilst touring the world; making musical magic for all. Salieri also has talent but comes from a non-musical family; his father is unhappy with the boy’s wish to become a composer. The young Salieri prays to God to make him a great composer, in exchange he will devote himself to him by living a pious and celibate life. After his father dies, he escapes to Vienna and trains as a composer. He does well, he is a relatively young man when he arrives at the court of Emperor Joseph II to take up the role of official court composer. It is at the home of the Archbishop that Salieri first sees Mozart, he is appalled by the man’s behaviour; he is brash, flashy and a seducer of women, and drinks far too much alcohol. Then at court, Mozart humiliates Salieri when he improves the musical offering, he has written for him. Salieri believes God has deserted him, a good pious man in favour of a lewd, Godless genius. After destroying his crucifix in a fit of rage, Salieri devotes the remaining years of Mozart’s life to subverting the younger man. He needs to destroy Mozart – he has been blessed with God’s divine gift, and his view is that the man is unworthy to have received it. </w:t>
      </w:r>
    </w:p>
    <w:p w:rsidR="00CF5CE4" w:rsidRPr="00CF5CE4" w:rsidRDefault="00CF5CE4" w:rsidP="00CF5CE4">
      <w:pPr>
        <w:spacing w:line="360" w:lineRule="auto"/>
        <w:jc w:val="both"/>
        <w:rPr>
          <w:rFonts w:ascii="Corbel" w:eastAsia="Yu Gothic Light" w:hAnsi="Corbel" w:cs="Tahoma"/>
          <w:bCs/>
          <w:sz w:val="28"/>
          <w:szCs w:val="28"/>
          <w:lang w:eastAsia="zh-CN"/>
        </w:rPr>
      </w:pPr>
      <w:r w:rsidRPr="00CF5CE4">
        <w:rPr>
          <w:rFonts w:ascii="Corbel" w:eastAsia="Yu Gothic Light" w:hAnsi="Corbel" w:cs="Tahoma"/>
          <w:bCs/>
          <w:sz w:val="28"/>
          <w:szCs w:val="28"/>
          <w:lang w:eastAsia="zh-CN"/>
        </w:rPr>
        <w:t xml:space="preserve">           The relationship between the two men is an unhappy one. Mozart becomes ill after his father’s death, Salieri has the score of the Requiem Mass dictated to him by a bed bound Mozart, it is unfinished when the ill and </w:t>
      </w:r>
      <w:r w:rsidRPr="00CF5CE4">
        <w:rPr>
          <w:rFonts w:ascii="Corbel" w:eastAsia="Yu Gothic Light" w:hAnsi="Corbel" w:cs="Tahoma"/>
          <w:bCs/>
          <w:sz w:val="28"/>
          <w:szCs w:val="28"/>
          <w:lang w:eastAsia="zh-CN"/>
        </w:rPr>
        <w:lastRenderedPageBreak/>
        <w:t xml:space="preserve">destitute man dies. Salieri had wished to offer the music as his own, he saw pages of the score when </w:t>
      </w:r>
      <w:proofErr w:type="spellStart"/>
      <w:r w:rsidRPr="00CF5CE4">
        <w:rPr>
          <w:rFonts w:ascii="Corbel" w:eastAsia="Yu Gothic Light" w:hAnsi="Corbel" w:cs="Tahoma"/>
          <w:bCs/>
          <w:sz w:val="28"/>
          <w:szCs w:val="28"/>
          <w:lang w:eastAsia="zh-CN"/>
        </w:rPr>
        <w:t>Costanze</w:t>
      </w:r>
      <w:proofErr w:type="spellEnd"/>
      <w:r w:rsidRPr="00CF5CE4">
        <w:rPr>
          <w:rFonts w:ascii="Corbel" w:eastAsia="Yu Gothic Light" w:hAnsi="Corbel" w:cs="Tahoma"/>
          <w:bCs/>
          <w:sz w:val="28"/>
          <w:szCs w:val="28"/>
          <w:lang w:eastAsia="zh-CN"/>
        </w:rPr>
        <w:t xml:space="preserve"> (Mozart’s wife) took them to his apartment. Mozart is buried in a mass pauper’s grave outside of the city, his body covered with lime. The sad scene is accompanied by music from the Requiem as Salieri looks on. He obviously did not murder Mozart!</w:t>
      </w:r>
      <w:r w:rsidRPr="00CF5CE4">
        <w:rPr>
          <w:rFonts w:ascii="Corbel" w:eastAsia="Yu Gothic Light" w:hAnsi="Corbel" w:cs="Tahoma"/>
          <w:bCs/>
          <w:sz w:val="28"/>
          <w:szCs w:val="28"/>
          <w:vertAlign w:val="superscript"/>
          <w:lang w:eastAsia="zh-CN"/>
        </w:rPr>
        <w:footnoteReference w:id="6"/>
      </w:r>
      <w:r w:rsidRPr="00CF5CE4">
        <w:rPr>
          <w:rFonts w:ascii="Corbel" w:eastAsia="Yu Gothic Light" w:hAnsi="Corbel" w:cs="Tahoma"/>
          <w:bCs/>
          <w:sz w:val="28"/>
          <w:szCs w:val="28"/>
          <w:lang w:eastAsia="zh-CN"/>
        </w:rPr>
        <w:t xml:space="preserve"> </w:t>
      </w:r>
      <w:r w:rsidRPr="00CF5CE4">
        <w:rPr>
          <w:rFonts w:ascii="Corbel" w:eastAsia="Yu Gothic Light" w:hAnsi="Corbel" w:cs="Tahoma"/>
          <w:bCs/>
          <w:sz w:val="28"/>
          <w:szCs w:val="28"/>
          <w:vertAlign w:val="superscript"/>
          <w:lang w:eastAsia="zh-CN"/>
        </w:rPr>
        <w:footnoteReference w:id="7"/>
      </w:r>
      <w:r w:rsidRPr="00CF5CE4">
        <w:rPr>
          <w:rFonts w:ascii="Corbel" w:eastAsia="Yu Gothic Light" w:hAnsi="Corbel" w:cs="Tahoma"/>
          <w:bCs/>
          <w:sz w:val="28"/>
          <w:szCs w:val="28"/>
          <w:lang w:eastAsia="zh-CN"/>
        </w:rPr>
        <w:t xml:space="preserve">.    </w:t>
      </w:r>
    </w:p>
    <w:p w:rsidR="00CF5CE4" w:rsidRPr="00CF5CE4" w:rsidRDefault="00CF5CE4" w:rsidP="00CF5CE4">
      <w:pPr>
        <w:spacing w:after="0" w:line="360" w:lineRule="auto"/>
        <w:ind w:right="-335"/>
        <w:jc w:val="both"/>
        <w:rPr>
          <w:rFonts w:ascii="Corbel" w:eastAsia="Yu Gothic Light" w:hAnsi="Corbel" w:cs="Tahoma"/>
          <w:bCs/>
          <w:sz w:val="28"/>
          <w:szCs w:val="28"/>
          <w:lang w:eastAsia="zh-CN"/>
        </w:rPr>
      </w:pPr>
      <w:r w:rsidRPr="00CF5CE4">
        <w:rPr>
          <w:rFonts w:ascii="Corbel" w:eastAsia="Yu Gothic Light" w:hAnsi="Corbel" w:cs="Tahoma"/>
          <w:bCs/>
          <w:sz w:val="28"/>
          <w:szCs w:val="28"/>
          <w:lang w:eastAsia="zh-CN"/>
        </w:rPr>
        <w:t xml:space="preserve">          When watching the film at the cinema in 1984, I saw it as a fabulous confection with good music and a sad undercurrent; not far off Shaffer’s view of the film, he wrote it as, “</w:t>
      </w:r>
      <w:bookmarkStart w:id="2" w:name="_Hlk10123828"/>
      <w:r w:rsidRPr="00CF5CE4">
        <w:rPr>
          <w:rFonts w:ascii="Corbel" w:eastAsia="Yu Gothic Light" w:hAnsi="Corbel" w:cs="Tahoma"/>
          <w:bCs/>
          <w:sz w:val="28"/>
          <w:szCs w:val="28"/>
          <w:lang w:eastAsia="zh-CN"/>
        </w:rPr>
        <w:t>A fantasia based on fact</w:t>
      </w:r>
      <w:bookmarkEnd w:id="2"/>
      <w:r w:rsidRPr="00CF5CE4">
        <w:rPr>
          <w:rFonts w:ascii="Corbel" w:eastAsia="Yu Gothic Light" w:hAnsi="Corbel" w:cs="Tahoma"/>
          <w:bCs/>
          <w:sz w:val="28"/>
          <w:szCs w:val="28"/>
          <w:lang w:eastAsia="zh-CN"/>
        </w:rPr>
        <w:t>”</w:t>
      </w:r>
      <w:r w:rsidRPr="00CF5CE4">
        <w:rPr>
          <w:rFonts w:ascii="Corbel" w:eastAsia="Yu Gothic Light" w:hAnsi="Corbel" w:cs="Tahoma"/>
          <w:bCs/>
          <w:sz w:val="28"/>
          <w:szCs w:val="28"/>
          <w:vertAlign w:val="superscript"/>
          <w:lang w:eastAsia="zh-CN"/>
        </w:rPr>
        <w:footnoteReference w:id="8"/>
      </w:r>
      <w:r w:rsidRPr="00CF5CE4">
        <w:rPr>
          <w:rFonts w:ascii="Corbel" w:eastAsia="Yu Gothic Light" w:hAnsi="Corbel" w:cs="Tahoma"/>
          <w:bCs/>
          <w:sz w:val="28"/>
          <w:szCs w:val="28"/>
          <w:lang w:eastAsia="zh-CN"/>
        </w:rPr>
        <w:t xml:space="preserve">.  </w:t>
      </w:r>
    </w:p>
    <w:p w:rsidR="00CF5CE4" w:rsidRPr="00CF5CE4" w:rsidRDefault="00CF5CE4" w:rsidP="00CF5CE4">
      <w:pPr>
        <w:spacing w:after="0" w:line="360" w:lineRule="auto"/>
        <w:ind w:right="-335"/>
        <w:jc w:val="both"/>
        <w:rPr>
          <w:rFonts w:ascii="Corbel" w:eastAsia="Yu Gothic Light" w:hAnsi="Corbel" w:cs="Tahoma"/>
          <w:bCs/>
          <w:sz w:val="28"/>
          <w:szCs w:val="28"/>
          <w:lang w:eastAsia="zh-CN"/>
        </w:rPr>
      </w:pPr>
      <w:r w:rsidRPr="00CF5CE4">
        <w:rPr>
          <w:rFonts w:ascii="Corbel" w:eastAsia="Yu Gothic Light" w:hAnsi="Corbel" w:cs="Tahoma"/>
          <w:bCs/>
          <w:sz w:val="28"/>
          <w:szCs w:val="28"/>
          <w:lang w:eastAsia="zh-CN"/>
        </w:rPr>
        <w:t xml:space="preserve">          Thirty-five years on, and the second viewing of the film; the confection and beauty have receded into the background, and the religious themes become glaringly obvious. For many years religion and media have </w:t>
      </w:r>
      <w:proofErr w:type="gramStart"/>
      <w:r w:rsidRPr="00CF5CE4">
        <w:rPr>
          <w:rFonts w:ascii="Corbel" w:eastAsia="Yu Gothic Light" w:hAnsi="Corbel" w:cs="Tahoma"/>
          <w:bCs/>
          <w:sz w:val="28"/>
          <w:szCs w:val="28"/>
          <w:lang w:eastAsia="zh-CN"/>
        </w:rPr>
        <w:t>been seen as</w:t>
      </w:r>
      <w:proofErr w:type="gramEnd"/>
      <w:r w:rsidRPr="00CF5CE4">
        <w:rPr>
          <w:rFonts w:ascii="Corbel" w:eastAsia="Yu Gothic Light" w:hAnsi="Corbel" w:cs="Tahoma"/>
          <w:bCs/>
          <w:sz w:val="28"/>
          <w:szCs w:val="28"/>
          <w:lang w:eastAsia="zh-CN"/>
        </w:rPr>
        <w:t xml:space="preserve"> separate areas of life, independent of each other</w:t>
      </w:r>
      <w:r w:rsidRPr="00CF5CE4">
        <w:rPr>
          <w:rFonts w:ascii="Corbel" w:eastAsia="Yu Gothic Light" w:hAnsi="Corbel" w:cs="Tahoma"/>
          <w:bCs/>
          <w:sz w:val="28"/>
          <w:szCs w:val="28"/>
          <w:vertAlign w:val="superscript"/>
          <w:lang w:eastAsia="zh-CN"/>
        </w:rPr>
        <w:footnoteReference w:id="9"/>
      </w:r>
      <w:r w:rsidRPr="00CF5CE4">
        <w:rPr>
          <w:rFonts w:ascii="Corbel" w:eastAsia="Yu Gothic Light" w:hAnsi="Corbel" w:cs="Tahoma"/>
          <w:bCs/>
          <w:sz w:val="28"/>
          <w:szCs w:val="28"/>
          <w:lang w:eastAsia="zh-CN"/>
        </w:rPr>
        <w:t xml:space="preserve">. But today, religious tropes and themes appear in many areas of media and popular culture; television, cinema, literature, and social media amongst others.   </w:t>
      </w:r>
    </w:p>
    <w:p w:rsidR="00CF5CE4" w:rsidRPr="00CF5CE4" w:rsidRDefault="00CF5CE4" w:rsidP="00CF5CE4">
      <w:pPr>
        <w:spacing w:after="0" w:line="360" w:lineRule="auto"/>
        <w:jc w:val="both"/>
        <w:rPr>
          <w:rFonts w:ascii="Corbel" w:eastAsia="Yu Gothic Light" w:hAnsi="Corbel" w:cs="Tahoma"/>
          <w:bCs/>
          <w:sz w:val="28"/>
          <w:szCs w:val="28"/>
          <w:lang w:eastAsia="zh-CN"/>
        </w:rPr>
      </w:pPr>
      <w:r w:rsidRPr="00CF5CE4">
        <w:rPr>
          <w:rFonts w:ascii="Corbel" w:eastAsia="Yu Gothic Light" w:hAnsi="Corbel" w:cs="Tahoma"/>
          <w:bCs/>
          <w:sz w:val="28"/>
          <w:szCs w:val="28"/>
          <w:lang w:eastAsia="zh-CN"/>
        </w:rPr>
        <w:t xml:space="preserve">          Creative writers, not looking for a religious theme or angle</w:t>
      </w:r>
      <w:r w:rsidRPr="00CF5CE4">
        <w:rPr>
          <w:rFonts w:ascii="Corbel" w:eastAsia="SimSun" w:hAnsi="Corbel" w:cs="Times New Roman"/>
          <w:sz w:val="28"/>
          <w:szCs w:val="28"/>
          <w:lang w:eastAsia="en-GB"/>
        </w:rPr>
        <w:t xml:space="preserve">, may see the monologues of Robert Browning in it instead. Martha Townsend thinks </w:t>
      </w:r>
      <w:r w:rsidRPr="00CF5CE4">
        <w:rPr>
          <w:rFonts w:ascii="Corbel" w:eastAsia="SimSun" w:hAnsi="Corbel" w:cs="Times New Roman"/>
          <w:i/>
          <w:sz w:val="28"/>
          <w:szCs w:val="28"/>
          <w:lang w:eastAsia="en-GB"/>
        </w:rPr>
        <w:t>Fra Lippo Lippi</w:t>
      </w:r>
      <w:r w:rsidRPr="00CF5CE4">
        <w:rPr>
          <w:rFonts w:ascii="Corbel" w:eastAsia="SimSun" w:hAnsi="Corbel" w:cs="Times New Roman"/>
          <w:sz w:val="28"/>
          <w:szCs w:val="28"/>
          <w:lang w:eastAsia="en-GB"/>
        </w:rPr>
        <w:t xml:space="preserve"> ‘contains elements which make them akin to </w:t>
      </w:r>
      <w:r w:rsidRPr="00CF5CE4">
        <w:rPr>
          <w:rFonts w:ascii="Corbel" w:eastAsia="SimSun" w:hAnsi="Corbel" w:cs="Times New Roman"/>
          <w:i/>
          <w:sz w:val="28"/>
          <w:szCs w:val="28"/>
          <w:lang w:eastAsia="en-GB"/>
        </w:rPr>
        <w:t>Amadeus……..</w:t>
      </w:r>
      <w:r w:rsidRPr="00CF5CE4">
        <w:rPr>
          <w:rFonts w:ascii="Corbel" w:eastAsia="SimSun" w:hAnsi="Corbel" w:cs="Times New Roman"/>
          <w:sz w:val="28"/>
          <w:szCs w:val="28"/>
          <w:lang w:eastAsia="en-GB"/>
        </w:rPr>
        <w:t>. which when taken into consideration add another compelling dimension to the film’</w:t>
      </w:r>
      <w:r w:rsidRPr="00CF5CE4">
        <w:rPr>
          <w:rFonts w:ascii="Corbel" w:eastAsia="Times New Roman" w:hAnsi="Corbel" w:cs="Helvetica"/>
          <w:sz w:val="28"/>
          <w:szCs w:val="28"/>
          <w:vertAlign w:val="superscript"/>
          <w:lang w:eastAsia="en-GB"/>
        </w:rPr>
        <w:footnoteReference w:id="10"/>
      </w:r>
      <w:r w:rsidRPr="00CF5CE4">
        <w:rPr>
          <w:rFonts w:ascii="Corbel" w:eastAsia="SimSun" w:hAnsi="Corbel" w:cs="Times New Roman"/>
          <w:sz w:val="28"/>
          <w:szCs w:val="28"/>
          <w:lang w:eastAsia="en-GB"/>
        </w:rPr>
        <w:t xml:space="preserve">. </w:t>
      </w:r>
      <w:r w:rsidRPr="00CF5CE4">
        <w:rPr>
          <w:rFonts w:ascii="Corbel" w:eastAsia="SimSun" w:hAnsi="Corbel" w:cs="Times New Roman"/>
          <w:sz w:val="28"/>
          <w:szCs w:val="28"/>
          <w:lang w:eastAsia="en-GB"/>
        </w:rPr>
        <w:lastRenderedPageBreak/>
        <w:t xml:space="preserve">Much of Browning’s work does read like he is praising God, even if the story of Cain and Abel is not seen in </w:t>
      </w:r>
      <w:r w:rsidRPr="00CF5CE4">
        <w:rPr>
          <w:rFonts w:ascii="Corbel" w:eastAsia="SimSun" w:hAnsi="Corbel" w:cs="Times New Roman"/>
          <w:i/>
          <w:sz w:val="28"/>
          <w:szCs w:val="28"/>
          <w:lang w:eastAsia="en-GB"/>
        </w:rPr>
        <w:t xml:space="preserve">Fra Lippo Lippi. </w:t>
      </w:r>
      <w:r w:rsidRPr="00CF5CE4">
        <w:rPr>
          <w:rFonts w:ascii="Corbel" w:eastAsia="SimSun" w:hAnsi="Corbel" w:cs="Times New Roman"/>
          <w:sz w:val="28"/>
          <w:szCs w:val="28"/>
          <w:lang w:eastAsia="en-GB"/>
        </w:rPr>
        <w:t>Maybe Townsend prefers to see a literary as opposed to a religious bent to the film.</w:t>
      </w:r>
      <w:r w:rsidRPr="00CF5CE4">
        <w:rPr>
          <w:rFonts w:ascii="Corbel" w:eastAsia="SimSun" w:hAnsi="Corbel" w:cs="Times New Roman"/>
          <w:sz w:val="28"/>
          <w:szCs w:val="28"/>
          <w:vertAlign w:val="superscript"/>
          <w:lang w:eastAsia="en-GB"/>
        </w:rPr>
        <w:footnoteReference w:id="11"/>
      </w:r>
    </w:p>
    <w:p w:rsidR="00CF5CE4" w:rsidRPr="00CF5CE4" w:rsidRDefault="00CF5CE4" w:rsidP="00CF5CE4">
      <w:pPr>
        <w:spacing w:after="0" w:line="360" w:lineRule="auto"/>
        <w:ind w:right="-335"/>
        <w:jc w:val="both"/>
        <w:rPr>
          <w:rFonts w:ascii="Corbel" w:eastAsia="Yu Gothic Light" w:hAnsi="Corbel" w:cs="Tahoma"/>
          <w:bCs/>
          <w:sz w:val="28"/>
          <w:szCs w:val="28"/>
          <w:lang w:eastAsia="zh-CN"/>
        </w:rPr>
      </w:pPr>
      <w:r w:rsidRPr="00CF5CE4">
        <w:rPr>
          <w:rFonts w:ascii="Corbel" w:eastAsia="Yu Gothic Light" w:hAnsi="Corbel" w:cs="Tahoma"/>
          <w:bCs/>
          <w:sz w:val="28"/>
          <w:szCs w:val="28"/>
          <w:lang w:eastAsia="zh-CN"/>
        </w:rPr>
        <w:t xml:space="preserve">          One author who sees religious themes in </w:t>
      </w:r>
      <w:r w:rsidRPr="00CF5CE4">
        <w:rPr>
          <w:rFonts w:ascii="Corbel" w:eastAsia="Yu Gothic Light" w:hAnsi="Corbel" w:cs="Tahoma"/>
          <w:bCs/>
          <w:i/>
          <w:sz w:val="28"/>
          <w:szCs w:val="28"/>
          <w:lang w:eastAsia="zh-CN"/>
        </w:rPr>
        <w:t>Amadeus</w:t>
      </w:r>
      <w:r w:rsidRPr="00CF5CE4">
        <w:rPr>
          <w:rFonts w:ascii="Corbel" w:eastAsia="Yu Gothic Light" w:hAnsi="Corbel" w:cs="Tahoma"/>
          <w:bCs/>
          <w:sz w:val="28"/>
          <w:szCs w:val="28"/>
          <w:lang w:eastAsia="zh-CN"/>
        </w:rPr>
        <w:t xml:space="preserve"> is C.J. </w:t>
      </w:r>
      <w:proofErr w:type="spellStart"/>
      <w:r w:rsidRPr="00CF5CE4">
        <w:rPr>
          <w:rFonts w:ascii="Corbel" w:eastAsia="Yu Gothic Light" w:hAnsi="Corbel" w:cs="Tahoma"/>
          <w:bCs/>
          <w:sz w:val="28"/>
          <w:szCs w:val="28"/>
          <w:lang w:eastAsia="zh-CN"/>
        </w:rPr>
        <w:t>Gianakaris</w:t>
      </w:r>
      <w:proofErr w:type="spellEnd"/>
      <w:r w:rsidRPr="00CF5CE4">
        <w:rPr>
          <w:rFonts w:ascii="Corbel" w:eastAsia="Yu Gothic Light" w:hAnsi="Corbel" w:cs="Tahoma"/>
          <w:bCs/>
          <w:sz w:val="28"/>
          <w:szCs w:val="28"/>
          <w:lang w:eastAsia="zh-CN"/>
        </w:rPr>
        <w:t>, he states the play deals with “nothing less than elemental matters facing human beings and their perception of god”</w:t>
      </w:r>
      <w:r w:rsidRPr="00CF5CE4">
        <w:rPr>
          <w:rFonts w:ascii="Corbel" w:eastAsia="Yu Gothic Light" w:hAnsi="Corbel" w:cs="Tahoma"/>
          <w:bCs/>
          <w:sz w:val="28"/>
          <w:szCs w:val="28"/>
          <w:vertAlign w:val="superscript"/>
          <w:lang w:eastAsia="zh-CN"/>
        </w:rPr>
        <w:footnoteReference w:id="12"/>
      </w:r>
      <w:r w:rsidRPr="00CF5CE4">
        <w:rPr>
          <w:rFonts w:ascii="Corbel" w:eastAsia="Yu Gothic Light" w:hAnsi="Corbel" w:cs="Tahoma"/>
          <w:bCs/>
          <w:sz w:val="28"/>
          <w:szCs w:val="28"/>
          <w:lang w:eastAsia="zh-CN"/>
        </w:rPr>
        <w:t xml:space="preserve">; that is an epic subject to cover in a film.          </w:t>
      </w:r>
    </w:p>
    <w:p w:rsidR="00CF5CE4" w:rsidRDefault="00CF5CE4" w:rsidP="00CF5CE4">
      <w:pPr>
        <w:spacing w:after="0" w:line="360" w:lineRule="auto"/>
        <w:ind w:right="-335"/>
        <w:jc w:val="both"/>
        <w:rPr>
          <w:rFonts w:ascii="Corbel" w:eastAsia="Yu Gothic Light" w:hAnsi="Corbel" w:cs="Tahoma"/>
          <w:bCs/>
          <w:sz w:val="28"/>
          <w:szCs w:val="28"/>
          <w:lang w:eastAsia="zh-CN"/>
        </w:rPr>
      </w:pPr>
      <w:r w:rsidRPr="00CF5CE4">
        <w:rPr>
          <w:rFonts w:ascii="Corbel" w:eastAsia="Yu Gothic Light" w:hAnsi="Corbel" w:cs="Tahoma"/>
          <w:bCs/>
          <w:sz w:val="28"/>
          <w:szCs w:val="28"/>
          <w:lang w:eastAsia="zh-CN"/>
        </w:rPr>
        <w:t xml:space="preserve">          In his book ‘Saint Paul at the Movies’</w:t>
      </w:r>
      <w:r w:rsidRPr="00CF5CE4">
        <w:rPr>
          <w:rFonts w:ascii="Corbel" w:eastAsia="Yu Gothic Light" w:hAnsi="Corbel" w:cs="Tahoma"/>
          <w:bCs/>
          <w:sz w:val="28"/>
          <w:szCs w:val="28"/>
          <w:vertAlign w:val="superscript"/>
          <w:lang w:eastAsia="zh-CN"/>
        </w:rPr>
        <w:footnoteReference w:id="13"/>
      </w:r>
      <w:r w:rsidRPr="00CF5CE4">
        <w:rPr>
          <w:rFonts w:ascii="Corbel" w:eastAsia="Yu Gothic Light" w:hAnsi="Corbel" w:cs="Tahoma"/>
          <w:bCs/>
          <w:sz w:val="28"/>
          <w:szCs w:val="28"/>
          <w:lang w:eastAsia="zh-CN"/>
        </w:rPr>
        <w:t xml:space="preserve">, Robert Jewett writes about Schaffer’s film: ‘This is one of those rare and inspired films that embodies truth beyond the grasp of filmmaker and playwright, conveying a distinctive and little understood aspect of the theology of Romans’.  Mozart plays a Christ like role with Salieri as the character whose level of sin is the deeper of the two men, when taken from </w:t>
      </w:r>
    </w:p>
    <w:p w:rsidR="00CF5CE4" w:rsidRPr="00CF5CE4" w:rsidRDefault="00CF5CE4" w:rsidP="00CF5CE4">
      <w:pPr>
        <w:spacing w:after="0" w:line="360" w:lineRule="auto"/>
        <w:ind w:right="-335"/>
        <w:jc w:val="both"/>
        <w:rPr>
          <w:rFonts w:ascii="Corbel" w:eastAsia="Yu Gothic Light" w:hAnsi="Corbel" w:cs="Tahoma"/>
          <w:bCs/>
          <w:sz w:val="28"/>
          <w:szCs w:val="28"/>
          <w:lang w:eastAsia="zh-CN"/>
        </w:rPr>
      </w:pPr>
      <w:r w:rsidRPr="00CF5CE4">
        <w:rPr>
          <w:rFonts w:ascii="Corbel" w:eastAsia="Yu Gothic Light" w:hAnsi="Corbel" w:cs="Tahoma"/>
          <w:bCs/>
          <w:sz w:val="28"/>
          <w:szCs w:val="28"/>
          <w:lang w:eastAsia="zh-CN"/>
        </w:rPr>
        <w:t>Paul’s Romans 1 and 2</w:t>
      </w:r>
      <w:r w:rsidRPr="00CF5CE4">
        <w:rPr>
          <w:rFonts w:ascii="Corbel" w:eastAsia="Yu Gothic Light" w:hAnsi="Corbel" w:cs="Tahoma"/>
          <w:bCs/>
          <w:sz w:val="28"/>
          <w:szCs w:val="28"/>
          <w:vertAlign w:val="superscript"/>
          <w:lang w:eastAsia="zh-CN"/>
        </w:rPr>
        <w:footnoteReference w:id="14"/>
      </w:r>
      <w:r w:rsidRPr="00CF5CE4">
        <w:rPr>
          <w:rFonts w:ascii="Corbel" w:eastAsia="Yu Gothic Light" w:hAnsi="Corbel" w:cs="Tahoma"/>
          <w:bCs/>
          <w:sz w:val="28"/>
          <w:szCs w:val="28"/>
          <w:lang w:eastAsia="zh-CN"/>
        </w:rPr>
        <w:t xml:space="preserve"> </w:t>
      </w:r>
      <w:r w:rsidRPr="00CF5CE4">
        <w:rPr>
          <w:rFonts w:ascii="Corbel" w:eastAsia="Yu Gothic Light" w:hAnsi="Corbel" w:cs="Tahoma"/>
          <w:bCs/>
          <w:sz w:val="28"/>
          <w:szCs w:val="28"/>
          <w:vertAlign w:val="superscript"/>
          <w:lang w:eastAsia="zh-CN"/>
        </w:rPr>
        <w:footnoteReference w:id="15"/>
      </w:r>
      <w:r w:rsidRPr="00CF5CE4">
        <w:rPr>
          <w:rFonts w:ascii="Corbel" w:eastAsia="Yu Gothic Light" w:hAnsi="Corbel" w:cs="Tahoma"/>
          <w:bCs/>
          <w:sz w:val="28"/>
          <w:szCs w:val="28"/>
          <w:lang w:eastAsia="zh-CN"/>
        </w:rPr>
        <w:t xml:space="preserve"> . However, further on in Romans (Rom. 3 :9-19) it appears no-one is free from sin, so does this approach really apply to </w:t>
      </w:r>
      <w:r w:rsidRPr="00CF5CE4">
        <w:rPr>
          <w:rFonts w:ascii="Corbel" w:eastAsia="Yu Gothic Light" w:hAnsi="Corbel" w:cs="Tahoma"/>
          <w:bCs/>
          <w:i/>
          <w:sz w:val="28"/>
          <w:szCs w:val="28"/>
          <w:lang w:eastAsia="zh-CN"/>
        </w:rPr>
        <w:t>Amadeus</w:t>
      </w:r>
      <w:r w:rsidRPr="00CF5CE4">
        <w:rPr>
          <w:rFonts w:ascii="Corbel" w:eastAsia="Yu Gothic Light" w:hAnsi="Corbel" w:cs="Tahoma"/>
          <w:bCs/>
          <w:sz w:val="28"/>
          <w:szCs w:val="28"/>
          <w:lang w:eastAsia="zh-CN"/>
        </w:rPr>
        <w:t xml:space="preserve">?   </w:t>
      </w:r>
    </w:p>
    <w:p w:rsidR="00CF5CE4" w:rsidRPr="00CF5CE4" w:rsidRDefault="00CF5CE4" w:rsidP="00CF5CE4">
      <w:pPr>
        <w:spacing w:line="360" w:lineRule="auto"/>
        <w:jc w:val="both"/>
        <w:rPr>
          <w:rFonts w:ascii="Corbel" w:eastAsia="Yu Gothic Light" w:hAnsi="Corbel" w:cs="Tahoma"/>
          <w:bCs/>
          <w:sz w:val="28"/>
          <w:szCs w:val="28"/>
          <w:lang w:eastAsia="zh-CN"/>
        </w:rPr>
      </w:pPr>
      <w:r w:rsidRPr="00CF5CE4">
        <w:rPr>
          <w:rFonts w:ascii="Corbel" w:eastAsia="Yu Gothic Light" w:hAnsi="Corbel" w:cs="Tahoma"/>
          <w:bCs/>
          <w:sz w:val="28"/>
          <w:szCs w:val="28"/>
          <w:lang w:eastAsia="zh-CN"/>
        </w:rPr>
        <w:lastRenderedPageBreak/>
        <w:t>Others look to the tale of the ‘Parable of the Prodigal and his Brother’ (Luke. 15: 11-32), to describe the religious theme</w:t>
      </w:r>
      <w:r w:rsidRPr="00CF5CE4">
        <w:rPr>
          <w:rFonts w:ascii="Corbel" w:eastAsia="Yu Gothic Light" w:hAnsi="Corbel" w:cs="Tahoma"/>
          <w:bCs/>
          <w:sz w:val="28"/>
          <w:szCs w:val="28"/>
          <w:vertAlign w:val="superscript"/>
          <w:lang w:eastAsia="zh-CN"/>
        </w:rPr>
        <w:footnoteReference w:id="16"/>
      </w:r>
      <w:r w:rsidRPr="00CF5CE4">
        <w:rPr>
          <w:rFonts w:ascii="Corbel" w:eastAsia="Yu Gothic Light" w:hAnsi="Corbel" w:cs="Tahoma"/>
          <w:bCs/>
          <w:sz w:val="28"/>
          <w:szCs w:val="28"/>
          <w:lang w:eastAsia="zh-CN"/>
        </w:rPr>
        <w:t xml:space="preserve">. Mozart is the Prodigal son who shows repentance to his father Leopold for his sins, but only after his death. It is the Requiem that he composes for him, requested by Salieri in disguise, that leads to Mozart’s early death.            </w:t>
      </w:r>
    </w:p>
    <w:p w:rsidR="00CF5CE4" w:rsidRPr="00CF5CE4" w:rsidRDefault="00CF5CE4" w:rsidP="00CF5CE4">
      <w:pPr>
        <w:spacing w:line="360" w:lineRule="auto"/>
        <w:jc w:val="both"/>
        <w:rPr>
          <w:rFonts w:ascii="Corbel" w:eastAsia="Yu Gothic Light" w:hAnsi="Corbel" w:cs="Tahoma"/>
          <w:bCs/>
          <w:sz w:val="28"/>
          <w:szCs w:val="28"/>
          <w:lang w:eastAsia="zh-CN"/>
        </w:rPr>
      </w:pPr>
      <w:r w:rsidRPr="00CF5CE4">
        <w:rPr>
          <w:rFonts w:ascii="Corbel" w:eastAsia="Yu Gothic Light" w:hAnsi="Corbel" w:cs="Tahoma"/>
          <w:bCs/>
          <w:sz w:val="28"/>
          <w:szCs w:val="28"/>
          <w:lang w:eastAsia="zh-CN"/>
        </w:rPr>
        <w:t xml:space="preserve">          This is my last biblical reference that is not the Cain and Abel story, but has been suggested as the source for the religious theme in </w:t>
      </w:r>
      <w:r w:rsidRPr="00CF5CE4">
        <w:rPr>
          <w:rFonts w:ascii="Corbel" w:eastAsia="Yu Gothic Light" w:hAnsi="Corbel" w:cs="Tahoma"/>
          <w:bCs/>
          <w:i/>
          <w:sz w:val="28"/>
          <w:szCs w:val="28"/>
          <w:lang w:eastAsia="zh-CN"/>
        </w:rPr>
        <w:t>Amadeus</w:t>
      </w:r>
      <w:r w:rsidRPr="00CF5CE4">
        <w:rPr>
          <w:rFonts w:ascii="Corbel" w:eastAsia="Yu Gothic Light" w:hAnsi="Corbel" w:cs="Tahoma"/>
          <w:bCs/>
          <w:sz w:val="28"/>
          <w:szCs w:val="28"/>
          <w:lang w:eastAsia="zh-CN"/>
        </w:rPr>
        <w:t>.  Salieri as a ‘literary echo of Satan in the biblical book of Isaiah (Is. 14: 12-15). This was Dennis Klein’s view in his book about Peter Schaffer in 1993</w:t>
      </w:r>
      <w:r w:rsidRPr="00CF5CE4">
        <w:rPr>
          <w:rFonts w:ascii="Corbel" w:eastAsia="Yu Gothic Light" w:hAnsi="Corbel" w:cs="Tahoma"/>
          <w:bCs/>
          <w:sz w:val="28"/>
          <w:szCs w:val="28"/>
          <w:vertAlign w:val="superscript"/>
          <w:lang w:eastAsia="zh-CN"/>
        </w:rPr>
        <w:footnoteReference w:id="17"/>
      </w:r>
      <w:r w:rsidRPr="00CF5CE4">
        <w:rPr>
          <w:rFonts w:ascii="Corbel" w:eastAsia="Yu Gothic Light" w:hAnsi="Corbel" w:cs="Tahoma"/>
          <w:bCs/>
          <w:sz w:val="28"/>
          <w:szCs w:val="28"/>
          <w:lang w:eastAsia="zh-CN"/>
        </w:rPr>
        <w:t>.</w:t>
      </w:r>
    </w:p>
    <w:p w:rsidR="00CF5CE4" w:rsidRPr="00CF5CE4" w:rsidRDefault="00CF5CE4" w:rsidP="00CF5CE4">
      <w:pPr>
        <w:spacing w:line="360" w:lineRule="auto"/>
        <w:jc w:val="both"/>
        <w:rPr>
          <w:rFonts w:ascii="Corbel" w:eastAsia="Yu Gothic Light" w:hAnsi="Corbel" w:cs="Tahoma"/>
          <w:bCs/>
          <w:sz w:val="28"/>
          <w:szCs w:val="28"/>
          <w:lang w:eastAsia="zh-CN"/>
        </w:rPr>
      </w:pPr>
      <w:r w:rsidRPr="00CF5CE4">
        <w:rPr>
          <w:rFonts w:ascii="Corbel" w:eastAsia="Yu Gothic Light" w:hAnsi="Corbel" w:cs="Tahoma"/>
          <w:bCs/>
          <w:sz w:val="28"/>
          <w:szCs w:val="28"/>
          <w:lang w:eastAsia="zh-CN"/>
        </w:rPr>
        <w:t xml:space="preserve">          </w:t>
      </w:r>
      <w:proofErr w:type="spellStart"/>
      <w:r w:rsidRPr="00CF5CE4">
        <w:rPr>
          <w:rFonts w:ascii="Corbel" w:eastAsia="Yu Gothic Light" w:hAnsi="Corbel" w:cs="Tahoma"/>
          <w:bCs/>
          <w:sz w:val="28"/>
          <w:szCs w:val="28"/>
          <w:lang w:eastAsia="zh-CN"/>
        </w:rPr>
        <w:t>Sabbag</w:t>
      </w:r>
      <w:proofErr w:type="spellEnd"/>
      <w:r w:rsidRPr="00CF5CE4">
        <w:rPr>
          <w:rFonts w:ascii="Corbel" w:eastAsia="Yu Gothic Light" w:hAnsi="Corbel" w:cs="Tahoma"/>
          <w:bCs/>
          <w:sz w:val="28"/>
          <w:szCs w:val="28"/>
          <w:lang w:eastAsia="zh-CN"/>
        </w:rPr>
        <w:t xml:space="preserve"> sees Salieri in the same light as Cain; he is so aggrieved by the talent of Mozart, who in his mind doesn’t deserve God’s grace; he would happily plot his demise</w:t>
      </w:r>
      <w:r w:rsidRPr="00CF5CE4">
        <w:rPr>
          <w:rFonts w:ascii="Corbel" w:eastAsia="Yu Gothic Light" w:hAnsi="Corbel" w:cs="Tahoma"/>
          <w:bCs/>
          <w:sz w:val="28"/>
          <w:szCs w:val="28"/>
          <w:vertAlign w:val="superscript"/>
          <w:lang w:eastAsia="zh-CN"/>
        </w:rPr>
        <w:footnoteReference w:id="18"/>
      </w:r>
      <w:r w:rsidRPr="00CF5CE4">
        <w:rPr>
          <w:rFonts w:ascii="Corbel" w:eastAsia="Yu Gothic Light" w:hAnsi="Corbel" w:cs="Tahoma"/>
          <w:bCs/>
          <w:sz w:val="28"/>
          <w:szCs w:val="28"/>
          <w:lang w:eastAsia="zh-CN"/>
        </w:rPr>
        <w:t xml:space="preserve">.  Her work is in line with Gregory Robbins view, his </w:t>
      </w:r>
      <w:r w:rsidRPr="00CF5CE4">
        <w:rPr>
          <w:rFonts w:ascii="Corbel" w:eastAsia="SimSun" w:hAnsi="Corbel" w:cs="Times New Roman"/>
          <w:sz w:val="28"/>
          <w:szCs w:val="28"/>
          <w:lang w:eastAsia="en-GB"/>
        </w:rPr>
        <w:t>article</w:t>
      </w:r>
      <w:r w:rsidRPr="00CF5CE4">
        <w:rPr>
          <w:rFonts w:ascii="Corbel" w:eastAsia="Yu Gothic Light" w:hAnsi="Corbel" w:cs="Tahoma"/>
          <w:bCs/>
          <w:sz w:val="28"/>
          <w:szCs w:val="28"/>
          <w:lang w:eastAsia="zh-CN"/>
        </w:rPr>
        <w:t xml:space="preserve"> in </w:t>
      </w:r>
      <w:r w:rsidRPr="00CF5CE4">
        <w:rPr>
          <w:rFonts w:ascii="Corbel" w:eastAsia="Yu Gothic Light" w:hAnsi="Corbel" w:cs="Tahoma"/>
          <w:bCs/>
          <w:i/>
          <w:sz w:val="28"/>
          <w:szCs w:val="28"/>
          <w:lang w:eastAsia="zh-CN"/>
        </w:rPr>
        <w:t xml:space="preserve">The Journal of Religion and Film </w:t>
      </w:r>
      <w:r w:rsidRPr="00CF5CE4">
        <w:rPr>
          <w:rFonts w:ascii="Corbel" w:eastAsia="Yu Gothic Light" w:hAnsi="Corbel" w:cs="Tahoma"/>
          <w:bCs/>
          <w:sz w:val="28"/>
          <w:szCs w:val="28"/>
          <w:lang w:eastAsia="zh-CN"/>
        </w:rPr>
        <w:t>in 1997, ‘Mozart &amp; Salieri, Cain &amp; Abel: A Cinematic Transformation of Genesis 4’</w:t>
      </w:r>
      <w:r w:rsidRPr="00CF5CE4">
        <w:rPr>
          <w:rFonts w:ascii="Corbel" w:eastAsia="Yu Gothic Light" w:hAnsi="Corbel" w:cs="Tahoma"/>
          <w:bCs/>
          <w:sz w:val="28"/>
          <w:szCs w:val="28"/>
          <w:vertAlign w:val="superscript"/>
          <w:lang w:eastAsia="zh-CN"/>
        </w:rPr>
        <w:footnoteReference w:id="19"/>
      </w:r>
      <w:r w:rsidRPr="00CF5CE4">
        <w:rPr>
          <w:rFonts w:ascii="Corbel" w:eastAsia="Yu Gothic Light" w:hAnsi="Corbel" w:cs="Tahoma"/>
          <w:bCs/>
          <w:sz w:val="28"/>
          <w:szCs w:val="28"/>
          <w:lang w:eastAsia="zh-CN"/>
        </w:rPr>
        <w:t xml:space="preserve">, is a better match of the religious theme running through </w:t>
      </w:r>
      <w:r w:rsidRPr="00CF5CE4">
        <w:rPr>
          <w:rFonts w:ascii="Corbel" w:eastAsia="Yu Gothic Light" w:hAnsi="Corbel" w:cs="Tahoma"/>
          <w:bCs/>
          <w:i/>
          <w:sz w:val="28"/>
          <w:szCs w:val="28"/>
          <w:lang w:eastAsia="zh-CN"/>
        </w:rPr>
        <w:t xml:space="preserve">Amadeus </w:t>
      </w:r>
      <w:r w:rsidRPr="00CF5CE4">
        <w:rPr>
          <w:rFonts w:ascii="Corbel" w:eastAsia="Yu Gothic Light" w:hAnsi="Corbel" w:cs="Tahoma"/>
          <w:bCs/>
          <w:sz w:val="28"/>
          <w:szCs w:val="28"/>
          <w:lang w:eastAsia="zh-CN"/>
        </w:rPr>
        <w:t>than the options already mentioned.</w:t>
      </w:r>
      <w:r w:rsidRPr="00CF5CE4">
        <w:rPr>
          <w:rFonts w:ascii="Corbel" w:eastAsia="Yu Gothic Light" w:hAnsi="Corbel" w:cs="Tahoma"/>
          <w:bCs/>
          <w:i/>
          <w:sz w:val="28"/>
          <w:szCs w:val="28"/>
          <w:lang w:eastAsia="zh-CN"/>
        </w:rPr>
        <w:t xml:space="preserve"> </w:t>
      </w:r>
      <w:r w:rsidRPr="00CF5CE4">
        <w:rPr>
          <w:rFonts w:ascii="Corbel" w:eastAsia="Yu Gothic Light" w:hAnsi="Corbel" w:cs="Tahoma"/>
          <w:bCs/>
          <w:sz w:val="28"/>
          <w:szCs w:val="28"/>
          <w:lang w:eastAsia="zh-CN"/>
        </w:rPr>
        <w:t>Genesis rather than Romans, Paul or Isiah. Cain and Abel’s story (Gen. 4: 1-16)</w:t>
      </w:r>
      <w:r w:rsidRPr="00CF5CE4">
        <w:rPr>
          <w:rFonts w:ascii="Corbel" w:eastAsia="Yu Gothic Light" w:hAnsi="Corbel" w:cs="Tahoma"/>
          <w:bCs/>
          <w:sz w:val="28"/>
          <w:szCs w:val="28"/>
          <w:vertAlign w:val="superscript"/>
          <w:lang w:eastAsia="zh-CN"/>
        </w:rPr>
        <w:footnoteReference w:id="20"/>
      </w:r>
      <w:r w:rsidRPr="00CF5CE4">
        <w:rPr>
          <w:rFonts w:ascii="Corbel" w:eastAsia="Yu Gothic Light" w:hAnsi="Corbel" w:cs="Tahoma"/>
          <w:bCs/>
          <w:sz w:val="28"/>
          <w:szCs w:val="28"/>
          <w:lang w:eastAsia="zh-CN"/>
        </w:rPr>
        <w:t xml:space="preserve"> tells of </w:t>
      </w:r>
      <w:r w:rsidRPr="00CF5CE4">
        <w:rPr>
          <w:rFonts w:ascii="Corbel" w:eastAsia="Yu Gothic Light" w:hAnsi="Corbel" w:cs="Tahoma"/>
          <w:bCs/>
          <w:sz w:val="28"/>
          <w:szCs w:val="28"/>
          <w:lang w:eastAsia="zh-CN"/>
        </w:rPr>
        <w:lastRenderedPageBreak/>
        <w:t xml:space="preserve">the first sacrifice and, murder of one sibling by another (fratricide). It is a story of legendary proportions; human love, life, death and genius. To quote Robbins, </w:t>
      </w:r>
    </w:p>
    <w:p w:rsidR="00CF5CE4" w:rsidRPr="00CF5CE4" w:rsidRDefault="00CF5CE4" w:rsidP="00CF5CE4">
      <w:pPr>
        <w:spacing w:line="360" w:lineRule="auto"/>
        <w:ind w:left="720"/>
        <w:jc w:val="both"/>
        <w:rPr>
          <w:rFonts w:ascii="Corbel" w:hAnsi="Corbel"/>
          <w:sz w:val="28"/>
          <w:szCs w:val="28"/>
        </w:rPr>
      </w:pPr>
      <w:r w:rsidRPr="00CF5CE4">
        <w:rPr>
          <w:rFonts w:ascii="Corbel" w:eastAsia="Yu Gothic Light" w:hAnsi="Corbel" w:cs="Tahoma"/>
          <w:bCs/>
          <w:sz w:val="28"/>
          <w:szCs w:val="28"/>
          <w:lang w:eastAsia="zh-CN"/>
        </w:rPr>
        <w:t>‘T</w:t>
      </w:r>
      <w:r w:rsidRPr="00CF5CE4">
        <w:rPr>
          <w:rFonts w:ascii="Corbel" w:hAnsi="Corbel"/>
          <w:sz w:val="28"/>
          <w:szCs w:val="28"/>
        </w:rPr>
        <w:t xml:space="preserve">he playwright invites us to explore the themes of human giftedness and the innate inequality of human beings, the human as homo </w:t>
      </w:r>
      <w:proofErr w:type="spellStart"/>
      <w:r w:rsidRPr="00CF5CE4">
        <w:rPr>
          <w:rFonts w:ascii="Corbel" w:hAnsi="Corbel"/>
          <w:sz w:val="28"/>
          <w:szCs w:val="28"/>
        </w:rPr>
        <w:t>faber</w:t>
      </w:r>
      <w:proofErr w:type="spellEnd"/>
      <w:r w:rsidRPr="00CF5CE4">
        <w:rPr>
          <w:rFonts w:ascii="Corbel" w:hAnsi="Corbel"/>
          <w:sz w:val="28"/>
          <w:szCs w:val="28"/>
        </w:rPr>
        <w:t xml:space="preserve"> and homo </w:t>
      </w:r>
      <w:proofErr w:type="spellStart"/>
      <w:r w:rsidRPr="00CF5CE4">
        <w:rPr>
          <w:rFonts w:ascii="Corbel" w:hAnsi="Corbel"/>
          <w:sz w:val="28"/>
          <w:szCs w:val="28"/>
        </w:rPr>
        <w:t>necans</w:t>
      </w:r>
      <w:proofErr w:type="spellEnd"/>
      <w:r w:rsidRPr="00CF5CE4">
        <w:rPr>
          <w:rFonts w:ascii="Corbel" w:hAnsi="Corbel"/>
          <w:sz w:val="28"/>
          <w:szCs w:val="28"/>
        </w:rPr>
        <w:t>, human ambition and mediocrity, sibling rivalry and envy, the tragedy of differentiation and its often violent implications, election and the arbitrariness of preference, and, ultimately –  mystery’</w:t>
      </w:r>
      <w:r w:rsidRPr="00CF5CE4">
        <w:rPr>
          <w:rFonts w:ascii="Corbel" w:hAnsi="Corbel"/>
          <w:sz w:val="28"/>
          <w:szCs w:val="28"/>
          <w:vertAlign w:val="superscript"/>
        </w:rPr>
        <w:footnoteReference w:id="21"/>
      </w:r>
      <w:r w:rsidRPr="00CF5CE4">
        <w:rPr>
          <w:rFonts w:ascii="Corbel" w:hAnsi="Corbel"/>
          <w:sz w:val="28"/>
          <w:szCs w:val="28"/>
        </w:rPr>
        <w:t xml:space="preserve">. </w:t>
      </w:r>
    </w:p>
    <w:p w:rsidR="00CF5CE4" w:rsidRPr="00CF5CE4" w:rsidRDefault="00CF5CE4" w:rsidP="00CF5CE4">
      <w:pPr>
        <w:spacing w:line="360" w:lineRule="auto"/>
        <w:jc w:val="both"/>
        <w:rPr>
          <w:rFonts w:ascii="Helvetica" w:hAnsi="Helvetica" w:cs="Helvetica"/>
          <w:sz w:val="20"/>
          <w:szCs w:val="20"/>
          <w:bdr w:val="none" w:sz="0" w:space="0" w:color="auto" w:frame="1"/>
        </w:rPr>
      </w:pPr>
      <w:r w:rsidRPr="00CF5CE4">
        <w:rPr>
          <w:rFonts w:ascii="Corbel" w:hAnsi="Corbel"/>
          <w:sz w:val="28"/>
          <w:szCs w:val="28"/>
        </w:rPr>
        <w:t xml:space="preserve">Robbin’s words sum up the film in fifty-three words, perhaps the review could stop here? </w:t>
      </w:r>
      <w:r w:rsidRPr="00CF5CE4">
        <w:rPr>
          <w:rFonts w:ascii="Corbel" w:eastAsia="SimSun" w:hAnsi="Corbel" w:cs="Times New Roman"/>
          <w:sz w:val="28"/>
          <w:szCs w:val="28"/>
          <w:lang w:eastAsia="en-GB"/>
        </w:rPr>
        <w:t xml:space="preserve">    </w:t>
      </w:r>
    </w:p>
    <w:p w:rsidR="00CF5CE4" w:rsidRPr="00CF5CE4" w:rsidRDefault="00CF5CE4" w:rsidP="00CF5CE4">
      <w:pPr>
        <w:spacing w:line="360" w:lineRule="auto"/>
        <w:jc w:val="both"/>
        <w:rPr>
          <w:rFonts w:ascii="Corbel" w:eastAsia="Yu Gothic Light" w:hAnsi="Corbel" w:cs="Tahoma"/>
          <w:bCs/>
          <w:sz w:val="28"/>
          <w:szCs w:val="28"/>
          <w:lang w:eastAsia="zh-CN"/>
        </w:rPr>
      </w:pPr>
      <w:r w:rsidRPr="00CF5CE4">
        <w:rPr>
          <w:rFonts w:ascii="Corbel" w:hAnsi="Corbel"/>
          <w:sz w:val="28"/>
          <w:szCs w:val="28"/>
        </w:rPr>
        <w:t xml:space="preserve">          We must not forget however, that </w:t>
      </w:r>
      <w:r w:rsidRPr="00CF5CE4">
        <w:rPr>
          <w:rFonts w:ascii="Corbel" w:hAnsi="Corbel"/>
          <w:i/>
          <w:sz w:val="28"/>
          <w:szCs w:val="28"/>
        </w:rPr>
        <w:t>Amadeus</w:t>
      </w:r>
      <w:r w:rsidRPr="00CF5CE4">
        <w:rPr>
          <w:rFonts w:ascii="Corbel" w:hAnsi="Corbel"/>
          <w:sz w:val="28"/>
          <w:szCs w:val="28"/>
        </w:rPr>
        <w:t xml:space="preserve"> is a fiction, not the true tale of Mozart and Salieri. Therefore, this beautiful assault on ear and eye is always Schaffer’s “</w:t>
      </w:r>
      <w:r w:rsidRPr="00CF5CE4">
        <w:rPr>
          <w:rFonts w:ascii="Corbel" w:eastAsia="Yu Gothic Light" w:hAnsi="Corbel" w:cs="Tahoma"/>
          <w:bCs/>
          <w:sz w:val="28"/>
          <w:szCs w:val="28"/>
          <w:lang w:eastAsia="zh-CN"/>
        </w:rPr>
        <w:t>a fantasia based on fact”</w:t>
      </w:r>
      <w:r w:rsidRPr="00CF5CE4">
        <w:rPr>
          <w:rFonts w:ascii="Corbel" w:eastAsia="Yu Gothic Light" w:hAnsi="Corbel" w:cs="Tahoma"/>
          <w:bCs/>
          <w:sz w:val="28"/>
          <w:szCs w:val="28"/>
          <w:vertAlign w:val="superscript"/>
          <w:lang w:eastAsia="zh-CN"/>
        </w:rPr>
        <w:footnoteReference w:id="22"/>
      </w:r>
      <w:r w:rsidRPr="00CF5CE4">
        <w:rPr>
          <w:rFonts w:ascii="Corbel" w:eastAsia="Yu Gothic Light" w:hAnsi="Corbel" w:cs="Tahoma"/>
          <w:bCs/>
          <w:sz w:val="28"/>
          <w:szCs w:val="28"/>
          <w:lang w:eastAsia="zh-CN"/>
        </w:rPr>
        <w:t xml:space="preserve">; and the themes that people see are not necessarily those of the author or director. But the Cain and Abel allegory </w:t>
      </w:r>
      <w:proofErr w:type="gramStart"/>
      <w:r w:rsidRPr="00CF5CE4">
        <w:rPr>
          <w:rFonts w:ascii="Corbel" w:eastAsia="Yu Gothic Light" w:hAnsi="Corbel" w:cs="Tahoma"/>
          <w:bCs/>
          <w:sz w:val="28"/>
          <w:szCs w:val="28"/>
          <w:lang w:eastAsia="zh-CN"/>
        </w:rPr>
        <w:t>is</w:t>
      </w:r>
      <w:proofErr w:type="gramEnd"/>
      <w:r w:rsidRPr="00CF5CE4">
        <w:rPr>
          <w:rFonts w:ascii="Corbel" w:eastAsia="Yu Gothic Light" w:hAnsi="Corbel" w:cs="Tahoma"/>
          <w:bCs/>
          <w:sz w:val="28"/>
          <w:szCs w:val="28"/>
          <w:lang w:eastAsia="zh-CN"/>
        </w:rPr>
        <w:t xml:space="preserve"> so convincing, the story seems to weave its way throughout the three hours of film. Miroslav </w:t>
      </w:r>
      <w:proofErr w:type="spellStart"/>
      <w:r w:rsidRPr="00CF5CE4">
        <w:rPr>
          <w:rFonts w:ascii="Corbel" w:eastAsia="Yu Gothic Light" w:hAnsi="Corbel" w:cs="Tahoma"/>
          <w:bCs/>
          <w:sz w:val="28"/>
          <w:szCs w:val="28"/>
          <w:lang w:eastAsia="zh-CN"/>
        </w:rPr>
        <w:t>Ondricek’s</w:t>
      </w:r>
      <w:proofErr w:type="spellEnd"/>
      <w:r w:rsidRPr="00CF5CE4">
        <w:rPr>
          <w:rFonts w:ascii="Corbel" w:eastAsia="Yu Gothic Light" w:hAnsi="Corbel" w:cs="Tahoma"/>
          <w:bCs/>
          <w:sz w:val="28"/>
          <w:szCs w:val="28"/>
          <w:lang w:eastAsia="zh-CN"/>
        </w:rPr>
        <w:t xml:space="preserve"> direction of the photography</w:t>
      </w:r>
      <w:r w:rsidRPr="00CF5CE4">
        <w:rPr>
          <w:rFonts w:ascii="Corbel" w:eastAsia="Yu Gothic Light" w:hAnsi="Corbel" w:cs="Tahoma"/>
          <w:bCs/>
          <w:sz w:val="28"/>
          <w:szCs w:val="28"/>
          <w:vertAlign w:val="superscript"/>
          <w:lang w:eastAsia="zh-CN"/>
        </w:rPr>
        <w:footnoteReference w:id="23"/>
      </w:r>
      <w:r w:rsidRPr="00CF5CE4">
        <w:rPr>
          <w:rFonts w:ascii="Corbel" w:eastAsia="Yu Gothic Light" w:hAnsi="Corbel" w:cs="Tahoma"/>
          <w:bCs/>
          <w:sz w:val="28"/>
          <w:szCs w:val="28"/>
          <w:lang w:eastAsia="zh-CN"/>
        </w:rPr>
        <w:t xml:space="preserve"> adds to the epic narrative’s religious theme. One shot is drab, such as when Salieri is dragged through the snowy street on a stretcher; then it </w:t>
      </w:r>
      <w:proofErr w:type="gramStart"/>
      <w:r w:rsidRPr="00CF5CE4">
        <w:rPr>
          <w:rFonts w:ascii="Corbel" w:eastAsia="Yu Gothic Light" w:hAnsi="Corbel" w:cs="Tahoma"/>
          <w:bCs/>
          <w:sz w:val="28"/>
          <w:szCs w:val="28"/>
          <w:lang w:eastAsia="zh-CN"/>
        </w:rPr>
        <w:t>opens up</w:t>
      </w:r>
      <w:proofErr w:type="gramEnd"/>
      <w:r w:rsidRPr="00CF5CE4">
        <w:rPr>
          <w:rFonts w:ascii="Corbel" w:eastAsia="Yu Gothic Light" w:hAnsi="Corbel" w:cs="Tahoma"/>
          <w:bCs/>
          <w:sz w:val="28"/>
          <w:szCs w:val="28"/>
          <w:lang w:eastAsia="zh-CN"/>
        </w:rPr>
        <w:t xml:space="preserve"> into scenes of phantasmagorical, over the top beauty. Add in Mozart’s sublime music conducted by Neville </w:t>
      </w:r>
      <w:proofErr w:type="spellStart"/>
      <w:r w:rsidRPr="00CF5CE4">
        <w:rPr>
          <w:rFonts w:ascii="Corbel" w:eastAsia="Yu Gothic Light" w:hAnsi="Corbel" w:cs="Tahoma"/>
          <w:bCs/>
          <w:sz w:val="28"/>
          <w:szCs w:val="28"/>
          <w:lang w:eastAsia="zh-CN"/>
        </w:rPr>
        <w:t>Marriner</w:t>
      </w:r>
      <w:proofErr w:type="spellEnd"/>
      <w:r w:rsidRPr="00CF5CE4">
        <w:rPr>
          <w:rFonts w:ascii="Corbel" w:eastAsia="Yu Gothic Light" w:hAnsi="Corbel" w:cs="Tahoma"/>
          <w:bCs/>
          <w:sz w:val="28"/>
          <w:szCs w:val="28"/>
          <w:vertAlign w:val="superscript"/>
          <w:lang w:eastAsia="zh-CN"/>
        </w:rPr>
        <w:footnoteReference w:id="24"/>
      </w:r>
      <w:r w:rsidRPr="00CF5CE4">
        <w:rPr>
          <w:rFonts w:ascii="Corbel" w:eastAsia="Yu Gothic Light" w:hAnsi="Corbel" w:cs="Tahoma"/>
          <w:bCs/>
          <w:sz w:val="28"/>
          <w:szCs w:val="28"/>
          <w:lang w:eastAsia="zh-CN"/>
        </w:rPr>
        <w:t xml:space="preserve">, and the conclusion the audience is drawn to, </w:t>
      </w:r>
      <w:r w:rsidRPr="00CF5CE4">
        <w:rPr>
          <w:rFonts w:ascii="Corbel" w:eastAsia="Yu Gothic Light" w:hAnsi="Corbel" w:cs="Tahoma"/>
          <w:bCs/>
          <w:sz w:val="28"/>
          <w:szCs w:val="28"/>
          <w:lang w:eastAsia="zh-CN"/>
        </w:rPr>
        <w:lastRenderedPageBreak/>
        <w:t>seems to be that only a God could produce such degradation and magnificence at the same time.</w:t>
      </w:r>
    </w:p>
    <w:p w:rsidR="00CF5CE4" w:rsidRPr="00CF5CE4" w:rsidRDefault="00CF5CE4" w:rsidP="00CF5CE4">
      <w:pPr>
        <w:spacing w:line="360" w:lineRule="auto"/>
        <w:jc w:val="both"/>
        <w:rPr>
          <w:rFonts w:ascii="Corbel" w:eastAsia="Yu Gothic Light" w:hAnsi="Corbel" w:cs="Tahoma"/>
          <w:bCs/>
          <w:sz w:val="28"/>
          <w:szCs w:val="28"/>
          <w:lang w:eastAsia="zh-CN"/>
        </w:rPr>
      </w:pPr>
      <w:r w:rsidRPr="00CF5CE4">
        <w:rPr>
          <w:rFonts w:ascii="Corbel" w:eastAsia="Yu Gothic Light" w:hAnsi="Corbel" w:cs="Tahoma"/>
          <w:bCs/>
          <w:sz w:val="28"/>
          <w:szCs w:val="28"/>
          <w:lang w:eastAsia="zh-CN"/>
        </w:rPr>
        <w:t xml:space="preserve">         To analyse and evaluate the Cain and Abel theme in </w:t>
      </w:r>
      <w:r w:rsidRPr="00CF5CE4">
        <w:rPr>
          <w:rFonts w:ascii="Corbel" w:eastAsia="Yu Gothic Light" w:hAnsi="Corbel" w:cs="Tahoma"/>
          <w:bCs/>
          <w:i/>
          <w:sz w:val="28"/>
          <w:szCs w:val="28"/>
          <w:lang w:eastAsia="zh-CN"/>
        </w:rPr>
        <w:t xml:space="preserve">Amadeus, </w:t>
      </w:r>
      <w:bookmarkStart w:id="8" w:name="_Hlk10137471"/>
      <w:r w:rsidRPr="00CF5CE4">
        <w:rPr>
          <w:rFonts w:ascii="Corbel" w:eastAsia="Yu Gothic Light" w:hAnsi="Corbel" w:cs="Tahoma"/>
          <w:bCs/>
          <w:sz w:val="28"/>
          <w:szCs w:val="28"/>
          <w:lang w:eastAsia="zh-CN"/>
        </w:rPr>
        <w:t>Robbin’s description of what he thinks Shaffer’s script invites us to look at</w:t>
      </w:r>
      <w:r w:rsidRPr="00CF5CE4">
        <w:rPr>
          <w:rFonts w:ascii="Corbel" w:eastAsia="Yu Gothic Light" w:hAnsi="Corbel" w:cs="Tahoma"/>
          <w:bCs/>
          <w:sz w:val="28"/>
          <w:szCs w:val="28"/>
          <w:vertAlign w:val="superscript"/>
          <w:lang w:eastAsia="zh-CN"/>
        </w:rPr>
        <w:footnoteReference w:id="25"/>
      </w:r>
      <w:r w:rsidRPr="00CF5CE4">
        <w:rPr>
          <w:rFonts w:ascii="Corbel" w:eastAsia="Yu Gothic Light" w:hAnsi="Corbel" w:cs="Tahoma"/>
          <w:bCs/>
          <w:sz w:val="28"/>
          <w:szCs w:val="28"/>
          <w:lang w:eastAsia="zh-CN"/>
        </w:rPr>
        <w:t>, seems the best way to look at the film.</w:t>
      </w:r>
    </w:p>
    <w:tbl>
      <w:tblPr>
        <w:tblW w:w="0" w:type="auto"/>
        <w:tblCellSpacing w:w="15" w:type="dxa"/>
        <w:tblCellMar>
          <w:top w:w="150" w:type="dxa"/>
          <w:left w:w="15" w:type="dxa"/>
          <w:bottom w:w="30" w:type="dxa"/>
          <w:right w:w="15" w:type="dxa"/>
        </w:tblCellMar>
        <w:tblLook w:val="04A0" w:firstRow="1" w:lastRow="0" w:firstColumn="1" w:lastColumn="0" w:noHBand="0" w:noVBand="1"/>
      </w:tblPr>
      <w:tblGrid>
        <w:gridCol w:w="9026"/>
      </w:tblGrid>
      <w:tr w:rsidR="00CF5CE4" w:rsidRPr="00CF5CE4" w:rsidTr="001D6AF0">
        <w:trPr>
          <w:tblCellSpacing w:w="15" w:type="dxa"/>
        </w:trPr>
        <w:tc>
          <w:tcPr>
            <w:tcW w:w="8966" w:type="dxa"/>
            <w:tcMar>
              <w:top w:w="15" w:type="dxa"/>
              <w:left w:w="15" w:type="dxa"/>
              <w:bottom w:w="15" w:type="dxa"/>
              <w:right w:w="15" w:type="dxa"/>
            </w:tcMar>
            <w:vAlign w:val="center"/>
          </w:tcPr>
          <w:p w:rsidR="00CF5CE4" w:rsidRPr="00CF5CE4" w:rsidRDefault="00CF5CE4" w:rsidP="00CF5CE4">
            <w:pPr>
              <w:spacing w:line="360" w:lineRule="auto"/>
              <w:jc w:val="both"/>
              <w:rPr>
                <w:rFonts w:ascii="Corbel" w:eastAsia="Times New Roman" w:hAnsi="Corbel" w:cs="Times New Roman"/>
                <w:kern w:val="36"/>
                <w:sz w:val="28"/>
                <w:szCs w:val="28"/>
                <w:lang w:eastAsia="en-GB"/>
              </w:rPr>
            </w:pPr>
            <w:r w:rsidRPr="00CF5CE4">
              <w:rPr>
                <w:rFonts w:ascii="Corbel" w:eastAsia="Yu Gothic Light" w:hAnsi="Corbel" w:cs="Tahoma"/>
                <w:b/>
                <w:bCs/>
                <w:sz w:val="28"/>
                <w:szCs w:val="28"/>
                <w:lang w:eastAsia="zh-CN"/>
              </w:rPr>
              <w:t xml:space="preserve">          </w:t>
            </w:r>
            <w:r w:rsidRPr="00CF5CE4">
              <w:rPr>
                <w:rFonts w:ascii="Corbel" w:eastAsia="Yu Gothic Light" w:hAnsi="Corbel" w:cs="Tahoma"/>
                <w:bCs/>
                <w:sz w:val="28"/>
                <w:szCs w:val="28"/>
                <w:lang w:eastAsia="zh-CN"/>
              </w:rPr>
              <w:t>The grace of God</w:t>
            </w:r>
            <w:bookmarkEnd w:id="8"/>
            <w:r w:rsidRPr="00CF5CE4">
              <w:rPr>
                <w:rFonts w:ascii="Corbel" w:eastAsia="Yu Gothic Light" w:hAnsi="Corbel" w:cs="Tahoma"/>
                <w:bCs/>
                <w:sz w:val="28"/>
                <w:szCs w:val="28"/>
                <w:lang w:eastAsia="zh-CN"/>
              </w:rPr>
              <w:t xml:space="preserve"> was a gift bestowed on Mozart, but Salieri believed this should have been his. He had an arrangement with God; in exchange for his devotion and piety, he would be a gifted composer and praise God with his talents. God had other ideas, as with Cain; ‘And the LORD had regard for Abel and his offering, but for Cain and his offering he had no regard. </w:t>
            </w:r>
            <w:proofErr w:type="gramStart"/>
            <w:r w:rsidRPr="00CF5CE4">
              <w:rPr>
                <w:rFonts w:ascii="Corbel" w:eastAsia="Yu Gothic Light" w:hAnsi="Corbel" w:cs="Tahoma"/>
                <w:bCs/>
                <w:sz w:val="28"/>
                <w:szCs w:val="28"/>
                <w:lang w:eastAsia="zh-CN"/>
              </w:rPr>
              <w:t>So</w:t>
            </w:r>
            <w:proofErr w:type="gramEnd"/>
            <w:r w:rsidRPr="00CF5CE4">
              <w:rPr>
                <w:rFonts w:ascii="Corbel" w:eastAsia="Yu Gothic Light" w:hAnsi="Corbel" w:cs="Tahoma"/>
                <w:bCs/>
                <w:sz w:val="28"/>
                <w:szCs w:val="28"/>
                <w:lang w:eastAsia="zh-CN"/>
              </w:rPr>
              <w:t xml:space="preserve"> Cain was very angry, and his countenance fell’ (Gen. 4: 4-5). Cain kills his brother and is punished by God. He will not be killed but sent away to wander the earth and is told, ‘Whoever kills Cain will suffer a sevenfold vengeance’ (Gen. 4: 15) – he will suffer and have no release through death. Salieri/Cain is horrified at his treatment by God, rails against him – crucifix in the fire time. His destiny is shaped by this moment, Mozart/Abel will have their life traduced. Salieri is devastated, he has worked so hard and is rewarded with nothing.  As </w:t>
            </w:r>
            <w:proofErr w:type="spellStart"/>
            <w:r w:rsidRPr="00CF5CE4">
              <w:rPr>
                <w:rFonts w:ascii="Corbel" w:eastAsia="Yu Gothic Light" w:hAnsi="Corbel" w:cs="Tahoma"/>
                <w:bCs/>
                <w:sz w:val="28"/>
                <w:szCs w:val="28"/>
                <w:lang w:eastAsia="zh-CN"/>
              </w:rPr>
              <w:t>Terrien</w:t>
            </w:r>
            <w:proofErr w:type="spellEnd"/>
            <w:r w:rsidRPr="00CF5CE4">
              <w:rPr>
                <w:rFonts w:ascii="Corbel" w:eastAsia="Yu Gothic Light" w:hAnsi="Corbel" w:cs="Tahoma"/>
                <w:bCs/>
                <w:sz w:val="28"/>
                <w:szCs w:val="28"/>
                <w:lang w:eastAsia="zh-CN"/>
              </w:rPr>
              <w:t xml:space="preserve"> suggests ‘Mozart’s genius is God’s gift, undeserved, unmerited, totally inexplicable. It affronts Salieri’s talent, </w:t>
            </w:r>
            <w:proofErr w:type="spellStart"/>
            <w:r w:rsidRPr="00CF5CE4">
              <w:rPr>
                <w:rFonts w:ascii="Corbel" w:eastAsia="Yu Gothic Light" w:hAnsi="Corbel" w:cs="Tahoma"/>
                <w:bCs/>
                <w:sz w:val="28"/>
                <w:szCs w:val="28"/>
                <w:lang w:eastAsia="zh-CN"/>
              </w:rPr>
              <w:t>labors</w:t>
            </w:r>
            <w:proofErr w:type="spellEnd"/>
            <w:r w:rsidRPr="00CF5CE4">
              <w:rPr>
                <w:rFonts w:ascii="Corbel" w:eastAsia="Yu Gothic Light" w:hAnsi="Corbel" w:cs="Tahoma"/>
                <w:bCs/>
                <w:sz w:val="28"/>
                <w:szCs w:val="28"/>
                <w:lang w:eastAsia="zh-CN"/>
              </w:rPr>
              <w:t xml:space="preserve"> and virtue. It also undermines his piety’</w:t>
            </w:r>
            <w:r w:rsidRPr="00CF5CE4">
              <w:rPr>
                <w:rFonts w:ascii="Corbel" w:eastAsia="Yu Gothic Light" w:hAnsi="Corbel" w:cs="Tahoma"/>
                <w:bCs/>
                <w:sz w:val="28"/>
                <w:szCs w:val="28"/>
                <w:vertAlign w:val="superscript"/>
                <w:lang w:eastAsia="zh-CN"/>
              </w:rPr>
              <w:footnoteReference w:id="26"/>
            </w:r>
            <w:r w:rsidRPr="00CF5CE4">
              <w:rPr>
                <w:rFonts w:ascii="Corbel" w:eastAsia="Times New Roman" w:hAnsi="Corbel" w:cs="Times New Roman"/>
                <w:kern w:val="36"/>
                <w:sz w:val="28"/>
                <w:szCs w:val="28"/>
                <w:lang w:eastAsia="en-GB"/>
              </w:rPr>
              <w:t xml:space="preserve"> . The story is set. What does </w:t>
            </w:r>
            <w:proofErr w:type="gramStart"/>
            <w:r w:rsidRPr="00CF5CE4">
              <w:rPr>
                <w:rFonts w:ascii="Corbel" w:eastAsia="Times New Roman" w:hAnsi="Corbel" w:cs="Times New Roman"/>
                <w:kern w:val="36"/>
                <w:sz w:val="28"/>
                <w:szCs w:val="28"/>
                <w:lang w:eastAsia="en-GB"/>
              </w:rPr>
              <w:t>being</w:t>
            </w:r>
            <w:proofErr w:type="gramEnd"/>
            <w:r w:rsidRPr="00CF5CE4">
              <w:rPr>
                <w:rFonts w:ascii="Corbel" w:eastAsia="Times New Roman" w:hAnsi="Corbel" w:cs="Times New Roman"/>
                <w:kern w:val="36"/>
                <w:sz w:val="28"/>
                <w:szCs w:val="28"/>
                <w:lang w:eastAsia="en-GB"/>
              </w:rPr>
              <w:t xml:space="preserve"> gifted mean anyway? Then a gift </w:t>
            </w:r>
            <w:r w:rsidRPr="00CF5CE4">
              <w:rPr>
                <w:rFonts w:ascii="Corbel" w:eastAsia="Times New Roman" w:hAnsi="Corbel" w:cs="Times New Roman"/>
                <w:kern w:val="36"/>
                <w:sz w:val="28"/>
                <w:szCs w:val="28"/>
                <w:lang w:eastAsia="en-GB"/>
              </w:rPr>
              <w:lastRenderedPageBreak/>
              <w:t>from God, now a unique child with advanced cognitive abilities, which can make them vulnerable in life</w:t>
            </w:r>
            <w:r w:rsidRPr="00CF5CE4">
              <w:rPr>
                <w:rFonts w:ascii="Corbel" w:eastAsia="Times New Roman" w:hAnsi="Corbel" w:cs="Times New Roman"/>
                <w:kern w:val="36"/>
                <w:sz w:val="28"/>
                <w:szCs w:val="28"/>
                <w:vertAlign w:val="superscript"/>
                <w:lang w:eastAsia="en-GB"/>
              </w:rPr>
              <w:footnoteReference w:id="27"/>
            </w:r>
            <w:r w:rsidRPr="00CF5CE4">
              <w:rPr>
                <w:rFonts w:ascii="Corbel" w:eastAsia="Times New Roman" w:hAnsi="Corbel" w:cs="Times New Roman"/>
                <w:kern w:val="36"/>
                <w:sz w:val="28"/>
                <w:szCs w:val="28"/>
                <w:lang w:eastAsia="en-GB"/>
              </w:rPr>
              <w:t>. As humans none of us are biologically equal, Mozart and Salieri included</w:t>
            </w:r>
            <w:r w:rsidRPr="00CF5CE4">
              <w:rPr>
                <w:rFonts w:ascii="Corbel" w:eastAsia="Times New Roman" w:hAnsi="Corbel" w:cs="Times New Roman"/>
                <w:kern w:val="36"/>
                <w:sz w:val="28"/>
                <w:szCs w:val="28"/>
                <w:vertAlign w:val="superscript"/>
                <w:lang w:eastAsia="en-GB"/>
              </w:rPr>
              <w:footnoteReference w:id="28"/>
            </w:r>
            <w:r w:rsidRPr="00CF5CE4">
              <w:rPr>
                <w:rFonts w:ascii="Corbel" w:eastAsia="Times New Roman" w:hAnsi="Corbel" w:cs="Times New Roman"/>
                <w:kern w:val="36"/>
                <w:sz w:val="28"/>
                <w:szCs w:val="28"/>
                <w:lang w:eastAsia="en-GB"/>
              </w:rPr>
              <w:t>. We’re as our genes, environment and society shape us, not a concept either of them would have understood. It was grace from God that shaped your life, both men were destroyed by this grace. ‘Shattered by grace, but the results of such a spiritual upheaval are antithetical’</w:t>
            </w:r>
            <w:r w:rsidRPr="00CF5CE4">
              <w:rPr>
                <w:rFonts w:ascii="Corbel" w:eastAsia="Times New Roman" w:hAnsi="Corbel" w:cs="Times New Roman"/>
                <w:kern w:val="36"/>
                <w:sz w:val="28"/>
                <w:szCs w:val="28"/>
                <w:vertAlign w:val="superscript"/>
                <w:lang w:eastAsia="en-GB"/>
              </w:rPr>
              <w:footnoteReference w:id="29"/>
            </w:r>
            <w:r w:rsidRPr="00CF5CE4">
              <w:rPr>
                <w:rFonts w:ascii="Corbel" w:eastAsia="Times New Roman" w:hAnsi="Corbel" w:cs="Times New Roman"/>
                <w:kern w:val="36"/>
                <w:sz w:val="28"/>
                <w:szCs w:val="28"/>
                <w:lang w:eastAsia="en-GB"/>
              </w:rPr>
              <w:t xml:space="preserve">. </w:t>
            </w:r>
          </w:p>
          <w:p w:rsidR="00CF5CE4" w:rsidRPr="00CF5CE4" w:rsidRDefault="00CF5CE4" w:rsidP="00CF5CE4">
            <w:pPr>
              <w:spacing w:line="360" w:lineRule="auto"/>
              <w:jc w:val="both"/>
              <w:rPr>
                <w:rFonts w:ascii="Corbel" w:eastAsia="Times New Roman" w:hAnsi="Corbel" w:cs="Times New Roman"/>
                <w:i/>
                <w:kern w:val="36"/>
                <w:sz w:val="28"/>
                <w:szCs w:val="28"/>
                <w:lang w:eastAsia="en-GB"/>
              </w:rPr>
            </w:pPr>
            <w:r w:rsidRPr="00CF5CE4">
              <w:rPr>
                <w:rFonts w:ascii="Corbel" w:eastAsia="Times New Roman" w:hAnsi="Corbel" w:cs="Times New Roman"/>
                <w:kern w:val="36"/>
                <w:sz w:val="28"/>
                <w:szCs w:val="28"/>
                <w:lang w:eastAsia="en-GB"/>
              </w:rPr>
              <w:t xml:space="preserve">          Homo </w:t>
            </w:r>
            <w:proofErr w:type="spellStart"/>
            <w:r w:rsidRPr="00CF5CE4">
              <w:rPr>
                <w:rFonts w:ascii="Corbel" w:eastAsia="Times New Roman" w:hAnsi="Corbel" w:cs="Times New Roman"/>
                <w:kern w:val="36"/>
                <w:sz w:val="28"/>
                <w:szCs w:val="28"/>
                <w:lang w:eastAsia="en-GB"/>
              </w:rPr>
              <w:t>faber</w:t>
            </w:r>
            <w:proofErr w:type="spellEnd"/>
            <w:r w:rsidRPr="00CF5CE4">
              <w:rPr>
                <w:rFonts w:ascii="Corbel" w:eastAsia="Times New Roman" w:hAnsi="Corbel" w:cs="Times New Roman"/>
                <w:kern w:val="36"/>
                <w:sz w:val="28"/>
                <w:szCs w:val="28"/>
                <w:lang w:eastAsia="en-GB"/>
              </w:rPr>
              <w:t>: from Latin a man who is skilled, a maker or creator</w:t>
            </w:r>
            <w:r w:rsidRPr="00CF5CE4">
              <w:rPr>
                <w:rFonts w:ascii="Corbel" w:eastAsia="Times New Roman" w:hAnsi="Corbel" w:cs="Times New Roman"/>
                <w:kern w:val="36"/>
                <w:sz w:val="28"/>
                <w:szCs w:val="28"/>
                <w:vertAlign w:val="superscript"/>
                <w:lang w:eastAsia="en-GB"/>
              </w:rPr>
              <w:footnoteReference w:id="30"/>
            </w:r>
            <w:r w:rsidRPr="00CF5CE4">
              <w:rPr>
                <w:rFonts w:ascii="Corbel" w:eastAsia="Times New Roman" w:hAnsi="Corbel" w:cs="Times New Roman"/>
                <w:kern w:val="36"/>
                <w:sz w:val="28"/>
                <w:szCs w:val="28"/>
                <w:lang w:eastAsia="en-GB"/>
              </w:rPr>
              <w:t xml:space="preserve">. Homo </w:t>
            </w:r>
            <w:proofErr w:type="spellStart"/>
            <w:r w:rsidRPr="00CF5CE4">
              <w:rPr>
                <w:rFonts w:ascii="Corbel" w:eastAsia="Times New Roman" w:hAnsi="Corbel" w:cs="Times New Roman"/>
                <w:kern w:val="36"/>
                <w:sz w:val="28"/>
                <w:szCs w:val="28"/>
                <w:lang w:eastAsia="en-GB"/>
              </w:rPr>
              <w:t>necans</w:t>
            </w:r>
            <w:proofErr w:type="spellEnd"/>
            <w:r w:rsidRPr="00CF5CE4">
              <w:rPr>
                <w:rFonts w:ascii="Corbel" w:eastAsia="Times New Roman" w:hAnsi="Corbel" w:cs="Times New Roman"/>
                <w:kern w:val="36"/>
                <w:sz w:val="28"/>
                <w:szCs w:val="28"/>
                <w:lang w:eastAsia="en-GB"/>
              </w:rPr>
              <w:t>: a man dies</w:t>
            </w:r>
            <w:r w:rsidRPr="00CF5CE4">
              <w:rPr>
                <w:rFonts w:ascii="Corbel" w:eastAsia="Times New Roman" w:hAnsi="Corbel" w:cs="Times New Roman"/>
                <w:kern w:val="36"/>
                <w:sz w:val="28"/>
                <w:szCs w:val="28"/>
                <w:vertAlign w:val="superscript"/>
                <w:lang w:eastAsia="en-GB"/>
              </w:rPr>
              <w:footnoteReference w:id="31"/>
            </w:r>
            <w:r w:rsidRPr="00CF5CE4">
              <w:rPr>
                <w:rFonts w:ascii="Corbel" w:eastAsia="Times New Roman" w:hAnsi="Corbel" w:cs="Times New Roman"/>
                <w:kern w:val="36"/>
                <w:sz w:val="28"/>
                <w:szCs w:val="28"/>
                <w:lang w:eastAsia="en-GB"/>
              </w:rPr>
              <w:t xml:space="preserve">.  Who Schaffer sees as the homo </w:t>
            </w:r>
            <w:proofErr w:type="spellStart"/>
            <w:r w:rsidRPr="00CF5CE4">
              <w:rPr>
                <w:rFonts w:ascii="Corbel" w:eastAsia="Times New Roman" w:hAnsi="Corbel" w:cs="Times New Roman"/>
                <w:kern w:val="36"/>
                <w:sz w:val="28"/>
                <w:szCs w:val="28"/>
                <w:lang w:eastAsia="en-GB"/>
              </w:rPr>
              <w:t>faber</w:t>
            </w:r>
            <w:proofErr w:type="spellEnd"/>
            <w:r w:rsidRPr="00CF5CE4">
              <w:rPr>
                <w:rFonts w:ascii="Corbel" w:eastAsia="Times New Roman" w:hAnsi="Corbel" w:cs="Times New Roman"/>
                <w:kern w:val="36"/>
                <w:sz w:val="28"/>
                <w:szCs w:val="28"/>
                <w:lang w:eastAsia="en-GB"/>
              </w:rPr>
              <w:t xml:space="preserve"> is surely Mozart/Abel, Salieri is skilled, but his creativity is laboured compared to his nemesis. Although he does not kill literally, his insistence on pushing Mozart to dictate the Requiem Mass, hastens his death. Then as Cain, he is condemned to a long life without God or the special talent he craved.  Rivalry between the two is as twisted and bitter as many sibling’s experience; this along with ambition and envy can be the cause of anything from trivial arguments to death. Schaffer plays with this throughout </w:t>
            </w:r>
            <w:r w:rsidRPr="00CF5CE4">
              <w:rPr>
                <w:rFonts w:ascii="Corbel" w:eastAsia="Times New Roman" w:hAnsi="Corbel" w:cs="Times New Roman"/>
                <w:i/>
                <w:kern w:val="36"/>
                <w:sz w:val="28"/>
                <w:szCs w:val="28"/>
                <w:lang w:eastAsia="en-GB"/>
              </w:rPr>
              <w:t>Amadeus</w:t>
            </w:r>
            <w:r w:rsidRPr="00CF5CE4">
              <w:rPr>
                <w:rFonts w:ascii="Corbel" w:eastAsia="Times New Roman" w:hAnsi="Corbel" w:cs="Times New Roman"/>
                <w:kern w:val="36"/>
                <w:sz w:val="28"/>
                <w:szCs w:val="28"/>
                <w:lang w:eastAsia="en-GB"/>
              </w:rPr>
              <w:t>, it keeps taking you back to Genesis, with its twists and undercurrents – beautifully written and so subtle.</w:t>
            </w:r>
            <w:r w:rsidRPr="00CF5CE4">
              <w:rPr>
                <w:rFonts w:ascii="Corbel" w:eastAsia="Times New Roman" w:hAnsi="Corbel" w:cs="Times New Roman"/>
                <w:i/>
                <w:kern w:val="36"/>
                <w:sz w:val="28"/>
                <w:szCs w:val="28"/>
                <w:lang w:eastAsia="en-GB"/>
              </w:rPr>
              <w:t xml:space="preserve">   </w:t>
            </w:r>
          </w:p>
          <w:p w:rsidR="007C5DB6" w:rsidRDefault="00CF5CE4" w:rsidP="00CF5CE4">
            <w:pPr>
              <w:spacing w:line="360" w:lineRule="auto"/>
              <w:jc w:val="both"/>
              <w:rPr>
                <w:rFonts w:ascii="Corbel" w:eastAsia="Times New Roman" w:hAnsi="Corbel" w:cs="Times New Roman"/>
                <w:kern w:val="36"/>
                <w:sz w:val="28"/>
                <w:szCs w:val="28"/>
                <w:lang w:eastAsia="en-GB"/>
              </w:rPr>
            </w:pPr>
            <w:r w:rsidRPr="00CF5CE4">
              <w:rPr>
                <w:rFonts w:ascii="Corbel" w:eastAsia="Times New Roman" w:hAnsi="Corbel" w:cs="Times New Roman"/>
                <w:i/>
                <w:kern w:val="36"/>
                <w:sz w:val="28"/>
                <w:szCs w:val="28"/>
                <w:lang w:eastAsia="en-GB"/>
              </w:rPr>
              <w:lastRenderedPageBreak/>
              <w:t xml:space="preserve">          </w:t>
            </w:r>
            <w:r w:rsidRPr="00CF5CE4">
              <w:rPr>
                <w:rFonts w:ascii="Corbel" w:eastAsia="Times New Roman" w:hAnsi="Corbel" w:cs="Times New Roman"/>
                <w:kern w:val="36"/>
                <w:sz w:val="28"/>
                <w:szCs w:val="28"/>
                <w:lang w:eastAsia="en-GB"/>
              </w:rPr>
              <w:t>In one of the final scenes, Salieri declares himself ‘The Patron Saint of Mediocrity’; then starts forgiving the inmates of the asylum and the priest sent to speak with him for being ‘ordinary’, mediocre like him</w:t>
            </w:r>
            <w:r w:rsidRPr="00CF5CE4">
              <w:rPr>
                <w:rFonts w:ascii="Corbel" w:eastAsia="Times New Roman" w:hAnsi="Corbel" w:cs="Times New Roman"/>
                <w:kern w:val="36"/>
                <w:sz w:val="28"/>
                <w:szCs w:val="28"/>
                <w:vertAlign w:val="superscript"/>
                <w:lang w:eastAsia="en-GB"/>
              </w:rPr>
              <w:footnoteReference w:id="32"/>
            </w:r>
            <w:r w:rsidRPr="00CF5CE4">
              <w:rPr>
                <w:rFonts w:ascii="Corbel" w:eastAsia="Times New Roman" w:hAnsi="Corbel" w:cs="Times New Roman"/>
                <w:kern w:val="36"/>
                <w:sz w:val="28"/>
                <w:szCs w:val="28"/>
                <w:lang w:eastAsia="en-GB"/>
              </w:rPr>
              <w:t xml:space="preserve">. Genesis quotes God as asking Cain when he disregarded his offering; ‘Why are you angry, and why has your countenance fallen? If you do well, will you not be accepted? And if you do not do well, sin is lurking at the door; its desire is for you, but you must master it’ (Gen. 4: 6-7). Salieri/Cain has great talent, but still angry it’s not in the same league as Mozart/Abel, that is the sin that trapped him; he is not lacking in grace, he is merely jealous. He pays for it with his incarceration and loss of a musicality that is now fashionable.  </w:t>
            </w:r>
          </w:p>
          <w:p w:rsidR="009906D6" w:rsidRDefault="00CF5CE4" w:rsidP="00CF5CE4">
            <w:pPr>
              <w:spacing w:line="360" w:lineRule="auto"/>
              <w:jc w:val="both"/>
              <w:rPr>
                <w:rFonts w:ascii="Corbel" w:eastAsia="Times New Roman" w:hAnsi="Corbel" w:cs="Times New Roman"/>
                <w:kern w:val="36"/>
                <w:sz w:val="28"/>
                <w:szCs w:val="28"/>
                <w:lang w:eastAsia="en-GB"/>
              </w:rPr>
            </w:pPr>
            <w:r w:rsidRPr="00CF5CE4">
              <w:rPr>
                <w:rFonts w:ascii="Corbel" w:eastAsia="Times New Roman" w:hAnsi="Corbel" w:cs="Times New Roman"/>
                <w:kern w:val="36"/>
                <w:sz w:val="28"/>
                <w:szCs w:val="28"/>
                <w:lang w:eastAsia="en-GB"/>
              </w:rPr>
              <w:t xml:space="preserve">          The tragedy of differentiation</w:t>
            </w:r>
            <w:r w:rsidRPr="00CF5CE4">
              <w:rPr>
                <w:rFonts w:ascii="Corbel" w:eastAsia="Times New Roman" w:hAnsi="Corbel" w:cs="Times New Roman"/>
                <w:kern w:val="36"/>
                <w:sz w:val="28"/>
                <w:szCs w:val="28"/>
                <w:vertAlign w:val="superscript"/>
                <w:lang w:eastAsia="en-GB"/>
              </w:rPr>
              <w:footnoteReference w:id="33"/>
            </w:r>
            <w:r w:rsidRPr="00CF5CE4">
              <w:rPr>
                <w:rFonts w:ascii="Corbel" w:eastAsia="Times New Roman" w:hAnsi="Corbel" w:cs="Times New Roman"/>
                <w:kern w:val="36"/>
                <w:sz w:val="28"/>
                <w:szCs w:val="28"/>
                <w:lang w:eastAsia="en-GB"/>
              </w:rPr>
              <w:t xml:space="preserve"> with its violent outcomes, seems so closely entwined with the arbitrariness of preference</w:t>
            </w:r>
            <w:r w:rsidRPr="00CF5CE4">
              <w:rPr>
                <w:rFonts w:ascii="Corbel" w:eastAsia="Times New Roman" w:hAnsi="Corbel" w:cs="Times New Roman"/>
                <w:kern w:val="36"/>
                <w:sz w:val="28"/>
                <w:szCs w:val="28"/>
                <w:vertAlign w:val="superscript"/>
                <w:lang w:eastAsia="en-GB"/>
              </w:rPr>
              <w:footnoteReference w:id="34"/>
            </w:r>
            <w:r w:rsidRPr="00CF5CE4">
              <w:rPr>
                <w:rFonts w:ascii="Corbel" w:eastAsia="Times New Roman" w:hAnsi="Corbel" w:cs="Times New Roman"/>
                <w:kern w:val="36"/>
                <w:sz w:val="28"/>
                <w:szCs w:val="28"/>
                <w:lang w:eastAsia="en-GB"/>
              </w:rPr>
              <w:t xml:space="preserve"> </w:t>
            </w:r>
            <w:r w:rsidRPr="00CF5CE4">
              <w:rPr>
                <w:rFonts w:ascii="Corbel" w:eastAsia="Times New Roman" w:hAnsi="Corbel" w:cs="Times New Roman"/>
                <w:kern w:val="36"/>
                <w:sz w:val="28"/>
                <w:szCs w:val="28"/>
                <w:vertAlign w:val="superscript"/>
                <w:lang w:eastAsia="en-GB"/>
              </w:rPr>
              <w:footnoteReference w:id="35"/>
            </w:r>
            <w:r w:rsidRPr="00CF5CE4">
              <w:rPr>
                <w:rFonts w:ascii="Corbel" w:eastAsia="Times New Roman" w:hAnsi="Corbel" w:cs="Times New Roman"/>
                <w:kern w:val="36"/>
                <w:sz w:val="28"/>
                <w:szCs w:val="28"/>
                <w:lang w:eastAsia="en-GB"/>
              </w:rPr>
              <w:t>, it’s impossible to distinguish them from each other. God and Emperor Joseph 11 differentiated between Cain and Abel, Salieri and Mozart leading to; death, orphans, a widow, insanity, attempted suicide and a pauper’s grave. Their decisions were</w:t>
            </w:r>
          </w:p>
          <w:p w:rsidR="00CF5CE4" w:rsidRPr="00CF5CE4" w:rsidRDefault="00CF5CE4" w:rsidP="00CF5CE4">
            <w:pPr>
              <w:spacing w:line="360" w:lineRule="auto"/>
              <w:jc w:val="both"/>
              <w:rPr>
                <w:rFonts w:ascii="Corbel" w:eastAsia="Times New Roman" w:hAnsi="Corbel" w:cs="Times New Roman"/>
                <w:kern w:val="36"/>
                <w:sz w:val="28"/>
                <w:szCs w:val="28"/>
                <w:lang w:eastAsia="en-GB"/>
              </w:rPr>
            </w:pPr>
            <w:r w:rsidRPr="00CF5CE4">
              <w:rPr>
                <w:rFonts w:ascii="Corbel" w:eastAsia="Times New Roman" w:hAnsi="Corbel" w:cs="Times New Roman"/>
                <w:kern w:val="36"/>
                <w:sz w:val="28"/>
                <w:szCs w:val="28"/>
                <w:lang w:eastAsia="en-GB"/>
              </w:rPr>
              <w:lastRenderedPageBreak/>
              <w:t xml:space="preserve"> arbitrary as they used unlimited power with no consideration for others</w:t>
            </w:r>
            <w:r w:rsidRPr="00CF5CE4">
              <w:rPr>
                <w:rFonts w:ascii="Corbel" w:eastAsia="Times New Roman" w:hAnsi="Corbel" w:cs="Times New Roman"/>
                <w:kern w:val="36"/>
                <w:sz w:val="28"/>
                <w:szCs w:val="28"/>
                <w:vertAlign w:val="superscript"/>
                <w:lang w:eastAsia="en-GB"/>
              </w:rPr>
              <w:footnoteReference w:id="36"/>
            </w:r>
            <w:r w:rsidRPr="00CF5CE4">
              <w:rPr>
                <w:rFonts w:ascii="Corbel" w:eastAsia="Times New Roman" w:hAnsi="Corbel" w:cs="Times New Roman"/>
                <w:kern w:val="36"/>
                <w:sz w:val="28"/>
                <w:szCs w:val="28"/>
                <w:lang w:eastAsia="en-GB"/>
              </w:rPr>
              <w:t xml:space="preserve">; a divine and royal mess up with no happy resolution.         </w:t>
            </w:r>
          </w:p>
          <w:p w:rsidR="00CF5CE4" w:rsidRPr="00CF5CE4" w:rsidRDefault="00CF5CE4" w:rsidP="00CF5CE4">
            <w:pPr>
              <w:spacing w:after="0" w:line="360" w:lineRule="auto"/>
              <w:jc w:val="both"/>
              <w:rPr>
                <w:rFonts w:ascii="Corbel" w:eastAsia="SimSun" w:hAnsi="Corbel" w:cs="Times New Roman"/>
                <w:sz w:val="28"/>
                <w:szCs w:val="28"/>
                <w:lang w:eastAsia="zh-CN"/>
              </w:rPr>
            </w:pPr>
            <w:r w:rsidRPr="00CF5CE4">
              <w:rPr>
                <w:rFonts w:ascii="Corbel" w:eastAsia="SimSun" w:hAnsi="Corbel" w:cs="Times New Roman"/>
                <w:sz w:val="28"/>
                <w:szCs w:val="28"/>
                <w:lang w:eastAsia="en-GB"/>
              </w:rPr>
              <w:t xml:space="preserve">          Election: to choose. The choices men or Gods make, send ripples out that rock the lives of other people and their universes.  This takes us back to C. J. </w:t>
            </w:r>
            <w:proofErr w:type="spellStart"/>
            <w:r w:rsidRPr="00CF5CE4">
              <w:rPr>
                <w:rFonts w:ascii="Corbel" w:eastAsia="Yu Gothic Light" w:hAnsi="Corbel" w:cs="Tahoma"/>
                <w:bCs/>
                <w:sz w:val="28"/>
                <w:szCs w:val="28"/>
                <w:lang w:eastAsia="zh-CN"/>
              </w:rPr>
              <w:t>Gianakaris</w:t>
            </w:r>
            <w:proofErr w:type="spellEnd"/>
            <w:r w:rsidRPr="00CF5CE4">
              <w:rPr>
                <w:rFonts w:ascii="Corbel" w:eastAsia="Yu Gothic Light" w:hAnsi="Corbel" w:cs="Tahoma"/>
                <w:bCs/>
                <w:sz w:val="28"/>
                <w:szCs w:val="28"/>
                <w:lang w:eastAsia="zh-CN"/>
              </w:rPr>
              <w:t xml:space="preserve"> and his ‘elemental matters facing human beings and their perception</w:t>
            </w:r>
            <w:r w:rsidRPr="00CF5CE4">
              <w:rPr>
                <w:rFonts w:ascii="Corbel" w:eastAsia="SimSun" w:hAnsi="Corbel" w:cs="Times New Roman"/>
                <w:sz w:val="28"/>
                <w:szCs w:val="28"/>
                <w:lang w:eastAsia="zh-CN"/>
              </w:rPr>
              <w:t xml:space="preserve"> of God’</w:t>
            </w:r>
            <w:r w:rsidRPr="00CF5CE4">
              <w:rPr>
                <w:rFonts w:ascii="Corbel" w:eastAsia="Yu Gothic Light" w:hAnsi="Corbel" w:cs="Tahoma"/>
                <w:bCs/>
                <w:sz w:val="28"/>
                <w:szCs w:val="28"/>
                <w:vertAlign w:val="superscript"/>
                <w:lang w:eastAsia="zh-CN"/>
              </w:rPr>
              <w:footnoteReference w:id="37"/>
            </w:r>
            <w:r w:rsidRPr="00CF5CE4">
              <w:rPr>
                <w:rFonts w:ascii="Corbel" w:eastAsia="SimSun" w:hAnsi="Corbel" w:cs="Times New Roman"/>
                <w:sz w:val="28"/>
                <w:szCs w:val="28"/>
                <w:lang w:eastAsia="zh-CN"/>
              </w:rPr>
              <w:t xml:space="preserve"> on page five of the review. As for the mystery element, what is the film really telling the viewer; is it frills or religion, or that life is a random, epic story for all of us?   </w:t>
            </w:r>
          </w:p>
          <w:p w:rsidR="00CF5CE4" w:rsidRPr="00CF5CE4" w:rsidRDefault="00CF5CE4" w:rsidP="00CF5CE4">
            <w:pPr>
              <w:spacing w:after="0" w:line="360" w:lineRule="auto"/>
              <w:jc w:val="both"/>
              <w:rPr>
                <w:rFonts w:ascii="Corbel" w:eastAsia="SimSun" w:hAnsi="Corbel" w:cs="Times New Roman"/>
                <w:sz w:val="28"/>
                <w:szCs w:val="28"/>
                <w:lang w:eastAsia="zh-CN"/>
              </w:rPr>
            </w:pPr>
            <w:r w:rsidRPr="00CF5CE4">
              <w:rPr>
                <w:rFonts w:ascii="Corbel" w:eastAsia="SimSun" w:hAnsi="Corbel" w:cs="Times New Roman"/>
                <w:sz w:val="28"/>
                <w:szCs w:val="28"/>
                <w:lang w:eastAsia="zh-CN"/>
              </w:rPr>
              <w:t xml:space="preserve">          To tie this all together, </w:t>
            </w:r>
            <w:r w:rsidRPr="00CF5CE4">
              <w:rPr>
                <w:rFonts w:ascii="Corbel" w:eastAsia="SimSun" w:hAnsi="Corbel" w:cs="Times New Roman"/>
                <w:i/>
                <w:sz w:val="28"/>
                <w:szCs w:val="28"/>
                <w:lang w:eastAsia="zh-CN"/>
              </w:rPr>
              <w:t xml:space="preserve">Amadeus </w:t>
            </w:r>
            <w:r w:rsidRPr="00CF5CE4">
              <w:rPr>
                <w:rFonts w:ascii="Corbel" w:eastAsia="SimSun" w:hAnsi="Corbel" w:cs="Times New Roman"/>
                <w:sz w:val="28"/>
                <w:szCs w:val="28"/>
                <w:lang w:eastAsia="zh-CN"/>
              </w:rPr>
              <w:t>is a fictional account of Mozart and Salieri’s unhappy relationship. It can be viewed as a wonderful, beautifully filmed, pink and lilac confection, with some unhappy moments to prevent it becoming too sickly for one audience. Then, for another, it presents a film full of biblical references: Romans, John, Luke or Isaiah. But it is the story in Genesis, telling us about Cain and Abel that is so compelling. Almost every scene is full of suggestion and hints about the other story that is hidden under the froth of the surface frivolity.</w:t>
            </w:r>
          </w:p>
          <w:p w:rsidR="004619F6" w:rsidRDefault="00CF5CE4" w:rsidP="00CF5CE4">
            <w:pPr>
              <w:spacing w:after="0" w:line="360" w:lineRule="auto"/>
              <w:jc w:val="both"/>
              <w:rPr>
                <w:rFonts w:ascii="Corbel" w:eastAsia="SimSun" w:hAnsi="Corbel" w:cs="Times New Roman"/>
                <w:sz w:val="28"/>
                <w:szCs w:val="28"/>
                <w:lang w:eastAsia="zh-CN"/>
              </w:rPr>
            </w:pPr>
            <w:r w:rsidRPr="00CF5CE4">
              <w:rPr>
                <w:rFonts w:ascii="Corbel" w:eastAsia="SimSun" w:hAnsi="Corbel" w:cs="Times New Roman"/>
                <w:sz w:val="28"/>
                <w:szCs w:val="28"/>
                <w:lang w:eastAsia="zh-CN"/>
              </w:rPr>
              <w:t xml:space="preserve">        The performances of the actors, costume, cinematography, music, direction, production work, come together so the two layers are stunning </w:t>
            </w:r>
            <w:r w:rsidRPr="00CF5CE4">
              <w:rPr>
                <w:rFonts w:ascii="Corbel" w:eastAsia="SimSun" w:hAnsi="Corbel" w:cs="Times New Roman"/>
                <w:sz w:val="28"/>
                <w:szCs w:val="28"/>
                <w:lang w:eastAsia="zh-CN"/>
              </w:rPr>
              <w:lastRenderedPageBreak/>
              <w:t xml:space="preserve">whoever sees it. After the first visit you will be humming Mozart’s music for weeks, uplifted, despite the sad ending, pleased you went to the cinema. A second trip results in the realization of what Shaffer and Forman have achieved, two films for the price of one. You can decide which is yours.          </w:t>
            </w:r>
          </w:p>
          <w:p w:rsidR="00CF5CE4" w:rsidRPr="00CF5CE4" w:rsidRDefault="00CF5CE4" w:rsidP="00CF5CE4">
            <w:pPr>
              <w:spacing w:after="0" w:line="360" w:lineRule="auto"/>
              <w:jc w:val="both"/>
              <w:rPr>
                <w:rFonts w:ascii="Corbel" w:eastAsia="SimSun" w:hAnsi="Corbel" w:cs="Times New Roman"/>
                <w:sz w:val="28"/>
                <w:szCs w:val="28"/>
                <w:lang w:eastAsia="zh-CN"/>
              </w:rPr>
            </w:pPr>
            <w:r w:rsidRPr="00CF5CE4">
              <w:rPr>
                <w:rFonts w:ascii="Corbel" w:eastAsia="SimSun" w:hAnsi="Corbel" w:cs="Times New Roman"/>
                <w:sz w:val="28"/>
                <w:szCs w:val="28"/>
                <w:lang w:eastAsia="zh-CN"/>
              </w:rPr>
              <w:t xml:space="preserve"> Or, you see it as a film about one man with Tourette’s Syndrome and ADHD</w:t>
            </w:r>
            <w:r w:rsidRPr="00CF5CE4">
              <w:rPr>
                <w:rFonts w:ascii="Corbel" w:eastAsia="SimSun" w:hAnsi="Corbel" w:cs="Times New Roman"/>
                <w:sz w:val="28"/>
                <w:szCs w:val="28"/>
                <w:vertAlign w:val="superscript"/>
                <w:lang w:eastAsia="zh-CN"/>
              </w:rPr>
              <w:footnoteReference w:id="38"/>
            </w:r>
            <w:r w:rsidRPr="00CF5CE4">
              <w:rPr>
                <w:rFonts w:ascii="Corbel" w:eastAsia="SimSun" w:hAnsi="Corbel" w:cs="Times New Roman"/>
                <w:sz w:val="28"/>
                <w:szCs w:val="28"/>
                <w:lang w:eastAsia="zh-CN"/>
              </w:rPr>
              <w:t>, the other suffering from a narcissistic personality disorder</w:t>
            </w:r>
            <w:r w:rsidRPr="00CF5CE4">
              <w:rPr>
                <w:rFonts w:ascii="Corbel" w:eastAsia="SimSun" w:hAnsi="Corbel" w:cs="Times New Roman"/>
                <w:sz w:val="28"/>
                <w:szCs w:val="28"/>
                <w:vertAlign w:val="superscript"/>
                <w:lang w:eastAsia="zh-CN"/>
              </w:rPr>
              <w:footnoteReference w:id="39"/>
            </w:r>
            <w:r w:rsidRPr="00CF5CE4">
              <w:rPr>
                <w:rFonts w:ascii="Corbel" w:eastAsia="SimSun" w:hAnsi="Corbel" w:cs="Times New Roman"/>
                <w:sz w:val="28"/>
                <w:szCs w:val="28"/>
                <w:lang w:eastAsia="zh-CN"/>
              </w:rPr>
              <w:t xml:space="preserve">. I imagine you’ll have no trouble in identifying which is which. </w:t>
            </w:r>
          </w:p>
          <w:p w:rsidR="00CF5CE4" w:rsidRPr="00CF5CE4" w:rsidRDefault="00CF5CE4" w:rsidP="00CF5CE4">
            <w:pPr>
              <w:spacing w:after="0" w:line="360" w:lineRule="auto"/>
              <w:jc w:val="center"/>
              <w:rPr>
                <w:rFonts w:ascii="Corbel" w:eastAsia="SimSun" w:hAnsi="Corbel" w:cs="Times New Roman"/>
                <w:sz w:val="28"/>
                <w:szCs w:val="28"/>
                <w:lang w:eastAsia="zh-CN"/>
              </w:rPr>
            </w:pPr>
            <w:r w:rsidRPr="00CF5CE4">
              <w:rPr>
                <w:rFonts w:ascii="Corbel" w:eastAsia="SimSun" w:hAnsi="Corbel" w:cs="Times New Roman"/>
                <w:sz w:val="28"/>
                <w:szCs w:val="28"/>
                <w:lang w:eastAsia="zh-CN"/>
              </w:rPr>
              <w:t>*********</w:t>
            </w:r>
          </w:p>
          <w:p w:rsidR="00CF5CE4" w:rsidRPr="00CF5CE4" w:rsidRDefault="00CF5CE4" w:rsidP="00CF5CE4">
            <w:pPr>
              <w:spacing w:after="0" w:line="360" w:lineRule="auto"/>
              <w:jc w:val="center"/>
              <w:rPr>
                <w:rFonts w:ascii="Corbel" w:eastAsia="SimSun" w:hAnsi="Corbel" w:cs="Times New Roman"/>
                <w:sz w:val="28"/>
                <w:szCs w:val="28"/>
                <w:lang w:eastAsia="zh-CN"/>
              </w:rPr>
            </w:pPr>
          </w:p>
          <w:p w:rsidR="00CF5CE4" w:rsidRPr="00CF5CE4" w:rsidRDefault="00CF5CE4" w:rsidP="00CF5CE4">
            <w:pPr>
              <w:spacing w:line="240" w:lineRule="auto"/>
              <w:jc w:val="center"/>
              <w:rPr>
                <w:rFonts w:ascii="Corbel" w:hAnsi="Corbel"/>
                <w:sz w:val="28"/>
                <w:szCs w:val="28"/>
              </w:rPr>
            </w:pPr>
            <w:r w:rsidRPr="00CF5CE4">
              <w:rPr>
                <w:rFonts w:ascii="Corbel" w:hAnsi="Corbel"/>
                <w:sz w:val="28"/>
                <w:szCs w:val="28"/>
              </w:rPr>
              <w:t>Mozart pauper’s death</w:t>
            </w:r>
          </w:p>
          <w:p w:rsidR="00CF5CE4" w:rsidRPr="00CF5CE4" w:rsidRDefault="00CF5CE4" w:rsidP="00CF5CE4">
            <w:pPr>
              <w:spacing w:line="240" w:lineRule="auto"/>
              <w:jc w:val="center"/>
              <w:rPr>
                <w:rFonts w:ascii="Corbel" w:hAnsi="Corbel"/>
                <w:sz w:val="28"/>
                <w:szCs w:val="28"/>
              </w:rPr>
            </w:pPr>
            <w:r w:rsidRPr="00CF5CE4">
              <w:rPr>
                <w:rFonts w:ascii="Corbel" w:hAnsi="Corbel"/>
                <w:sz w:val="28"/>
                <w:szCs w:val="28"/>
              </w:rPr>
              <w:t>Salieri insanity</w:t>
            </w:r>
          </w:p>
          <w:p w:rsidR="00CF5CE4" w:rsidRPr="00CF5CE4" w:rsidRDefault="00CF5CE4" w:rsidP="00CF5CE4">
            <w:pPr>
              <w:spacing w:line="240" w:lineRule="auto"/>
              <w:jc w:val="center"/>
              <w:rPr>
                <w:rFonts w:ascii="Corbel" w:hAnsi="Corbel"/>
                <w:sz w:val="28"/>
                <w:szCs w:val="28"/>
              </w:rPr>
            </w:pPr>
            <w:r w:rsidRPr="00CF5CE4">
              <w:rPr>
                <w:rFonts w:ascii="Corbel" w:hAnsi="Corbel"/>
                <w:sz w:val="28"/>
                <w:szCs w:val="28"/>
              </w:rPr>
              <w:t>God munificent?</w:t>
            </w:r>
          </w:p>
          <w:p w:rsidR="00CF5CE4" w:rsidRPr="00CF5CE4" w:rsidRDefault="00CF5CE4" w:rsidP="00CF5CE4">
            <w:pPr>
              <w:spacing w:line="240" w:lineRule="auto"/>
              <w:jc w:val="center"/>
              <w:rPr>
                <w:rFonts w:ascii="Corbel" w:hAnsi="Corbel"/>
                <w:sz w:val="28"/>
                <w:szCs w:val="28"/>
              </w:rPr>
            </w:pPr>
          </w:p>
          <w:p w:rsidR="00CF5CE4" w:rsidRPr="00CF5CE4" w:rsidRDefault="00CF5CE4" w:rsidP="0075463C">
            <w:pPr>
              <w:spacing w:line="240" w:lineRule="auto"/>
              <w:jc w:val="center"/>
              <w:rPr>
                <w:rFonts w:ascii="Corbel" w:hAnsi="Corbel"/>
                <w:sz w:val="28"/>
                <w:szCs w:val="28"/>
              </w:rPr>
            </w:pPr>
            <w:proofErr w:type="spellStart"/>
            <w:r w:rsidRPr="00CF5CE4">
              <w:rPr>
                <w:rFonts w:ascii="Corbel" w:hAnsi="Corbel"/>
                <w:sz w:val="28"/>
                <w:szCs w:val="28"/>
              </w:rPr>
              <w:t>Wolfie</w:t>
            </w:r>
            <w:proofErr w:type="spellEnd"/>
            <w:r w:rsidRPr="00CF5CE4">
              <w:rPr>
                <w:rFonts w:ascii="Corbel" w:hAnsi="Corbel"/>
                <w:sz w:val="28"/>
                <w:szCs w:val="28"/>
              </w:rPr>
              <w:t xml:space="preserve"> and Toni</w:t>
            </w:r>
          </w:p>
          <w:p w:rsidR="00CF5CE4" w:rsidRDefault="00CF5CE4" w:rsidP="0075463C">
            <w:pPr>
              <w:spacing w:line="240" w:lineRule="auto"/>
              <w:jc w:val="center"/>
              <w:rPr>
                <w:rFonts w:ascii="Corbel" w:hAnsi="Corbel"/>
                <w:sz w:val="28"/>
                <w:szCs w:val="28"/>
              </w:rPr>
            </w:pPr>
            <w:r w:rsidRPr="00CF5CE4">
              <w:rPr>
                <w:rFonts w:ascii="Corbel" w:hAnsi="Corbel"/>
                <w:sz w:val="28"/>
                <w:szCs w:val="28"/>
              </w:rPr>
              <w:t>Confection or corruption?</w:t>
            </w:r>
          </w:p>
          <w:p w:rsidR="0075463C" w:rsidRPr="00CF5CE4" w:rsidRDefault="0075463C" w:rsidP="0075463C">
            <w:pPr>
              <w:spacing w:line="240" w:lineRule="auto"/>
              <w:jc w:val="center"/>
              <w:rPr>
                <w:rFonts w:ascii="Corbel" w:hAnsi="Corbel"/>
                <w:sz w:val="28"/>
                <w:szCs w:val="28"/>
              </w:rPr>
            </w:pPr>
            <w:r>
              <w:rPr>
                <w:rFonts w:ascii="Corbel" w:hAnsi="Corbel"/>
                <w:sz w:val="28"/>
                <w:szCs w:val="28"/>
              </w:rPr>
              <w:t>Or Cain and Abel?</w:t>
            </w:r>
          </w:p>
          <w:p w:rsidR="00CF5CE4" w:rsidRDefault="00CF5CE4" w:rsidP="00CF5CE4">
            <w:pPr>
              <w:spacing w:line="240" w:lineRule="auto"/>
              <w:ind w:left="2880"/>
              <w:jc w:val="center"/>
              <w:rPr>
                <w:rFonts w:ascii="Corbel" w:hAnsi="Corbel"/>
                <w:sz w:val="28"/>
                <w:szCs w:val="28"/>
              </w:rPr>
            </w:pPr>
          </w:p>
          <w:p w:rsidR="00CF5CE4" w:rsidRDefault="0075463C" w:rsidP="0075463C">
            <w:pPr>
              <w:spacing w:line="240" w:lineRule="auto"/>
              <w:ind w:left="2880"/>
              <w:jc w:val="right"/>
              <w:rPr>
                <w:rFonts w:ascii="Corbel" w:hAnsi="Corbel"/>
                <w:sz w:val="28"/>
                <w:szCs w:val="28"/>
              </w:rPr>
            </w:pPr>
            <w:r>
              <w:rPr>
                <w:rFonts w:ascii="Corbel" w:hAnsi="Corbel"/>
                <w:sz w:val="28"/>
                <w:szCs w:val="28"/>
              </w:rPr>
              <w:t>2552 words</w:t>
            </w:r>
          </w:p>
          <w:p w:rsidR="00CF5CE4" w:rsidRPr="00CF5CE4" w:rsidRDefault="00CF5CE4" w:rsidP="00CF5CE4">
            <w:pPr>
              <w:spacing w:line="240" w:lineRule="auto"/>
              <w:jc w:val="center"/>
              <w:rPr>
                <w:rFonts w:ascii="Corbel" w:hAnsi="Corbel"/>
                <w:sz w:val="32"/>
                <w:szCs w:val="32"/>
                <w:u w:val="single"/>
              </w:rPr>
            </w:pPr>
            <w:bookmarkStart w:id="10" w:name="_GoBack"/>
            <w:bookmarkEnd w:id="10"/>
            <w:r w:rsidRPr="00CF5CE4">
              <w:rPr>
                <w:rFonts w:ascii="Corbel" w:hAnsi="Corbel"/>
                <w:sz w:val="32"/>
                <w:szCs w:val="32"/>
                <w:u w:val="single"/>
              </w:rPr>
              <w:lastRenderedPageBreak/>
              <w:t>BIBLIOGRAPHY</w:t>
            </w:r>
          </w:p>
          <w:p w:rsidR="00CF5CE4" w:rsidRPr="00CF5CE4" w:rsidRDefault="00CF5CE4" w:rsidP="00CF5CE4">
            <w:pPr>
              <w:spacing w:line="240" w:lineRule="auto"/>
              <w:jc w:val="center"/>
              <w:rPr>
                <w:rFonts w:ascii="Corbel" w:hAnsi="Corbel"/>
                <w:sz w:val="28"/>
                <w:szCs w:val="28"/>
                <w:u w:val="single"/>
              </w:rPr>
            </w:pPr>
          </w:p>
          <w:p w:rsidR="00CF5CE4" w:rsidRPr="00CF5CE4" w:rsidRDefault="00CF5CE4" w:rsidP="00CF5CE4">
            <w:pPr>
              <w:spacing w:line="240" w:lineRule="auto"/>
              <w:jc w:val="both"/>
              <w:rPr>
                <w:rFonts w:ascii="Corbel" w:hAnsi="Corbel"/>
                <w:sz w:val="28"/>
                <w:szCs w:val="28"/>
              </w:rPr>
            </w:pPr>
            <w:r w:rsidRPr="00CF5CE4">
              <w:rPr>
                <w:rFonts w:ascii="Corbel" w:hAnsi="Corbel"/>
                <w:sz w:val="28"/>
                <w:szCs w:val="28"/>
              </w:rPr>
              <w:t xml:space="preserve">Bowker, John, </w:t>
            </w:r>
            <w:r w:rsidRPr="00CF5CE4">
              <w:rPr>
                <w:rFonts w:ascii="Corbel" w:hAnsi="Corbel"/>
                <w:i/>
                <w:sz w:val="28"/>
                <w:szCs w:val="28"/>
              </w:rPr>
              <w:t xml:space="preserve">World Religions, the great faiths explored &amp; explained, </w:t>
            </w:r>
            <w:r w:rsidRPr="00CF5CE4">
              <w:rPr>
                <w:rFonts w:ascii="Corbel" w:hAnsi="Corbel"/>
                <w:sz w:val="28"/>
                <w:szCs w:val="28"/>
              </w:rPr>
              <w:t>(London: Dorling Kindersley, 2003)</w:t>
            </w:r>
          </w:p>
          <w:p w:rsidR="00CF5CE4" w:rsidRPr="00CF5CE4" w:rsidRDefault="00CF5CE4" w:rsidP="00CF5CE4">
            <w:pPr>
              <w:spacing w:line="240" w:lineRule="auto"/>
              <w:jc w:val="both"/>
              <w:rPr>
                <w:rFonts w:ascii="Corbel" w:hAnsi="Corbel"/>
                <w:sz w:val="28"/>
                <w:szCs w:val="28"/>
              </w:rPr>
            </w:pPr>
          </w:p>
          <w:p w:rsidR="00CF5CE4" w:rsidRPr="00CF5CE4" w:rsidRDefault="00CF5CE4" w:rsidP="00CF5CE4">
            <w:pPr>
              <w:spacing w:line="240" w:lineRule="auto"/>
              <w:jc w:val="both"/>
              <w:rPr>
                <w:rFonts w:ascii="Corbel" w:hAnsi="Corbel"/>
                <w:sz w:val="28"/>
                <w:szCs w:val="28"/>
              </w:rPr>
            </w:pPr>
            <w:proofErr w:type="spellStart"/>
            <w:r w:rsidRPr="00CF5CE4">
              <w:rPr>
                <w:rFonts w:ascii="Corbel" w:hAnsi="Corbel"/>
                <w:sz w:val="28"/>
                <w:szCs w:val="28"/>
              </w:rPr>
              <w:t>Chidester</w:t>
            </w:r>
            <w:proofErr w:type="spellEnd"/>
            <w:r w:rsidRPr="00CF5CE4">
              <w:rPr>
                <w:rFonts w:ascii="Corbel" w:hAnsi="Corbel"/>
                <w:sz w:val="28"/>
                <w:szCs w:val="28"/>
              </w:rPr>
              <w:t xml:space="preserve">, David, </w:t>
            </w:r>
            <w:r w:rsidRPr="00CF5CE4">
              <w:rPr>
                <w:rFonts w:ascii="Corbel" w:hAnsi="Corbel"/>
                <w:i/>
                <w:sz w:val="28"/>
                <w:szCs w:val="28"/>
              </w:rPr>
              <w:t xml:space="preserve">Authentic Fakes, Religion and American Popular Culture, </w:t>
            </w:r>
            <w:r w:rsidRPr="00CF5CE4">
              <w:rPr>
                <w:rFonts w:ascii="Corbel" w:hAnsi="Corbel"/>
                <w:sz w:val="28"/>
                <w:szCs w:val="28"/>
              </w:rPr>
              <w:t>(Berkeley: University of California Press Ltd, 2005)</w:t>
            </w:r>
          </w:p>
          <w:p w:rsidR="00CF5CE4" w:rsidRPr="00CF5CE4" w:rsidRDefault="00CF5CE4" w:rsidP="00CF5CE4">
            <w:pPr>
              <w:spacing w:line="240" w:lineRule="auto"/>
              <w:jc w:val="both"/>
              <w:rPr>
                <w:rFonts w:ascii="Corbel" w:hAnsi="Corbel"/>
                <w:i/>
                <w:sz w:val="28"/>
                <w:szCs w:val="28"/>
              </w:rPr>
            </w:pPr>
          </w:p>
          <w:p w:rsidR="00CF5CE4" w:rsidRPr="00CF5CE4" w:rsidRDefault="00CF5CE4" w:rsidP="00CF5CE4">
            <w:pPr>
              <w:spacing w:line="240" w:lineRule="auto"/>
              <w:jc w:val="both"/>
              <w:rPr>
                <w:rFonts w:ascii="Corbel" w:hAnsi="Corbel"/>
                <w:sz w:val="28"/>
                <w:szCs w:val="28"/>
              </w:rPr>
            </w:pPr>
            <w:r w:rsidRPr="00CF5CE4">
              <w:rPr>
                <w:rFonts w:ascii="Corbel" w:hAnsi="Corbel"/>
                <w:i/>
                <w:sz w:val="28"/>
                <w:szCs w:val="28"/>
              </w:rPr>
              <w:t>Holy Bible, NRSV, XL Edition,</w:t>
            </w:r>
            <w:r w:rsidRPr="00CF5CE4">
              <w:rPr>
                <w:rFonts w:ascii="Corbel" w:hAnsi="Corbel"/>
                <w:sz w:val="28"/>
                <w:szCs w:val="28"/>
              </w:rPr>
              <w:t xml:space="preserve"> (New York: HarperCollins Publishers, 2007)</w:t>
            </w:r>
          </w:p>
          <w:p w:rsidR="00CF5CE4" w:rsidRPr="00CF5CE4" w:rsidRDefault="00CF5CE4" w:rsidP="00CF5CE4">
            <w:pPr>
              <w:spacing w:line="240" w:lineRule="auto"/>
              <w:jc w:val="both"/>
              <w:rPr>
                <w:rFonts w:ascii="Corbel" w:hAnsi="Corbel"/>
                <w:sz w:val="28"/>
                <w:szCs w:val="28"/>
              </w:rPr>
            </w:pPr>
          </w:p>
          <w:p w:rsidR="00CF5CE4" w:rsidRPr="00CF5CE4" w:rsidRDefault="00CF5CE4" w:rsidP="00CF5CE4">
            <w:pPr>
              <w:spacing w:line="240" w:lineRule="auto"/>
              <w:jc w:val="both"/>
              <w:rPr>
                <w:rFonts w:ascii="Corbel" w:hAnsi="Corbel"/>
                <w:sz w:val="28"/>
                <w:szCs w:val="28"/>
              </w:rPr>
            </w:pPr>
            <w:r w:rsidRPr="00CF5CE4">
              <w:rPr>
                <w:rFonts w:ascii="Corbel" w:hAnsi="Corbel"/>
                <w:sz w:val="28"/>
                <w:szCs w:val="28"/>
              </w:rPr>
              <w:t xml:space="preserve">Hoover, Stewart M, </w:t>
            </w:r>
            <w:r w:rsidRPr="00CF5CE4">
              <w:rPr>
                <w:rFonts w:ascii="Corbel" w:hAnsi="Corbel"/>
                <w:i/>
                <w:sz w:val="28"/>
                <w:szCs w:val="28"/>
              </w:rPr>
              <w:t xml:space="preserve">Religion in the Media Age, </w:t>
            </w:r>
            <w:r w:rsidRPr="00CF5CE4">
              <w:rPr>
                <w:rFonts w:ascii="Corbel" w:hAnsi="Corbel"/>
                <w:sz w:val="28"/>
                <w:szCs w:val="28"/>
              </w:rPr>
              <w:t>(Abingdon: Routledge, 2006)</w:t>
            </w:r>
          </w:p>
          <w:p w:rsidR="00CF5CE4" w:rsidRPr="00CF5CE4" w:rsidRDefault="00CF5CE4" w:rsidP="00CF5CE4">
            <w:pPr>
              <w:spacing w:line="240" w:lineRule="auto"/>
              <w:jc w:val="both"/>
              <w:rPr>
                <w:rFonts w:ascii="Corbel" w:hAnsi="Corbel"/>
                <w:i/>
                <w:sz w:val="28"/>
                <w:szCs w:val="28"/>
              </w:rPr>
            </w:pPr>
          </w:p>
          <w:p w:rsidR="00CF5CE4" w:rsidRPr="00CF5CE4" w:rsidRDefault="00CF5CE4" w:rsidP="00CF5CE4">
            <w:pPr>
              <w:spacing w:line="240" w:lineRule="auto"/>
              <w:jc w:val="both"/>
              <w:rPr>
                <w:rFonts w:ascii="Corbel" w:hAnsi="Corbel"/>
                <w:sz w:val="28"/>
                <w:szCs w:val="28"/>
              </w:rPr>
            </w:pPr>
            <w:r w:rsidRPr="00CF5CE4">
              <w:rPr>
                <w:rFonts w:ascii="Corbel" w:hAnsi="Corbel"/>
                <w:i/>
                <w:sz w:val="28"/>
                <w:szCs w:val="28"/>
              </w:rPr>
              <w:t>Introduction to WORLD RELIGIONS,</w:t>
            </w:r>
            <w:r w:rsidRPr="00CF5CE4">
              <w:rPr>
                <w:rFonts w:ascii="Corbel" w:hAnsi="Corbel"/>
                <w:sz w:val="28"/>
                <w:szCs w:val="28"/>
              </w:rPr>
              <w:t xml:space="preserve"> ed. Christopher Partridge, 4</w:t>
            </w:r>
            <w:r w:rsidRPr="00CF5CE4">
              <w:rPr>
                <w:rFonts w:ascii="Corbel" w:hAnsi="Corbel"/>
                <w:sz w:val="28"/>
                <w:szCs w:val="28"/>
                <w:vertAlign w:val="superscript"/>
              </w:rPr>
              <w:t>th</w:t>
            </w:r>
            <w:r w:rsidRPr="00CF5CE4">
              <w:rPr>
                <w:rFonts w:ascii="Corbel" w:hAnsi="Corbel"/>
                <w:sz w:val="28"/>
                <w:szCs w:val="28"/>
              </w:rPr>
              <w:t xml:space="preserve"> ed. revised by Tim </w:t>
            </w:r>
            <w:proofErr w:type="spellStart"/>
            <w:r w:rsidRPr="00CF5CE4">
              <w:rPr>
                <w:rFonts w:ascii="Corbel" w:hAnsi="Corbel"/>
                <w:sz w:val="28"/>
                <w:szCs w:val="28"/>
              </w:rPr>
              <w:t>Dowley</w:t>
            </w:r>
            <w:proofErr w:type="spellEnd"/>
            <w:r w:rsidRPr="00CF5CE4">
              <w:rPr>
                <w:rFonts w:ascii="Corbel" w:hAnsi="Corbel"/>
                <w:sz w:val="28"/>
                <w:szCs w:val="28"/>
              </w:rPr>
              <w:t>, (Oxford: Lion Hudson, 2014)</w:t>
            </w:r>
          </w:p>
          <w:p w:rsidR="00CF5CE4" w:rsidRPr="00CF5CE4" w:rsidRDefault="00CF5CE4" w:rsidP="00CF5CE4">
            <w:pPr>
              <w:spacing w:line="240" w:lineRule="auto"/>
              <w:jc w:val="both"/>
              <w:rPr>
                <w:rFonts w:ascii="Corbel" w:hAnsi="Corbel"/>
                <w:sz w:val="28"/>
                <w:szCs w:val="28"/>
              </w:rPr>
            </w:pPr>
          </w:p>
          <w:p w:rsidR="00CF5CE4" w:rsidRPr="00CF5CE4" w:rsidRDefault="00CF5CE4" w:rsidP="00CF5CE4">
            <w:pPr>
              <w:spacing w:line="240" w:lineRule="auto"/>
              <w:jc w:val="both"/>
              <w:rPr>
                <w:rFonts w:ascii="Corbel" w:hAnsi="Corbel"/>
                <w:sz w:val="28"/>
                <w:szCs w:val="28"/>
              </w:rPr>
            </w:pPr>
            <w:r w:rsidRPr="00CF5CE4">
              <w:rPr>
                <w:rFonts w:ascii="Corbel" w:hAnsi="Corbel"/>
                <w:sz w:val="28"/>
                <w:szCs w:val="28"/>
              </w:rPr>
              <w:t xml:space="preserve">Jewett, Robert, </w:t>
            </w:r>
            <w:r w:rsidRPr="00CF5CE4">
              <w:rPr>
                <w:rFonts w:ascii="Corbel" w:hAnsi="Corbel"/>
                <w:i/>
                <w:sz w:val="28"/>
                <w:szCs w:val="28"/>
              </w:rPr>
              <w:t xml:space="preserve">Saint Paul at the Movies: </w:t>
            </w:r>
            <w:proofErr w:type="gramStart"/>
            <w:r w:rsidRPr="00CF5CE4">
              <w:rPr>
                <w:rFonts w:ascii="Corbel" w:hAnsi="Corbel"/>
                <w:i/>
                <w:sz w:val="28"/>
                <w:szCs w:val="28"/>
              </w:rPr>
              <w:t>the</w:t>
            </w:r>
            <w:proofErr w:type="gramEnd"/>
            <w:r w:rsidRPr="00CF5CE4">
              <w:rPr>
                <w:rFonts w:ascii="Corbel" w:hAnsi="Corbel"/>
                <w:i/>
                <w:sz w:val="28"/>
                <w:szCs w:val="28"/>
              </w:rPr>
              <w:t xml:space="preserve"> Apostle’s Dialogue with American Culture, </w:t>
            </w:r>
            <w:r w:rsidRPr="00CF5CE4">
              <w:rPr>
                <w:rFonts w:ascii="Corbel" w:hAnsi="Corbel"/>
                <w:sz w:val="28"/>
                <w:szCs w:val="28"/>
              </w:rPr>
              <w:t>(Louisville: Westminster John Knox, 1993)</w:t>
            </w:r>
          </w:p>
          <w:p w:rsidR="00CF5CE4" w:rsidRPr="00CF5CE4" w:rsidRDefault="00CF5CE4" w:rsidP="00CF5CE4">
            <w:pPr>
              <w:spacing w:line="240" w:lineRule="auto"/>
              <w:jc w:val="both"/>
              <w:rPr>
                <w:rFonts w:ascii="Corbel" w:hAnsi="Corbel"/>
                <w:sz w:val="28"/>
                <w:szCs w:val="28"/>
              </w:rPr>
            </w:pPr>
          </w:p>
          <w:p w:rsidR="00CF5CE4" w:rsidRPr="00CF5CE4" w:rsidRDefault="00CF5CE4" w:rsidP="00CF5CE4">
            <w:pPr>
              <w:spacing w:line="240" w:lineRule="auto"/>
              <w:jc w:val="both"/>
              <w:rPr>
                <w:rFonts w:ascii="Corbel" w:hAnsi="Corbel"/>
                <w:sz w:val="28"/>
                <w:szCs w:val="28"/>
              </w:rPr>
            </w:pPr>
            <w:r w:rsidRPr="00CF5CE4">
              <w:rPr>
                <w:rFonts w:ascii="Corbel" w:hAnsi="Corbel"/>
                <w:sz w:val="28"/>
                <w:szCs w:val="28"/>
              </w:rPr>
              <w:t xml:space="preserve">Lynch, Gordan, </w:t>
            </w:r>
            <w:r w:rsidRPr="00CF5CE4">
              <w:rPr>
                <w:rFonts w:ascii="Corbel" w:hAnsi="Corbel"/>
                <w:i/>
                <w:sz w:val="28"/>
                <w:szCs w:val="28"/>
              </w:rPr>
              <w:t xml:space="preserve">Between Sacred and Profane: Researching Religion and Popular Culture, </w:t>
            </w:r>
            <w:r w:rsidRPr="00CF5CE4">
              <w:rPr>
                <w:rFonts w:ascii="Corbel" w:hAnsi="Corbel"/>
                <w:sz w:val="28"/>
                <w:szCs w:val="28"/>
              </w:rPr>
              <w:t>(London: I.B. Taurus, 2007)</w:t>
            </w:r>
          </w:p>
          <w:p w:rsidR="00CF5CE4" w:rsidRPr="00CF5CE4" w:rsidRDefault="00CF5CE4" w:rsidP="00CF5CE4">
            <w:pPr>
              <w:spacing w:line="240" w:lineRule="auto"/>
              <w:jc w:val="both"/>
              <w:rPr>
                <w:rFonts w:ascii="Corbel" w:hAnsi="Corbel"/>
                <w:sz w:val="28"/>
                <w:szCs w:val="28"/>
              </w:rPr>
            </w:pPr>
          </w:p>
          <w:p w:rsidR="00CF5CE4" w:rsidRPr="00CF5CE4" w:rsidRDefault="00CF5CE4" w:rsidP="00CF5CE4">
            <w:pPr>
              <w:spacing w:line="240" w:lineRule="auto"/>
              <w:jc w:val="both"/>
              <w:rPr>
                <w:rFonts w:ascii="Corbel" w:hAnsi="Corbel"/>
                <w:sz w:val="28"/>
                <w:szCs w:val="28"/>
              </w:rPr>
            </w:pPr>
            <w:r w:rsidRPr="00CF5CE4">
              <w:rPr>
                <w:rFonts w:ascii="Corbel" w:hAnsi="Corbel"/>
                <w:sz w:val="28"/>
                <w:szCs w:val="28"/>
              </w:rPr>
              <w:t xml:space="preserve">Mitchell, J.P. and S. Marriage, eds., </w:t>
            </w:r>
            <w:r w:rsidRPr="00CF5CE4">
              <w:rPr>
                <w:rFonts w:ascii="Corbel" w:hAnsi="Corbel"/>
                <w:i/>
                <w:sz w:val="28"/>
                <w:szCs w:val="28"/>
              </w:rPr>
              <w:t xml:space="preserve">Mediating Religion: Conversations in Media, Religion and Culture, </w:t>
            </w:r>
            <w:r w:rsidRPr="00CF5CE4">
              <w:rPr>
                <w:rFonts w:ascii="Corbel" w:hAnsi="Corbel"/>
                <w:sz w:val="28"/>
                <w:szCs w:val="28"/>
              </w:rPr>
              <w:t>(London: T &amp; T Clark, 2003)</w:t>
            </w:r>
          </w:p>
          <w:p w:rsidR="00CF5CE4" w:rsidRPr="00CF5CE4" w:rsidRDefault="00CF5CE4" w:rsidP="00CF5CE4">
            <w:pPr>
              <w:spacing w:line="240" w:lineRule="auto"/>
              <w:jc w:val="both"/>
              <w:rPr>
                <w:rFonts w:ascii="Corbel" w:hAnsi="Corbel"/>
                <w:sz w:val="28"/>
                <w:szCs w:val="28"/>
              </w:rPr>
            </w:pPr>
          </w:p>
          <w:p w:rsidR="00CF5CE4" w:rsidRPr="00CF5CE4" w:rsidRDefault="00CF5CE4" w:rsidP="00CF5CE4">
            <w:pPr>
              <w:spacing w:line="240" w:lineRule="auto"/>
              <w:jc w:val="both"/>
              <w:rPr>
                <w:rFonts w:ascii="Corbel" w:hAnsi="Corbel"/>
                <w:sz w:val="28"/>
                <w:szCs w:val="28"/>
              </w:rPr>
            </w:pPr>
            <w:r w:rsidRPr="00CF5CE4">
              <w:rPr>
                <w:rFonts w:ascii="Corbel" w:hAnsi="Corbel"/>
                <w:sz w:val="28"/>
                <w:szCs w:val="28"/>
              </w:rPr>
              <w:t xml:space="preserve">Postman, Neil, </w:t>
            </w:r>
            <w:r w:rsidRPr="00CF5CE4">
              <w:rPr>
                <w:rFonts w:ascii="Corbel" w:hAnsi="Corbel"/>
                <w:i/>
                <w:sz w:val="28"/>
                <w:szCs w:val="28"/>
              </w:rPr>
              <w:t xml:space="preserve">Amusing Ourselves to Death, </w:t>
            </w:r>
            <w:r w:rsidRPr="00CF5CE4">
              <w:rPr>
                <w:rFonts w:ascii="Corbel" w:hAnsi="Corbel"/>
                <w:sz w:val="28"/>
                <w:szCs w:val="28"/>
              </w:rPr>
              <w:t>(London: Methuen, 1986)</w:t>
            </w:r>
          </w:p>
          <w:p w:rsidR="00CF5CE4" w:rsidRPr="00CF5CE4" w:rsidRDefault="00CF5CE4" w:rsidP="00CF5CE4">
            <w:pPr>
              <w:spacing w:line="240" w:lineRule="auto"/>
              <w:jc w:val="both"/>
              <w:rPr>
                <w:rFonts w:ascii="Corbel" w:hAnsi="Corbel"/>
                <w:sz w:val="28"/>
                <w:szCs w:val="28"/>
              </w:rPr>
            </w:pPr>
          </w:p>
          <w:p w:rsidR="00CF5CE4" w:rsidRPr="00CF5CE4" w:rsidRDefault="00CF5CE4" w:rsidP="00CF5CE4">
            <w:pPr>
              <w:spacing w:line="240" w:lineRule="auto"/>
              <w:jc w:val="both"/>
              <w:rPr>
                <w:rFonts w:ascii="Corbel" w:hAnsi="Corbel"/>
                <w:sz w:val="28"/>
                <w:szCs w:val="28"/>
              </w:rPr>
            </w:pPr>
            <w:r w:rsidRPr="00CF5CE4">
              <w:rPr>
                <w:rFonts w:ascii="Corbel" w:hAnsi="Corbel"/>
                <w:i/>
                <w:sz w:val="28"/>
                <w:szCs w:val="28"/>
              </w:rPr>
              <w:t xml:space="preserve">Practicing Religion in the Age of the Media, Explorations in Media, Religion, and Culture, </w:t>
            </w:r>
            <w:r w:rsidRPr="00CF5CE4">
              <w:rPr>
                <w:rFonts w:ascii="Corbel" w:hAnsi="Corbel"/>
                <w:sz w:val="28"/>
                <w:szCs w:val="28"/>
              </w:rPr>
              <w:t>ed. by Stewart M. Hoover, Lynn Schofield Clark, (New York: Columbia University Press, 2002)</w:t>
            </w:r>
          </w:p>
          <w:p w:rsidR="00CF5CE4" w:rsidRPr="00CF5CE4" w:rsidRDefault="00CF5CE4" w:rsidP="00CF5CE4">
            <w:pPr>
              <w:spacing w:line="240" w:lineRule="auto"/>
              <w:jc w:val="both"/>
              <w:rPr>
                <w:rFonts w:ascii="Corbel" w:hAnsi="Corbel"/>
                <w:i/>
                <w:sz w:val="28"/>
                <w:szCs w:val="28"/>
              </w:rPr>
            </w:pPr>
          </w:p>
          <w:p w:rsidR="00CF5CE4" w:rsidRPr="00CF5CE4" w:rsidRDefault="00CF5CE4" w:rsidP="00CF5CE4">
            <w:pPr>
              <w:spacing w:line="240" w:lineRule="auto"/>
              <w:jc w:val="both"/>
              <w:rPr>
                <w:rFonts w:ascii="Corbel" w:hAnsi="Corbel"/>
                <w:sz w:val="28"/>
                <w:szCs w:val="28"/>
              </w:rPr>
            </w:pPr>
            <w:r w:rsidRPr="00CF5CE4">
              <w:rPr>
                <w:rFonts w:ascii="Corbel" w:hAnsi="Corbel"/>
                <w:i/>
                <w:sz w:val="28"/>
                <w:szCs w:val="28"/>
              </w:rPr>
              <w:lastRenderedPageBreak/>
              <w:t>Rainbow Study Bible, NIV edition,</w:t>
            </w:r>
            <w:r w:rsidRPr="00CF5CE4">
              <w:rPr>
                <w:rFonts w:ascii="Corbel" w:hAnsi="Corbel"/>
                <w:sz w:val="28"/>
                <w:szCs w:val="28"/>
              </w:rPr>
              <w:t xml:space="preserve"> (Nashville: Holman Bible Publishers, 2015)</w:t>
            </w:r>
          </w:p>
          <w:p w:rsidR="00CF5CE4" w:rsidRPr="00CF5CE4" w:rsidRDefault="00CF5CE4" w:rsidP="00CF5CE4">
            <w:pPr>
              <w:spacing w:line="240" w:lineRule="auto"/>
              <w:jc w:val="both"/>
              <w:rPr>
                <w:rFonts w:ascii="Corbel" w:hAnsi="Corbel"/>
                <w:sz w:val="28"/>
                <w:szCs w:val="28"/>
              </w:rPr>
            </w:pPr>
          </w:p>
          <w:p w:rsidR="00CF5CE4" w:rsidRPr="00CF5CE4" w:rsidRDefault="00CF5CE4" w:rsidP="00CF5CE4">
            <w:pPr>
              <w:spacing w:line="240" w:lineRule="auto"/>
              <w:jc w:val="both"/>
              <w:rPr>
                <w:rFonts w:ascii="Corbel" w:eastAsia="Times New Roman" w:hAnsi="Corbel" w:cs="Times New Roman"/>
                <w:sz w:val="28"/>
                <w:szCs w:val="28"/>
                <w:lang w:eastAsia="en-GB"/>
              </w:rPr>
            </w:pPr>
            <w:r w:rsidRPr="00CF5CE4">
              <w:rPr>
                <w:rFonts w:ascii="Corbel" w:hAnsi="Corbel"/>
                <w:i/>
                <w:sz w:val="28"/>
                <w:szCs w:val="28"/>
              </w:rPr>
              <w:t xml:space="preserve">Religion, Media and Culture: A Reader, </w:t>
            </w:r>
            <w:r w:rsidRPr="00CF5CE4">
              <w:rPr>
                <w:rFonts w:ascii="Corbel" w:hAnsi="Corbel"/>
                <w:sz w:val="28"/>
                <w:szCs w:val="28"/>
              </w:rPr>
              <w:t xml:space="preserve">ed. by Gordan Lynch, Jolyon Mitchell with Anna </w:t>
            </w:r>
            <w:proofErr w:type="spellStart"/>
            <w:r w:rsidRPr="00CF5CE4">
              <w:rPr>
                <w:rFonts w:ascii="Corbel" w:hAnsi="Corbel"/>
                <w:sz w:val="28"/>
                <w:szCs w:val="28"/>
              </w:rPr>
              <w:t>Strhan</w:t>
            </w:r>
            <w:proofErr w:type="spellEnd"/>
            <w:r w:rsidRPr="00CF5CE4">
              <w:rPr>
                <w:rFonts w:ascii="Corbel" w:hAnsi="Corbel"/>
                <w:sz w:val="28"/>
                <w:szCs w:val="28"/>
              </w:rPr>
              <w:t>, (London: Routledge, Taylor &amp; Francis Group, 2012)</w:t>
            </w:r>
          </w:p>
          <w:p w:rsidR="00CF5CE4" w:rsidRPr="00CF5CE4" w:rsidRDefault="00CF5CE4" w:rsidP="00CF5CE4">
            <w:pPr>
              <w:spacing w:line="360" w:lineRule="auto"/>
              <w:jc w:val="both"/>
              <w:rPr>
                <w:rFonts w:ascii="Corbel" w:eastAsia="Times New Roman" w:hAnsi="Corbel" w:cs="Times New Roman"/>
                <w:sz w:val="28"/>
                <w:szCs w:val="28"/>
                <w:lang w:eastAsia="en-GB"/>
              </w:rPr>
            </w:pPr>
          </w:p>
        </w:tc>
      </w:tr>
      <w:tr w:rsidR="00CF5CE4" w:rsidRPr="00CF5CE4" w:rsidTr="001D6AF0">
        <w:trPr>
          <w:tblCellSpacing w:w="15" w:type="dxa"/>
        </w:trPr>
        <w:tc>
          <w:tcPr>
            <w:tcW w:w="8966" w:type="dxa"/>
            <w:tcMar>
              <w:top w:w="0" w:type="dxa"/>
              <w:left w:w="0" w:type="dxa"/>
              <w:bottom w:w="0" w:type="dxa"/>
              <w:right w:w="0" w:type="dxa"/>
            </w:tcMar>
            <w:vAlign w:val="center"/>
            <w:hideMark/>
          </w:tcPr>
          <w:p w:rsidR="00CF5CE4" w:rsidRPr="00CF5CE4" w:rsidRDefault="00CF5CE4" w:rsidP="00CF5CE4">
            <w:pPr>
              <w:spacing w:after="0" w:line="240" w:lineRule="auto"/>
              <w:jc w:val="both"/>
              <w:rPr>
                <w:rFonts w:ascii="Times New Roman" w:eastAsia="Times New Roman" w:hAnsi="Times New Roman" w:cs="Times New Roman"/>
                <w:sz w:val="24"/>
                <w:szCs w:val="24"/>
                <w:lang w:eastAsia="en-GB"/>
              </w:rPr>
            </w:pPr>
          </w:p>
        </w:tc>
      </w:tr>
    </w:tbl>
    <w:p w:rsidR="00CF5CE4" w:rsidRPr="00CF5CE4" w:rsidRDefault="00CF5CE4" w:rsidP="00CF5CE4">
      <w:pPr>
        <w:rPr>
          <w:rFonts w:ascii="Corbel" w:hAnsi="Corbel"/>
          <w:color w:val="FF0000"/>
          <w:sz w:val="28"/>
          <w:szCs w:val="28"/>
        </w:rPr>
      </w:pPr>
    </w:p>
    <w:p w:rsidR="007D0886" w:rsidRDefault="007D0886"/>
    <w:sectPr w:rsidR="007D088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64CA" w:rsidRDefault="006764CA" w:rsidP="00CF5CE4">
      <w:pPr>
        <w:spacing w:after="0" w:line="240" w:lineRule="auto"/>
      </w:pPr>
      <w:r>
        <w:separator/>
      </w:r>
    </w:p>
  </w:endnote>
  <w:endnote w:type="continuationSeparator" w:id="0">
    <w:p w:rsidR="006764CA" w:rsidRDefault="006764CA" w:rsidP="00CF5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Helvetica">
    <w:panose1 w:val="020B0604020202020204"/>
    <w:charset w:val="00"/>
    <w:family w:val="swiss"/>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6564119"/>
      <w:docPartObj>
        <w:docPartGallery w:val="Page Numbers (Bottom of Page)"/>
        <w:docPartUnique/>
      </w:docPartObj>
    </w:sdtPr>
    <w:sdtEndPr>
      <w:rPr>
        <w:noProof/>
      </w:rPr>
    </w:sdtEndPr>
    <w:sdtContent>
      <w:p w:rsidR="00A55F5C" w:rsidRDefault="006764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55F5C" w:rsidRPr="0066665A" w:rsidRDefault="006764CA" w:rsidP="006666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64CA" w:rsidRDefault="006764CA" w:rsidP="00CF5CE4">
      <w:pPr>
        <w:spacing w:after="0" w:line="240" w:lineRule="auto"/>
      </w:pPr>
      <w:r>
        <w:separator/>
      </w:r>
    </w:p>
  </w:footnote>
  <w:footnote w:type="continuationSeparator" w:id="0">
    <w:p w:rsidR="006764CA" w:rsidRDefault="006764CA" w:rsidP="00CF5CE4">
      <w:pPr>
        <w:spacing w:after="0" w:line="240" w:lineRule="auto"/>
      </w:pPr>
      <w:r>
        <w:continuationSeparator/>
      </w:r>
    </w:p>
  </w:footnote>
  <w:footnote w:id="1">
    <w:p w:rsidR="00CF5CE4" w:rsidRPr="004A6631" w:rsidRDefault="00CF5CE4" w:rsidP="00CF5CE4">
      <w:r>
        <w:rPr>
          <w:rStyle w:val="FootnoteReference"/>
        </w:rPr>
        <w:footnoteRef/>
      </w:r>
      <w:r>
        <w:t xml:space="preserve"> &lt; </w:t>
      </w:r>
      <w:hyperlink r:id="rId1" w:history="1">
        <w:r w:rsidRPr="004A6631">
          <w:rPr>
            <w:color w:val="0563C1" w:themeColor="hyperlink"/>
            <w:u w:val="single"/>
          </w:rPr>
          <w:t>https://deepfocusreview.com/definitives/amadeus/</w:t>
        </w:r>
      </w:hyperlink>
      <w:r>
        <w:t xml:space="preserve"> &gt; accessed 26.05.2019.</w:t>
      </w:r>
    </w:p>
    <w:p w:rsidR="00CF5CE4" w:rsidRDefault="00CF5CE4" w:rsidP="00CF5CE4">
      <w:pPr>
        <w:pStyle w:val="FootnoteText"/>
      </w:pPr>
    </w:p>
  </w:footnote>
  <w:footnote w:id="2">
    <w:p w:rsidR="00CF5CE4" w:rsidRDefault="00CF5CE4" w:rsidP="00CF5CE4">
      <w:pPr>
        <w:pStyle w:val="FootnoteText"/>
      </w:pPr>
      <w:r>
        <w:rPr>
          <w:rStyle w:val="FootnoteReference"/>
        </w:rPr>
        <w:footnoteRef/>
      </w:r>
      <w:r>
        <w:t xml:space="preserve"> &lt; </w:t>
      </w:r>
      <w:r w:rsidRPr="00F962AC">
        <w:rPr>
          <w:color w:val="6666FF"/>
          <w:sz w:val="22"/>
          <w:szCs w:val="22"/>
          <w:u w:val="single"/>
        </w:rPr>
        <w:t>https://www.definitions.net/definition/Salieri</w:t>
      </w:r>
      <w:r w:rsidRPr="00F962AC">
        <w:rPr>
          <w:color w:val="6666FF"/>
        </w:rPr>
        <w:t xml:space="preserve"> </w:t>
      </w:r>
      <w:r w:rsidRPr="00F962AC">
        <w:t>&gt;</w:t>
      </w:r>
      <w:r>
        <w:t xml:space="preserve"> accessed 26.05.2019.</w:t>
      </w:r>
    </w:p>
  </w:footnote>
  <w:footnote w:id="3">
    <w:p w:rsidR="00CF5CE4" w:rsidRPr="00DA5298" w:rsidRDefault="00CF5CE4" w:rsidP="00CF5CE4">
      <w:pPr>
        <w:pStyle w:val="FootnoteText"/>
        <w:rPr>
          <w:sz w:val="22"/>
          <w:szCs w:val="22"/>
        </w:rPr>
      </w:pPr>
      <w:r>
        <w:rPr>
          <w:rStyle w:val="FootnoteReference"/>
        </w:rPr>
        <w:footnoteRef/>
      </w:r>
      <w:r>
        <w:t xml:space="preserve"> &lt; </w:t>
      </w:r>
      <w:hyperlink r:id="rId2" w:history="1">
        <w:r w:rsidRPr="00877733">
          <w:rPr>
            <w:rStyle w:val="Hyperlink"/>
            <w:sz w:val="22"/>
            <w:szCs w:val="22"/>
          </w:rPr>
          <w:t>www.ntvlive.nationaltheatre.org.uk/productions/58103-amadeus</w:t>
        </w:r>
      </w:hyperlink>
      <w:r w:rsidRPr="00DA5298">
        <w:rPr>
          <w:sz w:val="22"/>
          <w:szCs w:val="22"/>
        </w:rPr>
        <w:t xml:space="preserve"> </w:t>
      </w:r>
      <w:r>
        <w:rPr>
          <w:sz w:val="22"/>
          <w:szCs w:val="22"/>
        </w:rPr>
        <w:t xml:space="preserve"> &gt; </w:t>
      </w:r>
      <w:r w:rsidRPr="00DA5298">
        <w:rPr>
          <w:sz w:val="22"/>
          <w:szCs w:val="22"/>
        </w:rPr>
        <w:t>accessed 24.05.2019.</w:t>
      </w:r>
    </w:p>
  </w:footnote>
  <w:footnote w:id="4">
    <w:p w:rsidR="00CF5CE4" w:rsidRPr="004877AD" w:rsidRDefault="00CF5CE4" w:rsidP="00CF5CE4">
      <w:pPr>
        <w:pStyle w:val="FootnoteText"/>
        <w:rPr>
          <w:sz w:val="22"/>
          <w:szCs w:val="22"/>
        </w:rPr>
      </w:pPr>
      <w:r>
        <w:rPr>
          <w:rStyle w:val="FootnoteReference"/>
        </w:rPr>
        <w:footnoteRef/>
      </w:r>
      <w:r>
        <w:t xml:space="preserve"> &lt;  </w:t>
      </w:r>
      <w:hyperlink r:id="rId3" w:history="1">
        <w:r w:rsidRPr="00877733">
          <w:rPr>
            <w:rStyle w:val="Hyperlink"/>
            <w:sz w:val="22"/>
            <w:szCs w:val="22"/>
          </w:rPr>
          <w:t>https://theatricalia.com/play/55g/amadeus/production/pOd</w:t>
        </w:r>
      </w:hyperlink>
      <w:r>
        <w:rPr>
          <w:sz w:val="22"/>
          <w:szCs w:val="22"/>
        </w:rPr>
        <w:t xml:space="preserve"> &gt;, accessed</w:t>
      </w:r>
      <w:r w:rsidRPr="004877AD">
        <w:rPr>
          <w:sz w:val="22"/>
          <w:szCs w:val="22"/>
        </w:rPr>
        <w:t xml:space="preserve"> </w:t>
      </w:r>
      <w:r>
        <w:rPr>
          <w:sz w:val="22"/>
          <w:szCs w:val="22"/>
        </w:rPr>
        <w:t>23.05.2019.</w:t>
      </w:r>
    </w:p>
  </w:footnote>
  <w:footnote w:id="5">
    <w:p w:rsidR="00CF5CE4" w:rsidRPr="005216B6" w:rsidRDefault="00CF5CE4" w:rsidP="00CF5CE4">
      <w:pPr>
        <w:pStyle w:val="NormalWeb"/>
        <w:ind w:right="-335"/>
        <w:jc w:val="both"/>
        <w:rPr>
          <w:i/>
        </w:rPr>
      </w:pPr>
      <w:r>
        <w:rPr>
          <w:rStyle w:val="FootnoteReference"/>
        </w:rPr>
        <w:footnoteRef/>
      </w:r>
      <w:r>
        <w:t xml:space="preserve"> </w:t>
      </w:r>
      <w:r w:rsidRPr="007478FC">
        <w:rPr>
          <w:sz w:val="22"/>
          <w:szCs w:val="22"/>
        </w:rPr>
        <w:t xml:space="preserve">Martin </w:t>
      </w:r>
      <w:proofErr w:type="spellStart"/>
      <w:r w:rsidRPr="007478FC">
        <w:rPr>
          <w:sz w:val="22"/>
          <w:szCs w:val="22"/>
        </w:rPr>
        <w:t>Bidney</w:t>
      </w:r>
      <w:proofErr w:type="spellEnd"/>
      <w:r w:rsidRPr="007478FC">
        <w:rPr>
          <w:sz w:val="22"/>
          <w:szCs w:val="22"/>
        </w:rPr>
        <w:t xml:space="preserve">, ‘Thinking about god and Mozart: The </w:t>
      </w:r>
      <w:proofErr w:type="spellStart"/>
      <w:r w:rsidRPr="007478FC">
        <w:rPr>
          <w:sz w:val="22"/>
          <w:szCs w:val="22"/>
        </w:rPr>
        <w:t>Salieris</w:t>
      </w:r>
      <w:proofErr w:type="spellEnd"/>
      <w:r w:rsidRPr="007478FC">
        <w:rPr>
          <w:sz w:val="22"/>
          <w:szCs w:val="22"/>
        </w:rPr>
        <w:t xml:space="preserve"> of </w:t>
      </w:r>
      <w:proofErr w:type="spellStart"/>
      <w:r w:rsidRPr="007478FC">
        <w:rPr>
          <w:sz w:val="22"/>
          <w:szCs w:val="22"/>
        </w:rPr>
        <w:t>Puskin</w:t>
      </w:r>
      <w:proofErr w:type="spellEnd"/>
      <w:r w:rsidRPr="007478FC">
        <w:rPr>
          <w:sz w:val="22"/>
          <w:szCs w:val="22"/>
        </w:rPr>
        <w:t xml:space="preserve"> and Peter Shaffer, </w:t>
      </w:r>
      <w:r w:rsidRPr="007478FC">
        <w:rPr>
          <w:i/>
          <w:sz w:val="22"/>
          <w:szCs w:val="22"/>
        </w:rPr>
        <w:t>The Slavic and East</w:t>
      </w:r>
      <w:r w:rsidRPr="007478FC">
        <w:rPr>
          <w:sz w:val="22"/>
          <w:szCs w:val="22"/>
        </w:rPr>
        <w:t xml:space="preserve"> </w:t>
      </w:r>
      <w:r w:rsidRPr="007478FC">
        <w:rPr>
          <w:i/>
          <w:sz w:val="22"/>
          <w:szCs w:val="22"/>
        </w:rPr>
        <w:t>European Journal</w:t>
      </w:r>
      <w:r w:rsidRPr="007478FC">
        <w:rPr>
          <w:sz w:val="22"/>
          <w:szCs w:val="22"/>
        </w:rPr>
        <w:t>, Vol. 30, No. 2 (Summer, 1986), 183-195</w:t>
      </w:r>
      <w:r>
        <w:rPr>
          <w:sz w:val="22"/>
          <w:szCs w:val="22"/>
        </w:rPr>
        <w:t>, a</w:t>
      </w:r>
      <w:r w:rsidRPr="007478FC">
        <w:rPr>
          <w:sz w:val="22"/>
          <w:szCs w:val="22"/>
        </w:rPr>
        <w:t xml:space="preserve">vailable at </w:t>
      </w:r>
      <w:r>
        <w:rPr>
          <w:sz w:val="22"/>
          <w:szCs w:val="22"/>
        </w:rPr>
        <w:t xml:space="preserve">    &lt;  </w:t>
      </w:r>
      <w:hyperlink r:id="rId4" w:history="1">
        <w:r w:rsidRPr="00877733">
          <w:rPr>
            <w:rStyle w:val="Hyperlink"/>
            <w:rFonts w:eastAsia="Yu Gothic Light"/>
            <w:bCs/>
            <w:sz w:val="22"/>
            <w:szCs w:val="22"/>
          </w:rPr>
          <w:t>https://www.jstor.org/stable/307595</w:t>
        </w:r>
      </w:hyperlink>
      <w:r>
        <w:rPr>
          <w:rFonts w:eastAsia="Yu Gothic Light"/>
          <w:bCs/>
          <w:sz w:val="22"/>
          <w:szCs w:val="22"/>
        </w:rPr>
        <w:t xml:space="preserve"> &gt;, a</w:t>
      </w:r>
      <w:r w:rsidRPr="007478FC">
        <w:rPr>
          <w:rFonts w:eastAsia="Yu Gothic Light"/>
          <w:bCs/>
          <w:sz w:val="22"/>
          <w:szCs w:val="22"/>
        </w:rPr>
        <w:t>ccessed 26</w:t>
      </w:r>
      <w:r>
        <w:rPr>
          <w:rFonts w:eastAsia="Yu Gothic Light"/>
          <w:bCs/>
          <w:sz w:val="22"/>
          <w:szCs w:val="22"/>
        </w:rPr>
        <w:t>.</w:t>
      </w:r>
      <w:r w:rsidRPr="007478FC">
        <w:rPr>
          <w:rFonts w:eastAsia="Yu Gothic Light"/>
          <w:bCs/>
          <w:sz w:val="22"/>
          <w:szCs w:val="22"/>
        </w:rPr>
        <w:t>05</w:t>
      </w:r>
      <w:r>
        <w:rPr>
          <w:rFonts w:eastAsia="Yu Gothic Light"/>
          <w:bCs/>
          <w:sz w:val="22"/>
          <w:szCs w:val="22"/>
        </w:rPr>
        <w:t>.</w:t>
      </w:r>
      <w:r w:rsidRPr="007478FC">
        <w:rPr>
          <w:rFonts w:eastAsia="Yu Gothic Light"/>
          <w:bCs/>
          <w:sz w:val="22"/>
          <w:szCs w:val="22"/>
        </w:rPr>
        <w:t>2019.</w:t>
      </w:r>
    </w:p>
  </w:footnote>
  <w:footnote w:id="6">
    <w:p w:rsidR="00CF5CE4" w:rsidRPr="002E3659" w:rsidRDefault="00CF5CE4" w:rsidP="00CF5CE4">
      <w:r>
        <w:rPr>
          <w:rStyle w:val="FootnoteReference"/>
        </w:rPr>
        <w:footnoteRef/>
      </w:r>
      <w:r>
        <w:t xml:space="preserve"> </w:t>
      </w:r>
      <w:r w:rsidRPr="002E3659">
        <w:t xml:space="preserve">Patricia Bauer, </w:t>
      </w:r>
      <w:r>
        <w:t>‘Amadeus Film by Forman (1984)’ 21.10.2017, available at  &lt;</w:t>
      </w:r>
      <w:hyperlink r:id="rId5" w:history="1">
        <w:r w:rsidRPr="00877733">
          <w:rPr>
            <w:rStyle w:val="Hyperlink"/>
          </w:rPr>
          <w:t>https://www.britannica.com/topic/Amadeus-film-by-Forman</w:t>
        </w:r>
      </w:hyperlink>
      <w:r w:rsidRPr="002E3659">
        <w:t xml:space="preserve"> </w:t>
      </w:r>
      <w:r>
        <w:t>&gt;accessed 22.05.2019.</w:t>
      </w:r>
    </w:p>
    <w:p w:rsidR="00CF5CE4" w:rsidRPr="002E3659" w:rsidRDefault="00CF5CE4" w:rsidP="00CF5CE4">
      <w:pPr>
        <w:pStyle w:val="FootnoteText"/>
        <w:rPr>
          <w:sz w:val="22"/>
          <w:szCs w:val="22"/>
        </w:rPr>
      </w:pPr>
    </w:p>
  </w:footnote>
  <w:footnote w:id="7">
    <w:p w:rsidR="00CF5CE4" w:rsidRPr="005433D7" w:rsidRDefault="00CF5CE4" w:rsidP="00CF5CE4">
      <w:pPr>
        <w:pStyle w:val="FootnoteText"/>
        <w:rPr>
          <w:sz w:val="22"/>
          <w:szCs w:val="22"/>
        </w:rPr>
      </w:pPr>
      <w:r w:rsidRPr="005433D7">
        <w:rPr>
          <w:rStyle w:val="FootnoteReference"/>
          <w:sz w:val="22"/>
          <w:szCs w:val="22"/>
        </w:rPr>
        <w:footnoteRef/>
      </w:r>
      <w:r w:rsidRPr="005433D7">
        <w:rPr>
          <w:sz w:val="22"/>
          <w:szCs w:val="22"/>
        </w:rPr>
        <w:t xml:space="preserve"> Patricia Bauer’s</w:t>
      </w:r>
      <w:r>
        <w:rPr>
          <w:sz w:val="22"/>
          <w:szCs w:val="22"/>
        </w:rPr>
        <w:t xml:space="preserve"> article contains an excellent synopsis of the plot of the film.</w:t>
      </w:r>
    </w:p>
  </w:footnote>
  <w:footnote w:id="8">
    <w:p w:rsidR="00CF5CE4" w:rsidRPr="00034BCF" w:rsidRDefault="00CF5CE4" w:rsidP="00CF5CE4">
      <w:pPr>
        <w:pStyle w:val="FootnoteText"/>
        <w:rPr>
          <w:sz w:val="22"/>
          <w:szCs w:val="22"/>
        </w:rPr>
      </w:pPr>
      <w:bookmarkStart w:id="3" w:name="_Hlk10123882"/>
      <w:r w:rsidRPr="0010588D">
        <w:rPr>
          <w:rStyle w:val="FootnoteReference"/>
          <w:sz w:val="22"/>
          <w:szCs w:val="22"/>
        </w:rPr>
        <w:footnoteRef/>
      </w:r>
      <w:r w:rsidRPr="0010588D">
        <w:rPr>
          <w:sz w:val="22"/>
          <w:szCs w:val="22"/>
        </w:rPr>
        <w:t xml:space="preserve"> </w:t>
      </w:r>
      <w:r w:rsidRPr="00034BCF">
        <w:rPr>
          <w:sz w:val="22"/>
          <w:szCs w:val="22"/>
        </w:rPr>
        <w:t xml:space="preserve">&lt; </w:t>
      </w:r>
      <w:hyperlink r:id="rId6" w:history="1">
        <w:r w:rsidRPr="00034BCF">
          <w:rPr>
            <w:rStyle w:val="Hyperlink"/>
            <w:sz w:val="22"/>
            <w:szCs w:val="22"/>
          </w:rPr>
          <w:t>https://www.zaentz.com/amadeus.html</w:t>
        </w:r>
      </w:hyperlink>
      <w:r w:rsidRPr="00034BCF">
        <w:rPr>
          <w:sz w:val="22"/>
          <w:szCs w:val="22"/>
        </w:rPr>
        <w:t xml:space="preserve"> &gt; accessed 25.05.2019.</w:t>
      </w:r>
      <w:bookmarkEnd w:id="3"/>
    </w:p>
  </w:footnote>
  <w:footnote w:id="9">
    <w:p w:rsidR="00CF5CE4" w:rsidRDefault="00CF5CE4" w:rsidP="00CF5CE4">
      <w:pPr>
        <w:jc w:val="both"/>
      </w:pPr>
      <w:r>
        <w:rPr>
          <w:rStyle w:val="FootnoteReference"/>
        </w:rPr>
        <w:footnoteRef/>
      </w:r>
      <w:r>
        <w:t xml:space="preserve"> </w:t>
      </w:r>
      <w:r w:rsidRPr="0086044F">
        <w:rPr>
          <w:i/>
        </w:rPr>
        <w:t xml:space="preserve">Practicing Religion in the Age of the Media, Explorations in Media, Religion, and Culture, </w:t>
      </w:r>
      <w:r w:rsidRPr="0086044F">
        <w:t>ed. by Stewart M. Hoover, Lynn Schofield Clark, (New York: Columbia University Press, 2002)</w:t>
      </w:r>
      <w:r>
        <w:t>, p2.</w:t>
      </w:r>
    </w:p>
  </w:footnote>
  <w:footnote w:id="10">
    <w:p w:rsidR="00CF5CE4" w:rsidRDefault="00CF5CE4" w:rsidP="00CF5CE4">
      <w:r>
        <w:rPr>
          <w:rStyle w:val="FootnoteReference"/>
        </w:rPr>
        <w:footnoteRef/>
      </w:r>
      <w:r>
        <w:t xml:space="preserve"> </w:t>
      </w:r>
      <w:bookmarkStart w:id="4" w:name="_Hlk10160452"/>
      <w:r w:rsidRPr="00667208">
        <w:t xml:space="preserve">Martha A. Townsend, ‘Amadeus as dramatic monologue’, </w:t>
      </w:r>
      <w:r w:rsidRPr="000A3F1E">
        <w:rPr>
          <w:i/>
          <w:bdr w:val="none" w:sz="0" w:space="0" w:color="auto" w:frame="1"/>
        </w:rPr>
        <w:t xml:space="preserve">Literature Film Quarterly, </w:t>
      </w:r>
      <w:r w:rsidRPr="000A3F1E">
        <w:rPr>
          <w:bdr w:val="none" w:sz="0" w:space="0" w:color="auto" w:frame="1"/>
        </w:rPr>
        <w:t xml:space="preserve">1986, Vol. 14 Issue 4, p214, </w:t>
      </w:r>
      <w:r>
        <w:rPr>
          <w:bdr w:val="none" w:sz="0" w:space="0" w:color="auto" w:frame="1"/>
        </w:rPr>
        <w:t xml:space="preserve">available at &lt; </w:t>
      </w:r>
      <w:hyperlink r:id="rId7" w:anchor="AN=509405003&amp;db=hus" w:history="1">
        <w:r w:rsidRPr="000A3F1E">
          <w:rPr>
            <w:rStyle w:val="Hyperlink"/>
          </w:rPr>
          <w:t>https://web-b-ebscohost-com.ezproxy.uwtsd.ac.uk/ehost/detail/detail?vid=1&amp;sid=f8811548-64a5-473a-82c0-9b6990ded84a%40pdc-v-</w:t>
        </w:r>
        <w:r w:rsidRPr="00A563D6">
          <w:rPr>
            <w:rStyle w:val="Hyperlink"/>
          </w:rPr>
          <w:t>s</w:t>
        </w:r>
        <w:r w:rsidRPr="000A3F1E">
          <w:rPr>
            <w:rStyle w:val="Hyperlink"/>
          </w:rPr>
          <w:t>essmgr06&amp;bdata=JnNpdGU9ZWhvc3QtbGl2ZQ%3d%3d#AN=509405003&amp;db=hus</w:t>
        </w:r>
      </w:hyperlink>
      <w:r>
        <w:t xml:space="preserve"> &gt; accessed 25.05.2019.</w:t>
      </w:r>
    </w:p>
    <w:bookmarkEnd w:id="4"/>
  </w:footnote>
  <w:footnote w:id="11">
    <w:p w:rsidR="00CF5CE4" w:rsidRPr="0055000E" w:rsidRDefault="00CF5CE4" w:rsidP="009906D6">
      <w:r>
        <w:rPr>
          <w:rStyle w:val="FootnoteReference"/>
        </w:rPr>
        <w:footnoteRef/>
      </w:r>
      <w:r>
        <w:t xml:space="preserve"> </w:t>
      </w:r>
      <w:r w:rsidR="004619F6" w:rsidRPr="00667208">
        <w:t xml:space="preserve">Martha A. Townsend, ‘Amadeus as dramatic monologue’, </w:t>
      </w:r>
      <w:r w:rsidR="004619F6" w:rsidRPr="000A3F1E">
        <w:rPr>
          <w:i/>
          <w:bdr w:val="none" w:sz="0" w:space="0" w:color="auto" w:frame="1"/>
        </w:rPr>
        <w:t xml:space="preserve">Literature Film Quarterly, </w:t>
      </w:r>
      <w:r w:rsidR="004619F6" w:rsidRPr="000A3F1E">
        <w:rPr>
          <w:bdr w:val="none" w:sz="0" w:space="0" w:color="auto" w:frame="1"/>
        </w:rPr>
        <w:t xml:space="preserve">1986, Vol. 14 Issue 4, </w:t>
      </w:r>
      <w:r w:rsidR="004619F6">
        <w:rPr>
          <w:bdr w:val="none" w:sz="0" w:space="0" w:color="auto" w:frame="1"/>
        </w:rPr>
        <w:t>P 37</w:t>
      </w:r>
      <w:r w:rsidR="004619F6" w:rsidRPr="000A3F1E">
        <w:rPr>
          <w:bdr w:val="none" w:sz="0" w:space="0" w:color="auto" w:frame="1"/>
        </w:rPr>
        <w:t xml:space="preserve">, </w:t>
      </w:r>
      <w:r w:rsidR="004619F6">
        <w:rPr>
          <w:bdr w:val="none" w:sz="0" w:space="0" w:color="auto" w:frame="1"/>
        </w:rPr>
        <w:t xml:space="preserve">available at &lt; </w:t>
      </w:r>
      <w:hyperlink r:id="rId8" w:anchor="AN=509405003&amp;db=hus" w:history="1">
        <w:r w:rsidR="004619F6" w:rsidRPr="000A3F1E">
          <w:rPr>
            <w:rStyle w:val="Hyperlink"/>
          </w:rPr>
          <w:t>https://web-b-ebscohost-com.ezproxy.uwtsd.ac.uk/ehost/detail/detail?vid=1&amp;sid=f8811548-64a5-473a-82c0-9b6990ded84a%40pdc-v-</w:t>
        </w:r>
        <w:r w:rsidR="004619F6" w:rsidRPr="00A563D6">
          <w:rPr>
            <w:rStyle w:val="Hyperlink"/>
          </w:rPr>
          <w:t>s</w:t>
        </w:r>
        <w:r w:rsidR="004619F6" w:rsidRPr="000A3F1E">
          <w:rPr>
            <w:rStyle w:val="Hyperlink"/>
          </w:rPr>
          <w:t>essmgr06&amp;bdata=JnNpdGU9ZWhvc3QtbGl2ZQ%3d%3d#AN=509405003&amp;db=hus</w:t>
        </w:r>
      </w:hyperlink>
      <w:r w:rsidR="004619F6">
        <w:t xml:space="preserve"> &gt; accessed 25.05.2019.</w:t>
      </w:r>
      <w:r w:rsidR="004619F6">
        <w:t xml:space="preserve">     </w:t>
      </w:r>
    </w:p>
  </w:footnote>
  <w:footnote w:id="12">
    <w:p w:rsidR="00CF5CE4" w:rsidRPr="009F5251" w:rsidRDefault="00CF5CE4" w:rsidP="00CF5CE4">
      <w:pPr>
        <w:jc w:val="both"/>
      </w:pPr>
      <w:r>
        <w:rPr>
          <w:rStyle w:val="FootnoteReference"/>
        </w:rPr>
        <w:footnoteRef/>
      </w:r>
      <w:r>
        <w:t xml:space="preserve"> </w:t>
      </w:r>
      <w:bookmarkStart w:id="5" w:name="_Hlk10151890"/>
      <w:r w:rsidRPr="001776EC">
        <w:rPr>
          <w:rFonts w:eastAsia="Yu Gothic Light"/>
          <w:bCs/>
        </w:rPr>
        <w:t xml:space="preserve">C. J. </w:t>
      </w:r>
      <w:proofErr w:type="spellStart"/>
      <w:r w:rsidRPr="001776EC">
        <w:rPr>
          <w:rFonts w:eastAsia="Yu Gothic Light"/>
          <w:bCs/>
        </w:rPr>
        <w:t>Gianakaris</w:t>
      </w:r>
      <w:proofErr w:type="spellEnd"/>
      <w:r w:rsidRPr="001776EC">
        <w:rPr>
          <w:rFonts w:eastAsia="Yu Gothic Light"/>
          <w:bCs/>
        </w:rPr>
        <w:t xml:space="preserve">, ‘A Playwright Looks at Mozart: Peter Shaffer's "Amadeus"’ in </w:t>
      </w:r>
    </w:p>
    <w:p w:rsidR="00CF5CE4" w:rsidRDefault="00CF5CE4" w:rsidP="009906D6">
      <w:pPr>
        <w:ind w:right="-335"/>
        <w:jc w:val="both"/>
      </w:pPr>
      <w:r w:rsidRPr="001776EC">
        <w:rPr>
          <w:rFonts w:eastAsia="Yu Gothic Light"/>
          <w:bCs/>
          <w:i/>
        </w:rPr>
        <w:t>Comparative Drama</w:t>
      </w:r>
      <w:r w:rsidRPr="001776EC">
        <w:rPr>
          <w:rFonts w:eastAsia="Yu Gothic Light"/>
          <w:bCs/>
        </w:rPr>
        <w:t xml:space="preserve">; Spring 1981; 15, 1; Performing Arts Periodicals Database pg. 37, available at      </w:t>
      </w:r>
      <w:hyperlink r:id="rId9" w:history="1">
        <w:r w:rsidRPr="001776EC">
          <w:rPr>
            <w:rFonts w:eastAsia="Yu Gothic Light"/>
            <w:bCs/>
            <w:color w:val="0563C1" w:themeColor="hyperlink"/>
            <w:u w:val="single"/>
          </w:rPr>
          <w:t>file:///C:/Users/llang/Desktop/RELGION%20ESSAY/A_Playwright_Looks_at_Mozart_%20Giank.pdf</w:t>
        </w:r>
      </w:hyperlink>
      <w:r w:rsidRPr="001776EC">
        <w:rPr>
          <w:rFonts w:eastAsia="Yu Gothic Light"/>
          <w:bCs/>
        </w:rPr>
        <w:t xml:space="preserve"> &gt; accessed 26.05.2019.</w:t>
      </w:r>
    </w:p>
    <w:bookmarkEnd w:id="5"/>
  </w:footnote>
  <w:footnote w:id="13">
    <w:p w:rsidR="00CF5CE4" w:rsidRDefault="00CF5CE4" w:rsidP="00CF5CE4">
      <w:pPr>
        <w:jc w:val="both"/>
      </w:pPr>
      <w:r>
        <w:rPr>
          <w:rStyle w:val="FootnoteReference"/>
        </w:rPr>
        <w:footnoteRef/>
      </w:r>
      <w:r>
        <w:t xml:space="preserve"> </w:t>
      </w:r>
      <w:r w:rsidRPr="002B0BE0">
        <w:t xml:space="preserve">Robert Jewett, </w:t>
      </w:r>
      <w:r w:rsidRPr="002B0BE0">
        <w:rPr>
          <w:i/>
        </w:rPr>
        <w:t xml:space="preserve">Saint Paul at the Movies: The Apostle’s Dialogue with American Culture, </w:t>
      </w:r>
      <w:r w:rsidRPr="002B0BE0">
        <w:t>(Louisville: Westminster John Knox, 1993).</w:t>
      </w:r>
    </w:p>
  </w:footnote>
  <w:footnote w:id="14">
    <w:p w:rsidR="00CF5CE4" w:rsidRDefault="00CF5CE4" w:rsidP="00CF5CE4">
      <w:pPr>
        <w:jc w:val="both"/>
      </w:pPr>
      <w:r>
        <w:rPr>
          <w:rStyle w:val="FootnoteReference"/>
        </w:rPr>
        <w:footnoteRef/>
      </w:r>
      <w:r>
        <w:t xml:space="preserve"> </w:t>
      </w:r>
      <w:r w:rsidRPr="002B0BE0">
        <w:t xml:space="preserve">Robert Jewett, </w:t>
      </w:r>
      <w:r w:rsidRPr="002B0BE0">
        <w:rPr>
          <w:i/>
        </w:rPr>
        <w:t xml:space="preserve">Saint Paul at the Movies: The Apostle’s Dialogue with American Culture, </w:t>
      </w:r>
      <w:r w:rsidRPr="002B0BE0">
        <w:t>(Louisville: Westminster John Knox, 1993)</w:t>
      </w:r>
      <w:r>
        <w:t>, p32.</w:t>
      </w:r>
    </w:p>
  </w:footnote>
  <w:footnote w:id="15">
    <w:p w:rsidR="00CF5CE4" w:rsidRPr="00E11587" w:rsidRDefault="00CF5CE4" w:rsidP="00CF5CE4">
      <w:pPr>
        <w:pStyle w:val="NormalWeb"/>
        <w:ind w:right="-335"/>
        <w:rPr>
          <w:sz w:val="22"/>
          <w:szCs w:val="22"/>
        </w:rPr>
      </w:pPr>
      <w:r w:rsidRPr="00E11587">
        <w:rPr>
          <w:rStyle w:val="FootnoteReference"/>
          <w:sz w:val="22"/>
          <w:szCs w:val="22"/>
        </w:rPr>
        <w:footnoteRef/>
      </w:r>
      <w:r w:rsidRPr="00E11587">
        <w:rPr>
          <w:sz w:val="22"/>
          <w:szCs w:val="22"/>
        </w:rPr>
        <w:t xml:space="preserve"> </w:t>
      </w:r>
      <w:bookmarkStart w:id="6" w:name="_Hlk10151357"/>
      <w:r w:rsidRPr="00E11587">
        <w:rPr>
          <w:sz w:val="22"/>
          <w:szCs w:val="22"/>
        </w:rPr>
        <w:t xml:space="preserve">C.J. </w:t>
      </w:r>
      <w:proofErr w:type="spellStart"/>
      <w:r w:rsidRPr="00E11587">
        <w:rPr>
          <w:sz w:val="22"/>
          <w:szCs w:val="22"/>
        </w:rPr>
        <w:t>Gianakaris</w:t>
      </w:r>
      <w:proofErr w:type="spellEnd"/>
      <w:r w:rsidRPr="00E11587">
        <w:rPr>
          <w:sz w:val="22"/>
          <w:szCs w:val="22"/>
        </w:rPr>
        <w:t xml:space="preserve">, ‘Playwright looks at Mozart: Peter Shaffer’s Amadeus, </w:t>
      </w:r>
      <w:r w:rsidRPr="00E11587">
        <w:rPr>
          <w:i/>
          <w:sz w:val="22"/>
          <w:szCs w:val="22"/>
        </w:rPr>
        <w:t xml:space="preserve">Comparative Drama, </w:t>
      </w:r>
      <w:r w:rsidRPr="00E11587">
        <w:rPr>
          <w:sz w:val="22"/>
          <w:szCs w:val="22"/>
        </w:rPr>
        <w:t xml:space="preserve">vol 15 (Spring 1981) 37-54, available at &lt; </w:t>
      </w:r>
      <w:hyperlink r:id="rId10" w:history="1">
        <w:r w:rsidRPr="00E11587">
          <w:rPr>
            <w:rStyle w:val="Hyperlink"/>
            <w:rFonts w:eastAsia="Yu Gothic Light"/>
            <w:bCs/>
            <w:sz w:val="22"/>
            <w:szCs w:val="22"/>
          </w:rPr>
          <w:t>https://search-proquest-com.ezproxy.uwtsd.ac.uk/docview/740652864/fulltext/875EC7E57CF146E1PQ/1?accountid=130472</w:t>
        </w:r>
      </w:hyperlink>
      <w:r w:rsidRPr="00E11587">
        <w:rPr>
          <w:rFonts w:eastAsia="Yu Gothic Light"/>
          <w:bCs/>
          <w:sz w:val="22"/>
          <w:szCs w:val="22"/>
        </w:rPr>
        <w:t>&gt; accessed 20.05.2019.</w:t>
      </w:r>
      <w:r w:rsidRPr="00E11587">
        <w:rPr>
          <w:sz w:val="22"/>
          <w:szCs w:val="22"/>
        </w:rPr>
        <w:t xml:space="preserve"> </w:t>
      </w:r>
    </w:p>
    <w:bookmarkEnd w:id="6"/>
  </w:footnote>
  <w:footnote w:id="16">
    <w:p w:rsidR="00CF5CE4" w:rsidRDefault="00CF5CE4" w:rsidP="00CF5CE4">
      <w:pPr>
        <w:jc w:val="both"/>
      </w:pPr>
      <w:r>
        <w:rPr>
          <w:rStyle w:val="FootnoteReference"/>
        </w:rPr>
        <w:footnoteRef/>
      </w:r>
      <w:r>
        <w:t xml:space="preserve"> &lt;</w:t>
      </w:r>
      <w:hyperlink r:id="rId11" w:history="1">
        <w:r w:rsidRPr="00E94C8A">
          <w:rPr>
            <w:rStyle w:val="Hyperlink"/>
          </w:rPr>
          <w:t>http://makuro.mak-sima.com/teksty/amadeus/2_5_1.html</w:t>
        </w:r>
      </w:hyperlink>
      <w:r>
        <w:t xml:space="preserve">&gt; accessed 26.05.2109. </w:t>
      </w:r>
    </w:p>
  </w:footnote>
  <w:footnote w:id="17">
    <w:p w:rsidR="00CF5CE4" w:rsidRPr="005752C3" w:rsidRDefault="00CF5CE4" w:rsidP="00CF5CE4">
      <w:pPr>
        <w:spacing w:line="315" w:lineRule="atLeast"/>
        <w:rPr>
          <w:rFonts w:ascii="Corbel" w:eastAsia="Yu Gothic Light" w:hAnsi="Corbel" w:cs="Tahoma"/>
          <w:bCs/>
          <w:sz w:val="28"/>
          <w:szCs w:val="28"/>
        </w:rPr>
      </w:pPr>
      <w:r w:rsidRPr="005752C3">
        <w:rPr>
          <w:rStyle w:val="FootnoteReference"/>
        </w:rPr>
        <w:footnoteRef/>
      </w:r>
      <w:r w:rsidRPr="005752C3">
        <w:t xml:space="preserve"> </w:t>
      </w:r>
      <w:r w:rsidRPr="007C0588">
        <w:rPr>
          <w:rFonts w:eastAsia="Times New Roman"/>
          <w:lang w:eastAsia="en-GB"/>
        </w:rPr>
        <w:t>Dennis A. Klein</w:t>
      </w:r>
      <w:r w:rsidRPr="005752C3">
        <w:rPr>
          <w:rFonts w:eastAsia="Times New Roman"/>
          <w:lang w:eastAsia="en-GB"/>
        </w:rPr>
        <w:t xml:space="preserve">, </w:t>
      </w:r>
      <w:r w:rsidRPr="005752C3">
        <w:rPr>
          <w:rFonts w:eastAsia="Times New Roman"/>
          <w:i/>
          <w:lang w:eastAsia="en-GB"/>
        </w:rPr>
        <w:t xml:space="preserve">Peter Schaffer, </w:t>
      </w:r>
      <w:r w:rsidRPr="005752C3">
        <w:rPr>
          <w:rFonts w:eastAsia="Times New Roman"/>
          <w:lang w:eastAsia="en-GB"/>
        </w:rPr>
        <w:t>rev. ed. (New York: Maxwell Macmillan International, 1993).</w:t>
      </w:r>
    </w:p>
    <w:p w:rsidR="00CF5CE4" w:rsidRPr="005752C3" w:rsidRDefault="00CF5CE4" w:rsidP="00CF5CE4">
      <w:pPr>
        <w:pStyle w:val="FootnoteText"/>
      </w:pPr>
    </w:p>
  </w:footnote>
  <w:footnote w:id="18">
    <w:p w:rsidR="00CF5CE4" w:rsidRPr="00934C94" w:rsidRDefault="00CF5CE4" w:rsidP="00CF5CE4">
      <w:pPr>
        <w:rPr>
          <w:rFonts w:eastAsia="Times New Roman"/>
          <w:lang w:val="en" w:eastAsia="en-GB"/>
        </w:rPr>
      </w:pPr>
      <w:r>
        <w:rPr>
          <w:rStyle w:val="FootnoteReference"/>
        </w:rPr>
        <w:footnoteRef/>
      </w:r>
      <w:r>
        <w:t xml:space="preserve"> </w:t>
      </w:r>
      <w:r w:rsidRPr="00934C94">
        <w:rPr>
          <w:rFonts w:eastAsia="Times New Roman"/>
          <w:lang w:val="en" w:eastAsia="en-GB"/>
        </w:rPr>
        <w:t xml:space="preserve">Kerry </w:t>
      </w:r>
      <w:proofErr w:type="spellStart"/>
      <w:r w:rsidRPr="00934C94">
        <w:rPr>
          <w:rFonts w:eastAsia="Times New Roman"/>
          <w:lang w:val="en" w:eastAsia="en-GB"/>
        </w:rPr>
        <w:t>Sabbag</w:t>
      </w:r>
      <w:proofErr w:type="spellEnd"/>
      <w:r w:rsidRPr="00934C94">
        <w:rPr>
          <w:rFonts w:eastAsia="Times New Roman"/>
          <w:lang w:val="en" w:eastAsia="en-GB"/>
        </w:rPr>
        <w:t xml:space="preserve">, "Cain and </w:t>
      </w:r>
      <w:proofErr w:type="spellStart"/>
      <w:r w:rsidRPr="00934C94">
        <w:rPr>
          <w:rFonts w:eastAsia="Times New Roman"/>
          <w:lang w:val="en" w:eastAsia="en-GB"/>
        </w:rPr>
        <w:t>Herostratus</w:t>
      </w:r>
      <w:proofErr w:type="spellEnd"/>
      <w:r w:rsidRPr="00934C94">
        <w:rPr>
          <w:rFonts w:eastAsia="Times New Roman"/>
          <w:lang w:val="en" w:eastAsia="en-GB"/>
        </w:rPr>
        <w:t xml:space="preserve">: Pushkin and Shaffer's </w:t>
      </w:r>
      <w:proofErr w:type="spellStart"/>
      <w:r w:rsidRPr="00934C94">
        <w:rPr>
          <w:rFonts w:eastAsia="Times New Roman"/>
          <w:lang w:val="en" w:eastAsia="en-GB"/>
        </w:rPr>
        <w:t>Reappropriations</w:t>
      </w:r>
      <w:proofErr w:type="spellEnd"/>
      <w:r w:rsidRPr="00934C94">
        <w:rPr>
          <w:rFonts w:eastAsia="Times New Roman"/>
          <w:lang w:val="en" w:eastAsia="en-GB"/>
        </w:rPr>
        <w:t xml:space="preserve"> of the Mozart Myth," Pushkin Review 6-7 (2004): 25-37 </w:t>
      </w:r>
      <w:r w:rsidRPr="00934C94">
        <w:rPr>
          <w:rFonts w:eastAsia="Times New Roman"/>
          <w:i/>
          <w:lang w:val="en" w:eastAsia="en-GB"/>
        </w:rPr>
        <w:t xml:space="preserve">in </w:t>
      </w:r>
      <w:proofErr w:type="spellStart"/>
      <w:r w:rsidRPr="00934C94">
        <w:rPr>
          <w:rFonts w:eastAsia="Times New Roman"/>
          <w:lang w:val="en" w:eastAsia="en-GB"/>
        </w:rPr>
        <w:t>Aschkenasy</w:t>
      </w:r>
      <w:proofErr w:type="spellEnd"/>
      <w:r w:rsidRPr="00934C94">
        <w:rPr>
          <w:rFonts w:eastAsia="Times New Roman"/>
          <w:lang w:val="en" w:eastAsia="en-GB"/>
        </w:rPr>
        <w:t xml:space="preserve">, </w:t>
      </w:r>
      <w:proofErr w:type="spellStart"/>
      <w:r w:rsidRPr="00934C94">
        <w:rPr>
          <w:rFonts w:eastAsia="Times New Roman"/>
          <w:lang w:val="en" w:eastAsia="en-GB"/>
        </w:rPr>
        <w:t>Nehama</w:t>
      </w:r>
      <w:proofErr w:type="spellEnd"/>
      <w:r w:rsidRPr="00934C94">
        <w:rPr>
          <w:rFonts w:eastAsia="Times New Roman"/>
          <w:lang w:val="en" w:eastAsia="en-GB"/>
        </w:rPr>
        <w:t xml:space="preserve">, ‘The Biblical Intertext in Peter Schaffer’s “Amadeus” (Or, Saul and David in Eighteenth Century Vienna), </w:t>
      </w:r>
      <w:hyperlink r:id="rId12" w:tooltip="Click to search for more items from this journal" w:history="1">
        <w:r w:rsidRPr="00934C94">
          <w:rPr>
            <w:rFonts w:eastAsia="Times New Roman"/>
            <w:bCs/>
            <w:i/>
            <w:lang w:eastAsia="en-GB"/>
          </w:rPr>
          <w:t>Comparative Drama</w:t>
        </w:r>
      </w:hyperlink>
      <w:r w:rsidRPr="00934C94">
        <w:rPr>
          <w:rFonts w:eastAsia="Times New Roman"/>
          <w:bCs/>
          <w:i/>
          <w:lang w:eastAsia="en-GB"/>
        </w:rPr>
        <w:t>; Kalamazoo, Mich</w:t>
      </w:r>
      <w:r w:rsidRPr="00934C94">
        <w:rPr>
          <w:rFonts w:eastAsia="Times New Roman"/>
          <w:bCs/>
          <w:lang w:eastAsia="en-GB"/>
        </w:rPr>
        <w:t>.</w:t>
      </w:r>
      <w:hyperlink r:id="rId13" w:tooltip="Click to search for more items from this issue" w:history="1">
        <w:r w:rsidRPr="00934C94">
          <w:rPr>
            <w:rFonts w:eastAsia="Times New Roman"/>
            <w:u w:val="single"/>
            <w:lang w:eastAsia="en-GB"/>
          </w:rPr>
          <w:t> Vol. 44, </w:t>
        </w:r>
        <w:proofErr w:type="spellStart"/>
        <w:r w:rsidRPr="00934C94">
          <w:rPr>
            <w:rFonts w:eastAsia="Times New Roman"/>
            <w:u w:val="single"/>
            <w:lang w:eastAsia="en-GB"/>
          </w:rPr>
          <w:t>Iss</w:t>
        </w:r>
        <w:proofErr w:type="spellEnd"/>
        <w:r w:rsidRPr="00934C94">
          <w:rPr>
            <w:rFonts w:eastAsia="Times New Roman"/>
            <w:u w:val="single"/>
            <w:lang w:eastAsia="en-GB"/>
          </w:rPr>
          <w:t>. 1, </w:t>
        </w:r>
      </w:hyperlink>
      <w:r w:rsidRPr="00934C94">
        <w:rPr>
          <w:rFonts w:eastAsia="Times New Roman"/>
          <w:lang w:eastAsia="en-GB"/>
        </w:rPr>
        <w:t xml:space="preserve"> (Spring 2010): p45-62</w:t>
      </w:r>
      <w:r>
        <w:rPr>
          <w:rFonts w:eastAsia="Times New Roman"/>
          <w:lang w:eastAsia="en-GB"/>
        </w:rPr>
        <w:t xml:space="preserve">, available at </w:t>
      </w:r>
    </w:p>
    <w:p w:rsidR="00CF5CE4" w:rsidRPr="00F11922" w:rsidRDefault="00CF5CE4" w:rsidP="00CF5CE4">
      <w:r>
        <w:t xml:space="preserve">&lt; </w:t>
      </w:r>
      <w:hyperlink r:id="rId14" w:history="1">
        <w:r w:rsidRPr="00F11922">
          <w:rPr>
            <w:rStyle w:val="Hyperlink"/>
          </w:rPr>
          <w:t>https://search-proquest-com.ezproxy.uwtsd.ac.uk/docview/753488650/fulltext/AC689DDCBF0E4F20PQ/1?accountid=130472</w:t>
        </w:r>
      </w:hyperlink>
      <w:r w:rsidRPr="00F11922">
        <w:t xml:space="preserve"> &gt; accessed 25.05.2019.</w:t>
      </w:r>
    </w:p>
  </w:footnote>
  <w:footnote w:id="19">
    <w:p w:rsidR="00CF5CE4" w:rsidRPr="00E11587" w:rsidRDefault="00CF5CE4" w:rsidP="00CF5CE4">
      <w:r w:rsidRPr="00F11922">
        <w:rPr>
          <w:rStyle w:val="FootnoteReference"/>
        </w:rPr>
        <w:footnoteRef/>
      </w:r>
      <w:r w:rsidRPr="00F11922">
        <w:t xml:space="preserve"> Robbins, Gregory (2016) ‘Mozart &amp; Salieri, Cain &amp; Abel: A Cinematic Transformation of Genesis     4,’ </w:t>
      </w:r>
      <w:r w:rsidRPr="00F11922">
        <w:rPr>
          <w:i/>
        </w:rPr>
        <w:t>Journal of Religion &amp; Film</w:t>
      </w:r>
      <w:r w:rsidRPr="00F11922">
        <w:t xml:space="preserve">: Vol. </w:t>
      </w:r>
      <w:proofErr w:type="gramStart"/>
      <w:r w:rsidRPr="00F11922">
        <w:t>1 ,</w:t>
      </w:r>
      <w:proofErr w:type="spellStart"/>
      <w:r w:rsidRPr="00F11922">
        <w:t>Iss</w:t>
      </w:r>
      <w:proofErr w:type="spellEnd"/>
      <w:proofErr w:type="gramEnd"/>
      <w:r w:rsidRPr="00F11922">
        <w:t xml:space="preserve">. 1, Article 5, available at:&lt; </w:t>
      </w:r>
      <w:hyperlink r:id="rId15" w:history="1">
        <w:r w:rsidRPr="00E11587">
          <w:rPr>
            <w:color w:val="0563C1" w:themeColor="hyperlink"/>
            <w:u w:val="single"/>
          </w:rPr>
          <w:t>https://digitalcommons.unomaha.edu/jrf/vol1/iss1/5</w:t>
        </w:r>
      </w:hyperlink>
      <w:r w:rsidRPr="00E11587">
        <w:t xml:space="preserve"> &gt; accessed 27.05.2019.</w:t>
      </w:r>
    </w:p>
    <w:p w:rsidR="00CF5CE4" w:rsidRPr="00E11587" w:rsidRDefault="00CF5CE4" w:rsidP="00CF5CE4">
      <w:pPr>
        <w:pStyle w:val="FootnoteText"/>
        <w:rPr>
          <w:sz w:val="22"/>
          <w:szCs w:val="22"/>
        </w:rPr>
      </w:pPr>
    </w:p>
  </w:footnote>
  <w:footnote w:id="20">
    <w:p w:rsidR="00CF5CE4" w:rsidRPr="00E11587" w:rsidRDefault="00CF5CE4" w:rsidP="00CF5CE4">
      <w:pPr>
        <w:pStyle w:val="FootnoteText"/>
        <w:rPr>
          <w:sz w:val="22"/>
          <w:szCs w:val="22"/>
        </w:rPr>
      </w:pPr>
      <w:r w:rsidRPr="00E11587">
        <w:rPr>
          <w:rStyle w:val="FootnoteReference"/>
          <w:sz w:val="22"/>
          <w:szCs w:val="22"/>
        </w:rPr>
        <w:footnoteRef/>
      </w:r>
      <w:r w:rsidRPr="00E11587">
        <w:rPr>
          <w:sz w:val="22"/>
          <w:szCs w:val="22"/>
        </w:rPr>
        <w:t xml:space="preserve"> All biblical references </w:t>
      </w:r>
      <w:r>
        <w:rPr>
          <w:sz w:val="22"/>
          <w:szCs w:val="22"/>
        </w:rPr>
        <w:t>are taken from the NRSV bible.</w:t>
      </w:r>
    </w:p>
  </w:footnote>
  <w:footnote w:id="21">
    <w:p w:rsidR="00CF5CE4" w:rsidRPr="00E11587" w:rsidRDefault="00CF5CE4" w:rsidP="00CF5CE4">
      <w:r>
        <w:rPr>
          <w:rStyle w:val="FootnoteReference"/>
        </w:rPr>
        <w:footnoteRef/>
      </w:r>
      <w:r>
        <w:t xml:space="preserve"> </w:t>
      </w:r>
      <w:bookmarkStart w:id="7" w:name="_Hlk10138269"/>
      <w:r w:rsidRPr="00E11587">
        <w:t xml:space="preserve">Robbins, Gregory (2016) ‘Mozart &amp; Salieri, Cain &amp; Abel: A Cinematic Transformation of Genesis 4,’ </w:t>
      </w:r>
      <w:r w:rsidRPr="00E11587">
        <w:rPr>
          <w:i/>
        </w:rPr>
        <w:t>Journal of Religion &amp; Film</w:t>
      </w:r>
      <w:r w:rsidRPr="00E11587">
        <w:t xml:space="preserve">: Vol. </w:t>
      </w:r>
      <w:proofErr w:type="gramStart"/>
      <w:r w:rsidRPr="00E11587">
        <w:t>1 ,</w:t>
      </w:r>
      <w:proofErr w:type="spellStart"/>
      <w:r w:rsidRPr="00E11587">
        <w:t>Iss</w:t>
      </w:r>
      <w:proofErr w:type="spellEnd"/>
      <w:proofErr w:type="gramEnd"/>
      <w:r w:rsidRPr="00E11587">
        <w:t>. 1, Article 5,</w:t>
      </w:r>
      <w:r>
        <w:t xml:space="preserve"> p1,</w:t>
      </w:r>
      <w:r w:rsidRPr="00E11587">
        <w:t xml:space="preserve"> available at:&lt; </w:t>
      </w:r>
      <w:hyperlink r:id="rId16" w:history="1">
        <w:r w:rsidRPr="00E11587">
          <w:rPr>
            <w:color w:val="0563C1" w:themeColor="hyperlink"/>
            <w:u w:val="single"/>
          </w:rPr>
          <w:t>https://digitalcommons.unomaha.edu/jrf/vol1/iss1/5</w:t>
        </w:r>
      </w:hyperlink>
      <w:r w:rsidRPr="00E11587">
        <w:t xml:space="preserve"> &gt; accessed 27.05.2019.</w:t>
      </w:r>
    </w:p>
    <w:p w:rsidR="00CF5CE4" w:rsidRDefault="00CF5CE4" w:rsidP="00CF5CE4">
      <w:pPr>
        <w:pStyle w:val="FootnoteText"/>
      </w:pPr>
    </w:p>
    <w:bookmarkEnd w:id="7"/>
  </w:footnote>
  <w:footnote w:id="22">
    <w:p w:rsidR="00CF5CE4" w:rsidRDefault="00CF5CE4" w:rsidP="00CF5CE4">
      <w:pPr>
        <w:pStyle w:val="FootnoteText"/>
      </w:pPr>
      <w:r>
        <w:rPr>
          <w:rStyle w:val="FootnoteReference"/>
        </w:rPr>
        <w:footnoteRef/>
      </w:r>
      <w:r>
        <w:t xml:space="preserve"> </w:t>
      </w:r>
      <w:r w:rsidRPr="00034BCF">
        <w:rPr>
          <w:sz w:val="22"/>
          <w:szCs w:val="22"/>
        </w:rPr>
        <w:t xml:space="preserve">&lt; </w:t>
      </w:r>
      <w:hyperlink r:id="rId17" w:history="1">
        <w:r w:rsidRPr="00034BCF">
          <w:rPr>
            <w:rStyle w:val="Hyperlink"/>
            <w:sz w:val="22"/>
            <w:szCs w:val="22"/>
          </w:rPr>
          <w:t>https://www.zaentz.com/amadeus.html</w:t>
        </w:r>
      </w:hyperlink>
      <w:r w:rsidRPr="00034BCF">
        <w:rPr>
          <w:sz w:val="22"/>
          <w:szCs w:val="22"/>
        </w:rPr>
        <w:t xml:space="preserve"> &gt; accessed 25.05.2019.</w:t>
      </w:r>
    </w:p>
  </w:footnote>
  <w:footnote w:id="23">
    <w:p w:rsidR="00CF5CE4" w:rsidRDefault="00CF5CE4" w:rsidP="00CF5CE4">
      <w:pPr>
        <w:pStyle w:val="NormalWeb"/>
        <w:spacing w:after="0" w:line="360" w:lineRule="auto"/>
        <w:ind w:right="-335"/>
        <w:jc w:val="both"/>
      </w:pPr>
      <w:r w:rsidRPr="00B66429">
        <w:rPr>
          <w:rStyle w:val="FootnoteReference"/>
          <w:sz w:val="22"/>
          <w:szCs w:val="22"/>
        </w:rPr>
        <w:footnoteRef/>
      </w:r>
      <w:r w:rsidRPr="00B66429">
        <w:rPr>
          <w:sz w:val="22"/>
          <w:szCs w:val="22"/>
        </w:rPr>
        <w:t xml:space="preserve"> </w:t>
      </w:r>
      <w:r w:rsidRPr="00B66429">
        <w:rPr>
          <w:rFonts w:eastAsia="Yu Gothic Light"/>
          <w:bCs/>
          <w:i/>
          <w:sz w:val="22"/>
          <w:szCs w:val="22"/>
        </w:rPr>
        <w:t xml:space="preserve">Amadeus </w:t>
      </w:r>
      <w:r w:rsidRPr="00B66429">
        <w:rPr>
          <w:rFonts w:eastAsia="Yu Gothic Light"/>
          <w:bCs/>
          <w:sz w:val="22"/>
          <w:szCs w:val="22"/>
        </w:rPr>
        <w:t>(Warner Bros, A.O.L, Time Warner. The Saul Zaentz Company. Directed by Milos Forman, 1984)</w:t>
      </w:r>
      <w:r>
        <w:rPr>
          <w:rFonts w:eastAsia="Yu Gothic Light"/>
          <w:bCs/>
          <w:sz w:val="22"/>
          <w:szCs w:val="22"/>
        </w:rPr>
        <w:t>, DVD packaging.</w:t>
      </w:r>
    </w:p>
  </w:footnote>
  <w:footnote w:id="24">
    <w:p w:rsidR="00CF5CE4" w:rsidRDefault="00CF5CE4" w:rsidP="00CF5CE4">
      <w:pPr>
        <w:pStyle w:val="FootnoteText"/>
      </w:pPr>
      <w:r>
        <w:rPr>
          <w:rStyle w:val="FootnoteReference"/>
        </w:rPr>
        <w:footnoteRef/>
      </w:r>
      <w:r>
        <w:t xml:space="preserve"> ibid</w:t>
      </w:r>
    </w:p>
  </w:footnote>
  <w:footnote w:id="25">
    <w:p w:rsidR="00CF5CE4" w:rsidRPr="00E11587" w:rsidRDefault="00CF5CE4" w:rsidP="00CF5CE4">
      <w:r>
        <w:rPr>
          <w:rStyle w:val="FootnoteReference"/>
        </w:rPr>
        <w:footnoteRef/>
      </w:r>
      <w:r>
        <w:t xml:space="preserve"> Gregory </w:t>
      </w:r>
      <w:r w:rsidRPr="00E11587">
        <w:t xml:space="preserve">Robbins, ‘Mozart &amp; Salieri, Cain &amp; Abel: A Cinematic Transformation of Genesis 4,’ </w:t>
      </w:r>
      <w:r w:rsidRPr="00E11587">
        <w:rPr>
          <w:i/>
        </w:rPr>
        <w:t>Journal of Religion &amp; Film</w:t>
      </w:r>
      <w:r w:rsidRPr="00E11587">
        <w:t xml:space="preserve">: </w:t>
      </w:r>
      <w:r>
        <w:t xml:space="preserve">(2016), </w:t>
      </w:r>
      <w:r w:rsidRPr="00E11587">
        <w:t xml:space="preserve">Vol. 1, </w:t>
      </w:r>
      <w:proofErr w:type="spellStart"/>
      <w:r w:rsidRPr="00E11587">
        <w:t>Iss</w:t>
      </w:r>
      <w:proofErr w:type="spellEnd"/>
      <w:r w:rsidRPr="00E11587">
        <w:t>. 1, Article 5,</w:t>
      </w:r>
      <w:r>
        <w:t xml:space="preserve"> p1,</w:t>
      </w:r>
      <w:r w:rsidRPr="00E11587">
        <w:t xml:space="preserve"> available at:&lt; </w:t>
      </w:r>
      <w:hyperlink r:id="rId18" w:history="1">
        <w:r w:rsidRPr="00E11587">
          <w:rPr>
            <w:color w:val="0563C1" w:themeColor="hyperlink"/>
            <w:u w:val="single"/>
          </w:rPr>
          <w:t>https://digitalcommons.unomaha.edu/jrf/vol1/iss1/5</w:t>
        </w:r>
      </w:hyperlink>
      <w:r w:rsidRPr="00E11587">
        <w:t xml:space="preserve"> &gt; accessed 27.05.2019.</w:t>
      </w:r>
    </w:p>
    <w:p w:rsidR="00CF5CE4" w:rsidRDefault="00CF5CE4" w:rsidP="00CF5CE4">
      <w:pPr>
        <w:pStyle w:val="FootnoteText"/>
      </w:pPr>
    </w:p>
    <w:p w:rsidR="00CF5CE4" w:rsidRDefault="00CF5CE4" w:rsidP="00CF5CE4">
      <w:pPr>
        <w:pStyle w:val="FootnoteText"/>
      </w:pPr>
    </w:p>
  </w:footnote>
  <w:footnote w:id="26">
    <w:tbl>
      <w:tblPr>
        <w:tblW w:w="0" w:type="auto"/>
        <w:tblCellSpacing w:w="15" w:type="dxa"/>
        <w:tblCellMar>
          <w:top w:w="150" w:type="dxa"/>
          <w:left w:w="15" w:type="dxa"/>
          <w:bottom w:w="30" w:type="dxa"/>
          <w:right w:w="15" w:type="dxa"/>
        </w:tblCellMar>
        <w:tblLook w:val="04A0" w:firstRow="1" w:lastRow="0" w:firstColumn="1" w:lastColumn="0" w:noHBand="0" w:noVBand="1"/>
      </w:tblPr>
      <w:tblGrid>
        <w:gridCol w:w="9026"/>
      </w:tblGrid>
      <w:tr w:rsidR="00CF5CE4" w:rsidRPr="004D5C4E" w:rsidTr="004D5C4E">
        <w:trPr>
          <w:tblCellSpacing w:w="15" w:type="dxa"/>
        </w:trPr>
        <w:tc>
          <w:tcPr>
            <w:tcW w:w="0" w:type="auto"/>
            <w:tcMar>
              <w:top w:w="15" w:type="dxa"/>
              <w:left w:w="15" w:type="dxa"/>
              <w:bottom w:w="15" w:type="dxa"/>
              <w:right w:w="15" w:type="dxa"/>
            </w:tcMar>
            <w:vAlign w:val="center"/>
            <w:hideMark/>
          </w:tcPr>
          <w:p w:rsidR="00CF5CE4" w:rsidRPr="004D5C4E" w:rsidRDefault="00CF5CE4" w:rsidP="004D5C4E">
            <w:pPr>
              <w:rPr>
                <w:rFonts w:eastAsia="Times New Roman"/>
                <w:lang w:eastAsia="en-GB"/>
              </w:rPr>
            </w:pPr>
            <w:r w:rsidRPr="004D5C4E">
              <w:rPr>
                <w:rStyle w:val="FootnoteReference"/>
              </w:rPr>
              <w:footnoteRef/>
            </w:r>
            <w:r w:rsidRPr="004D5C4E">
              <w:t xml:space="preserve"> </w:t>
            </w:r>
            <w:bookmarkStart w:id="9" w:name="_Hlk10143939"/>
            <w:r w:rsidRPr="004D5C4E">
              <w:t xml:space="preserve">Samuel </w:t>
            </w:r>
            <w:proofErr w:type="spellStart"/>
            <w:r w:rsidRPr="004D5C4E">
              <w:t>Terrien</w:t>
            </w:r>
            <w:proofErr w:type="spellEnd"/>
            <w:r w:rsidRPr="004D5C4E">
              <w:t xml:space="preserve">, ‘Amadeus Revisited’, </w:t>
            </w:r>
            <w:r w:rsidRPr="004D5C4E">
              <w:rPr>
                <w:i/>
              </w:rPr>
              <w:t xml:space="preserve">Theology Today Magazine, </w:t>
            </w:r>
            <w:r w:rsidRPr="004D5C4E">
              <w:t xml:space="preserve">Vol 42, </w:t>
            </w:r>
            <w:proofErr w:type="spellStart"/>
            <w:r w:rsidRPr="004D5C4E">
              <w:t>Iss</w:t>
            </w:r>
            <w:proofErr w:type="spellEnd"/>
            <w:r w:rsidRPr="004D5C4E">
              <w:t xml:space="preserve">. 4, January 1, 1986, p435-443, available at &lt; </w:t>
            </w:r>
            <w:hyperlink r:id="rId19" w:history="1">
              <w:r w:rsidRPr="004D5C4E">
                <w:rPr>
                  <w:rFonts w:eastAsia="Times New Roman"/>
                  <w:color w:val="006ACC"/>
                  <w:u w:val="single"/>
                  <w:lang w:eastAsia="en-GB"/>
                </w:rPr>
                <w:t>https://doi.org/10.1177/004057368604200403</w:t>
              </w:r>
            </w:hyperlink>
            <w:r w:rsidRPr="004D5C4E">
              <w:rPr>
                <w:rFonts w:eastAsia="Times New Roman"/>
                <w:color w:val="000000"/>
                <w:lang w:eastAsia="en-GB"/>
              </w:rPr>
              <w:t xml:space="preserve"> &gt; </w:t>
            </w:r>
            <w:r>
              <w:rPr>
                <w:rFonts w:eastAsia="Times New Roman"/>
                <w:color w:val="000000"/>
                <w:lang w:eastAsia="en-GB"/>
              </w:rPr>
              <w:t>accessed 29.05.2019.</w:t>
            </w:r>
            <w:bookmarkEnd w:id="9"/>
          </w:p>
        </w:tc>
      </w:tr>
      <w:tr w:rsidR="00CF5CE4" w:rsidRPr="004D5C4E" w:rsidTr="004D5C4E">
        <w:trPr>
          <w:tblCellSpacing w:w="15" w:type="dxa"/>
        </w:trPr>
        <w:tc>
          <w:tcPr>
            <w:tcW w:w="0" w:type="auto"/>
            <w:tcMar>
              <w:top w:w="0" w:type="dxa"/>
              <w:left w:w="0" w:type="dxa"/>
              <w:bottom w:w="0" w:type="dxa"/>
              <w:right w:w="0" w:type="dxa"/>
            </w:tcMar>
            <w:vAlign w:val="center"/>
            <w:hideMark/>
          </w:tcPr>
          <w:p w:rsidR="00CF5CE4" w:rsidRPr="004D5C4E" w:rsidRDefault="00CF5CE4" w:rsidP="004D5C4E">
            <w:pPr>
              <w:rPr>
                <w:rFonts w:eastAsia="Times New Roman"/>
                <w:lang w:eastAsia="en-GB"/>
              </w:rPr>
            </w:pPr>
          </w:p>
        </w:tc>
      </w:tr>
    </w:tbl>
    <w:p w:rsidR="00CF5CE4" w:rsidRPr="004D5C4E" w:rsidRDefault="00CF5CE4" w:rsidP="00CF5CE4">
      <w:pPr>
        <w:pStyle w:val="Heading1"/>
        <w:spacing w:before="0" w:line="360" w:lineRule="atLeast"/>
        <w:rPr>
          <w:rFonts w:ascii="Times New Roman" w:hAnsi="Times New Roman" w:cs="Times New Roman"/>
          <w:b/>
          <w:sz w:val="22"/>
          <w:szCs w:val="22"/>
        </w:rPr>
      </w:pPr>
    </w:p>
  </w:footnote>
  <w:footnote w:id="27">
    <w:p w:rsidR="00CF5CE4" w:rsidRDefault="00CF5CE4" w:rsidP="00CF5CE4">
      <w:r w:rsidRPr="008429E9">
        <w:rPr>
          <w:rStyle w:val="FootnoteReference"/>
        </w:rPr>
        <w:footnoteRef/>
      </w:r>
      <w:r w:rsidRPr="008429E9">
        <w:t xml:space="preserve"> </w:t>
      </w:r>
      <w:hyperlink r:id="rId20" w:history="1">
        <w:r w:rsidRPr="00826BFD">
          <w:rPr>
            <w:rStyle w:val="Hyperlink"/>
            <w:rFonts w:eastAsia="Times New Roman"/>
            <w:lang w:eastAsia="en-GB"/>
          </w:rPr>
          <w:t>https://educationaladvancement.wordpress.com/2014/09/23/asynchrony-and-the-gifted-child/</w:t>
        </w:r>
      </w:hyperlink>
      <w:r>
        <w:rPr>
          <w:rFonts w:eastAsia="Times New Roman"/>
          <w:lang w:eastAsia="en-GB"/>
        </w:rPr>
        <w:t xml:space="preserve"> accessed 28.05.2019.</w:t>
      </w:r>
    </w:p>
  </w:footnote>
  <w:footnote w:id="28">
    <w:p w:rsidR="00CF5CE4" w:rsidRPr="007032BA" w:rsidRDefault="00CF5CE4" w:rsidP="00B3442E">
      <w:r w:rsidRPr="007032BA">
        <w:rPr>
          <w:rStyle w:val="FootnoteReference"/>
        </w:rPr>
        <w:footnoteRef/>
      </w:r>
      <w:r w:rsidRPr="007032BA">
        <w:t xml:space="preserve"> Augustin </w:t>
      </w:r>
      <w:r>
        <w:t>Fuentes, ‘</w:t>
      </w:r>
      <w:r w:rsidRPr="007032BA">
        <w:t>Is inequality part of our evolutionary heritage?</w:t>
      </w:r>
      <w:r>
        <w:t xml:space="preserve">’, </w:t>
      </w:r>
      <w:r w:rsidRPr="007032BA">
        <w:t>Psychology</w:t>
      </w:r>
      <w:r>
        <w:rPr>
          <w:i/>
        </w:rPr>
        <w:t xml:space="preserve"> Today, </w:t>
      </w:r>
      <w:r>
        <w:t xml:space="preserve">October 1, 2012, available at &lt; </w:t>
      </w:r>
      <w:hyperlink r:id="rId21" w:history="1">
        <w:r w:rsidRPr="00EF7539">
          <w:rPr>
            <w:rStyle w:val="Hyperlink"/>
          </w:rPr>
          <w:t>https://www.psychologytoday.com/gb/blog/busting-myths-about-human-nature/201210/is-inequality-natural</w:t>
        </w:r>
      </w:hyperlink>
      <w:r>
        <w:t xml:space="preserve"> &gt; accessed 29.05.2019.</w:t>
      </w:r>
    </w:p>
  </w:footnote>
  <w:footnote w:id="29">
    <w:p w:rsidR="00CF5CE4" w:rsidRPr="00EF7539" w:rsidRDefault="00CF5CE4" w:rsidP="00CF5CE4">
      <w:r>
        <w:rPr>
          <w:rStyle w:val="FootnoteReference"/>
        </w:rPr>
        <w:footnoteRef/>
      </w:r>
      <w:r>
        <w:t xml:space="preserve"> </w:t>
      </w:r>
      <w:r w:rsidRPr="004D5C4E">
        <w:t xml:space="preserve">Samuel </w:t>
      </w:r>
      <w:proofErr w:type="spellStart"/>
      <w:r w:rsidRPr="004D5C4E">
        <w:t>Terrien</w:t>
      </w:r>
      <w:proofErr w:type="spellEnd"/>
      <w:r w:rsidRPr="004D5C4E">
        <w:t xml:space="preserve">, ‘Amadeus Revisited’, </w:t>
      </w:r>
      <w:r w:rsidRPr="004D5C4E">
        <w:rPr>
          <w:i/>
        </w:rPr>
        <w:t xml:space="preserve">Theology Today Magazine, </w:t>
      </w:r>
      <w:r w:rsidRPr="004D5C4E">
        <w:t xml:space="preserve">Vol 42, </w:t>
      </w:r>
      <w:proofErr w:type="spellStart"/>
      <w:r w:rsidRPr="004D5C4E">
        <w:t>Iss</w:t>
      </w:r>
      <w:proofErr w:type="spellEnd"/>
      <w:r w:rsidRPr="004D5C4E">
        <w:t xml:space="preserve">. 4, January 1, 1986, p435-443, available at &lt; </w:t>
      </w:r>
      <w:hyperlink r:id="rId22" w:history="1">
        <w:r w:rsidRPr="004D5C4E">
          <w:rPr>
            <w:rFonts w:eastAsia="Times New Roman"/>
            <w:color w:val="006ACC"/>
            <w:u w:val="single"/>
            <w:lang w:eastAsia="en-GB"/>
          </w:rPr>
          <w:t>https://doi.org/10.1177/004057368604200403</w:t>
        </w:r>
      </w:hyperlink>
      <w:r w:rsidRPr="004D5C4E">
        <w:rPr>
          <w:rFonts w:eastAsia="Times New Roman"/>
          <w:color w:val="000000"/>
          <w:lang w:eastAsia="en-GB"/>
        </w:rPr>
        <w:t xml:space="preserve"> &gt; </w:t>
      </w:r>
      <w:r>
        <w:rPr>
          <w:rFonts w:eastAsia="Times New Roman"/>
          <w:color w:val="000000"/>
          <w:lang w:eastAsia="en-GB"/>
        </w:rPr>
        <w:t>accessed 29.05.2019.</w:t>
      </w:r>
    </w:p>
    <w:p w:rsidR="00CF5CE4" w:rsidRDefault="00CF5CE4" w:rsidP="00CF5CE4">
      <w:pPr>
        <w:pStyle w:val="FootnoteText"/>
      </w:pPr>
    </w:p>
  </w:footnote>
  <w:footnote w:id="30">
    <w:p w:rsidR="00CF5CE4" w:rsidRPr="002428FA" w:rsidRDefault="00CF5CE4" w:rsidP="00CF5CE4">
      <w:pPr>
        <w:rPr>
          <w:rFonts w:eastAsia="Times New Roman"/>
          <w:lang w:val="en" w:eastAsia="en-GB"/>
        </w:rPr>
      </w:pPr>
      <w:r>
        <w:rPr>
          <w:rStyle w:val="FootnoteReference"/>
        </w:rPr>
        <w:footnoteRef/>
      </w:r>
      <w:r>
        <w:t xml:space="preserve"> </w:t>
      </w:r>
      <w:hyperlink r:id="rId23" w:history="1">
        <w:r w:rsidRPr="002428FA">
          <w:rPr>
            <w:rStyle w:val="Hyperlink"/>
            <w:rFonts w:eastAsia="Times New Roman"/>
            <w:lang w:val="en" w:eastAsia="en-GB"/>
          </w:rPr>
          <w:t>https://www.merriam-webster.com/dictionary/homo%20faber</w:t>
        </w:r>
      </w:hyperlink>
      <w:r>
        <w:rPr>
          <w:rFonts w:eastAsia="Times New Roman"/>
          <w:lang w:val="en" w:eastAsia="en-GB"/>
        </w:rPr>
        <w:t xml:space="preserve"> accessed 29.05.2019.</w:t>
      </w:r>
    </w:p>
    <w:p w:rsidR="00CF5CE4" w:rsidRDefault="00CF5CE4" w:rsidP="00CF5CE4">
      <w:pPr>
        <w:pStyle w:val="FootnoteText"/>
      </w:pPr>
    </w:p>
  </w:footnote>
  <w:footnote w:id="31">
    <w:p w:rsidR="00CF5CE4" w:rsidRPr="00BF18EB" w:rsidRDefault="00CF5CE4" w:rsidP="00CF5CE4">
      <w:pPr>
        <w:pStyle w:val="FootnoteText"/>
        <w:rPr>
          <w:sz w:val="22"/>
          <w:szCs w:val="22"/>
        </w:rPr>
      </w:pPr>
      <w:r>
        <w:rPr>
          <w:rStyle w:val="FootnoteReference"/>
        </w:rPr>
        <w:footnoteRef/>
      </w:r>
      <w:r>
        <w:t xml:space="preserve"> </w:t>
      </w:r>
      <w:r w:rsidRPr="00BF18EB">
        <w:rPr>
          <w:sz w:val="22"/>
          <w:szCs w:val="22"/>
        </w:rPr>
        <w:t>Google Translate Application</w:t>
      </w:r>
      <w:r>
        <w:rPr>
          <w:sz w:val="22"/>
          <w:szCs w:val="22"/>
        </w:rPr>
        <w:t xml:space="preserve"> on mobile phone accessed29.05.2019.</w:t>
      </w:r>
    </w:p>
  </w:footnote>
  <w:footnote w:id="32">
    <w:p w:rsidR="00CF5CE4" w:rsidRDefault="00CF5CE4" w:rsidP="009906D6">
      <w:pPr>
        <w:pStyle w:val="NormalWeb"/>
        <w:spacing w:after="0" w:line="360" w:lineRule="auto"/>
        <w:ind w:right="-335"/>
        <w:jc w:val="both"/>
      </w:pPr>
      <w:r>
        <w:rPr>
          <w:rStyle w:val="FootnoteReference"/>
        </w:rPr>
        <w:footnoteRef/>
      </w:r>
      <w:r>
        <w:t xml:space="preserve"> </w:t>
      </w:r>
      <w:r w:rsidRPr="00AE5F44">
        <w:rPr>
          <w:rFonts w:eastAsia="Yu Gothic Light"/>
          <w:bCs/>
          <w:i/>
          <w:sz w:val="22"/>
          <w:szCs w:val="22"/>
        </w:rPr>
        <w:t xml:space="preserve">Amadeus, </w:t>
      </w:r>
      <w:r w:rsidRPr="00AE5F44">
        <w:rPr>
          <w:rFonts w:eastAsia="Yu Gothic Light"/>
          <w:bCs/>
          <w:sz w:val="22"/>
          <w:szCs w:val="22"/>
        </w:rPr>
        <w:t>(Warner Bros, A.O.L, Time Warner. The Saul Zaentz Company. Directed by Milos Forman, 1984).</w:t>
      </w:r>
    </w:p>
  </w:footnote>
  <w:footnote w:id="33">
    <w:p w:rsidR="00CF5CE4" w:rsidRPr="00503B3E" w:rsidRDefault="00CF5CE4" w:rsidP="00CF5CE4">
      <w:pPr>
        <w:spacing w:line="360" w:lineRule="atLeast"/>
        <w:rPr>
          <w:color w:val="6666FF"/>
        </w:rPr>
      </w:pPr>
      <w:r>
        <w:rPr>
          <w:rStyle w:val="FootnoteReference"/>
        </w:rPr>
        <w:footnoteRef/>
      </w:r>
      <w:r>
        <w:t xml:space="preserve"> </w:t>
      </w:r>
      <w:r w:rsidRPr="00FC6243">
        <w:rPr>
          <w:rFonts w:eastAsia="Times New Roman"/>
          <w:lang w:eastAsia="en-GB"/>
        </w:rPr>
        <w:t>The action or process of differentiating or distinguishing between two or more things or people</w:t>
      </w:r>
      <w:r>
        <w:rPr>
          <w:rFonts w:eastAsia="Times New Roman"/>
          <w:lang w:eastAsia="en-GB"/>
        </w:rPr>
        <w:t xml:space="preserve">, </w:t>
      </w:r>
      <w:hyperlink r:id="rId24" w:history="1">
        <w:r w:rsidRPr="00FC6243">
          <w:rPr>
            <w:rFonts w:eastAsia="Times New Roman"/>
            <w:color w:val="6666FF"/>
            <w:u w:val="single"/>
            <w:lang w:eastAsia="en-GB"/>
          </w:rPr>
          <w:t>https://en.oxforddictionaries.com/definition/differentiation</w:t>
        </w:r>
      </w:hyperlink>
      <w:r w:rsidRPr="00503B3E">
        <w:rPr>
          <w:rFonts w:eastAsia="Times New Roman"/>
          <w:color w:val="6666FF"/>
          <w:lang w:eastAsia="en-GB"/>
        </w:rPr>
        <w:t>.</w:t>
      </w:r>
    </w:p>
  </w:footnote>
  <w:footnote w:id="34">
    <w:p w:rsidR="00CF5CE4" w:rsidRDefault="00CF5CE4" w:rsidP="00CF5CE4">
      <w:r>
        <w:rPr>
          <w:rStyle w:val="FootnoteReference"/>
        </w:rPr>
        <w:footnoteRef/>
      </w:r>
      <w:r>
        <w:t xml:space="preserve"> </w:t>
      </w:r>
      <w:r w:rsidRPr="00E11587">
        <w:t xml:space="preserve">Robbins, Gregory (2016) ‘Mozart &amp; Salieri, Cain &amp; Abel: A Cinematic Transformation of Genesis 4,’ </w:t>
      </w:r>
      <w:r w:rsidRPr="00E11587">
        <w:rPr>
          <w:i/>
        </w:rPr>
        <w:t>Journal of Religion &amp; Film</w:t>
      </w:r>
      <w:r w:rsidRPr="00E11587">
        <w:t xml:space="preserve">: Vol. </w:t>
      </w:r>
      <w:proofErr w:type="gramStart"/>
      <w:r w:rsidRPr="00E11587">
        <w:t>1 ,</w:t>
      </w:r>
      <w:proofErr w:type="spellStart"/>
      <w:r w:rsidRPr="00E11587">
        <w:t>Iss</w:t>
      </w:r>
      <w:proofErr w:type="spellEnd"/>
      <w:proofErr w:type="gramEnd"/>
      <w:r w:rsidRPr="00E11587">
        <w:t>. 1, Article 5,</w:t>
      </w:r>
      <w:r>
        <w:t xml:space="preserve"> p1,</w:t>
      </w:r>
      <w:r w:rsidRPr="00E11587">
        <w:t xml:space="preserve"> available at:&lt; </w:t>
      </w:r>
      <w:hyperlink r:id="rId25" w:history="1">
        <w:r w:rsidRPr="00E11587">
          <w:rPr>
            <w:color w:val="0563C1" w:themeColor="hyperlink"/>
            <w:u w:val="single"/>
          </w:rPr>
          <w:t>https://digitalcommons.unomaha.edu/jrf/vol1/iss1/5</w:t>
        </w:r>
      </w:hyperlink>
      <w:r w:rsidRPr="00E11587">
        <w:t xml:space="preserve"> &gt; accessed 27.05.2019.</w:t>
      </w:r>
    </w:p>
    <w:p w:rsidR="00CF5CE4" w:rsidRDefault="00CF5CE4" w:rsidP="00CF5CE4">
      <w:pPr>
        <w:pStyle w:val="FootnoteText"/>
      </w:pPr>
    </w:p>
  </w:footnote>
  <w:footnote w:id="35">
    <w:p w:rsidR="00CF5CE4" w:rsidRDefault="00CF5CE4" w:rsidP="00CF5CE4">
      <w:r>
        <w:rPr>
          <w:rStyle w:val="FootnoteReference"/>
        </w:rPr>
        <w:footnoteRef/>
      </w:r>
      <w:r>
        <w:t xml:space="preserve"> </w:t>
      </w:r>
      <w:hyperlink r:id="rId26" w:tooltip="based" w:history="1">
        <w:r w:rsidRPr="00FC6243">
          <w:rPr>
            <w:rFonts w:eastAsia="Times New Roman"/>
            <w:bCs/>
            <w:lang w:eastAsia="en-GB"/>
          </w:rPr>
          <w:t>based</w:t>
        </w:r>
      </w:hyperlink>
      <w:r w:rsidRPr="00FC6243">
        <w:rPr>
          <w:rFonts w:eastAsia="Times New Roman"/>
          <w:bCs/>
          <w:lang w:eastAsia="en-GB"/>
        </w:rPr>
        <w:t xml:space="preserve"> on </w:t>
      </w:r>
      <w:hyperlink r:id="rId27" w:tooltip="chance" w:history="1">
        <w:r w:rsidRPr="00FC6243">
          <w:rPr>
            <w:rFonts w:eastAsia="Times New Roman"/>
            <w:bCs/>
            <w:lang w:eastAsia="en-GB"/>
          </w:rPr>
          <w:t>chance</w:t>
        </w:r>
      </w:hyperlink>
      <w:r w:rsidRPr="00FC6243">
        <w:rPr>
          <w:rFonts w:eastAsia="Times New Roman"/>
          <w:bCs/>
          <w:lang w:eastAsia="en-GB"/>
        </w:rPr>
        <w:t xml:space="preserve"> </w:t>
      </w:r>
      <w:hyperlink r:id="rId28" w:tooltip="rather" w:history="1">
        <w:r w:rsidRPr="00FC6243">
          <w:rPr>
            <w:rFonts w:eastAsia="Times New Roman"/>
            <w:bCs/>
            <w:lang w:eastAsia="en-GB"/>
          </w:rPr>
          <w:t>rather</w:t>
        </w:r>
      </w:hyperlink>
      <w:r w:rsidRPr="00FC6243">
        <w:rPr>
          <w:rFonts w:eastAsia="Times New Roman"/>
          <w:bCs/>
          <w:lang w:eastAsia="en-GB"/>
        </w:rPr>
        <w:t xml:space="preserve"> than being </w:t>
      </w:r>
      <w:hyperlink r:id="rId29" w:tooltip="planned" w:history="1">
        <w:r w:rsidRPr="00FC6243">
          <w:rPr>
            <w:rFonts w:eastAsia="Times New Roman"/>
            <w:bCs/>
            <w:lang w:eastAsia="en-GB"/>
          </w:rPr>
          <w:t>planned</w:t>
        </w:r>
      </w:hyperlink>
      <w:r w:rsidRPr="00FC6243">
        <w:rPr>
          <w:rFonts w:eastAsia="Times New Roman"/>
          <w:bCs/>
          <w:lang w:eastAsia="en-GB"/>
        </w:rPr>
        <w:t xml:space="preserve"> or </w:t>
      </w:r>
      <w:hyperlink r:id="rId30" w:tooltip="based" w:history="1">
        <w:r w:rsidRPr="00FC6243">
          <w:rPr>
            <w:rFonts w:eastAsia="Times New Roman"/>
            <w:bCs/>
            <w:lang w:eastAsia="en-GB"/>
          </w:rPr>
          <w:t>based</w:t>
        </w:r>
      </w:hyperlink>
      <w:r w:rsidRPr="00FC6243">
        <w:rPr>
          <w:rFonts w:eastAsia="Times New Roman"/>
          <w:bCs/>
          <w:lang w:eastAsia="en-GB"/>
        </w:rPr>
        <w:t xml:space="preserve"> on </w:t>
      </w:r>
      <w:hyperlink r:id="rId31" w:tooltip="reason" w:history="1">
        <w:r w:rsidRPr="00FC6243">
          <w:rPr>
            <w:rFonts w:eastAsia="Times New Roman"/>
            <w:bCs/>
            <w:lang w:eastAsia="en-GB"/>
          </w:rPr>
          <w:t>reason</w:t>
        </w:r>
      </w:hyperlink>
      <w:r>
        <w:rPr>
          <w:rFonts w:eastAsia="Times New Roman"/>
          <w:bCs/>
          <w:lang w:eastAsia="en-GB"/>
        </w:rPr>
        <w:t xml:space="preserve">, </w:t>
      </w:r>
      <w:hyperlink r:id="rId32" w:history="1">
        <w:r w:rsidRPr="00FC6243">
          <w:rPr>
            <w:color w:val="6666FF"/>
            <w:u w:val="single"/>
          </w:rPr>
          <w:t>https://dictionary.cambridge.org/dictionary/english/arbitrary</w:t>
        </w:r>
      </w:hyperlink>
    </w:p>
  </w:footnote>
  <w:footnote w:id="36">
    <w:p w:rsidR="00CF5CE4" w:rsidRPr="00503B3E" w:rsidRDefault="00CF5CE4" w:rsidP="00CF5CE4">
      <w:pPr>
        <w:spacing w:line="360" w:lineRule="atLeast"/>
        <w:rPr>
          <w:color w:val="6666FF"/>
        </w:rPr>
      </w:pPr>
      <w:r>
        <w:rPr>
          <w:rStyle w:val="FootnoteReference"/>
        </w:rPr>
        <w:footnoteRef/>
      </w:r>
      <w:r>
        <w:t xml:space="preserve"> </w:t>
      </w:r>
      <w:r>
        <w:rPr>
          <w:rFonts w:eastAsia="Times New Roman"/>
          <w:color w:val="292929"/>
          <w:lang w:eastAsia="en-GB"/>
        </w:rPr>
        <w:t>Arbitrary (adjective), Disapproving:</w:t>
      </w:r>
      <w:r w:rsidRPr="00FC6243">
        <w:rPr>
          <w:rFonts w:eastAsia="Times New Roman"/>
          <w:color w:val="292929"/>
          <w:lang w:eastAsia="en-GB"/>
        </w:rPr>
        <w:t xml:space="preserve"> </w:t>
      </w:r>
      <w:r w:rsidRPr="00FC6243">
        <w:rPr>
          <w:rFonts w:eastAsia="Times New Roman"/>
          <w:bCs/>
          <w:color w:val="292929"/>
          <w:lang w:eastAsia="en-GB"/>
        </w:rPr>
        <w:t xml:space="preserve">using </w:t>
      </w:r>
      <w:hyperlink r:id="rId33" w:tooltip="unlimited" w:history="1">
        <w:r w:rsidRPr="00FC6243">
          <w:rPr>
            <w:rFonts w:eastAsia="Times New Roman"/>
            <w:bCs/>
            <w:color w:val="292929"/>
            <w:lang w:eastAsia="en-GB"/>
          </w:rPr>
          <w:t>unlimited</w:t>
        </w:r>
      </w:hyperlink>
      <w:r w:rsidRPr="00FC6243">
        <w:rPr>
          <w:rFonts w:eastAsia="Times New Roman"/>
          <w:bCs/>
          <w:color w:val="292929"/>
          <w:lang w:eastAsia="en-GB"/>
        </w:rPr>
        <w:t xml:space="preserve"> </w:t>
      </w:r>
      <w:hyperlink r:id="rId34" w:tooltip="personal" w:history="1">
        <w:r w:rsidRPr="00FC6243">
          <w:rPr>
            <w:rFonts w:eastAsia="Times New Roman"/>
            <w:bCs/>
            <w:color w:val="292929"/>
            <w:lang w:eastAsia="en-GB"/>
          </w:rPr>
          <w:t>personal</w:t>
        </w:r>
      </w:hyperlink>
      <w:r w:rsidRPr="00FC6243">
        <w:rPr>
          <w:rFonts w:eastAsia="Times New Roman"/>
          <w:bCs/>
          <w:color w:val="292929"/>
          <w:lang w:eastAsia="en-GB"/>
        </w:rPr>
        <w:t xml:space="preserve"> </w:t>
      </w:r>
      <w:hyperlink r:id="rId35" w:tooltip="power" w:history="1">
        <w:r w:rsidRPr="00FC6243">
          <w:rPr>
            <w:rFonts w:eastAsia="Times New Roman"/>
            <w:bCs/>
            <w:color w:val="292929"/>
            <w:lang w:eastAsia="en-GB"/>
          </w:rPr>
          <w:t>power</w:t>
        </w:r>
      </w:hyperlink>
      <w:r w:rsidRPr="00FC6243">
        <w:rPr>
          <w:rFonts w:eastAsia="Times New Roman"/>
          <w:bCs/>
          <w:color w:val="292929"/>
          <w:lang w:eastAsia="en-GB"/>
        </w:rPr>
        <w:t xml:space="preserve"> without </w:t>
      </w:r>
      <w:hyperlink r:id="rId36" w:tooltip="considering" w:history="1">
        <w:r w:rsidRPr="00FC6243">
          <w:rPr>
            <w:rFonts w:eastAsia="Times New Roman"/>
            <w:bCs/>
            <w:color w:val="292929"/>
            <w:lang w:eastAsia="en-GB"/>
          </w:rPr>
          <w:t>considering</w:t>
        </w:r>
      </w:hyperlink>
      <w:r w:rsidRPr="00FC6243">
        <w:rPr>
          <w:rFonts w:eastAsia="Times New Roman"/>
          <w:bCs/>
          <w:color w:val="292929"/>
          <w:lang w:eastAsia="en-GB"/>
        </w:rPr>
        <w:t xml:space="preserve"> other</w:t>
      </w:r>
      <w:r w:rsidRPr="00006D10">
        <w:rPr>
          <w:rFonts w:eastAsia="Times New Roman"/>
          <w:color w:val="292929"/>
          <w:lang w:eastAsia="en-GB"/>
        </w:rPr>
        <w:t xml:space="preserve"> </w:t>
      </w:r>
      <w:r w:rsidRPr="00FC6243">
        <w:rPr>
          <w:rFonts w:eastAsia="Times New Roman"/>
          <w:bCs/>
          <w:color w:val="292929"/>
          <w:lang w:eastAsia="en-GB"/>
        </w:rPr>
        <w:t xml:space="preserve">people's </w:t>
      </w:r>
      <w:hyperlink r:id="rId37" w:tooltip="wishes" w:history="1">
        <w:r w:rsidRPr="00FC6243">
          <w:rPr>
            <w:rFonts w:eastAsia="Times New Roman"/>
            <w:bCs/>
            <w:color w:val="292929"/>
            <w:lang w:eastAsia="en-GB"/>
          </w:rPr>
          <w:t>wishes</w:t>
        </w:r>
      </w:hyperlink>
      <w:r w:rsidRPr="00FC6243">
        <w:rPr>
          <w:rFonts w:eastAsia="Times New Roman"/>
          <w:bCs/>
          <w:color w:val="292929"/>
          <w:lang w:eastAsia="en-GB"/>
        </w:rPr>
        <w:t xml:space="preserve">: </w:t>
      </w:r>
      <w:r w:rsidRPr="00FC6243">
        <w:rPr>
          <w:rFonts w:eastAsia="Times New Roman"/>
          <w:i/>
          <w:iCs/>
          <w:color w:val="292929"/>
          <w:lang w:eastAsia="en-GB"/>
        </w:rPr>
        <w:t xml:space="preserve">an arbitrary </w:t>
      </w:r>
      <w:hyperlink r:id="rId38" w:tooltip="ruler" w:history="1">
        <w:r w:rsidRPr="00FC6243">
          <w:rPr>
            <w:rFonts w:eastAsia="Times New Roman"/>
            <w:i/>
            <w:iCs/>
            <w:color w:val="292929"/>
            <w:lang w:eastAsia="en-GB"/>
          </w:rPr>
          <w:t>ruler</w:t>
        </w:r>
      </w:hyperlink>
      <w:r>
        <w:rPr>
          <w:rFonts w:eastAsia="Times New Roman"/>
          <w:i/>
          <w:iCs/>
          <w:color w:val="292929"/>
          <w:lang w:eastAsia="en-GB"/>
        </w:rPr>
        <w:t xml:space="preserve">, </w:t>
      </w:r>
      <w:hyperlink r:id="rId39" w:history="1">
        <w:r w:rsidRPr="00FC6243">
          <w:rPr>
            <w:rFonts w:eastAsia="Times New Roman"/>
            <w:color w:val="6666FF"/>
            <w:u w:val="single"/>
            <w:lang w:eastAsia="en-GB"/>
          </w:rPr>
          <w:t>https://en.oxforddictionaries.com/definition/differentiation</w:t>
        </w:r>
      </w:hyperlink>
      <w:r w:rsidRPr="00503B3E">
        <w:rPr>
          <w:rFonts w:eastAsia="Times New Roman"/>
          <w:color w:val="6666FF"/>
          <w:lang w:eastAsia="en-GB"/>
        </w:rPr>
        <w:t>.</w:t>
      </w:r>
    </w:p>
    <w:p w:rsidR="00CF5CE4" w:rsidRPr="00006D10" w:rsidRDefault="00CF5CE4" w:rsidP="00CF5CE4">
      <w:pPr>
        <w:rPr>
          <w:rFonts w:eastAsia="Times New Roman"/>
          <w:color w:val="555555"/>
          <w:kern w:val="36"/>
          <w:lang w:eastAsia="en-GB"/>
        </w:rPr>
      </w:pPr>
      <w:r>
        <w:rPr>
          <w:rStyle w:val="FootnoteReference"/>
        </w:rPr>
        <w:footnoteRef/>
      </w:r>
      <w:r>
        <w:t xml:space="preserve"> </w:t>
      </w:r>
      <w:r w:rsidRPr="00E11587">
        <w:t xml:space="preserve">Robbins, Gregory (2016) ‘Mozart &amp; Salieri, Cain &amp; Abel: A Cinematic Transformation of Genesis 4,’ </w:t>
      </w:r>
      <w:r w:rsidRPr="00E11587">
        <w:rPr>
          <w:i/>
        </w:rPr>
        <w:t>Journal of Religion &amp; Film</w:t>
      </w:r>
      <w:r w:rsidRPr="00E11587">
        <w:t xml:space="preserve">: Vol. </w:t>
      </w:r>
      <w:proofErr w:type="gramStart"/>
      <w:r w:rsidRPr="00E11587">
        <w:t>1 ,</w:t>
      </w:r>
      <w:proofErr w:type="spellStart"/>
      <w:r w:rsidRPr="00E11587">
        <w:t>Iss</w:t>
      </w:r>
      <w:proofErr w:type="spellEnd"/>
      <w:proofErr w:type="gramEnd"/>
      <w:r w:rsidRPr="00E11587">
        <w:t>. 1, Article 5,</w:t>
      </w:r>
      <w:r>
        <w:t xml:space="preserve"> p1,</w:t>
      </w:r>
      <w:r w:rsidRPr="00E11587">
        <w:t xml:space="preserve"> available at:&lt; </w:t>
      </w:r>
      <w:hyperlink r:id="rId40" w:history="1">
        <w:r w:rsidRPr="00E11587">
          <w:rPr>
            <w:color w:val="0563C1" w:themeColor="hyperlink"/>
            <w:u w:val="single"/>
          </w:rPr>
          <w:t>https://digitalcommons.unomaha.edu/jrf/vol1/iss1/5</w:t>
        </w:r>
      </w:hyperlink>
      <w:r w:rsidRPr="00E11587">
        <w:t xml:space="preserve"> &gt; accessed 27.05.2019.</w:t>
      </w:r>
    </w:p>
    <w:p w:rsidR="00CF5CE4" w:rsidRDefault="00CF5CE4" w:rsidP="00CF5CE4">
      <w:pPr>
        <w:pStyle w:val="FootnoteText"/>
      </w:pPr>
    </w:p>
  </w:footnote>
  <w:footnote w:id="37">
    <w:p w:rsidR="00CF5CE4" w:rsidRPr="009F5251" w:rsidRDefault="00CF5CE4" w:rsidP="00CF5CE4">
      <w:pPr>
        <w:jc w:val="both"/>
      </w:pPr>
      <w:r>
        <w:rPr>
          <w:rStyle w:val="FootnoteReference"/>
        </w:rPr>
        <w:footnoteRef/>
      </w:r>
      <w:r>
        <w:t xml:space="preserve"> </w:t>
      </w:r>
      <w:r w:rsidRPr="001776EC">
        <w:rPr>
          <w:rFonts w:eastAsia="Yu Gothic Light"/>
          <w:bCs/>
        </w:rPr>
        <w:t xml:space="preserve">C. J. </w:t>
      </w:r>
      <w:proofErr w:type="spellStart"/>
      <w:r w:rsidRPr="001776EC">
        <w:rPr>
          <w:rFonts w:eastAsia="Yu Gothic Light"/>
          <w:bCs/>
        </w:rPr>
        <w:t>Gianakaris</w:t>
      </w:r>
      <w:proofErr w:type="spellEnd"/>
      <w:r w:rsidRPr="001776EC">
        <w:rPr>
          <w:rFonts w:eastAsia="Yu Gothic Light"/>
          <w:bCs/>
        </w:rPr>
        <w:t xml:space="preserve">, ‘A Playwright Looks at Mozart: Peter Shaffer's "Amadeus"’ in </w:t>
      </w:r>
    </w:p>
    <w:p w:rsidR="00CF5CE4" w:rsidRPr="001776EC" w:rsidRDefault="00CF5CE4" w:rsidP="00CF5CE4">
      <w:pPr>
        <w:ind w:right="-335"/>
        <w:jc w:val="both"/>
        <w:rPr>
          <w:rFonts w:ascii="Corbel" w:eastAsia="Yu Gothic Light" w:hAnsi="Corbel" w:cs="Tahoma"/>
          <w:bCs/>
          <w:color w:val="FF0000"/>
          <w:sz w:val="28"/>
          <w:szCs w:val="28"/>
        </w:rPr>
      </w:pPr>
      <w:r w:rsidRPr="001776EC">
        <w:rPr>
          <w:rFonts w:eastAsia="Yu Gothic Light"/>
          <w:bCs/>
          <w:i/>
        </w:rPr>
        <w:t>Comparative Drama</w:t>
      </w:r>
      <w:r w:rsidRPr="001776EC">
        <w:rPr>
          <w:rFonts w:eastAsia="Yu Gothic Light"/>
          <w:bCs/>
        </w:rPr>
        <w:t xml:space="preserve">; Spring 1981; 15, 1; Performing Arts Periodicals Database pg. 37, available at      </w:t>
      </w:r>
      <w:hyperlink r:id="rId41" w:history="1">
        <w:r w:rsidRPr="001776EC">
          <w:rPr>
            <w:rFonts w:eastAsia="Yu Gothic Light"/>
            <w:bCs/>
            <w:color w:val="0563C1" w:themeColor="hyperlink"/>
            <w:u w:val="single"/>
          </w:rPr>
          <w:t>file:///C:/Users/llang/Desktop/RELGION%20ESSAY/A_Playwright_Looks_at_Mozart_%20Giank.pdf</w:t>
        </w:r>
      </w:hyperlink>
      <w:r w:rsidRPr="001776EC">
        <w:rPr>
          <w:rFonts w:eastAsia="Yu Gothic Light"/>
          <w:bCs/>
        </w:rPr>
        <w:t xml:space="preserve"> &gt; accessed 26.05.2019.</w:t>
      </w:r>
    </w:p>
    <w:p w:rsidR="00CF5CE4" w:rsidRDefault="00CF5CE4" w:rsidP="00CF5CE4">
      <w:pPr>
        <w:pStyle w:val="FootnoteText"/>
      </w:pPr>
    </w:p>
    <w:p w:rsidR="00CF5CE4" w:rsidRDefault="00CF5CE4" w:rsidP="00CF5CE4">
      <w:pPr>
        <w:pStyle w:val="FootnoteText"/>
      </w:pPr>
    </w:p>
  </w:footnote>
  <w:footnote w:id="38">
    <w:p w:rsidR="00CF5CE4" w:rsidRDefault="009906D6" w:rsidP="00CF5CE4">
      <w:pPr>
        <w:pStyle w:val="FootnoteText"/>
      </w:pPr>
      <w:r w:rsidRPr="009906D6">
        <w:rPr>
          <w:rStyle w:val="FootnoteReference"/>
          <w:sz w:val="22"/>
          <w:szCs w:val="22"/>
        </w:rPr>
        <w:t xml:space="preserve"> </w:t>
      </w:r>
      <w:r w:rsidRPr="009906D6">
        <w:rPr>
          <w:sz w:val="22"/>
          <w:szCs w:val="22"/>
        </w:rPr>
        <w:t>38.</w:t>
      </w:r>
      <w:r w:rsidR="00CF5CE4">
        <w:t xml:space="preserve"> </w:t>
      </w:r>
      <w:r w:rsidR="00CF5CE4" w:rsidRPr="004971B1">
        <w:rPr>
          <w:rFonts w:eastAsia="Times New Roman"/>
          <w:kern w:val="36"/>
          <w:sz w:val="22"/>
          <w:szCs w:val="22"/>
          <w:lang w:eastAsia="en-GB"/>
        </w:rPr>
        <w:t xml:space="preserve">Andrea Schmitt, Peter </w:t>
      </w:r>
      <w:proofErr w:type="spellStart"/>
      <w:r w:rsidR="00CF5CE4" w:rsidRPr="004971B1">
        <w:rPr>
          <w:rFonts w:eastAsia="Times New Roman"/>
          <w:kern w:val="36"/>
          <w:sz w:val="22"/>
          <w:szCs w:val="22"/>
          <w:lang w:eastAsia="en-GB"/>
        </w:rPr>
        <w:t>Falkai</w:t>
      </w:r>
      <w:proofErr w:type="spellEnd"/>
      <w:r w:rsidR="00CF5CE4" w:rsidRPr="004971B1">
        <w:rPr>
          <w:rFonts w:eastAsia="Times New Roman"/>
          <w:kern w:val="36"/>
          <w:sz w:val="22"/>
          <w:szCs w:val="22"/>
          <w:lang w:eastAsia="en-GB"/>
        </w:rPr>
        <w:t xml:space="preserve">, </w:t>
      </w:r>
      <w:r w:rsidR="00CF5CE4" w:rsidRPr="004971B1">
        <w:rPr>
          <w:rFonts w:eastAsiaTheme="minorHAnsi"/>
          <w:i/>
          <w:sz w:val="22"/>
          <w:szCs w:val="22"/>
          <w:lang w:eastAsia="en-US"/>
        </w:rPr>
        <w:t xml:space="preserve">Historical aspects of Mozart’s mental health and diagnostic insights of ADHD and personality disorders, </w:t>
      </w:r>
      <w:r w:rsidR="00CF5CE4">
        <w:rPr>
          <w:rFonts w:eastAsiaTheme="minorHAnsi"/>
          <w:sz w:val="22"/>
          <w:szCs w:val="22"/>
          <w:lang w:eastAsia="en-US"/>
        </w:rPr>
        <w:t xml:space="preserve">Springer-Verlag Berlin Heidelberg, 1June 2014, online, available at &lt; </w:t>
      </w:r>
      <w:hyperlink r:id="rId42" w:history="1">
        <w:r w:rsidR="00CF5CE4" w:rsidRPr="004971B1">
          <w:rPr>
            <w:rFonts w:asciiTheme="minorHAnsi" w:eastAsiaTheme="minorHAnsi" w:hAnsiTheme="minorHAnsi" w:cstheme="minorBidi"/>
            <w:color w:val="0563C1" w:themeColor="hyperlink"/>
            <w:sz w:val="22"/>
            <w:szCs w:val="22"/>
            <w:u w:val="single"/>
            <w:lang w:eastAsia="en-US"/>
          </w:rPr>
          <w:t>https://link-springer-com.ezproxy.uwtsd.ac.uk/content/pdf/10.1007/s00406-014-0507-7.pdf</w:t>
        </w:r>
      </w:hyperlink>
      <w:r w:rsidR="00CF5CE4">
        <w:rPr>
          <w:rFonts w:asciiTheme="minorHAnsi" w:eastAsiaTheme="minorHAnsi" w:hAnsiTheme="minorHAnsi" w:cstheme="minorBidi"/>
          <w:sz w:val="22"/>
          <w:szCs w:val="22"/>
          <w:lang w:eastAsia="en-US"/>
        </w:rPr>
        <w:t xml:space="preserve"> &gt;.</w:t>
      </w:r>
    </w:p>
  </w:footnote>
  <w:footnote w:id="39">
    <w:p w:rsidR="00CF5CE4" w:rsidRPr="00511197" w:rsidRDefault="00CF5CE4" w:rsidP="00CF5CE4">
      <w:r w:rsidRPr="009906D6">
        <w:rPr>
          <w:rStyle w:val="FootnoteReference"/>
          <w:rFonts w:ascii="Times New Roman" w:hAnsi="Times New Roman" w:cs="Times New Roman"/>
        </w:rPr>
        <w:footnoteRef/>
      </w:r>
      <w:r w:rsidRPr="009906D6">
        <w:rPr>
          <w:rFonts w:ascii="Times New Roman" w:hAnsi="Times New Roman" w:cs="Times New Roman"/>
        </w:rPr>
        <w:t xml:space="preserve"> Ivonne</w:t>
      </w:r>
      <w:r w:rsidRPr="00511197">
        <w:t xml:space="preserve"> </w:t>
      </w:r>
      <w:proofErr w:type="spellStart"/>
      <w:r w:rsidRPr="00511197">
        <w:t>Muliawati</w:t>
      </w:r>
      <w:proofErr w:type="spellEnd"/>
      <w:r w:rsidRPr="00511197">
        <w:t xml:space="preserve"> </w:t>
      </w:r>
      <w:proofErr w:type="spellStart"/>
      <w:r w:rsidRPr="00511197">
        <w:t>Harsono</w:t>
      </w:r>
      <w:proofErr w:type="spellEnd"/>
      <w:r w:rsidRPr="00511197">
        <w:t>, ‘</w:t>
      </w:r>
      <w:r w:rsidRPr="00511197">
        <w:rPr>
          <w:rFonts w:eastAsia="Times New Roman"/>
          <w:bCs/>
          <w:kern w:val="36"/>
          <w:bdr w:val="none" w:sz="0" w:space="0" w:color="auto" w:frame="1"/>
          <w:lang w:eastAsia="en-GB"/>
        </w:rPr>
        <w:t xml:space="preserve">Mediocrity Madness: the Destructive Effects of Antonio Salieri’s Narcissistic Personality Disorder in Amadeus’,  </w:t>
      </w:r>
      <w:proofErr w:type="spellStart"/>
      <w:r w:rsidRPr="00511197">
        <w:rPr>
          <w:rFonts w:eastAsia="Times New Roman"/>
          <w:bCs/>
          <w:i/>
          <w:kern w:val="36"/>
          <w:bdr w:val="none" w:sz="0" w:space="0" w:color="auto" w:frame="1"/>
          <w:lang w:eastAsia="en-GB"/>
        </w:rPr>
        <w:t>k@ta</w:t>
      </w:r>
      <w:proofErr w:type="spellEnd"/>
      <w:r w:rsidRPr="00511197">
        <w:rPr>
          <w:rFonts w:eastAsia="Times New Roman"/>
          <w:bCs/>
          <w:i/>
          <w:kern w:val="36"/>
          <w:bdr w:val="none" w:sz="0" w:space="0" w:color="auto" w:frame="1"/>
          <w:lang w:eastAsia="en-GB"/>
        </w:rPr>
        <w:t xml:space="preserve">, </w:t>
      </w:r>
      <w:r w:rsidRPr="00511197">
        <w:rPr>
          <w:rFonts w:eastAsia="Times New Roman"/>
          <w:bCs/>
          <w:kern w:val="36"/>
          <w:bdr w:val="none" w:sz="0" w:space="0" w:color="auto" w:frame="1"/>
          <w:lang w:eastAsia="en-GB"/>
        </w:rPr>
        <w:t xml:space="preserve">Vol. 19, </w:t>
      </w:r>
      <w:proofErr w:type="spellStart"/>
      <w:r w:rsidRPr="00511197">
        <w:rPr>
          <w:rFonts w:eastAsia="Times New Roman"/>
          <w:bCs/>
          <w:kern w:val="36"/>
          <w:bdr w:val="none" w:sz="0" w:space="0" w:color="auto" w:frame="1"/>
          <w:lang w:eastAsia="en-GB"/>
        </w:rPr>
        <w:t>iss</w:t>
      </w:r>
      <w:proofErr w:type="spellEnd"/>
      <w:r w:rsidRPr="00511197">
        <w:rPr>
          <w:rFonts w:eastAsia="Times New Roman"/>
          <w:bCs/>
          <w:kern w:val="36"/>
          <w:bdr w:val="none" w:sz="0" w:space="0" w:color="auto" w:frame="1"/>
          <w:lang w:eastAsia="en-GB"/>
        </w:rPr>
        <w:t xml:space="preserve"> 2, December 2017, P71-76</w:t>
      </w:r>
      <w:r>
        <w:rPr>
          <w:rFonts w:eastAsia="Times New Roman"/>
          <w:bCs/>
          <w:kern w:val="36"/>
          <w:bdr w:val="none" w:sz="0" w:space="0" w:color="auto" w:frame="1"/>
          <w:lang w:eastAsia="en-GB"/>
        </w:rPr>
        <w:t xml:space="preserve">, available at &lt; </w:t>
      </w:r>
      <w:hyperlink r:id="rId43" w:anchor="AN=128236280&amp;db=hus" w:history="1">
        <w:r w:rsidRPr="00A563D6">
          <w:rPr>
            <w:rStyle w:val="Hyperlink"/>
          </w:rPr>
          <w:t>https://web-b-ebscohost-com.ezproxy.uwtsd.ac.uk/ehost/detail/detail?vid=0&amp;sid=2e13b131-c81e-439b-9f3c-27503e7e5415%40sessionmgr103&amp;bdata=JnNpdGU9ZWhvc3QtbGl2ZQ%3d%3d#AN=128236280&amp;db=hus</w:t>
        </w:r>
      </w:hyperlink>
      <w:r>
        <w:rPr>
          <w:color w:val="0563C1" w:themeColor="hyperlink"/>
          <w:u w:val="single"/>
        </w:rPr>
        <w:t xml:space="preserve"> &gt; accessed 25.05.2019.</w:t>
      </w:r>
    </w:p>
    <w:p w:rsidR="00CF5CE4" w:rsidRPr="00511197" w:rsidRDefault="00CF5CE4" w:rsidP="00CF5CE4">
      <w:pPr>
        <w:ind w:left="720"/>
        <w:textAlignment w:val="baseline"/>
        <w:outlineLvl w:val="0"/>
        <w:rPr>
          <w:rFonts w:eastAsia="Times New Roman"/>
          <w:bCs/>
          <w:kern w:val="36"/>
          <w:bdr w:val="none" w:sz="0" w:space="0" w:color="auto" w:frame="1"/>
          <w:lang w:eastAsia="en-GB"/>
        </w:rPr>
      </w:pPr>
    </w:p>
    <w:p w:rsidR="00CF5CE4" w:rsidRPr="00511197" w:rsidRDefault="00CF5CE4" w:rsidP="00CF5CE4">
      <w:pPr>
        <w:ind w:left="720"/>
        <w:textAlignment w:val="baseline"/>
        <w:outlineLvl w:val="0"/>
        <w:rPr>
          <w:rFonts w:eastAsia="Times New Roman"/>
          <w:bCs/>
          <w:kern w:val="36"/>
          <w:bdr w:val="none" w:sz="0" w:space="0" w:color="auto" w:frame="1"/>
          <w:lang w:eastAsia="en-GB"/>
        </w:rPr>
      </w:pPr>
    </w:p>
    <w:p w:rsidR="00CF5CE4" w:rsidRDefault="00CF5CE4" w:rsidP="00CF5CE4">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5F5C" w:rsidRPr="004619F6" w:rsidRDefault="004619F6" w:rsidP="0066665A">
    <w:pPr>
      <w:pStyle w:val="Footer"/>
      <w:rPr>
        <w:rFonts w:ascii="Lucida Handwriting" w:hAnsi="Lucida Handwriting"/>
        <w:color w:val="CC99FF"/>
        <w:sz w:val="28"/>
        <w:szCs w:val="28"/>
      </w:rPr>
    </w:pPr>
    <w:r w:rsidRPr="004619F6">
      <w:rPr>
        <w:rFonts w:ascii="Lucida Handwriting" w:hAnsi="Lucida Handwriting"/>
        <w:color w:val="B2B2B2"/>
        <w:sz w:val="28"/>
        <w:szCs w:val="28"/>
      </w:rPr>
      <w:t>HPRS5040</w:t>
    </w:r>
    <w:r w:rsidRPr="004619F6">
      <w:rPr>
        <w:rFonts w:ascii="Lucida Handwriting" w:hAnsi="Lucida Handwriting"/>
        <w:color w:val="B2B2B2"/>
        <w:sz w:val="28"/>
        <w:szCs w:val="28"/>
      </w:rPr>
      <w:ptab w:relativeTo="margin" w:alignment="center" w:leader="none"/>
    </w:r>
    <w:r w:rsidRPr="004619F6">
      <w:rPr>
        <w:rFonts w:ascii="Lucida Handwriting" w:hAnsi="Lucida Handwriting"/>
        <w:color w:val="B2B2B2"/>
        <w:sz w:val="28"/>
        <w:szCs w:val="28"/>
      </w:rPr>
      <w:ptab w:relativeTo="margin" w:alignment="right" w:leader="none"/>
    </w:r>
    <w:r w:rsidRPr="004619F6">
      <w:rPr>
        <w:rFonts w:ascii="Lucida Handwriting" w:hAnsi="Lucida Handwriting"/>
        <w:color w:val="B2B2B2"/>
        <w:sz w:val="28"/>
        <w:szCs w:val="28"/>
      </w:rPr>
      <w:t>0202616</w:t>
    </w:r>
    <w:sdt>
      <w:sdtPr>
        <w:rPr>
          <w:rFonts w:ascii="Lucida Handwriting" w:hAnsi="Lucida Handwriting"/>
          <w:color w:val="B2B2B2"/>
          <w:sz w:val="28"/>
          <w:szCs w:val="28"/>
        </w:rPr>
        <w:id w:val="-1692059430"/>
        <w:docPartObj>
          <w:docPartGallery w:val="Page Numbers (Bottom of Page)"/>
          <w:docPartUnique/>
        </w:docPartObj>
      </w:sdtPr>
      <w:sdtEndPr>
        <w:rPr>
          <w:noProof/>
        </w:rPr>
      </w:sdtEndPr>
      <w:sdtContent>
        <w:r w:rsidR="006764CA" w:rsidRPr="004619F6">
          <w:rPr>
            <w:rFonts w:ascii="Lucida Handwriting" w:hAnsi="Lucida Handwriting"/>
            <w:color w:val="B2B2B2"/>
            <w:sz w:val="28"/>
            <w:szCs w:val="28"/>
          </w:rPr>
          <w:t xml:space="preserve">    </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5B8"/>
    <w:rsid w:val="004619F6"/>
    <w:rsid w:val="005F6853"/>
    <w:rsid w:val="006764CA"/>
    <w:rsid w:val="007015B8"/>
    <w:rsid w:val="0075463C"/>
    <w:rsid w:val="007C5DB6"/>
    <w:rsid w:val="007D0886"/>
    <w:rsid w:val="009906D6"/>
    <w:rsid w:val="00B3442E"/>
    <w:rsid w:val="00B666B2"/>
    <w:rsid w:val="00CF5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57C79"/>
  <w15:chartTrackingRefBased/>
  <w15:docId w15:val="{33D929D0-69B8-4860-993A-2FA30E009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5C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CE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F5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CE4"/>
  </w:style>
  <w:style w:type="paragraph" w:styleId="Footer">
    <w:name w:val="footer"/>
    <w:basedOn w:val="Normal"/>
    <w:link w:val="FooterChar"/>
    <w:uiPriority w:val="99"/>
    <w:unhideWhenUsed/>
    <w:rsid w:val="00CF5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CE4"/>
  </w:style>
  <w:style w:type="paragraph" w:styleId="NormalWeb">
    <w:name w:val="Normal (Web)"/>
    <w:basedOn w:val="Normal"/>
    <w:uiPriority w:val="99"/>
    <w:unhideWhenUsed/>
    <w:rsid w:val="00CF5CE4"/>
    <w:rPr>
      <w:rFonts w:ascii="Times New Roman" w:hAnsi="Times New Roman" w:cs="Times New Roman"/>
      <w:sz w:val="24"/>
      <w:szCs w:val="24"/>
    </w:rPr>
  </w:style>
  <w:style w:type="paragraph" w:styleId="FootnoteText">
    <w:name w:val="footnote text"/>
    <w:basedOn w:val="Normal"/>
    <w:link w:val="FootnoteTextChar"/>
    <w:uiPriority w:val="99"/>
    <w:unhideWhenUsed/>
    <w:rsid w:val="00CF5CE4"/>
    <w:pPr>
      <w:spacing w:after="0" w:line="240" w:lineRule="auto"/>
    </w:pPr>
    <w:rPr>
      <w:rFonts w:ascii="Times New Roman" w:eastAsia="SimSun" w:hAnsi="Times New Roman" w:cs="Times New Roman"/>
      <w:sz w:val="20"/>
      <w:szCs w:val="20"/>
      <w:lang w:eastAsia="zh-CN"/>
    </w:rPr>
  </w:style>
  <w:style w:type="character" w:customStyle="1" w:styleId="FootnoteTextChar">
    <w:name w:val="Footnote Text Char"/>
    <w:basedOn w:val="DefaultParagraphFont"/>
    <w:link w:val="FootnoteText"/>
    <w:uiPriority w:val="99"/>
    <w:rsid w:val="00CF5CE4"/>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CF5CE4"/>
    <w:rPr>
      <w:vertAlign w:val="superscript"/>
    </w:rPr>
  </w:style>
  <w:style w:type="character" w:styleId="Hyperlink">
    <w:name w:val="Hyperlink"/>
    <w:basedOn w:val="DefaultParagraphFont"/>
    <w:uiPriority w:val="99"/>
    <w:unhideWhenUsed/>
    <w:rsid w:val="00CF5C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eb-b-ebscohost-com.ezproxy.uwtsd.ac.uk/ehost/detail/detail?vid=1&amp;sid=f8811548-64a5-473a-82c0-9b6990ded84a%40pdc-v-sessmgr06&amp;bdata=JnNpdGU9ZWhvc3QtbGl2ZQ%3d%3d" TargetMode="External"/><Relationship Id="rId13" Type="http://schemas.openxmlformats.org/officeDocument/2006/relationships/hyperlink" Target="https://search-proquest-com.ezproxy.uwtsd.ac.uk/indexingvolumeissuelinkhandler/7687/Comparative+Drama/02010Y04Y01$23Spring+2010$3b++Vol.+44+$281$29/44/1?accountid=130472" TargetMode="External"/><Relationship Id="rId18" Type="http://schemas.openxmlformats.org/officeDocument/2006/relationships/hyperlink" Target="https://digitalcommons.unomaha.edu/jrf/vol1/iss1/5" TargetMode="External"/><Relationship Id="rId26" Type="http://schemas.openxmlformats.org/officeDocument/2006/relationships/hyperlink" Target="https://dictionary.cambridge.org/dictionary/english/based" TargetMode="External"/><Relationship Id="rId39" Type="http://schemas.openxmlformats.org/officeDocument/2006/relationships/hyperlink" Target="https://en.oxforddictionaries.com/definition/differentiation" TargetMode="External"/><Relationship Id="rId3" Type="http://schemas.openxmlformats.org/officeDocument/2006/relationships/hyperlink" Target="https://theatricalia.com/play/55g/amadeus/production/pOd" TargetMode="External"/><Relationship Id="rId21" Type="http://schemas.openxmlformats.org/officeDocument/2006/relationships/hyperlink" Target="https://www.psychologytoday.com/gb/blog/busting-myths-about-human-nature/201210/is-inequality-natural" TargetMode="External"/><Relationship Id="rId34" Type="http://schemas.openxmlformats.org/officeDocument/2006/relationships/hyperlink" Target="https://dictionary.cambridge.org/dictionary/english/personal" TargetMode="External"/><Relationship Id="rId42" Type="http://schemas.openxmlformats.org/officeDocument/2006/relationships/hyperlink" Target="https://link-springer-com.ezproxy.uwtsd.ac.uk/content/pdf/10.1007/s00406-014-0507-7.pdf" TargetMode="External"/><Relationship Id="rId7" Type="http://schemas.openxmlformats.org/officeDocument/2006/relationships/hyperlink" Target="https://web-b-ebscohost-com.ezproxy.uwtsd.ac.uk/ehost/detail/detail?vid=1&amp;sid=f8811548-64a5-473a-82c0-9b6990ded84a%40pdc-v-sessmgr06&amp;bdata=JnNpdGU9ZWhvc3QtbGl2ZQ%3d%3d" TargetMode="External"/><Relationship Id="rId12" Type="http://schemas.openxmlformats.org/officeDocument/2006/relationships/hyperlink" Target="https://search-proquest-com.ezproxy.uwtsd.ac.uk/pubidlinkhandler/sng/pubtitle/Comparative+Drama/$N/7687/DocView/753488650/fulltext/AC689DDCBF0E4F20PQ/1?accountid=130472" TargetMode="External"/><Relationship Id="rId17" Type="http://schemas.openxmlformats.org/officeDocument/2006/relationships/hyperlink" Target="https://www.zaentz.com/amadeus.html" TargetMode="External"/><Relationship Id="rId25" Type="http://schemas.openxmlformats.org/officeDocument/2006/relationships/hyperlink" Target="https://digitalcommons.unomaha.edu/jrf/vol1/iss1/5" TargetMode="External"/><Relationship Id="rId33" Type="http://schemas.openxmlformats.org/officeDocument/2006/relationships/hyperlink" Target="https://dictionary.cambridge.org/dictionary/english/unlimited" TargetMode="External"/><Relationship Id="rId38" Type="http://schemas.openxmlformats.org/officeDocument/2006/relationships/hyperlink" Target="https://dictionary.cambridge.org/dictionary/english/ruler" TargetMode="External"/><Relationship Id="rId2" Type="http://schemas.openxmlformats.org/officeDocument/2006/relationships/hyperlink" Target="http://www.ntvlive.nationaltheatre.org.uk/productions/58103-amadeus" TargetMode="External"/><Relationship Id="rId16" Type="http://schemas.openxmlformats.org/officeDocument/2006/relationships/hyperlink" Target="https://digitalcommons.unomaha.edu/jrf/vol1/iss1/5" TargetMode="External"/><Relationship Id="rId20" Type="http://schemas.openxmlformats.org/officeDocument/2006/relationships/hyperlink" Target="https://educationaladvancement.wordpress.com/2014/09/23/asynchrony-and-the-gifted-child/" TargetMode="External"/><Relationship Id="rId29" Type="http://schemas.openxmlformats.org/officeDocument/2006/relationships/hyperlink" Target="https://dictionary.cambridge.org/dictionary/english/planned" TargetMode="External"/><Relationship Id="rId41" Type="http://schemas.openxmlformats.org/officeDocument/2006/relationships/hyperlink" Target="file:///C:/Users/llang/Desktop/RELGION%20ESSAY/A_Playwright_Looks_at_Mozart_%20Giank.pdf" TargetMode="External"/><Relationship Id="rId1" Type="http://schemas.openxmlformats.org/officeDocument/2006/relationships/hyperlink" Target="https://deepfocusreview.com/definitives/amadeus/" TargetMode="External"/><Relationship Id="rId6" Type="http://schemas.openxmlformats.org/officeDocument/2006/relationships/hyperlink" Target="https://www.zaentz.com/amadeus.html" TargetMode="External"/><Relationship Id="rId11" Type="http://schemas.openxmlformats.org/officeDocument/2006/relationships/hyperlink" Target="http://makuro.mak-sima.com/teksty/amadeus/2_5_1.html" TargetMode="External"/><Relationship Id="rId24" Type="http://schemas.openxmlformats.org/officeDocument/2006/relationships/hyperlink" Target="https://en.oxforddictionaries.com/definition/differentiation" TargetMode="External"/><Relationship Id="rId32" Type="http://schemas.openxmlformats.org/officeDocument/2006/relationships/hyperlink" Target="https://dictionary.cambridge.org/dictionary/english/arbitrary" TargetMode="External"/><Relationship Id="rId37" Type="http://schemas.openxmlformats.org/officeDocument/2006/relationships/hyperlink" Target="https://dictionary.cambridge.org/dictionary/english/wish" TargetMode="External"/><Relationship Id="rId40" Type="http://schemas.openxmlformats.org/officeDocument/2006/relationships/hyperlink" Target="https://digitalcommons.unomaha.edu/jrf/vol1/iss1/5" TargetMode="External"/><Relationship Id="rId5" Type="http://schemas.openxmlformats.org/officeDocument/2006/relationships/hyperlink" Target="https://www.britannica.com/topic/Amadeus-film-by-Forman" TargetMode="External"/><Relationship Id="rId15" Type="http://schemas.openxmlformats.org/officeDocument/2006/relationships/hyperlink" Target="https://digitalcommons.unomaha.edu/jrf/vol1/iss1/5" TargetMode="External"/><Relationship Id="rId23" Type="http://schemas.openxmlformats.org/officeDocument/2006/relationships/hyperlink" Target="https://www.merriam-webster.com/dictionary/homo%20faber" TargetMode="External"/><Relationship Id="rId28" Type="http://schemas.openxmlformats.org/officeDocument/2006/relationships/hyperlink" Target="https://dictionary.cambridge.org/dictionary/english/rather" TargetMode="External"/><Relationship Id="rId36" Type="http://schemas.openxmlformats.org/officeDocument/2006/relationships/hyperlink" Target="https://dictionary.cambridge.org/dictionary/english/considering" TargetMode="External"/><Relationship Id="rId10" Type="http://schemas.openxmlformats.org/officeDocument/2006/relationships/hyperlink" Target="https://search-proquest-com.ezproxy.uwtsd.ac.uk/docview/740652864/fulltext/875EC7E57CF146E1PQ/1?accountid=130472" TargetMode="External"/><Relationship Id="rId19" Type="http://schemas.openxmlformats.org/officeDocument/2006/relationships/hyperlink" Target="https://doi.org/10.1177%2F004057368604200403" TargetMode="External"/><Relationship Id="rId31" Type="http://schemas.openxmlformats.org/officeDocument/2006/relationships/hyperlink" Target="https://dictionary.cambridge.org/dictionary/english/reason" TargetMode="External"/><Relationship Id="rId4" Type="http://schemas.openxmlformats.org/officeDocument/2006/relationships/hyperlink" Target="https://www.jstor.org/stable/307595" TargetMode="External"/><Relationship Id="rId9" Type="http://schemas.openxmlformats.org/officeDocument/2006/relationships/hyperlink" Target="file:///C:/Users/llang/Desktop/RELGION%20ESSAY/A_Playwright_Looks_at_Mozart_%20Giank.pdf" TargetMode="External"/><Relationship Id="rId14" Type="http://schemas.openxmlformats.org/officeDocument/2006/relationships/hyperlink" Target="https://search-proquest-com.ezproxy.uwtsd.ac.uk/docview/753488650/fulltext/AC689DDCBF0E4F20PQ/1?accountid=130472" TargetMode="External"/><Relationship Id="rId22" Type="http://schemas.openxmlformats.org/officeDocument/2006/relationships/hyperlink" Target="https://doi.org/10.1177%2F004057368604200403" TargetMode="External"/><Relationship Id="rId27" Type="http://schemas.openxmlformats.org/officeDocument/2006/relationships/hyperlink" Target="https://dictionary.cambridge.org/dictionary/english/chance" TargetMode="External"/><Relationship Id="rId30" Type="http://schemas.openxmlformats.org/officeDocument/2006/relationships/hyperlink" Target="https://dictionary.cambridge.org/dictionary/english/based" TargetMode="External"/><Relationship Id="rId35" Type="http://schemas.openxmlformats.org/officeDocument/2006/relationships/hyperlink" Target="https://dictionary.cambridge.org/dictionary/english/power" TargetMode="External"/><Relationship Id="rId43" Type="http://schemas.openxmlformats.org/officeDocument/2006/relationships/hyperlink" Target="https://web-b-ebscohost-com.ezproxy.uwtsd.ac.uk/ehost/detail/detail?vid=0&amp;sid=2e13b131-c81e-439b-9f3c-27503e7e5415%40sessionmgr103&amp;bdata=JnNpdGU9ZWhvc3QtbGl2ZQ%3d%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14</Pages>
  <Words>2328</Words>
  <Characters>13276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manley</dc:creator>
  <cp:keywords/>
  <dc:description/>
  <cp:lastModifiedBy>jane manley</cp:lastModifiedBy>
  <cp:revision>9</cp:revision>
  <dcterms:created xsi:type="dcterms:W3CDTF">2019-05-31T00:51:00Z</dcterms:created>
  <dcterms:modified xsi:type="dcterms:W3CDTF">2019-05-31T01:09:00Z</dcterms:modified>
</cp:coreProperties>
</file>