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5F1" w:rsidRPr="00B11B99" w:rsidRDefault="00D65F67" w:rsidP="009734FD">
      <w:pPr>
        <w:spacing w:before="100" w:after="100" w:afterAutospacing="1" w:line="480" w:lineRule="auto"/>
        <w:ind w:left="708"/>
        <w:rPr>
          <w:rFonts w:ascii="Times New Roman" w:eastAsia="Times New Roman" w:hAnsi="Times New Roman" w:cs="Times New Roman"/>
          <w:sz w:val="26"/>
          <w:szCs w:val="26"/>
        </w:rPr>
      </w:pPr>
      <w:r w:rsidRPr="00B11B99">
        <w:rPr>
          <w:rFonts w:ascii="Times New Roman" w:hAnsi="Times New Roman" w:cs="Times New Roman"/>
          <w:sz w:val="26"/>
          <w:szCs w:val="26"/>
        </w:rPr>
        <w:t>Reaction to</w:t>
      </w:r>
      <w:r w:rsidR="003655F1" w:rsidRPr="00B11B99">
        <w:rPr>
          <w:rFonts w:ascii="Times New Roman" w:hAnsi="Times New Roman" w:cs="Times New Roman"/>
          <w:sz w:val="26"/>
          <w:szCs w:val="26"/>
        </w:rPr>
        <w:t xml:space="preserve">: </w:t>
      </w:r>
      <w:proofErr w:type="spellStart"/>
      <w:r w:rsidRPr="00B11B99">
        <w:rPr>
          <w:rFonts w:ascii="Times New Roman" w:hAnsi="Times New Roman" w:cs="Times New Roman"/>
          <w:color w:val="000000"/>
          <w:sz w:val="26"/>
          <w:szCs w:val="26"/>
          <w:lang w:val="en-US"/>
        </w:rPr>
        <w:t>Knysh</w:t>
      </w:r>
      <w:proofErr w:type="spellEnd"/>
      <w:r w:rsidRPr="00B11B99">
        <w:rPr>
          <w:rFonts w:ascii="Times New Roman" w:hAnsi="Times New Roman" w:cs="Times New Roman"/>
          <w:color w:val="000000"/>
          <w:sz w:val="26"/>
          <w:szCs w:val="26"/>
          <w:lang w:val="en-US"/>
        </w:rPr>
        <w:t xml:space="preserve">, </w:t>
      </w:r>
      <w:r w:rsidRPr="00B11B99">
        <w:rPr>
          <w:rFonts w:ascii="Times New Roman" w:eastAsia="Times New Roman" w:hAnsi="Times New Roman" w:cs="Times New Roman"/>
          <w:sz w:val="26"/>
          <w:szCs w:val="26"/>
        </w:rPr>
        <w:t>"</w:t>
      </w:r>
      <w:r w:rsidRPr="00B11B99">
        <w:rPr>
          <w:rFonts w:ascii="Times New Roman" w:hAnsi="Times New Roman" w:cs="Times New Roman"/>
          <w:color w:val="000000"/>
          <w:sz w:val="26"/>
          <w:szCs w:val="26"/>
          <w:lang w:val="en-US"/>
        </w:rPr>
        <w:t>Irfan Revisited Khomeini and the Legacy of Islamic Mystical Philosophy</w:t>
      </w:r>
      <w:r w:rsidRPr="00B11B99">
        <w:rPr>
          <w:rFonts w:ascii="Times New Roman" w:eastAsia="Times New Roman" w:hAnsi="Times New Roman" w:cs="Times New Roman"/>
          <w:sz w:val="26"/>
          <w:szCs w:val="26"/>
        </w:rPr>
        <w:t>"</w:t>
      </w:r>
      <w:r w:rsidRPr="00B11B99">
        <w:rPr>
          <w:rFonts w:ascii="Times New Roman" w:eastAsia="Times New Roman" w:hAnsi="Times New Roman" w:cs="Times New Roman"/>
          <w:sz w:val="26"/>
          <w:szCs w:val="26"/>
        </w:rPr>
        <w:t xml:space="preserve"> </w:t>
      </w:r>
      <w:r w:rsidRPr="00B11B99">
        <w:rPr>
          <w:rFonts w:ascii="Times New Roman" w:hAnsi="Times New Roman" w:cs="Times New Roman"/>
          <w:i/>
          <w:iCs/>
          <w:color w:val="000000"/>
          <w:sz w:val="26"/>
          <w:szCs w:val="26"/>
          <w:lang w:val="en-US"/>
        </w:rPr>
        <w:t>Middle East Journal,</w:t>
      </w:r>
      <w:r w:rsidRPr="00B11B99">
        <w:rPr>
          <w:rFonts w:ascii="Times New Roman" w:hAnsi="Times New Roman" w:cs="Times New Roman"/>
          <w:color w:val="000000"/>
          <w:sz w:val="26"/>
          <w:szCs w:val="26"/>
          <w:lang w:val="en-US"/>
        </w:rPr>
        <w:t xml:space="preserve"> 46. </w:t>
      </w:r>
      <w:proofErr w:type="gramStart"/>
      <w:r w:rsidRPr="00B11B99">
        <w:rPr>
          <w:rFonts w:ascii="Times New Roman" w:hAnsi="Times New Roman" w:cs="Times New Roman"/>
          <w:color w:val="000000"/>
          <w:sz w:val="26"/>
          <w:szCs w:val="26"/>
          <w:lang w:val="en-US"/>
        </w:rPr>
        <w:t>4 (1992).</w:t>
      </w:r>
      <w:proofErr w:type="gramEnd"/>
    </w:p>
    <w:p w:rsidR="003655F1" w:rsidRPr="00B11B99" w:rsidRDefault="003655F1" w:rsidP="009734FD">
      <w:pPr>
        <w:spacing w:after="100" w:afterAutospacing="1" w:line="480" w:lineRule="auto"/>
        <w:rPr>
          <w:rFonts w:ascii="Times New Roman" w:eastAsia="Times New Roman" w:hAnsi="Times New Roman" w:cs="Times New Roman"/>
          <w:sz w:val="24"/>
          <w:szCs w:val="24"/>
        </w:rPr>
      </w:pPr>
    </w:p>
    <w:p w:rsidR="00E031B5" w:rsidRPr="009A3F8B" w:rsidRDefault="009A3F8B" w:rsidP="009734FD">
      <w:pPr>
        <w:spacing w:after="100" w:afterAutospacing="1" w:line="480" w:lineRule="auto"/>
        <w:rPr>
          <w:rFonts w:ascii="Times New Roman" w:hAnsi="Times New Roman" w:cs="Times New Roman"/>
          <w:sz w:val="24"/>
          <w:szCs w:val="24"/>
        </w:rPr>
      </w:pPr>
      <w:r w:rsidRPr="009A3F8B">
        <w:rPr>
          <w:rFonts w:ascii="Times New Roman" w:hAnsi="Times New Roman" w:cs="Times New Roman"/>
          <w:sz w:val="24"/>
          <w:szCs w:val="24"/>
        </w:rPr>
        <w:t xml:space="preserve">The centuries-long tapestry woven by mystical philosophers of Persian lands, interlaced with the threads of various thinkers, is impressive. This paper aims to analyze to what extent a broader understanding of culture and connection to the fundamentals of Islam contribute to the comprehension of Khomeini and </w:t>
      </w:r>
      <w:r w:rsidRPr="009A3F8B">
        <w:rPr>
          <w:rFonts w:ascii="Times New Roman" w:hAnsi="Times New Roman" w:cs="Times New Roman"/>
          <w:i/>
          <w:sz w:val="24"/>
          <w:szCs w:val="24"/>
        </w:rPr>
        <w:t>irfan</w:t>
      </w:r>
      <w:r w:rsidRPr="009A3F8B">
        <w:rPr>
          <w:rFonts w:ascii="Times New Roman" w:hAnsi="Times New Roman" w:cs="Times New Roman"/>
          <w:sz w:val="24"/>
          <w:szCs w:val="24"/>
        </w:rPr>
        <w:t>.</w:t>
      </w:r>
    </w:p>
    <w:p w:rsidR="009A3F8B" w:rsidRPr="009A3F8B" w:rsidRDefault="009A3F8B" w:rsidP="009734FD">
      <w:pPr>
        <w:pStyle w:val="ListParagraph"/>
        <w:numPr>
          <w:ilvl w:val="0"/>
          <w:numId w:val="6"/>
        </w:numPr>
        <w:spacing w:after="100" w:afterAutospacing="1" w:line="480" w:lineRule="auto"/>
        <w:rPr>
          <w:rFonts w:ascii="Times New Roman" w:eastAsia="Times New Roman" w:hAnsi="Times New Roman" w:cs="Times New Roman"/>
          <w:sz w:val="24"/>
          <w:szCs w:val="24"/>
        </w:rPr>
      </w:pPr>
    </w:p>
    <w:p w:rsidR="003655F1" w:rsidRPr="00B11B99" w:rsidRDefault="003655F1" w:rsidP="009734FD">
      <w:pPr>
        <w:spacing w:after="100" w:afterAutospacing="1" w:line="480" w:lineRule="auto"/>
        <w:rPr>
          <w:rFonts w:ascii="Times New Roman" w:eastAsia="Times New Roman" w:hAnsi="Times New Roman" w:cs="Times New Roman"/>
          <w:sz w:val="24"/>
          <w:szCs w:val="24"/>
        </w:rPr>
      </w:pPr>
      <w:r w:rsidRPr="00B11B99">
        <w:rPr>
          <w:rFonts w:ascii="Times New Roman" w:eastAsia="Times New Roman" w:hAnsi="Times New Roman" w:cs="Times New Roman"/>
          <w:sz w:val="24"/>
          <w:szCs w:val="24"/>
        </w:rPr>
        <w:t>Knysh's (ibid) article begins with a description of the super-commentaries found in th</w:t>
      </w:r>
      <w:r w:rsidR="00D65F67" w:rsidRPr="00B11B99">
        <w:rPr>
          <w:rFonts w:ascii="Times New Roman" w:eastAsia="Times New Roman" w:hAnsi="Times New Roman" w:cs="Times New Roman"/>
          <w:sz w:val="24"/>
          <w:szCs w:val="24"/>
        </w:rPr>
        <w:t xml:space="preserve">e earlier annotated edition of </w:t>
      </w:r>
      <w:r w:rsidRPr="00B11B99">
        <w:rPr>
          <w:rFonts w:ascii="Times New Roman" w:eastAsia="Times New Roman" w:hAnsi="Times New Roman" w:cs="Times New Roman"/>
          <w:i/>
          <w:sz w:val="24"/>
          <w:szCs w:val="24"/>
        </w:rPr>
        <w:t>Fusus al-hikam</w:t>
      </w:r>
      <w:r w:rsidRPr="00B11B99">
        <w:rPr>
          <w:rFonts w:ascii="Times New Roman" w:eastAsia="Times New Roman" w:hAnsi="Times New Roman" w:cs="Times New Roman"/>
          <w:sz w:val="24"/>
          <w:szCs w:val="24"/>
        </w:rPr>
        <w:t xml:space="preserve"> added by Rouhollah Khomeini (1902-1989). An average reader from Western culture might recognize Khomeini as the leader of Iran's post-revolutionary regime, to whom the epithet "a master of </w:t>
      </w:r>
      <w:r w:rsidRPr="00B11B99">
        <w:rPr>
          <w:rFonts w:ascii="Times New Roman" w:eastAsia="Times New Roman" w:hAnsi="Times New Roman" w:cs="Times New Roman"/>
          <w:i/>
          <w:sz w:val="24"/>
          <w:szCs w:val="24"/>
        </w:rPr>
        <w:t>irfan</w:t>
      </w:r>
      <w:r w:rsidRPr="00B11B99">
        <w:rPr>
          <w:rFonts w:ascii="Times New Roman" w:eastAsia="Times New Roman" w:hAnsi="Times New Roman" w:cs="Times New Roman"/>
          <w:sz w:val="24"/>
          <w:szCs w:val="24"/>
        </w:rPr>
        <w:t>"</w:t>
      </w:r>
      <w:r w:rsidR="00D65F67" w:rsidRPr="00B11B99">
        <w:rPr>
          <w:rFonts w:ascii="Times New Roman" w:eastAsia="Times New Roman" w:hAnsi="Times New Roman" w:cs="Times New Roman"/>
          <w:sz w:val="24"/>
          <w:szCs w:val="24"/>
        </w:rPr>
        <w:t xml:space="preserve"> (Knysh ibid:651)</w:t>
      </w:r>
      <w:r w:rsidRPr="00B11B99">
        <w:rPr>
          <w:rFonts w:ascii="Times New Roman" w:eastAsia="Times New Roman" w:hAnsi="Times New Roman" w:cs="Times New Roman"/>
          <w:sz w:val="24"/>
          <w:szCs w:val="24"/>
        </w:rPr>
        <w:t xml:space="preserve"> in the article may signify more than just an accolade for politicians who like to adorn themselves with medals and honors.</w:t>
      </w:r>
    </w:p>
    <w:p w:rsidR="00E031B5" w:rsidRPr="00B11B99" w:rsidRDefault="003655F1" w:rsidP="009734FD">
      <w:pPr>
        <w:spacing w:after="100" w:afterAutospacing="1" w:line="480" w:lineRule="auto"/>
        <w:rPr>
          <w:rFonts w:ascii="Times New Roman" w:hAnsi="Times New Roman" w:cs="Times New Roman"/>
          <w:bCs/>
          <w:color w:val="0033CC"/>
          <w:sz w:val="24"/>
          <w:szCs w:val="24"/>
        </w:rPr>
      </w:pPr>
      <w:r w:rsidRPr="00B11B99">
        <w:rPr>
          <w:rFonts w:ascii="Times New Roman" w:eastAsia="Times New Roman" w:hAnsi="Times New Roman" w:cs="Times New Roman"/>
          <w:sz w:val="24"/>
          <w:szCs w:val="24"/>
        </w:rPr>
        <w:t>Khomeini's serious studies</w:t>
      </w:r>
      <w:r w:rsidR="00154C74" w:rsidRPr="00B11B99">
        <w:rPr>
          <w:rFonts w:ascii="Times New Roman" w:eastAsia="Times New Roman" w:hAnsi="Times New Roman" w:cs="Times New Roman"/>
          <w:sz w:val="24"/>
          <w:szCs w:val="24"/>
        </w:rPr>
        <w:t xml:space="preserve"> </w:t>
      </w:r>
      <w:r w:rsidR="00CB0C55" w:rsidRPr="00B11B99">
        <w:rPr>
          <w:rFonts w:ascii="Times New Roman" w:eastAsia="Times New Roman" w:hAnsi="Times New Roman" w:cs="Times New Roman"/>
          <w:sz w:val="24"/>
          <w:szCs w:val="24"/>
        </w:rPr>
        <w:t>started</w:t>
      </w:r>
      <w:r w:rsidRPr="00B11B99">
        <w:rPr>
          <w:rFonts w:ascii="Times New Roman" w:eastAsia="Times New Roman" w:hAnsi="Times New Roman" w:cs="Times New Roman"/>
          <w:sz w:val="24"/>
          <w:szCs w:val="24"/>
        </w:rPr>
        <w:t xml:space="preserve"> under the guidance of Mirza Muhammad Ali Shahabadi (1292/1875-1369/1950)</w:t>
      </w:r>
      <w:r w:rsidR="00154C74" w:rsidRPr="00B11B99">
        <w:rPr>
          <w:rFonts w:ascii="Times New Roman" w:eastAsia="Times New Roman" w:hAnsi="Times New Roman" w:cs="Times New Roman"/>
          <w:sz w:val="24"/>
          <w:szCs w:val="24"/>
        </w:rPr>
        <w:t xml:space="preserve"> </w:t>
      </w:r>
      <w:r w:rsidR="00154C74" w:rsidRPr="00B11B99">
        <w:rPr>
          <w:rFonts w:ascii="Times New Roman" w:eastAsia="Times New Roman" w:hAnsi="Times New Roman" w:cs="Times New Roman"/>
          <w:sz w:val="24"/>
          <w:szCs w:val="24"/>
        </w:rPr>
        <w:t>, to which he dedicated at least six years of his youth</w:t>
      </w:r>
      <w:r w:rsidRPr="00B11B99">
        <w:rPr>
          <w:rFonts w:ascii="Times New Roman" w:eastAsia="Times New Roman" w:hAnsi="Times New Roman" w:cs="Times New Roman"/>
          <w:sz w:val="24"/>
          <w:szCs w:val="24"/>
        </w:rPr>
        <w:t>.</w:t>
      </w:r>
      <w:r w:rsidR="00154C74" w:rsidRPr="00B11B99">
        <w:rPr>
          <w:rFonts w:ascii="Times New Roman" w:eastAsia="Times New Roman" w:hAnsi="Times New Roman" w:cs="Times New Roman"/>
          <w:sz w:val="24"/>
          <w:szCs w:val="24"/>
        </w:rPr>
        <w:t xml:space="preserve"> </w:t>
      </w:r>
      <w:r w:rsidRPr="00B11B99">
        <w:rPr>
          <w:rFonts w:ascii="Times New Roman" w:eastAsia="Times New Roman" w:hAnsi="Times New Roman" w:cs="Times New Roman"/>
          <w:sz w:val="24"/>
          <w:szCs w:val="24"/>
        </w:rPr>
        <w:t xml:space="preserve">His first textbook in the field of </w:t>
      </w:r>
      <w:r w:rsidRPr="00B11B99">
        <w:rPr>
          <w:rFonts w:ascii="Times New Roman" w:eastAsia="Times New Roman" w:hAnsi="Times New Roman" w:cs="Times New Roman"/>
          <w:i/>
          <w:sz w:val="24"/>
          <w:szCs w:val="24"/>
        </w:rPr>
        <w:t>irfan</w:t>
      </w:r>
      <w:r w:rsidRPr="00B11B99">
        <w:rPr>
          <w:rFonts w:ascii="Times New Roman" w:eastAsia="Times New Roman" w:hAnsi="Times New Roman" w:cs="Times New Roman"/>
          <w:sz w:val="24"/>
          <w:szCs w:val="24"/>
        </w:rPr>
        <w:t xml:space="preserve"> was Mulla Sadra</w:t>
      </w:r>
      <w:r w:rsidR="00894B55" w:rsidRPr="00B11B99">
        <w:rPr>
          <w:rFonts w:ascii="Times New Roman" w:eastAsia="Times New Roman" w:hAnsi="Times New Roman" w:cs="Times New Roman"/>
          <w:sz w:val="24"/>
          <w:szCs w:val="24"/>
        </w:rPr>
        <w:t>’s</w:t>
      </w:r>
      <w:r w:rsidRPr="00B11B99">
        <w:rPr>
          <w:rFonts w:ascii="Times New Roman" w:eastAsia="Times New Roman" w:hAnsi="Times New Roman" w:cs="Times New Roman"/>
          <w:sz w:val="24"/>
          <w:szCs w:val="24"/>
        </w:rPr>
        <w:t xml:space="preserve"> (c. 1571/2 – c. 1635/40)'s </w:t>
      </w:r>
      <w:r w:rsidRPr="00B11B99">
        <w:rPr>
          <w:rFonts w:ascii="Times New Roman" w:eastAsia="Times New Roman" w:hAnsi="Times New Roman" w:cs="Times New Roman"/>
          <w:i/>
          <w:sz w:val="24"/>
          <w:szCs w:val="24"/>
        </w:rPr>
        <w:t xml:space="preserve">Al-Hikma al-muta'aliya fi l-asfar al-'aqliyya al-arbaʾa. </w:t>
      </w:r>
      <w:r w:rsidRPr="00B11B99">
        <w:rPr>
          <w:rFonts w:ascii="Times New Roman" w:eastAsia="Times New Roman" w:hAnsi="Times New Roman" w:cs="Times New Roman"/>
          <w:sz w:val="24"/>
          <w:szCs w:val="24"/>
        </w:rPr>
        <w:t>As Knysh (ibid) states in the comments on the article about irfan: "This peculiar type of later Islamic thought, combining in itself the elements of scholasticism, rational philosophy, and mysticism, has also been known in Iran as</w:t>
      </w:r>
      <w:r w:rsidR="00894B55" w:rsidRPr="00B11B99">
        <w:rPr>
          <w:rFonts w:ascii="Times New Roman" w:eastAsia="Times New Roman" w:hAnsi="Times New Roman" w:cs="Times New Roman"/>
          <w:sz w:val="24"/>
          <w:szCs w:val="24"/>
        </w:rPr>
        <w:t xml:space="preserve"> hikmat (wisdom)</w:t>
      </w:r>
      <w:r w:rsidRPr="00B11B99">
        <w:rPr>
          <w:rFonts w:ascii="Times New Roman" w:eastAsia="Times New Roman" w:hAnsi="Times New Roman" w:cs="Times New Roman"/>
          <w:sz w:val="24"/>
          <w:szCs w:val="24"/>
        </w:rPr>
        <w:t>"</w:t>
      </w:r>
      <w:r w:rsidR="00894B55" w:rsidRPr="00B11B99">
        <w:rPr>
          <w:rFonts w:ascii="Times New Roman" w:eastAsia="Times New Roman" w:hAnsi="Times New Roman" w:cs="Times New Roman"/>
          <w:sz w:val="24"/>
          <w:szCs w:val="24"/>
        </w:rPr>
        <w:t xml:space="preserve"> (ibid:632).</w:t>
      </w:r>
      <w:r w:rsidR="00365E9C" w:rsidRPr="00B11B99">
        <w:rPr>
          <w:rFonts w:ascii="Times New Roman" w:eastAsia="Times New Roman" w:hAnsi="Times New Roman" w:cs="Times New Roman"/>
          <w:sz w:val="24"/>
          <w:szCs w:val="24"/>
        </w:rPr>
        <w:t xml:space="preserve"> </w:t>
      </w:r>
      <w:r w:rsidR="00E031B5" w:rsidRPr="00B11B99">
        <w:rPr>
          <w:rFonts w:ascii="Times New Roman" w:hAnsi="Times New Roman" w:cs="Times New Roman"/>
          <w:sz w:val="24"/>
          <w:szCs w:val="24"/>
        </w:rPr>
        <w:t xml:space="preserve">As Knysh (ibid) states in the comments on the article about </w:t>
      </w:r>
      <w:r w:rsidR="00E031B5" w:rsidRPr="00B11B99">
        <w:rPr>
          <w:rFonts w:ascii="Times New Roman" w:hAnsi="Times New Roman" w:cs="Times New Roman"/>
          <w:i/>
          <w:sz w:val="24"/>
          <w:szCs w:val="24"/>
        </w:rPr>
        <w:t>irfan</w:t>
      </w:r>
      <w:r w:rsidR="00E031B5" w:rsidRPr="00B11B99">
        <w:rPr>
          <w:rFonts w:ascii="Times New Roman" w:hAnsi="Times New Roman" w:cs="Times New Roman"/>
          <w:sz w:val="24"/>
          <w:szCs w:val="24"/>
        </w:rPr>
        <w:t xml:space="preserve">: "This peculiar type of later Islamic thought, combining elements of scholasticism, rational philosophy, and mysticism, has also been known in Iran as </w:t>
      </w:r>
      <w:r w:rsidR="00E031B5" w:rsidRPr="00B11B99">
        <w:rPr>
          <w:rFonts w:ascii="Times New Roman" w:hAnsi="Times New Roman" w:cs="Times New Roman"/>
          <w:i/>
          <w:sz w:val="24"/>
          <w:szCs w:val="24"/>
        </w:rPr>
        <w:t>hikmat</w:t>
      </w:r>
      <w:r w:rsidR="00E031B5" w:rsidRPr="00B11B99">
        <w:rPr>
          <w:rFonts w:ascii="Times New Roman" w:hAnsi="Times New Roman" w:cs="Times New Roman"/>
          <w:sz w:val="24"/>
          <w:szCs w:val="24"/>
        </w:rPr>
        <w:t xml:space="preserve"> (wisdom)" </w:t>
      </w:r>
      <w:r w:rsidR="00E031B5" w:rsidRPr="00B11B99">
        <w:rPr>
          <w:rFonts w:ascii="Times New Roman" w:hAnsi="Times New Roman" w:cs="Times New Roman"/>
          <w:sz w:val="24"/>
          <w:szCs w:val="24"/>
        </w:rPr>
        <w:lastRenderedPageBreak/>
        <w:t xml:space="preserve">(ibid:632). Knysh adds to the description of </w:t>
      </w:r>
      <w:r w:rsidR="00E031B5" w:rsidRPr="00B11B99">
        <w:rPr>
          <w:rFonts w:ascii="Times New Roman" w:hAnsi="Times New Roman" w:cs="Times New Roman"/>
          <w:i/>
          <w:sz w:val="24"/>
          <w:szCs w:val="24"/>
        </w:rPr>
        <w:t>irfan</w:t>
      </w:r>
      <w:r w:rsidR="00E031B5" w:rsidRPr="00B11B99">
        <w:rPr>
          <w:rFonts w:ascii="Times New Roman" w:hAnsi="Times New Roman" w:cs="Times New Roman"/>
          <w:sz w:val="24"/>
          <w:szCs w:val="24"/>
        </w:rPr>
        <w:t xml:space="preserve"> by incorporating Corbin's suggested translation "theo-sophia," which may be more helpful for readers familiar with the specific terminology and logic of </w:t>
      </w:r>
      <w:r w:rsidR="00B155B6" w:rsidRPr="00B11B99">
        <w:rPr>
          <w:rFonts w:ascii="Times New Roman" w:hAnsi="Times New Roman" w:cs="Times New Roman"/>
          <w:sz w:val="24"/>
          <w:szCs w:val="24"/>
        </w:rPr>
        <w:t>Corbin himself</w:t>
      </w:r>
      <w:r w:rsidR="00E031B5" w:rsidRPr="00B11B99">
        <w:rPr>
          <w:rFonts w:ascii="Times New Roman" w:hAnsi="Times New Roman" w:cs="Times New Roman"/>
          <w:sz w:val="24"/>
          <w:szCs w:val="24"/>
        </w:rPr>
        <w:t xml:space="preserve">. </w:t>
      </w:r>
      <w:r w:rsidR="00E031B5" w:rsidRPr="00B11B99">
        <w:rPr>
          <w:rFonts w:ascii="Times New Roman" w:hAnsi="Times New Roman" w:cs="Times New Roman"/>
          <w:i/>
          <w:sz w:val="24"/>
          <w:szCs w:val="24"/>
        </w:rPr>
        <w:t>The Oxford Encyclopedia of Philosophy, Science, and Technology in Islam</w:t>
      </w:r>
      <w:r w:rsidR="00E031B5" w:rsidRPr="00B11B99">
        <w:rPr>
          <w:rFonts w:ascii="Times New Roman" w:hAnsi="Times New Roman" w:cs="Times New Roman"/>
          <w:sz w:val="24"/>
          <w:szCs w:val="24"/>
        </w:rPr>
        <w:t xml:space="preserve"> states under the entry for </w:t>
      </w:r>
      <w:r w:rsidR="00E031B5" w:rsidRPr="00B11B99">
        <w:rPr>
          <w:rFonts w:ascii="Times New Roman" w:hAnsi="Times New Roman" w:cs="Times New Roman"/>
          <w:i/>
          <w:sz w:val="24"/>
          <w:szCs w:val="24"/>
        </w:rPr>
        <w:t xml:space="preserve">irfan </w:t>
      </w:r>
      <w:r w:rsidR="00E031B5" w:rsidRPr="00B11B99">
        <w:rPr>
          <w:rFonts w:ascii="Times New Roman" w:hAnsi="Times New Roman" w:cs="Times New Roman"/>
          <w:sz w:val="24"/>
          <w:szCs w:val="24"/>
        </w:rPr>
        <w:t>(Kalin 2014:288) that finding a static English equivalent for the term is problematic, as related concepts also lack precise English counterparts. The Oxford Encyclopedia also thoroughly explores the historical development of the term through the potential and known interpretations of earlier</w:t>
      </w:r>
      <w:r w:rsidR="00B155B6" w:rsidRPr="00B11B99">
        <w:rPr>
          <w:rFonts w:ascii="Times New Roman" w:hAnsi="Times New Roman" w:cs="Times New Roman"/>
          <w:sz w:val="24"/>
          <w:szCs w:val="24"/>
        </w:rPr>
        <w:t>, including</w:t>
      </w:r>
      <w:r w:rsidR="00E031B5" w:rsidRPr="00B11B99">
        <w:rPr>
          <w:rFonts w:ascii="Times New Roman" w:hAnsi="Times New Roman" w:cs="Times New Roman"/>
          <w:sz w:val="24"/>
          <w:szCs w:val="24"/>
        </w:rPr>
        <w:t xml:space="preserve"> Sufi</w:t>
      </w:r>
      <w:r w:rsidR="00B155B6" w:rsidRPr="00B11B99">
        <w:rPr>
          <w:rFonts w:ascii="Times New Roman" w:hAnsi="Times New Roman" w:cs="Times New Roman"/>
          <w:sz w:val="24"/>
          <w:szCs w:val="24"/>
        </w:rPr>
        <w:t>,</w:t>
      </w:r>
      <w:r w:rsidR="00E031B5" w:rsidRPr="00B11B99">
        <w:rPr>
          <w:rFonts w:ascii="Times New Roman" w:hAnsi="Times New Roman" w:cs="Times New Roman"/>
          <w:sz w:val="24"/>
          <w:szCs w:val="24"/>
        </w:rPr>
        <w:t xml:space="preserve"> authors, which </w:t>
      </w:r>
      <w:r w:rsidR="00B155B6" w:rsidRPr="00B11B99">
        <w:rPr>
          <w:rFonts w:ascii="Times New Roman" w:hAnsi="Times New Roman" w:cs="Times New Roman"/>
          <w:sz w:val="24"/>
          <w:szCs w:val="24"/>
        </w:rPr>
        <w:t>also</w:t>
      </w:r>
      <w:r w:rsidR="00E031B5" w:rsidRPr="00B11B99">
        <w:rPr>
          <w:rFonts w:ascii="Times New Roman" w:hAnsi="Times New Roman" w:cs="Times New Roman"/>
          <w:sz w:val="24"/>
          <w:szCs w:val="24"/>
        </w:rPr>
        <w:t xml:space="preserve"> leaves much of today's understanding open to subjective interpretations.</w:t>
      </w:r>
    </w:p>
    <w:p w:rsidR="00B155B6" w:rsidRPr="00B11B99" w:rsidRDefault="00B155B6" w:rsidP="009734FD">
      <w:pPr>
        <w:spacing w:after="100" w:afterAutospacing="1" w:line="480" w:lineRule="auto"/>
        <w:rPr>
          <w:rFonts w:ascii="Times New Roman" w:eastAsia="Times New Roman" w:hAnsi="Times New Roman" w:cs="Times New Roman"/>
          <w:sz w:val="24"/>
          <w:szCs w:val="24"/>
        </w:rPr>
      </w:pPr>
      <w:r w:rsidRPr="00B11B99">
        <w:rPr>
          <w:rFonts w:ascii="Times New Roman" w:hAnsi="Times New Roman" w:cs="Times New Roman"/>
          <w:sz w:val="24"/>
          <w:szCs w:val="24"/>
        </w:rPr>
        <w:t>An additional valuable aspect for Western readers in understanding the essence of irfan is its dynamic contemporary description offered by Martyr Mourtadha Mutahhari (d. 1979), as conveyed by Ayatullah Sayyid Kamal al-Haydari, who</w:t>
      </w:r>
      <w:r w:rsidRPr="00B11B99">
        <w:rPr>
          <w:rFonts w:ascii="Times New Roman" w:hAnsi="Times New Roman" w:cs="Times New Roman"/>
          <w:sz w:val="24"/>
          <w:szCs w:val="24"/>
        </w:rPr>
        <w:t xml:space="preserve"> also</w:t>
      </w:r>
      <w:r w:rsidRPr="00B11B99">
        <w:rPr>
          <w:rFonts w:ascii="Times New Roman" w:hAnsi="Times New Roman" w:cs="Times New Roman"/>
          <w:sz w:val="24"/>
          <w:szCs w:val="24"/>
        </w:rPr>
        <w:t xml:space="preserve"> emphasizes the importance of moderation</w:t>
      </w:r>
      <w:r w:rsidRPr="00B11B99">
        <w:rPr>
          <w:rFonts w:ascii="Times New Roman" w:hAnsi="Times New Roman" w:cs="Times New Roman"/>
          <w:sz w:val="24"/>
          <w:szCs w:val="24"/>
        </w:rPr>
        <w:t xml:space="preserve"> and role of the tutor</w:t>
      </w:r>
      <w:r w:rsidRPr="00B11B99">
        <w:rPr>
          <w:rFonts w:ascii="Times New Roman" w:hAnsi="Times New Roman" w:cs="Times New Roman"/>
          <w:sz w:val="24"/>
          <w:szCs w:val="24"/>
        </w:rPr>
        <w:t>: “The practical teaching of ʿirfān is also called the itinerary of the spiritual path,”</w:t>
      </w:r>
      <w:r w:rsidRPr="00B11B99">
        <w:rPr>
          <w:rStyle w:val="FootnoteReference"/>
          <w:rFonts w:ascii="Times New Roman" w:hAnsi="Times New Roman" w:cs="Times New Roman"/>
          <w:bCs/>
          <w:sz w:val="24"/>
          <w:szCs w:val="24"/>
        </w:rPr>
        <w:t xml:space="preserve"> </w:t>
      </w:r>
      <w:r w:rsidRPr="00B11B99">
        <w:rPr>
          <w:rStyle w:val="FootnoteReference"/>
          <w:rFonts w:ascii="Times New Roman" w:hAnsi="Times New Roman" w:cs="Times New Roman"/>
          <w:bCs/>
          <w:sz w:val="24"/>
          <w:szCs w:val="24"/>
        </w:rPr>
        <w:footnoteReference w:id="1"/>
      </w:r>
      <w:r w:rsidRPr="00B11B99">
        <w:rPr>
          <w:rFonts w:ascii="Times New Roman" w:hAnsi="Times New Roman" w:cs="Times New Roman"/>
          <w:sz w:val="24"/>
          <w:szCs w:val="24"/>
        </w:rPr>
        <w:t xml:space="preserve"> which encompasses the various twists and turns of real life and the decisions made within them.</w:t>
      </w:r>
    </w:p>
    <w:p w:rsidR="00B155B6" w:rsidRPr="00B11B99" w:rsidRDefault="00AE1190" w:rsidP="009734FD">
      <w:pPr>
        <w:spacing w:after="100" w:afterAutospacing="1" w:line="480" w:lineRule="auto"/>
        <w:rPr>
          <w:rFonts w:ascii="Times New Roman" w:hAnsi="Times New Roman" w:cs="Times New Roman"/>
          <w:iCs/>
          <w:color w:val="0033CC"/>
          <w:sz w:val="24"/>
          <w:szCs w:val="24"/>
        </w:rPr>
      </w:pPr>
      <w:r w:rsidRPr="00B11B99">
        <w:rPr>
          <w:rFonts w:ascii="Times New Roman" w:eastAsia="Times New Roman" w:hAnsi="Times New Roman" w:cs="Times New Roman"/>
          <w:sz w:val="24"/>
          <w:szCs w:val="24"/>
        </w:rPr>
        <w:t>When discussing philosophy, it must be understood that we always treat conceptual frameworks as agreed-upon constructs. The same applies to mystical philosophy, where the consensual content of concepts naturally possesses its characteristic and unique nuances. Since there are different concepts for understanding a unified reality, it must be acknowledged that these concepts cannot be equated with reality itself. Evolution works through replication and the selection of the best adaptations that result from emerging diversity. However, the abundance of variations and diversity does not grow exponentially beyond what is economical. The same applies to the dissemination of concepts. Subjective fine-tuning in their understanding gives rise, over time, to a new seed of diversity</w:t>
      </w:r>
      <w:r w:rsidRPr="00B11B99">
        <w:rPr>
          <w:rFonts w:ascii="Times New Roman" w:eastAsia="Times New Roman" w:hAnsi="Times New Roman" w:cs="Times New Roman"/>
          <w:color w:val="0033CC"/>
          <w:sz w:val="24"/>
          <w:szCs w:val="24"/>
        </w:rPr>
        <w:t>.</w:t>
      </w:r>
      <w:r w:rsidR="000D0F8F" w:rsidRPr="00B11B99">
        <w:rPr>
          <w:rFonts w:ascii="Times New Roman" w:eastAsia="Times New Roman" w:hAnsi="Times New Roman" w:cs="Times New Roman"/>
          <w:color w:val="0033CC"/>
          <w:sz w:val="24"/>
          <w:szCs w:val="24"/>
        </w:rPr>
        <w:t xml:space="preserve"> </w:t>
      </w:r>
      <w:r w:rsidR="00B155B6" w:rsidRPr="00B11B99">
        <w:rPr>
          <w:rFonts w:ascii="Times New Roman" w:hAnsi="Times New Roman" w:cs="Times New Roman"/>
          <w:sz w:val="24"/>
          <w:szCs w:val="24"/>
        </w:rPr>
        <w:t xml:space="preserve">However, the abundance of </w:t>
      </w:r>
      <w:r w:rsidR="00B155B6" w:rsidRPr="00B11B99">
        <w:rPr>
          <w:rFonts w:ascii="Times New Roman" w:hAnsi="Times New Roman" w:cs="Times New Roman"/>
          <w:sz w:val="24"/>
          <w:szCs w:val="24"/>
        </w:rPr>
        <w:lastRenderedPageBreak/>
        <w:t xml:space="preserve">variations and diversity does not grow exponentially beyond what is economical. The same applies to the dissemination of concepts. Subjective fine-tuning in their understanding gives rise, over time, to a new seed of diversity. For example, the concept of </w:t>
      </w:r>
      <w:r w:rsidR="00B155B6" w:rsidRPr="00B11B99">
        <w:rPr>
          <w:rStyle w:val="Emphasis"/>
          <w:rFonts w:ascii="Times New Roman" w:hAnsi="Times New Roman" w:cs="Times New Roman"/>
          <w:sz w:val="24"/>
          <w:szCs w:val="24"/>
        </w:rPr>
        <w:t>wilayat al-faqih</w:t>
      </w:r>
      <w:r w:rsidR="00B155B6" w:rsidRPr="00B11B99">
        <w:rPr>
          <w:rFonts w:ascii="Times New Roman" w:hAnsi="Times New Roman" w:cs="Times New Roman"/>
          <w:sz w:val="24"/>
          <w:szCs w:val="24"/>
        </w:rPr>
        <w:t>, as the official post-revolutionary administrative theory in Iran, offers</w:t>
      </w:r>
      <w:r w:rsidR="00B155B6" w:rsidRPr="00B11B99">
        <w:rPr>
          <w:rFonts w:ascii="Times New Roman" w:hAnsi="Times New Roman" w:cs="Times New Roman"/>
          <w:sz w:val="24"/>
          <w:szCs w:val="24"/>
        </w:rPr>
        <w:t xml:space="preserve"> some new insight</w:t>
      </w:r>
      <w:r w:rsidR="00B155B6" w:rsidRPr="00B11B99">
        <w:rPr>
          <w:rFonts w:ascii="Times New Roman" w:hAnsi="Times New Roman" w:cs="Times New Roman"/>
          <w:sz w:val="24"/>
          <w:szCs w:val="24"/>
        </w:rPr>
        <w:t xml:space="preserve"> </w:t>
      </w:r>
      <w:r w:rsidR="00B155B6" w:rsidRPr="00B11B99">
        <w:rPr>
          <w:rFonts w:ascii="Times New Roman" w:hAnsi="Times New Roman" w:cs="Times New Roman"/>
          <w:sz w:val="24"/>
          <w:szCs w:val="24"/>
        </w:rPr>
        <w:t>compared with</w:t>
      </w:r>
      <w:r w:rsidR="00B155B6" w:rsidRPr="00B11B99">
        <w:rPr>
          <w:rFonts w:ascii="Times New Roman" w:hAnsi="Times New Roman" w:cs="Times New Roman"/>
          <w:sz w:val="24"/>
          <w:szCs w:val="24"/>
        </w:rPr>
        <w:t xml:space="preserve"> </w:t>
      </w:r>
      <w:r w:rsidR="00B155B6" w:rsidRPr="00B11B99">
        <w:rPr>
          <w:rStyle w:val="Emphasis"/>
          <w:rFonts w:ascii="Times New Roman" w:hAnsi="Times New Roman" w:cs="Times New Roman"/>
          <w:sz w:val="24"/>
          <w:szCs w:val="24"/>
        </w:rPr>
        <w:t>wilayat-i intisabi-yi amma-yi fuqaha</w:t>
      </w:r>
      <w:r w:rsidR="00B155B6" w:rsidRPr="00B11B99">
        <w:rPr>
          <w:rFonts w:ascii="Times New Roman" w:hAnsi="Times New Roman" w:cs="Times New Roman"/>
          <w:sz w:val="24"/>
          <w:szCs w:val="24"/>
        </w:rPr>
        <w:t>—considered its precursor (Chamankhah 2019:173)</w:t>
      </w:r>
      <w:r w:rsidR="00B155B6" w:rsidRPr="00B11B99">
        <w:rPr>
          <w:rFonts w:ascii="Times New Roman" w:hAnsi="Times New Roman" w:cs="Times New Roman"/>
          <w:sz w:val="24"/>
          <w:szCs w:val="24"/>
        </w:rPr>
        <w:t>.</w:t>
      </w:r>
      <w:r w:rsidR="000D0F8F" w:rsidRPr="00B11B99">
        <w:rPr>
          <w:rFonts w:ascii="Times New Roman" w:hAnsi="Times New Roman" w:cs="Times New Roman"/>
          <w:sz w:val="24"/>
          <w:szCs w:val="24"/>
        </w:rPr>
        <w:t xml:space="preserve"> Specifics of</w:t>
      </w:r>
      <w:r w:rsidR="00B155B6" w:rsidRPr="00B11B99">
        <w:rPr>
          <w:rFonts w:ascii="Times New Roman" w:hAnsi="Times New Roman" w:cs="Times New Roman"/>
          <w:sz w:val="24"/>
          <w:szCs w:val="24"/>
        </w:rPr>
        <w:t xml:space="preserve"> its immediate </w:t>
      </w:r>
      <w:r w:rsidR="000D0F8F" w:rsidRPr="00B11B99">
        <w:rPr>
          <w:rFonts w:ascii="Times New Roman" w:hAnsi="Times New Roman" w:cs="Times New Roman"/>
          <w:sz w:val="24"/>
          <w:szCs w:val="24"/>
        </w:rPr>
        <w:t>background</w:t>
      </w:r>
      <w:r w:rsidR="00B155B6" w:rsidRPr="00B11B99">
        <w:rPr>
          <w:rFonts w:ascii="Times New Roman" w:hAnsi="Times New Roman" w:cs="Times New Roman"/>
          <w:sz w:val="24"/>
          <w:szCs w:val="24"/>
        </w:rPr>
        <w:t xml:space="preserve"> and </w:t>
      </w:r>
      <w:r w:rsidR="000D0F8F" w:rsidRPr="00B11B99">
        <w:rPr>
          <w:rFonts w:ascii="Times New Roman" w:hAnsi="Times New Roman" w:cs="Times New Roman"/>
          <w:sz w:val="24"/>
          <w:szCs w:val="24"/>
        </w:rPr>
        <w:t xml:space="preserve">personal preferences of </w:t>
      </w:r>
      <w:r w:rsidR="00B155B6" w:rsidRPr="00B11B99">
        <w:rPr>
          <w:rFonts w:ascii="Times New Roman" w:hAnsi="Times New Roman" w:cs="Times New Roman"/>
          <w:sz w:val="24"/>
          <w:szCs w:val="24"/>
        </w:rPr>
        <w:t>the historical figures involved in its development</w:t>
      </w:r>
      <w:r w:rsidR="000D0F8F" w:rsidRPr="00B11B99">
        <w:rPr>
          <w:rFonts w:ascii="Times New Roman" w:hAnsi="Times New Roman" w:cs="Times New Roman"/>
          <w:sz w:val="24"/>
          <w:szCs w:val="24"/>
        </w:rPr>
        <w:t xml:space="preserve"> </w:t>
      </w:r>
      <w:r w:rsidR="000D0F8F" w:rsidRPr="00B11B99">
        <w:rPr>
          <w:rFonts w:ascii="Times New Roman" w:hAnsi="Times New Roman" w:cs="Times New Roman"/>
          <w:sz w:val="24"/>
          <w:szCs w:val="24"/>
        </w:rPr>
        <w:t xml:space="preserve">may offer </w:t>
      </w:r>
      <w:r w:rsidR="000D0F8F" w:rsidRPr="00B11B99">
        <w:rPr>
          <w:rFonts w:ascii="Times New Roman" w:hAnsi="Times New Roman" w:cs="Times New Roman"/>
          <w:sz w:val="24"/>
          <w:szCs w:val="24"/>
        </w:rPr>
        <w:t>thought-provoking insights into both</w:t>
      </w:r>
      <w:r w:rsidR="00B155B6" w:rsidRPr="00B11B99">
        <w:rPr>
          <w:rFonts w:ascii="Times New Roman" w:hAnsi="Times New Roman" w:cs="Times New Roman"/>
          <w:sz w:val="24"/>
          <w:szCs w:val="24"/>
        </w:rPr>
        <w:t xml:space="preserve">. Consequently, assessments of the nature of </w:t>
      </w:r>
      <w:r w:rsidR="00B155B6" w:rsidRPr="00B11B99">
        <w:rPr>
          <w:rStyle w:val="Emphasis"/>
          <w:rFonts w:ascii="Times New Roman" w:hAnsi="Times New Roman" w:cs="Times New Roman"/>
          <w:sz w:val="24"/>
          <w:szCs w:val="24"/>
        </w:rPr>
        <w:t>wilayat al-faqih</w:t>
      </w:r>
      <w:r w:rsidR="00B155B6" w:rsidRPr="00B11B99">
        <w:rPr>
          <w:rFonts w:ascii="Times New Roman" w:hAnsi="Times New Roman" w:cs="Times New Roman"/>
          <w:sz w:val="24"/>
          <w:szCs w:val="24"/>
        </w:rPr>
        <w:t xml:space="preserve"> through the</w:t>
      </w:r>
      <w:r w:rsidR="000D0F8F" w:rsidRPr="00B11B99">
        <w:rPr>
          <w:rFonts w:ascii="Times New Roman" w:hAnsi="Times New Roman" w:cs="Times New Roman"/>
          <w:sz w:val="24"/>
          <w:szCs w:val="24"/>
        </w:rPr>
        <w:t xml:space="preserve"> recent</w:t>
      </w:r>
      <w:r w:rsidR="00B155B6" w:rsidRPr="00B11B99">
        <w:rPr>
          <w:rFonts w:ascii="Times New Roman" w:hAnsi="Times New Roman" w:cs="Times New Roman"/>
          <w:sz w:val="24"/>
          <w:szCs w:val="24"/>
        </w:rPr>
        <w:t xml:space="preserve"> lens of moderation, as suggested by Kamal al-Haydari, can remain highly diverse.</w:t>
      </w:r>
    </w:p>
    <w:p w:rsidR="003655F1" w:rsidRPr="00077FD4" w:rsidRDefault="003655F1" w:rsidP="009734FD">
      <w:pPr>
        <w:pStyle w:val="NormalWeb"/>
        <w:spacing w:line="480" w:lineRule="auto"/>
      </w:pPr>
      <w:r w:rsidRPr="00B11B99">
        <w:t xml:space="preserve">Understanding each individual concept requires, as a first condition, knowledge of the cultural-historical context and familiarity with the language or "code" specific to the particular mode of expression. However, previous experience is always individual. </w:t>
      </w:r>
      <w:r w:rsidR="000D0F8F" w:rsidRPr="00B11B99">
        <w:t xml:space="preserve">Therefore, </w:t>
      </w:r>
      <w:r w:rsidR="000D0F8F" w:rsidRPr="00B11B99">
        <w:rPr>
          <w:i/>
        </w:rPr>
        <w:t>meaning</w:t>
      </w:r>
      <w:r w:rsidR="000D0F8F" w:rsidRPr="00B11B99">
        <w:t xml:space="preserve"> is not transmitted uniformly but is actively re-created by the recipient. Knysh (ibid:633) mentions that materials reflecting Khomeini's mystical views include opinions from individuals who apparently have not engaged with the original sources, making Khomeini's </w:t>
      </w:r>
      <w:r w:rsidR="000D0F8F" w:rsidRPr="00077FD4">
        <w:t>legacy more complicated for Western readers.</w:t>
      </w:r>
    </w:p>
    <w:p w:rsidR="00077FD4" w:rsidRPr="00077FD4" w:rsidRDefault="00077FD4" w:rsidP="009734FD">
      <w:pPr>
        <w:spacing w:after="100" w:afterAutospacing="1" w:line="480" w:lineRule="auto"/>
        <w:rPr>
          <w:rFonts w:ascii="Times New Roman" w:hAnsi="Times New Roman" w:cs="Times New Roman"/>
          <w:sz w:val="24"/>
          <w:szCs w:val="24"/>
        </w:rPr>
      </w:pPr>
      <w:r w:rsidRPr="00077FD4">
        <w:rPr>
          <w:rFonts w:ascii="Times New Roman" w:hAnsi="Times New Roman" w:cs="Times New Roman"/>
          <w:sz w:val="24"/>
          <w:szCs w:val="24"/>
        </w:rPr>
        <w:t>Morris</w:t>
      </w:r>
      <w:r>
        <w:rPr>
          <w:rFonts w:ascii="Times New Roman" w:hAnsi="Times New Roman" w:cs="Times New Roman"/>
          <w:sz w:val="24"/>
          <w:szCs w:val="24"/>
        </w:rPr>
        <w:t xml:space="preserve"> (1981:42)</w:t>
      </w:r>
      <w:r w:rsidRPr="00077FD4">
        <w:rPr>
          <w:rFonts w:ascii="Times New Roman" w:hAnsi="Times New Roman" w:cs="Times New Roman"/>
          <w:sz w:val="24"/>
          <w:szCs w:val="24"/>
        </w:rPr>
        <w:t xml:space="preserve"> emphasizes the importance of prior knowledge in understanding Mulla Sadra's style, Khomeini's initial </w:t>
      </w:r>
      <w:r>
        <w:rPr>
          <w:rFonts w:ascii="Times New Roman" w:hAnsi="Times New Roman" w:cs="Times New Roman"/>
          <w:sz w:val="24"/>
          <w:szCs w:val="24"/>
        </w:rPr>
        <w:t>spiritual</w:t>
      </w:r>
      <w:r w:rsidRPr="00077FD4">
        <w:rPr>
          <w:rFonts w:ascii="Times New Roman" w:hAnsi="Times New Roman" w:cs="Times New Roman"/>
          <w:sz w:val="24"/>
          <w:szCs w:val="24"/>
        </w:rPr>
        <w:t xml:space="preserve"> mentor. This includes grasping the specific social and political contexts of Sadra's writing, as well as the technical vocabulary of his disciplines. Additionally, Morris notes the existence of levels of understanding conveyed indirectly through symbols, accessible only to those with the </w:t>
      </w:r>
      <w:r>
        <w:rPr>
          <w:rFonts w:ascii="Times New Roman" w:hAnsi="Times New Roman" w:cs="Times New Roman"/>
          <w:sz w:val="24"/>
          <w:szCs w:val="24"/>
        </w:rPr>
        <w:t>original insight or experience.</w:t>
      </w:r>
    </w:p>
    <w:p w:rsidR="00710B52" w:rsidRPr="00B11B99" w:rsidRDefault="003655F1" w:rsidP="009734FD">
      <w:pPr>
        <w:spacing w:after="100" w:afterAutospacing="1" w:line="480" w:lineRule="auto"/>
        <w:rPr>
          <w:rFonts w:ascii="Times New Roman" w:eastAsia="Times New Roman" w:hAnsi="Times New Roman" w:cs="Times New Roman"/>
          <w:sz w:val="24"/>
          <w:szCs w:val="24"/>
        </w:rPr>
      </w:pPr>
      <w:r w:rsidRPr="00077FD4">
        <w:rPr>
          <w:rFonts w:ascii="Times New Roman" w:eastAsia="Times New Roman" w:hAnsi="Times New Roman" w:cs="Times New Roman"/>
          <w:sz w:val="24"/>
          <w:szCs w:val="24"/>
        </w:rPr>
        <w:t>The above</w:t>
      </w:r>
      <w:r w:rsidRPr="00B11B99">
        <w:rPr>
          <w:rFonts w:ascii="Times New Roman" w:eastAsia="Times New Roman" w:hAnsi="Times New Roman" w:cs="Times New Roman"/>
          <w:sz w:val="24"/>
          <w:szCs w:val="24"/>
        </w:rPr>
        <w:t xml:space="preserve"> clearly affirms</w:t>
      </w:r>
      <w:r w:rsidR="00077FD4">
        <w:rPr>
          <w:rFonts w:ascii="Times New Roman" w:eastAsia="Times New Roman" w:hAnsi="Times New Roman" w:cs="Times New Roman"/>
          <w:sz w:val="24"/>
          <w:szCs w:val="24"/>
        </w:rPr>
        <w:t xml:space="preserve"> also</w:t>
      </w:r>
      <w:r w:rsidRPr="00B11B99">
        <w:rPr>
          <w:rFonts w:ascii="Times New Roman" w:eastAsia="Times New Roman" w:hAnsi="Times New Roman" w:cs="Times New Roman"/>
          <w:sz w:val="24"/>
          <w:szCs w:val="24"/>
        </w:rPr>
        <w:t xml:space="preserve"> the multi-layered nature of Khomeini's thought and the necessity of understanding the earlier tradition and context for grasping the foundational principles</w:t>
      </w:r>
      <w:r w:rsidR="000D0F8F" w:rsidRPr="00B11B99">
        <w:rPr>
          <w:rFonts w:ascii="Times New Roman" w:eastAsia="Times New Roman" w:hAnsi="Times New Roman" w:cs="Times New Roman"/>
          <w:sz w:val="24"/>
          <w:szCs w:val="24"/>
        </w:rPr>
        <w:t xml:space="preserve"> and preferences</w:t>
      </w:r>
      <w:r w:rsidRPr="00B11B99">
        <w:rPr>
          <w:rFonts w:ascii="Times New Roman" w:eastAsia="Times New Roman" w:hAnsi="Times New Roman" w:cs="Times New Roman"/>
          <w:sz w:val="24"/>
          <w:szCs w:val="24"/>
        </w:rPr>
        <w:t xml:space="preserve"> of his</w:t>
      </w:r>
      <w:r w:rsidR="00710B52" w:rsidRPr="00B11B99">
        <w:rPr>
          <w:rFonts w:ascii="Times New Roman" w:eastAsia="Times New Roman" w:hAnsi="Times New Roman" w:cs="Times New Roman"/>
          <w:sz w:val="24"/>
          <w:szCs w:val="24"/>
        </w:rPr>
        <w:t xml:space="preserve"> further</w:t>
      </w:r>
      <w:r w:rsidRPr="00B11B99">
        <w:rPr>
          <w:rFonts w:ascii="Times New Roman" w:eastAsia="Times New Roman" w:hAnsi="Times New Roman" w:cs="Times New Roman"/>
          <w:sz w:val="24"/>
          <w:szCs w:val="24"/>
        </w:rPr>
        <w:t xml:space="preserve"> teachings.</w:t>
      </w:r>
    </w:p>
    <w:p w:rsidR="003655F1" w:rsidRPr="00B11B99" w:rsidRDefault="003655F1" w:rsidP="009734FD">
      <w:pPr>
        <w:spacing w:after="100" w:afterAutospacing="1" w:line="480" w:lineRule="auto"/>
        <w:rPr>
          <w:rFonts w:ascii="Times New Roman" w:eastAsia="Times New Roman" w:hAnsi="Times New Roman" w:cs="Times New Roman"/>
          <w:sz w:val="24"/>
          <w:szCs w:val="24"/>
        </w:rPr>
      </w:pPr>
      <w:r w:rsidRPr="00B11B99">
        <w:rPr>
          <w:rFonts w:ascii="Times New Roman" w:eastAsia="Times New Roman" w:hAnsi="Times New Roman" w:cs="Times New Roman"/>
          <w:sz w:val="24"/>
          <w:szCs w:val="24"/>
        </w:rPr>
        <w:lastRenderedPageBreak/>
        <w:t xml:space="preserve">In addition to the previously mentioned wisdom derived </w:t>
      </w:r>
      <w:r w:rsidR="00710B52" w:rsidRPr="00B11B99">
        <w:rPr>
          <w:rFonts w:ascii="Times New Roman" w:eastAsia="Times New Roman" w:hAnsi="Times New Roman" w:cs="Times New Roman"/>
          <w:sz w:val="24"/>
          <w:szCs w:val="24"/>
        </w:rPr>
        <w:t>by means of purely evident logic</w:t>
      </w:r>
      <w:r w:rsidRPr="00B11B99">
        <w:rPr>
          <w:rFonts w:ascii="Times New Roman" w:eastAsia="Times New Roman" w:hAnsi="Times New Roman" w:cs="Times New Roman"/>
          <w:sz w:val="24"/>
          <w:szCs w:val="24"/>
        </w:rPr>
        <w:t xml:space="preserve">, </w:t>
      </w:r>
      <w:r w:rsidR="00710B52" w:rsidRPr="00B11B99">
        <w:rPr>
          <w:rFonts w:ascii="Times New Roman" w:eastAsia="Times New Roman" w:hAnsi="Times New Roman" w:cs="Times New Roman"/>
          <w:sz w:val="24"/>
          <w:szCs w:val="24"/>
        </w:rPr>
        <w:t xml:space="preserve">and </w:t>
      </w:r>
      <w:r w:rsidRPr="00B11B99">
        <w:rPr>
          <w:rFonts w:ascii="Times New Roman" w:eastAsia="Times New Roman" w:hAnsi="Times New Roman" w:cs="Times New Roman"/>
          <w:sz w:val="24"/>
          <w:szCs w:val="24"/>
        </w:rPr>
        <w:t xml:space="preserve">whose connection with semantics is evident, the quoted poet by Khomeini (Knysh, ibid: 640) fits well in addressing </w:t>
      </w:r>
      <w:r w:rsidR="00710B52" w:rsidRPr="00B11B99">
        <w:rPr>
          <w:rFonts w:ascii="Times New Roman" w:eastAsia="Times New Roman" w:hAnsi="Times New Roman" w:cs="Times New Roman"/>
          <w:sz w:val="24"/>
          <w:szCs w:val="24"/>
        </w:rPr>
        <w:t>distinctive</w:t>
      </w:r>
      <w:r w:rsidRPr="00B11B99">
        <w:rPr>
          <w:rFonts w:ascii="Times New Roman" w:eastAsia="Times New Roman" w:hAnsi="Times New Roman" w:cs="Times New Roman"/>
          <w:sz w:val="24"/>
          <w:szCs w:val="24"/>
        </w:rPr>
        <w:t xml:space="preserve"> revelatory wisdom:</w:t>
      </w:r>
    </w:p>
    <w:p w:rsidR="00710B52" w:rsidRPr="00B11B99" w:rsidRDefault="003655F1" w:rsidP="009734FD">
      <w:pPr>
        <w:spacing w:before="100" w:after="100" w:afterAutospacing="1" w:line="480" w:lineRule="auto"/>
        <w:ind w:left="709"/>
        <w:contextualSpacing/>
        <w:rPr>
          <w:rFonts w:ascii="Times New Roman" w:eastAsia="Times New Roman" w:hAnsi="Times New Roman" w:cs="Times New Roman"/>
          <w:sz w:val="24"/>
          <w:szCs w:val="24"/>
        </w:rPr>
      </w:pPr>
      <w:r w:rsidRPr="00B11B99">
        <w:rPr>
          <w:rFonts w:ascii="Times New Roman" w:eastAsia="Times New Roman" w:hAnsi="Times New Roman" w:cs="Times New Roman"/>
          <w:sz w:val="24"/>
          <w:szCs w:val="24"/>
        </w:rPr>
        <w:t xml:space="preserve">"Phoenix is impossible to trap, </w:t>
      </w:r>
    </w:p>
    <w:p w:rsidR="003655F1" w:rsidRPr="00B11B99" w:rsidRDefault="003655F1" w:rsidP="009734FD">
      <w:pPr>
        <w:spacing w:before="100" w:after="100" w:afterAutospacing="1" w:line="480" w:lineRule="auto"/>
        <w:ind w:left="709"/>
        <w:contextualSpacing/>
        <w:rPr>
          <w:rFonts w:ascii="Times New Roman" w:eastAsia="Times New Roman" w:hAnsi="Times New Roman" w:cs="Times New Roman"/>
          <w:sz w:val="24"/>
          <w:szCs w:val="24"/>
        </w:rPr>
      </w:pPr>
      <w:r w:rsidRPr="00B11B99">
        <w:rPr>
          <w:rFonts w:ascii="Times New Roman" w:eastAsia="Times New Roman" w:hAnsi="Times New Roman" w:cs="Times New Roman"/>
          <w:sz w:val="24"/>
          <w:szCs w:val="24"/>
        </w:rPr>
        <w:t>So take your snare, and leave!"</w:t>
      </w:r>
    </w:p>
    <w:p w:rsidR="008E71A2" w:rsidRPr="00B11B99" w:rsidRDefault="000D0F8F" w:rsidP="009734FD">
      <w:pPr>
        <w:pStyle w:val="Heading1"/>
        <w:spacing w:line="480" w:lineRule="auto"/>
        <w:rPr>
          <w:b w:val="0"/>
          <w:sz w:val="24"/>
          <w:szCs w:val="24"/>
        </w:rPr>
      </w:pPr>
      <w:r w:rsidRPr="00B11B99">
        <w:rPr>
          <w:b w:val="0"/>
          <w:sz w:val="24"/>
          <w:szCs w:val="24"/>
        </w:rPr>
        <w:t>Also i</w:t>
      </w:r>
      <w:r w:rsidRPr="00B11B99">
        <w:rPr>
          <w:b w:val="0"/>
          <w:sz w:val="24"/>
          <w:szCs w:val="24"/>
        </w:rPr>
        <w:t>n Kamal al-Haydari's (ibid) interpretation, irfan encompasses two complementary aspects: the inner theoretical and the outer practical. For Western readers, it may be important to note that both of these aspects directly refer to the promise of salvation from the Prophet, as summarized in Al-Baqarah 2:62.</w:t>
      </w:r>
      <w:r w:rsidRPr="00B11B99">
        <w:rPr>
          <w:b w:val="0"/>
          <w:sz w:val="24"/>
          <w:szCs w:val="24"/>
        </w:rPr>
        <w:t xml:space="preserve"> </w:t>
      </w:r>
      <w:r w:rsidR="003655F1" w:rsidRPr="00B11B99">
        <w:rPr>
          <w:b w:val="0"/>
          <w:bCs w:val="0"/>
          <w:kern w:val="0"/>
          <w:sz w:val="24"/>
          <w:szCs w:val="24"/>
        </w:rPr>
        <w:t>Similarly, also in Al-Mā’idah 5:69, Yunus 10:62, Al-Baqarah 2:38, Az-Zukruf 43:68, Az-Zumar 39:61, Al-Ahqaf 43:13.</w:t>
      </w:r>
      <w:r w:rsidR="008E71A2" w:rsidRPr="00B11B99">
        <w:rPr>
          <w:b w:val="0"/>
          <w:bCs w:val="0"/>
          <w:kern w:val="0"/>
          <w:sz w:val="24"/>
          <w:szCs w:val="24"/>
        </w:rPr>
        <w:t xml:space="preserve"> </w:t>
      </w:r>
      <w:r w:rsidR="003655F1" w:rsidRPr="00B11B99">
        <w:rPr>
          <w:b w:val="0"/>
          <w:sz w:val="24"/>
          <w:szCs w:val="24"/>
        </w:rPr>
        <w:t>The first condition to be considered in this promise is faith,</w:t>
      </w:r>
      <w:r w:rsidR="009A3C21" w:rsidRPr="00B11B99">
        <w:rPr>
          <w:b w:val="0"/>
          <w:sz w:val="24"/>
          <w:szCs w:val="24"/>
        </w:rPr>
        <w:t xml:space="preserve"> which extends here through the </w:t>
      </w:r>
      <w:r w:rsidR="003655F1" w:rsidRPr="00B11B99">
        <w:rPr>
          <w:b w:val="0"/>
          <w:sz w:val="24"/>
          <w:szCs w:val="24"/>
        </w:rPr>
        <w:t xml:space="preserve">Sabians, who have long disappeared from the stage of history, </w:t>
      </w:r>
      <w:r w:rsidR="0011604B" w:rsidRPr="00B11B99">
        <w:rPr>
          <w:b w:val="0"/>
          <w:sz w:val="24"/>
          <w:szCs w:val="24"/>
        </w:rPr>
        <w:t>but</w:t>
      </w:r>
      <w:r w:rsidR="009A3C21" w:rsidRPr="00B11B99">
        <w:rPr>
          <w:b w:val="0"/>
          <w:sz w:val="24"/>
          <w:szCs w:val="24"/>
        </w:rPr>
        <w:t xml:space="preserve"> </w:t>
      </w:r>
      <w:r w:rsidR="007A1967" w:rsidRPr="00B11B99">
        <w:rPr>
          <w:b w:val="0"/>
          <w:sz w:val="24"/>
          <w:szCs w:val="24"/>
        </w:rPr>
        <w:t xml:space="preserve">acc to </w:t>
      </w:r>
      <w:r w:rsidR="007A1967" w:rsidRPr="00B11B99">
        <w:rPr>
          <w:b w:val="0"/>
          <w:sz w:val="24"/>
          <w:szCs w:val="24"/>
        </w:rPr>
        <w:t>Ghazi bin Muhammad</w:t>
      </w:r>
      <w:r w:rsidR="007A1967" w:rsidRPr="00B11B99">
        <w:rPr>
          <w:b w:val="0"/>
          <w:sz w:val="24"/>
          <w:szCs w:val="24"/>
        </w:rPr>
        <w:t xml:space="preserve"> and </w:t>
      </w:r>
      <w:r w:rsidR="009A3C21" w:rsidRPr="00B11B99">
        <w:rPr>
          <w:b w:val="0"/>
          <w:sz w:val="24"/>
          <w:szCs w:val="24"/>
        </w:rPr>
        <w:t xml:space="preserve">relying on Al-Fatir, 35:24, </w:t>
      </w:r>
      <w:r w:rsidR="0011604B" w:rsidRPr="00B11B99">
        <w:rPr>
          <w:b w:val="0"/>
          <w:sz w:val="24"/>
          <w:szCs w:val="24"/>
        </w:rPr>
        <w:t>also to all other people</w:t>
      </w:r>
      <w:r w:rsidR="007A1967" w:rsidRPr="00B11B99">
        <w:rPr>
          <w:b w:val="0"/>
          <w:sz w:val="24"/>
          <w:szCs w:val="24"/>
        </w:rPr>
        <w:t xml:space="preserve"> (</w:t>
      </w:r>
      <w:r w:rsidR="0011604B" w:rsidRPr="00B11B99">
        <w:rPr>
          <w:b w:val="0"/>
          <w:sz w:val="24"/>
          <w:szCs w:val="24"/>
        </w:rPr>
        <w:t>Shah-Kazemi 2010</w:t>
      </w:r>
      <w:r w:rsidR="007A1967" w:rsidRPr="00B11B99">
        <w:rPr>
          <w:b w:val="0"/>
          <w:sz w:val="24"/>
          <w:szCs w:val="24"/>
        </w:rPr>
        <w:t>:</w:t>
      </w:r>
      <w:r w:rsidR="008E71A2" w:rsidRPr="00B11B99">
        <w:rPr>
          <w:b w:val="0"/>
          <w:sz w:val="24"/>
          <w:szCs w:val="24"/>
        </w:rPr>
        <w:t>x</w:t>
      </w:r>
      <w:r w:rsidR="007A1967" w:rsidRPr="00B11B99">
        <w:rPr>
          <w:b w:val="0"/>
          <w:sz w:val="24"/>
          <w:szCs w:val="24"/>
        </w:rPr>
        <w:t>i</w:t>
      </w:r>
      <w:r w:rsidR="008E71A2" w:rsidRPr="00B11B99">
        <w:rPr>
          <w:b w:val="0"/>
          <w:sz w:val="24"/>
          <w:szCs w:val="24"/>
        </w:rPr>
        <w:t>v</w:t>
      </w:r>
      <w:r w:rsidR="007A1967" w:rsidRPr="00B11B99">
        <w:rPr>
          <w:b w:val="0"/>
          <w:sz w:val="24"/>
          <w:szCs w:val="24"/>
        </w:rPr>
        <w:t>)</w:t>
      </w:r>
      <w:r w:rsidR="008E71A2" w:rsidRPr="00B11B99">
        <w:rPr>
          <w:b w:val="0"/>
          <w:sz w:val="24"/>
          <w:szCs w:val="24"/>
        </w:rPr>
        <w:t xml:space="preserve">. </w:t>
      </w:r>
    </w:p>
    <w:p w:rsidR="003655F1" w:rsidRPr="00B11B99" w:rsidRDefault="003655F1" w:rsidP="009734FD">
      <w:pPr>
        <w:pStyle w:val="Heading1"/>
        <w:spacing w:line="480" w:lineRule="auto"/>
        <w:rPr>
          <w:b w:val="0"/>
          <w:bCs w:val="0"/>
          <w:kern w:val="0"/>
          <w:sz w:val="24"/>
          <w:szCs w:val="24"/>
        </w:rPr>
      </w:pPr>
      <w:r w:rsidRPr="00B11B99">
        <w:rPr>
          <w:b w:val="0"/>
          <w:bCs w:val="0"/>
          <w:kern w:val="0"/>
          <w:sz w:val="24"/>
          <w:szCs w:val="24"/>
        </w:rPr>
        <w:t>There is also the second condition</w:t>
      </w:r>
      <w:r w:rsidR="008E71A2" w:rsidRPr="00B11B99">
        <w:rPr>
          <w:b w:val="0"/>
          <w:bCs w:val="0"/>
          <w:kern w:val="0"/>
          <w:sz w:val="24"/>
          <w:szCs w:val="24"/>
        </w:rPr>
        <w:t xml:space="preserve"> -</w:t>
      </w:r>
      <w:r w:rsidRPr="00B11B99">
        <w:rPr>
          <w:b w:val="0"/>
          <w:bCs w:val="0"/>
          <w:kern w:val="0"/>
          <w:sz w:val="24"/>
          <w:szCs w:val="24"/>
        </w:rPr>
        <w:t xml:space="preserve"> 'work righteousness'. </w:t>
      </w:r>
      <w:r w:rsidR="00D442A9" w:rsidRPr="00B11B99">
        <w:rPr>
          <w:b w:val="0"/>
          <w:bCs w:val="0"/>
          <w:kern w:val="0"/>
          <w:sz w:val="24"/>
          <w:szCs w:val="24"/>
        </w:rPr>
        <w:t xml:space="preserve">Guilt, whose etiological background lies beyond the present writing, indiscriminately signals that none of humans is free from guilt and errors. </w:t>
      </w:r>
      <w:r w:rsidRPr="00B11B99">
        <w:rPr>
          <w:b w:val="0"/>
          <w:bCs w:val="0"/>
          <w:kern w:val="0"/>
          <w:sz w:val="24"/>
          <w:szCs w:val="24"/>
        </w:rPr>
        <w:t>Consequently, we have the second promise – the mercy of Allah - repeated at the beginning of each</w:t>
      </w:r>
      <w:r w:rsidR="00DA6D58" w:rsidRPr="00B11B99">
        <w:rPr>
          <w:b w:val="0"/>
          <w:bCs w:val="0"/>
          <w:kern w:val="0"/>
          <w:sz w:val="24"/>
          <w:szCs w:val="24"/>
        </w:rPr>
        <w:t xml:space="preserve"> but one</w:t>
      </w:r>
      <w:r w:rsidRPr="00B11B99">
        <w:rPr>
          <w:b w:val="0"/>
          <w:bCs w:val="0"/>
          <w:kern w:val="0"/>
          <w:sz w:val="24"/>
          <w:szCs w:val="24"/>
        </w:rPr>
        <w:t xml:space="preserve"> chapter of the Quran.</w:t>
      </w:r>
    </w:p>
    <w:p w:rsidR="00043538" w:rsidRPr="00B11B99" w:rsidRDefault="003655F1" w:rsidP="009734FD">
      <w:pPr>
        <w:spacing w:after="100" w:afterAutospacing="1" w:line="480" w:lineRule="auto"/>
        <w:rPr>
          <w:rFonts w:ascii="Times New Roman" w:eastAsia="Times New Roman" w:hAnsi="Times New Roman" w:cs="Times New Roman"/>
          <w:sz w:val="24"/>
          <w:szCs w:val="24"/>
        </w:rPr>
      </w:pPr>
      <w:r w:rsidRPr="00B11B99">
        <w:rPr>
          <w:rFonts w:ascii="Times New Roman" w:eastAsia="Times New Roman" w:hAnsi="Times New Roman" w:cs="Times New Roman"/>
          <w:sz w:val="24"/>
          <w:szCs w:val="24"/>
        </w:rPr>
        <w:t>Through t</w:t>
      </w:r>
      <w:r w:rsidR="008E71A2" w:rsidRPr="00B11B99">
        <w:rPr>
          <w:rFonts w:ascii="Times New Roman" w:eastAsia="Times New Roman" w:hAnsi="Times New Roman" w:cs="Times New Roman"/>
          <w:sz w:val="24"/>
          <w:szCs w:val="24"/>
        </w:rPr>
        <w:t>he lens of compassion and mercy -</w:t>
      </w:r>
      <w:r w:rsidRPr="00B11B99">
        <w:rPr>
          <w:rFonts w:ascii="Times New Roman" w:eastAsia="Times New Roman" w:hAnsi="Times New Roman" w:cs="Times New Roman"/>
          <w:sz w:val="24"/>
          <w:szCs w:val="24"/>
        </w:rPr>
        <w:t xml:space="preserve"> </w:t>
      </w:r>
      <w:r w:rsidR="008E71A2" w:rsidRPr="00B11B99">
        <w:rPr>
          <w:rFonts w:ascii="Times New Roman" w:eastAsia="Times New Roman" w:hAnsi="Times New Roman" w:cs="Times New Roman"/>
          <w:sz w:val="24"/>
          <w:szCs w:val="24"/>
        </w:rPr>
        <w:t>these are values are</w:t>
      </w:r>
      <w:r w:rsidRPr="00B11B99">
        <w:rPr>
          <w:rFonts w:ascii="Times New Roman" w:eastAsia="Times New Roman" w:hAnsi="Times New Roman" w:cs="Times New Roman"/>
          <w:sz w:val="24"/>
          <w:szCs w:val="24"/>
        </w:rPr>
        <w:t xml:space="preserve"> seen elsewhere as well, such as in the Buddhist world. The author of one of the</w:t>
      </w:r>
      <w:r w:rsidR="007636A9" w:rsidRPr="00B11B99">
        <w:rPr>
          <w:rFonts w:ascii="Times New Roman" w:eastAsia="Times New Roman" w:hAnsi="Times New Roman" w:cs="Times New Roman"/>
          <w:sz w:val="24"/>
          <w:szCs w:val="24"/>
        </w:rPr>
        <w:t xml:space="preserve"> covering letters for the book</w:t>
      </w:r>
      <w:r w:rsidR="007636A9" w:rsidRPr="00B11B99">
        <w:rPr>
          <w:rFonts w:ascii="Times New Roman" w:eastAsia="Times New Roman" w:hAnsi="Times New Roman" w:cs="Times New Roman"/>
          <w:i/>
          <w:sz w:val="24"/>
          <w:szCs w:val="24"/>
        </w:rPr>
        <w:t xml:space="preserve"> </w:t>
      </w:r>
      <w:r w:rsidRPr="00B11B99">
        <w:rPr>
          <w:rFonts w:ascii="Times New Roman" w:eastAsia="Times New Roman" w:hAnsi="Times New Roman" w:cs="Times New Roman"/>
          <w:i/>
          <w:sz w:val="24"/>
          <w:szCs w:val="24"/>
        </w:rPr>
        <w:t>Common Ground Betwee</w:t>
      </w:r>
      <w:r w:rsidR="007636A9" w:rsidRPr="00B11B99">
        <w:rPr>
          <w:rFonts w:ascii="Times New Roman" w:eastAsia="Times New Roman" w:hAnsi="Times New Roman" w:cs="Times New Roman"/>
          <w:i/>
          <w:sz w:val="24"/>
          <w:szCs w:val="24"/>
        </w:rPr>
        <w:t>n Islam and Buddhism</w:t>
      </w:r>
      <w:r w:rsidRPr="00B11B99">
        <w:rPr>
          <w:rFonts w:ascii="Times New Roman" w:eastAsia="Times New Roman" w:hAnsi="Times New Roman" w:cs="Times New Roman"/>
          <w:sz w:val="24"/>
          <w:szCs w:val="24"/>
        </w:rPr>
        <w:t xml:space="preserve"> is the Fourteenth Dalai Lama Tenzin Gyatso, who agrees and confirms that: "Clearly, compassion lies at the heart of the teachings of both Islam and Buddhism, as it also lies at the heart of other great religious traditions" (Shah-Kaze</w:t>
      </w:r>
      <w:r w:rsidR="008E71A2" w:rsidRPr="00B11B99">
        <w:rPr>
          <w:rFonts w:ascii="Times New Roman" w:eastAsia="Times New Roman" w:hAnsi="Times New Roman" w:cs="Times New Roman"/>
          <w:sz w:val="24"/>
          <w:szCs w:val="24"/>
        </w:rPr>
        <w:t>mi 2010: iiix</w:t>
      </w:r>
      <w:r w:rsidRPr="00B11B99">
        <w:rPr>
          <w:rFonts w:ascii="Times New Roman" w:eastAsia="Times New Roman" w:hAnsi="Times New Roman" w:cs="Times New Roman"/>
          <w:sz w:val="24"/>
          <w:szCs w:val="24"/>
        </w:rPr>
        <w:t>).</w:t>
      </w:r>
    </w:p>
    <w:p w:rsidR="000D0F8F" w:rsidRPr="00B11B99" w:rsidRDefault="000D0F8F" w:rsidP="009734FD">
      <w:pPr>
        <w:spacing w:after="100" w:afterAutospacing="1" w:line="480" w:lineRule="auto"/>
        <w:rPr>
          <w:rFonts w:ascii="Times New Roman" w:hAnsi="Times New Roman" w:cs="Times New Roman"/>
          <w:sz w:val="24"/>
          <w:szCs w:val="24"/>
        </w:rPr>
      </w:pPr>
      <w:r w:rsidRPr="00B11B99">
        <w:rPr>
          <w:rFonts w:ascii="Times New Roman" w:hAnsi="Times New Roman" w:cs="Times New Roman"/>
          <w:sz w:val="24"/>
          <w:szCs w:val="24"/>
        </w:rPr>
        <w:lastRenderedPageBreak/>
        <w:t xml:space="preserve">Thus, the main task of </w:t>
      </w:r>
      <w:r w:rsidRPr="00B11B99">
        <w:rPr>
          <w:rFonts w:ascii="Times New Roman" w:hAnsi="Times New Roman" w:cs="Times New Roman"/>
          <w:i/>
          <w:sz w:val="24"/>
          <w:szCs w:val="24"/>
        </w:rPr>
        <w:t>irfan</w:t>
      </w:r>
      <w:r w:rsidRPr="00B11B99">
        <w:rPr>
          <w:rFonts w:ascii="Times New Roman" w:hAnsi="Times New Roman" w:cs="Times New Roman"/>
          <w:sz w:val="24"/>
          <w:szCs w:val="24"/>
        </w:rPr>
        <w:t xml:space="preserve">, similar to any religious philosophy, can still be seen as delivering balance, solace, hope, and inner peace, even though it is considered an acceptable substitute by post-revolutionary authorities for the persecuted Sufi worldview (Machlis 2022:2). The mystical component </w:t>
      </w:r>
      <w:r w:rsidR="007636A9" w:rsidRPr="00B11B99">
        <w:rPr>
          <w:rFonts w:ascii="Times New Roman" w:hAnsi="Times New Roman" w:cs="Times New Roman"/>
          <w:sz w:val="24"/>
          <w:szCs w:val="24"/>
        </w:rPr>
        <w:t>enables</w:t>
      </w:r>
      <w:r w:rsidRPr="00B11B99">
        <w:rPr>
          <w:rFonts w:ascii="Times New Roman" w:hAnsi="Times New Roman" w:cs="Times New Roman"/>
          <w:sz w:val="24"/>
          <w:szCs w:val="24"/>
        </w:rPr>
        <w:t xml:space="preserve"> this through parables and examples that transcend ordinary situations and are even more complex in their multi-layeredness than what today's individual likely experiences. The desire for peace is commonplace in the Muslim world and is simultaneously the most important wish with which people greet and honour each other.</w:t>
      </w:r>
    </w:p>
    <w:p w:rsidR="009566A1" w:rsidRPr="00B11B99" w:rsidRDefault="009566A1" w:rsidP="009734FD">
      <w:pPr>
        <w:pStyle w:val="ListParagraph"/>
        <w:numPr>
          <w:ilvl w:val="0"/>
          <w:numId w:val="5"/>
        </w:numPr>
        <w:spacing w:after="100" w:afterAutospacing="1" w:line="480" w:lineRule="auto"/>
        <w:rPr>
          <w:rFonts w:ascii="Times New Roman" w:eastAsia="Times New Roman" w:hAnsi="Times New Roman" w:cs="Times New Roman"/>
          <w:sz w:val="24"/>
          <w:szCs w:val="24"/>
        </w:rPr>
      </w:pPr>
    </w:p>
    <w:p w:rsidR="00B47677" w:rsidRPr="00B47677" w:rsidRDefault="00B47677" w:rsidP="009734FD">
      <w:pPr>
        <w:spacing w:before="100" w:after="100" w:afterAutospacing="1" w:line="480" w:lineRule="auto"/>
        <w:rPr>
          <w:rFonts w:ascii="Times New Roman" w:eastAsia="Times New Roman" w:hAnsi="Times New Roman" w:cs="Times New Roman"/>
          <w:sz w:val="24"/>
          <w:szCs w:val="24"/>
        </w:rPr>
      </w:pPr>
      <w:r w:rsidRPr="00B47677">
        <w:rPr>
          <w:rFonts w:ascii="Times New Roman" w:eastAsia="Times New Roman" w:hAnsi="Times New Roman" w:cs="Times New Roman"/>
          <w:sz w:val="24"/>
          <w:szCs w:val="24"/>
        </w:rPr>
        <w:t>The author of this paper argues that understanding the background and preceding traditions is crucial for comprehending al-Khomeini's mystical approach, as well as irfan, which represents a historically intricate and complex phenomenon</w:t>
      </w:r>
      <w:r>
        <w:rPr>
          <w:rFonts w:ascii="Times New Roman" w:eastAsia="Times New Roman" w:hAnsi="Times New Roman" w:cs="Times New Roman"/>
          <w:sz w:val="24"/>
          <w:szCs w:val="24"/>
        </w:rPr>
        <w:t>.</w:t>
      </w:r>
    </w:p>
    <w:p w:rsidR="009566A1" w:rsidRPr="00B11B99" w:rsidRDefault="009566A1" w:rsidP="009734FD">
      <w:pPr>
        <w:spacing w:before="100" w:after="100" w:afterAutospacing="1" w:line="480" w:lineRule="auto"/>
        <w:rPr>
          <w:rFonts w:ascii="Times New Roman" w:eastAsia="Times New Roman" w:hAnsi="Times New Roman" w:cs="Times New Roman"/>
          <w:sz w:val="24"/>
          <w:szCs w:val="24"/>
        </w:rPr>
      </w:pPr>
    </w:p>
    <w:p w:rsidR="00365E9C" w:rsidRPr="00B11B99" w:rsidRDefault="00365E9C" w:rsidP="009734FD">
      <w:pPr>
        <w:pStyle w:val="Heading1"/>
        <w:spacing w:line="480" w:lineRule="auto"/>
        <w:rPr>
          <w:b w:val="0"/>
          <w:bCs w:val="0"/>
          <w:color w:val="0033CC"/>
          <w:kern w:val="0"/>
          <w:sz w:val="24"/>
          <w:szCs w:val="24"/>
        </w:rPr>
      </w:pPr>
    </w:p>
    <w:p w:rsidR="00365E9C" w:rsidRPr="00B11B99" w:rsidRDefault="00365E9C" w:rsidP="009734FD">
      <w:pPr>
        <w:spacing w:after="100" w:afterAutospacing="1" w:line="480" w:lineRule="auto"/>
        <w:rPr>
          <w:rFonts w:ascii="Times New Roman" w:eastAsia="Times New Roman" w:hAnsi="Times New Roman" w:cs="Times New Roman"/>
          <w:sz w:val="24"/>
          <w:szCs w:val="24"/>
        </w:rPr>
      </w:pPr>
    </w:p>
    <w:p w:rsidR="00972904" w:rsidRPr="00B11B99" w:rsidRDefault="00972904" w:rsidP="009734FD">
      <w:pPr>
        <w:spacing w:after="100" w:afterAutospacing="1" w:line="480" w:lineRule="auto"/>
        <w:rPr>
          <w:rFonts w:ascii="Times New Roman" w:eastAsia="Times New Roman" w:hAnsi="Times New Roman" w:cs="Times New Roman"/>
          <w:sz w:val="24"/>
          <w:szCs w:val="24"/>
        </w:rPr>
      </w:pPr>
    </w:p>
    <w:p w:rsidR="00972904" w:rsidRPr="00B11B99" w:rsidRDefault="00972904" w:rsidP="009734FD">
      <w:pPr>
        <w:spacing w:after="100" w:afterAutospacing="1" w:line="480" w:lineRule="auto"/>
        <w:rPr>
          <w:rFonts w:ascii="Times New Roman" w:eastAsia="Times New Roman" w:hAnsi="Times New Roman" w:cs="Times New Roman"/>
          <w:sz w:val="24"/>
          <w:szCs w:val="24"/>
        </w:rPr>
      </w:pPr>
    </w:p>
    <w:p w:rsidR="00972904" w:rsidRPr="00B11B99" w:rsidRDefault="00972904" w:rsidP="009734FD">
      <w:pPr>
        <w:spacing w:after="100" w:afterAutospacing="1" w:line="480" w:lineRule="auto"/>
        <w:rPr>
          <w:rFonts w:ascii="Times New Roman" w:eastAsia="Times New Roman" w:hAnsi="Times New Roman" w:cs="Times New Roman"/>
          <w:sz w:val="24"/>
          <w:szCs w:val="24"/>
        </w:rPr>
      </w:pPr>
    </w:p>
    <w:p w:rsidR="00972904" w:rsidRPr="00B11B99" w:rsidRDefault="00972904" w:rsidP="009734FD">
      <w:pPr>
        <w:spacing w:after="100" w:afterAutospacing="1" w:line="480" w:lineRule="auto"/>
        <w:rPr>
          <w:rFonts w:ascii="Times New Roman" w:eastAsia="Times New Roman" w:hAnsi="Times New Roman" w:cs="Times New Roman"/>
          <w:sz w:val="24"/>
          <w:szCs w:val="24"/>
        </w:rPr>
      </w:pPr>
    </w:p>
    <w:p w:rsidR="00972904" w:rsidRPr="00B11B99" w:rsidRDefault="00972904" w:rsidP="009734FD">
      <w:pPr>
        <w:spacing w:after="100" w:afterAutospacing="1" w:line="480" w:lineRule="auto"/>
        <w:rPr>
          <w:rFonts w:ascii="Times New Roman" w:eastAsia="Times New Roman" w:hAnsi="Times New Roman" w:cs="Times New Roman"/>
          <w:sz w:val="24"/>
          <w:szCs w:val="24"/>
        </w:rPr>
      </w:pPr>
    </w:p>
    <w:p w:rsidR="009734FD" w:rsidRDefault="009734FD" w:rsidP="009734FD">
      <w:pPr>
        <w:spacing w:before="100" w:after="100" w:afterAutospacing="1" w:line="480" w:lineRule="auto"/>
        <w:rPr>
          <w:rFonts w:ascii="Times New Roman" w:eastAsia="Times New Roman" w:hAnsi="Times New Roman" w:cs="Times New Roman"/>
          <w:sz w:val="24"/>
          <w:szCs w:val="24"/>
        </w:rPr>
      </w:pPr>
    </w:p>
    <w:p w:rsidR="009566A1" w:rsidRPr="00B11B99" w:rsidRDefault="00F235F5" w:rsidP="009734FD">
      <w:pPr>
        <w:spacing w:before="100" w:after="100" w:afterAutospacing="1" w:line="480" w:lineRule="auto"/>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sz w:val="24"/>
          <w:szCs w:val="24"/>
        </w:rPr>
        <w:lastRenderedPageBreak/>
        <w:t>References</w:t>
      </w:r>
      <w:r w:rsidR="009566A1" w:rsidRPr="00B11B99">
        <w:rPr>
          <w:rFonts w:ascii="Times New Roman" w:eastAsia="Times New Roman" w:hAnsi="Times New Roman" w:cs="Times New Roman"/>
          <w:sz w:val="24"/>
          <w:szCs w:val="24"/>
        </w:rPr>
        <w:t>:</w:t>
      </w:r>
    </w:p>
    <w:p w:rsidR="0024792E" w:rsidRPr="00B11B99" w:rsidRDefault="0024792E" w:rsidP="009734FD">
      <w:pPr>
        <w:autoSpaceDE w:val="0"/>
        <w:autoSpaceDN w:val="0"/>
        <w:adjustRightInd w:val="0"/>
        <w:spacing w:beforeAutospacing="0" w:after="0" w:line="480" w:lineRule="auto"/>
        <w:rPr>
          <w:rFonts w:ascii="Times New Roman" w:hAnsi="Times New Roman" w:cs="Times New Roman"/>
          <w:sz w:val="24"/>
          <w:szCs w:val="24"/>
        </w:rPr>
      </w:pPr>
      <w:r w:rsidRPr="00B11B99">
        <w:rPr>
          <w:rFonts w:ascii="Times New Roman" w:hAnsi="Times New Roman" w:cs="Times New Roman"/>
          <w:sz w:val="24"/>
          <w:szCs w:val="24"/>
        </w:rPr>
        <w:t xml:space="preserve">Chamankhah, L. </w:t>
      </w:r>
      <w:r w:rsidR="009A3F8B" w:rsidRPr="009A3F8B">
        <w:rPr>
          <w:rFonts w:ascii="Times New Roman" w:eastAsia="Times New Roman" w:hAnsi="Times New Roman" w:cs="Times New Roman"/>
          <w:sz w:val="24"/>
          <w:szCs w:val="24"/>
        </w:rPr>
        <w:t>"</w:t>
      </w:r>
      <w:r w:rsidRPr="009A3F8B">
        <w:rPr>
          <w:rFonts w:ascii="Times New Roman" w:hAnsi="Times New Roman" w:cs="Times New Roman"/>
          <w:sz w:val="24"/>
          <w:szCs w:val="24"/>
        </w:rPr>
        <w:t>The Conceptualization of Guardianship in Iranian Intellectual History (1800–1989)</w:t>
      </w:r>
      <w:r w:rsidR="009A3F8B" w:rsidRPr="009A3F8B">
        <w:rPr>
          <w:rFonts w:ascii="Times New Roman" w:eastAsia="Times New Roman" w:hAnsi="Times New Roman" w:cs="Times New Roman"/>
          <w:sz w:val="24"/>
          <w:szCs w:val="24"/>
        </w:rPr>
        <w:t>"</w:t>
      </w:r>
      <w:r w:rsidR="009A3F8B" w:rsidRPr="009A3F8B">
        <w:rPr>
          <w:rFonts w:ascii="Times New Roman" w:eastAsia="Times New Roman" w:hAnsi="Times New Roman" w:cs="Times New Roman"/>
          <w:sz w:val="24"/>
          <w:szCs w:val="24"/>
        </w:rPr>
        <w:t xml:space="preserve"> </w:t>
      </w:r>
      <w:r w:rsidRPr="009A3F8B">
        <w:rPr>
          <w:rFonts w:ascii="Times New Roman" w:hAnsi="Times New Roman" w:cs="Times New Roman"/>
          <w:sz w:val="24"/>
          <w:szCs w:val="24"/>
        </w:rPr>
        <w:t>Palgrave Macmillan, 2019. ISBN 978</w:t>
      </w:r>
      <w:r w:rsidRPr="00B11B99">
        <w:rPr>
          <w:rFonts w:ascii="Times New Roman" w:hAnsi="Times New Roman" w:cs="Times New Roman"/>
          <w:sz w:val="24"/>
          <w:szCs w:val="24"/>
        </w:rPr>
        <w:t>-3-030-22692-3</w:t>
      </w:r>
    </w:p>
    <w:p w:rsidR="0024792E" w:rsidRPr="00B11B99" w:rsidRDefault="0024792E" w:rsidP="009734FD">
      <w:pPr>
        <w:pStyle w:val="Heading1"/>
        <w:spacing w:line="480" w:lineRule="auto"/>
        <w:rPr>
          <w:rFonts w:eastAsiaTheme="minorHAnsi"/>
          <w:b w:val="0"/>
          <w:bCs w:val="0"/>
          <w:kern w:val="0"/>
          <w:sz w:val="24"/>
          <w:szCs w:val="24"/>
        </w:rPr>
      </w:pPr>
      <w:r w:rsidRPr="00B11B99">
        <w:rPr>
          <w:rFonts w:eastAsiaTheme="minorHAnsi"/>
          <w:b w:val="0"/>
          <w:bCs w:val="0"/>
          <w:kern w:val="0"/>
          <w:sz w:val="24"/>
          <w:szCs w:val="24"/>
        </w:rPr>
        <w:t>Kalin, I. ed in chief</w:t>
      </w:r>
      <w:r w:rsidRPr="009A3F8B">
        <w:rPr>
          <w:rFonts w:eastAsiaTheme="minorHAnsi"/>
          <w:b w:val="0"/>
          <w:bCs w:val="0"/>
          <w:kern w:val="0"/>
          <w:sz w:val="24"/>
          <w:szCs w:val="24"/>
        </w:rPr>
        <w:t xml:space="preserve"> </w:t>
      </w:r>
      <w:r w:rsidR="009A3F8B" w:rsidRPr="009A3F8B">
        <w:rPr>
          <w:b w:val="0"/>
          <w:sz w:val="24"/>
          <w:szCs w:val="24"/>
        </w:rPr>
        <w:t>"</w:t>
      </w:r>
      <w:r w:rsidRPr="009A3F8B">
        <w:rPr>
          <w:rFonts w:eastAsiaTheme="minorHAnsi"/>
          <w:b w:val="0"/>
          <w:bCs w:val="0"/>
          <w:kern w:val="0"/>
          <w:sz w:val="24"/>
          <w:szCs w:val="24"/>
        </w:rPr>
        <w:t>The Oxford Encyclopedia of Philosophy, Science, and Technology in Islam</w:t>
      </w:r>
      <w:r w:rsidR="009A3F8B" w:rsidRPr="009A3F8B">
        <w:rPr>
          <w:b w:val="0"/>
          <w:sz w:val="24"/>
          <w:szCs w:val="24"/>
        </w:rPr>
        <w:t>"</w:t>
      </w:r>
      <w:r w:rsidRPr="009A3F8B">
        <w:rPr>
          <w:rFonts w:eastAsiaTheme="minorHAnsi"/>
          <w:b w:val="0"/>
          <w:bCs w:val="0"/>
          <w:kern w:val="0"/>
          <w:sz w:val="24"/>
          <w:szCs w:val="24"/>
        </w:rPr>
        <w:t xml:space="preserve"> 2014</w:t>
      </w:r>
      <w:r w:rsidRPr="00B11B99">
        <w:rPr>
          <w:rFonts w:eastAsiaTheme="minorHAnsi"/>
          <w:b w:val="0"/>
          <w:bCs w:val="0"/>
          <w:kern w:val="0"/>
          <w:sz w:val="24"/>
          <w:szCs w:val="24"/>
        </w:rPr>
        <w:t>, Oxford University Press.  ISBN 978-0-19-981257-8</w:t>
      </w:r>
    </w:p>
    <w:p w:rsidR="009566A1" w:rsidRPr="00B11B99" w:rsidRDefault="009566A1" w:rsidP="009734FD">
      <w:pPr>
        <w:pStyle w:val="Heading1"/>
        <w:spacing w:line="480" w:lineRule="auto"/>
        <w:rPr>
          <w:rFonts w:eastAsiaTheme="minorHAnsi"/>
          <w:b w:val="0"/>
          <w:bCs w:val="0"/>
          <w:kern w:val="0"/>
          <w:sz w:val="24"/>
          <w:szCs w:val="24"/>
        </w:rPr>
      </w:pPr>
      <w:r w:rsidRPr="00B11B99">
        <w:rPr>
          <w:rFonts w:eastAsiaTheme="minorHAnsi"/>
          <w:b w:val="0"/>
          <w:bCs w:val="0"/>
          <w:kern w:val="0"/>
          <w:sz w:val="24"/>
          <w:szCs w:val="24"/>
        </w:rPr>
        <w:t xml:space="preserve">Knysh, </w:t>
      </w:r>
      <w:r w:rsidRPr="009A3F8B">
        <w:rPr>
          <w:rFonts w:eastAsiaTheme="minorHAnsi"/>
          <w:b w:val="0"/>
          <w:bCs w:val="0"/>
          <w:kern w:val="0"/>
          <w:sz w:val="24"/>
          <w:szCs w:val="24"/>
        </w:rPr>
        <w:t xml:space="preserve">Alexander </w:t>
      </w:r>
      <w:r w:rsidR="009A3F8B" w:rsidRPr="009A3F8B">
        <w:rPr>
          <w:b w:val="0"/>
          <w:sz w:val="24"/>
          <w:szCs w:val="24"/>
        </w:rPr>
        <w:t>"</w:t>
      </w:r>
      <w:r w:rsidRPr="009A3F8B">
        <w:rPr>
          <w:rFonts w:eastAsiaTheme="minorHAnsi"/>
          <w:b w:val="0"/>
          <w:bCs w:val="0"/>
          <w:kern w:val="0"/>
          <w:sz w:val="24"/>
          <w:szCs w:val="24"/>
        </w:rPr>
        <w:t>Irfan revisited: Khomeini and the legacy of Islamic Mystical Philosophy</w:t>
      </w:r>
      <w:r w:rsidR="009A3F8B" w:rsidRPr="009A3F8B">
        <w:rPr>
          <w:b w:val="0"/>
          <w:sz w:val="24"/>
          <w:szCs w:val="24"/>
        </w:rPr>
        <w:t>"</w:t>
      </w:r>
      <w:r w:rsidRPr="00B11B99">
        <w:rPr>
          <w:rFonts w:eastAsiaTheme="minorHAnsi"/>
          <w:b w:val="0"/>
          <w:kern w:val="0"/>
          <w:sz w:val="24"/>
          <w:szCs w:val="24"/>
        </w:rPr>
        <w:t xml:space="preserve"> The Middle East Journal; Washington</w:t>
      </w:r>
      <w:r w:rsidRPr="00B11B99">
        <w:rPr>
          <w:rFonts w:eastAsiaTheme="minorHAnsi"/>
          <w:b w:val="0"/>
          <w:bCs w:val="0"/>
          <w:kern w:val="0"/>
          <w:sz w:val="24"/>
          <w:szCs w:val="24"/>
        </w:rPr>
        <w:t> Vol. 46, Iss. 4,  (Autumn 1992)</w:t>
      </w:r>
    </w:p>
    <w:p w:rsidR="0024792E" w:rsidRPr="009A3F8B" w:rsidRDefault="0024792E" w:rsidP="009734FD">
      <w:pPr>
        <w:pStyle w:val="Heading1"/>
        <w:spacing w:line="480" w:lineRule="auto"/>
        <w:rPr>
          <w:rFonts w:eastAsiaTheme="minorHAnsi"/>
          <w:b w:val="0"/>
          <w:bCs w:val="0"/>
          <w:kern w:val="0"/>
          <w:sz w:val="24"/>
          <w:szCs w:val="24"/>
        </w:rPr>
      </w:pPr>
      <w:r w:rsidRPr="00B11B99">
        <w:rPr>
          <w:rFonts w:eastAsiaTheme="minorHAnsi"/>
          <w:b w:val="0"/>
          <w:bCs w:val="0"/>
          <w:kern w:val="0"/>
          <w:sz w:val="24"/>
          <w:szCs w:val="24"/>
        </w:rPr>
        <w:t>Machlis, E. (2022).</w:t>
      </w:r>
      <w:r w:rsidRPr="009A3F8B">
        <w:rPr>
          <w:rFonts w:eastAsiaTheme="minorHAnsi"/>
          <w:b w:val="0"/>
          <w:bCs w:val="0"/>
          <w:kern w:val="0"/>
          <w:sz w:val="24"/>
          <w:szCs w:val="24"/>
        </w:rPr>
        <w:t xml:space="preserve"> </w:t>
      </w:r>
      <w:r w:rsidR="009A3F8B" w:rsidRPr="009A3F8B">
        <w:rPr>
          <w:b w:val="0"/>
          <w:sz w:val="24"/>
          <w:szCs w:val="24"/>
        </w:rPr>
        <w:t>"</w:t>
      </w:r>
      <w:r w:rsidRPr="009A3F8B">
        <w:rPr>
          <w:rFonts w:eastAsiaTheme="minorHAnsi"/>
          <w:b w:val="0"/>
          <w:bCs w:val="0"/>
          <w:kern w:val="0"/>
          <w:sz w:val="24"/>
          <w:szCs w:val="24"/>
        </w:rPr>
        <w:t>Continuity and Change in the Role of Mysticism under the Islamic Republic of Iran</w:t>
      </w:r>
      <w:r w:rsidR="009A3F8B" w:rsidRPr="009A3F8B">
        <w:rPr>
          <w:b w:val="0"/>
          <w:sz w:val="24"/>
          <w:szCs w:val="24"/>
        </w:rPr>
        <w:t>"</w:t>
      </w:r>
      <w:r w:rsidRPr="009A3F8B">
        <w:rPr>
          <w:rFonts w:eastAsiaTheme="minorHAnsi"/>
          <w:b w:val="0"/>
          <w:bCs w:val="0"/>
          <w:kern w:val="0"/>
          <w:sz w:val="24"/>
          <w:szCs w:val="24"/>
        </w:rPr>
        <w:t>.</w:t>
      </w:r>
      <w:r w:rsidRPr="00B11B99">
        <w:rPr>
          <w:rFonts w:eastAsiaTheme="minorHAnsi"/>
          <w:b w:val="0"/>
          <w:bCs w:val="0"/>
          <w:kern w:val="0"/>
          <w:sz w:val="24"/>
          <w:szCs w:val="24"/>
        </w:rPr>
        <w:t xml:space="preserve"> </w:t>
      </w:r>
      <w:r w:rsidRPr="00B11B99">
        <w:rPr>
          <w:rFonts w:eastAsiaTheme="minorHAnsi"/>
          <w:b w:val="0"/>
          <w:bCs w:val="0"/>
          <w:i/>
          <w:iCs/>
          <w:kern w:val="0"/>
          <w:sz w:val="24"/>
          <w:szCs w:val="24"/>
        </w:rPr>
        <w:t>Sociology of Islam</w:t>
      </w:r>
      <w:r w:rsidRPr="00B11B99">
        <w:rPr>
          <w:rFonts w:eastAsiaTheme="minorHAnsi"/>
          <w:b w:val="0"/>
          <w:bCs w:val="0"/>
          <w:kern w:val="0"/>
          <w:sz w:val="24"/>
          <w:szCs w:val="24"/>
        </w:rPr>
        <w:t xml:space="preserve">, </w:t>
      </w:r>
      <w:r w:rsidRPr="00B11B99">
        <w:rPr>
          <w:rFonts w:eastAsiaTheme="minorHAnsi"/>
          <w:b w:val="0"/>
          <w:bCs w:val="0"/>
          <w:i/>
          <w:iCs/>
          <w:kern w:val="0"/>
          <w:sz w:val="24"/>
          <w:szCs w:val="24"/>
        </w:rPr>
        <w:t>9</w:t>
      </w:r>
      <w:r w:rsidRPr="00B11B99">
        <w:rPr>
          <w:rFonts w:eastAsiaTheme="minorHAnsi"/>
          <w:b w:val="0"/>
          <w:bCs w:val="0"/>
          <w:kern w:val="0"/>
          <w:sz w:val="24"/>
          <w:szCs w:val="24"/>
        </w:rPr>
        <w:t xml:space="preserve">(3-4), 189-207. </w:t>
      </w:r>
      <w:r w:rsidRPr="009A3F8B">
        <w:rPr>
          <w:rFonts w:eastAsiaTheme="minorHAnsi"/>
          <w:b w:val="0"/>
          <w:bCs w:val="0"/>
          <w:kern w:val="0"/>
          <w:sz w:val="24"/>
          <w:szCs w:val="24"/>
        </w:rPr>
        <w:t>https://doi.org/10.1163/22131418-09030002</w:t>
      </w:r>
    </w:p>
    <w:p w:rsidR="009566A1" w:rsidRPr="00B11B99" w:rsidRDefault="009566A1" w:rsidP="009734FD">
      <w:pPr>
        <w:pStyle w:val="Heading1"/>
        <w:spacing w:line="480" w:lineRule="auto"/>
        <w:rPr>
          <w:rFonts w:eastAsiaTheme="minorHAnsi"/>
          <w:b w:val="0"/>
          <w:bCs w:val="0"/>
          <w:kern w:val="0"/>
          <w:sz w:val="24"/>
          <w:szCs w:val="24"/>
        </w:rPr>
      </w:pPr>
      <w:r w:rsidRPr="00B11B99">
        <w:rPr>
          <w:rFonts w:eastAsiaTheme="minorHAnsi"/>
          <w:b w:val="0"/>
          <w:bCs w:val="0"/>
          <w:kern w:val="0"/>
          <w:sz w:val="24"/>
          <w:szCs w:val="24"/>
        </w:rPr>
        <w:t xml:space="preserve">Shah-Kazemi, R. </w:t>
      </w:r>
      <w:r w:rsidR="009A3F8B" w:rsidRPr="009A3F8B">
        <w:rPr>
          <w:b w:val="0"/>
          <w:sz w:val="24"/>
          <w:szCs w:val="24"/>
        </w:rPr>
        <w:t>"</w:t>
      </w:r>
      <w:r w:rsidRPr="00B11B99">
        <w:rPr>
          <w:rFonts w:eastAsiaTheme="minorHAnsi"/>
          <w:b w:val="0"/>
          <w:bCs w:val="0"/>
          <w:kern w:val="0"/>
          <w:sz w:val="24"/>
          <w:szCs w:val="24"/>
        </w:rPr>
        <w:t>Common Ground Between Islam and Buddhism: Spiritual and Ethical Affinities</w:t>
      </w:r>
      <w:r w:rsidR="009A3F8B" w:rsidRPr="009A3F8B">
        <w:rPr>
          <w:b w:val="0"/>
          <w:sz w:val="24"/>
          <w:szCs w:val="24"/>
        </w:rPr>
        <w:t>"</w:t>
      </w:r>
      <w:r w:rsidRPr="00B11B99">
        <w:rPr>
          <w:rFonts w:eastAsiaTheme="minorHAnsi"/>
          <w:b w:val="0"/>
          <w:bCs w:val="0"/>
          <w:kern w:val="0"/>
          <w:sz w:val="24"/>
          <w:szCs w:val="24"/>
        </w:rPr>
        <w:t xml:space="preserve"> 2010 Fons Vitae Publishing, ISBN-10: 1891785621</w:t>
      </w:r>
    </w:p>
    <w:p w:rsidR="009566A1" w:rsidRPr="00B11B99" w:rsidRDefault="009566A1" w:rsidP="009734FD">
      <w:pPr>
        <w:pStyle w:val="Heading1"/>
        <w:spacing w:line="480" w:lineRule="auto"/>
        <w:rPr>
          <w:rFonts w:eastAsiaTheme="minorHAnsi"/>
          <w:b w:val="0"/>
          <w:bCs w:val="0"/>
          <w:kern w:val="0"/>
          <w:sz w:val="24"/>
          <w:szCs w:val="24"/>
        </w:rPr>
      </w:pPr>
      <w:r w:rsidRPr="00B11B99">
        <w:rPr>
          <w:rFonts w:eastAsiaTheme="minorHAnsi"/>
          <w:b w:val="0"/>
          <w:bCs w:val="0"/>
          <w:kern w:val="0"/>
          <w:sz w:val="24"/>
          <w:szCs w:val="24"/>
        </w:rPr>
        <w:t xml:space="preserve">Winston Morris, James </w:t>
      </w:r>
      <w:r w:rsidR="009A3F8B" w:rsidRPr="009A3F8B">
        <w:rPr>
          <w:b w:val="0"/>
          <w:sz w:val="24"/>
          <w:szCs w:val="24"/>
        </w:rPr>
        <w:t>"</w:t>
      </w:r>
      <w:r w:rsidRPr="00B11B99">
        <w:rPr>
          <w:rFonts w:eastAsiaTheme="minorHAnsi"/>
          <w:b w:val="0"/>
          <w:bCs w:val="0"/>
          <w:kern w:val="0"/>
          <w:sz w:val="24"/>
          <w:szCs w:val="24"/>
        </w:rPr>
        <w:t>The Wisdom of the Throne: An Introduction to the Philosophy of Mulla Sadra</w:t>
      </w:r>
      <w:r w:rsidR="009A3F8B" w:rsidRPr="009A3F8B">
        <w:rPr>
          <w:b w:val="0"/>
          <w:sz w:val="24"/>
          <w:szCs w:val="24"/>
        </w:rPr>
        <w:t>"</w:t>
      </w:r>
      <w:r w:rsidRPr="00B11B99">
        <w:rPr>
          <w:rFonts w:eastAsiaTheme="minorHAnsi"/>
          <w:b w:val="0"/>
          <w:bCs w:val="0"/>
          <w:kern w:val="0"/>
          <w:sz w:val="24"/>
          <w:szCs w:val="24"/>
        </w:rPr>
        <w:t xml:space="preserve"> 1981, Princeton University Press, ISBN-10: ‎ 0691064938</w:t>
      </w:r>
    </w:p>
    <w:p w:rsidR="00371EC2" w:rsidRPr="00B11B99" w:rsidRDefault="00371EC2" w:rsidP="009734FD">
      <w:pPr>
        <w:autoSpaceDE w:val="0"/>
        <w:autoSpaceDN w:val="0"/>
        <w:adjustRightInd w:val="0"/>
        <w:spacing w:beforeAutospacing="0" w:after="0" w:line="480" w:lineRule="auto"/>
        <w:rPr>
          <w:rFonts w:ascii="Times New Roman" w:hAnsi="Times New Roman" w:cs="Times New Roman"/>
          <w:sz w:val="24"/>
          <w:szCs w:val="24"/>
        </w:rPr>
      </w:pPr>
    </w:p>
    <w:sectPr w:rsidR="00371EC2" w:rsidRPr="00B11B9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E12" w:rsidRDefault="00E60E12" w:rsidP="002E37C8">
      <w:pPr>
        <w:spacing w:after="0"/>
      </w:pPr>
      <w:r>
        <w:separator/>
      </w:r>
    </w:p>
  </w:endnote>
  <w:endnote w:type="continuationSeparator" w:id="0">
    <w:p w:rsidR="00E60E12" w:rsidRDefault="00E60E12" w:rsidP="002E37C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E12" w:rsidRDefault="00E60E12" w:rsidP="002E37C8">
      <w:pPr>
        <w:spacing w:after="0"/>
      </w:pPr>
      <w:r>
        <w:separator/>
      </w:r>
    </w:p>
  </w:footnote>
  <w:footnote w:type="continuationSeparator" w:id="0">
    <w:p w:rsidR="00E60E12" w:rsidRDefault="00E60E12" w:rsidP="002E37C8">
      <w:pPr>
        <w:spacing w:after="0"/>
      </w:pPr>
      <w:r>
        <w:continuationSeparator/>
      </w:r>
    </w:p>
  </w:footnote>
  <w:footnote w:id="1">
    <w:p w:rsidR="00B155B6" w:rsidRDefault="00B155B6" w:rsidP="00B155B6">
      <w:pPr>
        <w:pStyle w:val="FootnoteText"/>
      </w:pPr>
      <w:r w:rsidRPr="00B155B6">
        <w:rPr>
          <w:rStyle w:val="FootnoteReference"/>
        </w:rPr>
        <w:footnoteRef/>
      </w:r>
      <w:r w:rsidRPr="00B155B6">
        <w:t xml:space="preserve"> </w:t>
      </w:r>
      <w:hyperlink r:id="rId1" w:history="1">
        <w:r w:rsidRPr="00B155B6">
          <w:rPr>
            <w:rStyle w:val="Hyperlink"/>
            <w:color w:val="auto"/>
          </w:rPr>
          <w:t>https://www.shiachat.com/forum/topic/235000786-difference-between-akhlaq-and-irfan/</w:t>
        </w:r>
      </w:hyperlink>
      <w:r w:rsidRPr="00B155B6">
        <w:t xml:space="preserve">  accessed </w:t>
      </w:r>
      <w:r>
        <w:t>17.05.2024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D6A"/>
    <w:multiLevelType w:val="multilevel"/>
    <w:tmpl w:val="B37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64088C"/>
    <w:multiLevelType w:val="hybridMultilevel"/>
    <w:tmpl w:val="5F52594A"/>
    <w:lvl w:ilvl="0" w:tplc="79623F46">
      <w:start w:val="1"/>
      <w:numFmt w:val="bullet"/>
      <w:lvlText w:val="▫"/>
      <w:lvlJc w:val="left"/>
      <w:pPr>
        <w:ind w:left="720" w:hanging="360"/>
      </w:pPr>
      <w:rPr>
        <w:rFonts w:ascii="Courier New" w:hAnsi="Courier New"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nsid w:val="576F7DE0"/>
    <w:multiLevelType w:val="multilevel"/>
    <w:tmpl w:val="AC2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2C7394"/>
    <w:multiLevelType w:val="hybridMultilevel"/>
    <w:tmpl w:val="6658DAEE"/>
    <w:lvl w:ilvl="0" w:tplc="79623F46">
      <w:start w:val="1"/>
      <w:numFmt w:val="bullet"/>
      <w:lvlText w:val="▫"/>
      <w:lvlJc w:val="left"/>
      <w:pPr>
        <w:ind w:left="720" w:hanging="360"/>
      </w:pPr>
      <w:rPr>
        <w:rFonts w:ascii="Courier New" w:hAnsi="Courier New"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4">
    <w:nsid w:val="64C07209"/>
    <w:multiLevelType w:val="hybridMultilevel"/>
    <w:tmpl w:val="4E0A5ECE"/>
    <w:lvl w:ilvl="0" w:tplc="79623F46">
      <w:start w:val="1"/>
      <w:numFmt w:val="bullet"/>
      <w:lvlText w:val="▫"/>
      <w:lvlJc w:val="left"/>
      <w:pPr>
        <w:ind w:left="720" w:hanging="360"/>
      </w:pPr>
      <w:rPr>
        <w:rFonts w:ascii="Courier New" w:hAnsi="Courier New"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5">
    <w:nsid w:val="68EE4C49"/>
    <w:multiLevelType w:val="hybridMultilevel"/>
    <w:tmpl w:val="99C81562"/>
    <w:lvl w:ilvl="0" w:tplc="79623F46">
      <w:start w:val="1"/>
      <w:numFmt w:val="bullet"/>
      <w:lvlText w:val="▫"/>
      <w:lvlJc w:val="left"/>
      <w:pPr>
        <w:ind w:left="720" w:hanging="360"/>
      </w:pPr>
      <w:rPr>
        <w:rFonts w:ascii="Courier New" w:hAnsi="Courier New"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5F1"/>
    <w:rsid w:val="00002BC0"/>
    <w:rsid w:val="000124B0"/>
    <w:rsid w:val="00043538"/>
    <w:rsid w:val="00077FD4"/>
    <w:rsid w:val="000C55B8"/>
    <w:rsid w:val="000D0F8F"/>
    <w:rsid w:val="0011604B"/>
    <w:rsid w:val="00154C74"/>
    <w:rsid w:val="00210024"/>
    <w:rsid w:val="00210BD1"/>
    <w:rsid w:val="0024792E"/>
    <w:rsid w:val="00263D9F"/>
    <w:rsid w:val="00274D1B"/>
    <w:rsid w:val="00293ABA"/>
    <w:rsid w:val="002C391E"/>
    <w:rsid w:val="002E37C8"/>
    <w:rsid w:val="003655F1"/>
    <w:rsid w:val="00365E9C"/>
    <w:rsid w:val="00371EC2"/>
    <w:rsid w:val="003E3F49"/>
    <w:rsid w:val="00471008"/>
    <w:rsid w:val="004C601E"/>
    <w:rsid w:val="004D7F7D"/>
    <w:rsid w:val="005249A6"/>
    <w:rsid w:val="00534CEF"/>
    <w:rsid w:val="00534EBE"/>
    <w:rsid w:val="00535123"/>
    <w:rsid w:val="0057332C"/>
    <w:rsid w:val="00582D3E"/>
    <w:rsid w:val="00586FA0"/>
    <w:rsid w:val="00590AB9"/>
    <w:rsid w:val="005B3942"/>
    <w:rsid w:val="006560B6"/>
    <w:rsid w:val="00710B52"/>
    <w:rsid w:val="007636A9"/>
    <w:rsid w:val="0079634C"/>
    <w:rsid w:val="007A1967"/>
    <w:rsid w:val="00894B55"/>
    <w:rsid w:val="008E71A2"/>
    <w:rsid w:val="009217EF"/>
    <w:rsid w:val="00932B5B"/>
    <w:rsid w:val="00941C40"/>
    <w:rsid w:val="009566A1"/>
    <w:rsid w:val="0095706A"/>
    <w:rsid w:val="00972904"/>
    <w:rsid w:val="009734FD"/>
    <w:rsid w:val="009A3C21"/>
    <w:rsid w:val="009A3F8B"/>
    <w:rsid w:val="009A5B35"/>
    <w:rsid w:val="00A6299A"/>
    <w:rsid w:val="00AA64B8"/>
    <w:rsid w:val="00AD2BAF"/>
    <w:rsid w:val="00AE1190"/>
    <w:rsid w:val="00B11B99"/>
    <w:rsid w:val="00B155B6"/>
    <w:rsid w:val="00B47677"/>
    <w:rsid w:val="00B62C08"/>
    <w:rsid w:val="00C90656"/>
    <w:rsid w:val="00CB0C55"/>
    <w:rsid w:val="00CB4BE1"/>
    <w:rsid w:val="00D442A9"/>
    <w:rsid w:val="00D65F67"/>
    <w:rsid w:val="00D81A6A"/>
    <w:rsid w:val="00D96B43"/>
    <w:rsid w:val="00DA6D58"/>
    <w:rsid w:val="00E031B5"/>
    <w:rsid w:val="00E60E12"/>
    <w:rsid w:val="00F235F5"/>
    <w:rsid w:val="00F704F3"/>
    <w:rsid w:val="00FA1B01"/>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t-EE" w:bidi="ar-SA"/>
      </w:rPr>
    </w:rPrDefault>
    <w:pPrDefault>
      <w:pPr>
        <w:spacing w:beforeAutospacing="1"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D7F7D"/>
    <w:pPr>
      <w:spacing w:before="100"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55F1"/>
    <w:pPr>
      <w:spacing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3655F1"/>
    <w:pPr>
      <w:ind w:left="720"/>
      <w:contextualSpacing/>
    </w:pPr>
  </w:style>
  <w:style w:type="paragraph" w:styleId="NoSpacing">
    <w:name w:val="No Spacing"/>
    <w:uiPriority w:val="1"/>
    <w:qFormat/>
    <w:rsid w:val="002C391E"/>
  </w:style>
  <w:style w:type="character" w:customStyle="1" w:styleId="Heading1Char">
    <w:name w:val="Heading 1 Char"/>
    <w:basedOn w:val="DefaultParagraphFont"/>
    <w:link w:val="Heading1"/>
    <w:uiPriority w:val="9"/>
    <w:rsid w:val="004D7F7D"/>
    <w:rPr>
      <w:rFonts w:ascii="Times New Roman" w:eastAsia="Times New Roman" w:hAnsi="Times New Roman" w:cs="Times New Roman"/>
      <w:b/>
      <w:bCs/>
      <w:kern w:val="36"/>
      <w:sz w:val="48"/>
      <w:szCs w:val="48"/>
    </w:rPr>
  </w:style>
  <w:style w:type="character" w:customStyle="1" w:styleId="citationtext">
    <w:name w:val="citationtext"/>
    <w:basedOn w:val="DefaultParagraphFont"/>
    <w:rsid w:val="004D7F7D"/>
  </w:style>
  <w:style w:type="paragraph" w:styleId="BalloonText">
    <w:name w:val="Balloon Text"/>
    <w:basedOn w:val="Normal"/>
    <w:link w:val="BalloonTextChar"/>
    <w:uiPriority w:val="99"/>
    <w:semiHidden/>
    <w:unhideWhenUsed/>
    <w:rsid w:val="00534CE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CEF"/>
    <w:rPr>
      <w:rFonts w:ascii="Tahoma" w:hAnsi="Tahoma" w:cs="Tahoma"/>
      <w:sz w:val="16"/>
      <w:szCs w:val="16"/>
    </w:rPr>
  </w:style>
  <w:style w:type="character" w:styleId="Emphasis">
    <w:name w:val="Emphasis"/>
    <w:basedOn w:val="DefaultParagraphFont"/>
    <w:uiPriority w:val="20"/>
    <w:qFormat/>
    <w:rsid w:val="002E37C8"/>
    <w:rPr>
      <w:i/>
      <w:iCs/>
    </w:rPr>
  </w:style>
  <w:style w:type="paragraph" w:styleId="FootnoteText">
    <w:name w:val="footnote text"/>
    <w:basedOn w:val="Normal"/>
    <w:link w:val="FootnoteTextChar"/>
    <w:uiPriority w:val="99"/>
    <w:semiHidden/>
    <w:unhideWhenUsed/>
    <w:rsid w:val="002E37C8"/>
    <w:pPr>
      <w:spacing w:after="0"/>
    </w:pPr>
    <w:rPr>
      <w:sz w:val="20"/>
      <w:szCs w:val="20"/>
    </w:rPr>
  </w:style>
  <w:style w:type="character" w:customStyle="1" w:styleId="FootnoteTextChar">
    <w:name w:val="Footnote Text Char"/>
    <w:basedOn w:val="DefaultParagraphFont"/>
    <w:link w:val="FootnoteText"/>
    <w:uiPriority w:val="99"/>
    <w:semiHidden/>
    <w:rsid w:val="002E37C8"/>
    <w:rPr>
      <w:sz w:val="20"/>
      <w:szCs w:val="20"/>
    </w:rPr>
  </w:style>
  <w:style w:type="character" w:styleId="FootnoteReference">
    <w:name w:val="footnote reference"/>
    <w:basedOn w:val="DefaultParagraphFont"/>
    <w:uiPriority w:val="99"/>
    <w:semiHidden/>
    <w:unhideWhenUsed/>
    <w:rsid w:val="002E37C8"/>
    <w:rPr>
      <w:vertAlign w:val="superscript"/>
    </w:rPr>
  </w:style>
  <w:style w:type="character" w:styleId="Hyperlink">
    <w:name w:val="Hyperlink"/>
    <w:basedOn w:val="DefaultParagraphFont"/>
    <w:uiPriority w:val="99"/>
    <w:unhideWhenUsed/>
    <w:rsid w:val="005249A6"/>
    <w:rPr>
      <w:color w:val="0000FF" w:themeColor="hyperlink"/>
      <w:u w:val="single"/>
    </w:rPr>
  </w:style>
  <w:style w:type="character" w:customStyle="1" w:styleId="mw-page-title-main">
    <w:name w:val="mw-page-title-main"/>
    <w:basedOn w:val="DefaultParagraphFont"/>
    <w:rsid w:val="00AE11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t-EE" w:bidi="ar-SA"/>
      </w:rPr>
    </w:rPrDefault>
    <w:pPrDefault>
      <w:pPr>
        <w:spacing w:beforeAutospacing="1"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D7F7D"/>
    <w:pPr>
      <w:spacing w:before="100"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55F1"/>
    <w:pPr>
      <w:spacing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3655F1"/>
    <w:pPr>
      <w:ind w:left="720"/>
      <w:contextualSpacing/>
    </w:pPr>
  </w:style>
  <w:style w:type="paragraph" w:styleId="NoSpacing">
    <w:name w:val="No Spacing"/>
    <w:uiPriority w:val="1"/>
    <w:qFormat/>
    <w:rsid w:val="002C391E"/>
  </w:style>
  <w:style w:type="character" w:customStyle="1" w:styleId="Heading1Char">
    <w:name w:val="Heading 1 Char"/>
    <w:basedOn w:val="DefaultParagraphFont"/>
    <w:link w:val="Heading1"/>
    <w:uiPriority w:val="9"/>
    <w:rsid w:val="004D7F7D"/>
    <w:rPr>
      <w:rFonts w:ascii="Times New Roman" w:eastAsia="Times New Roman" w:hAnsi="Times New Roman" w:cs="Times New Roman"/>
      <w:b/>
      <w:bCs/>
      <w:kern w:val="36"/>
      <w:sz w:val="48"/>
      <w:szCs w:val="48"/>
    </w:rPr>
  </w:style>
  <w:style w:type="character" w:customStyle="1" w:styleId="citationtext">
    <w:name w:val="citationtext"/>
    <w:basedOn w:val="DefaultParagraphFont"/>
    <w:rsid w:val="004D7F7D"/>
  </w:style>
  <w:style w:type="paragraph" w:styleId="BalloonText">
    <w:name w:val="Balloon Text"/>
    <w:basedOn w:val="Normal"/>
    <w:link w:val="BalloonTextChar"/>
    <w:uiPriority w:val="99"/>
    <w:semiHidden/>
    <w:unhideWhenUsed/>
    <w:rsid w:val="00534CE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CEF"/>
    <w:rPr>
      <w:rFonts w:ascii="Tahoma" w:hAnsi="Tahoma" w:cs="Tahoma"/>
      <w:sz w:val="16"/>
      <w:szCs w:val="16"/>
    </w:rPr>
  </w:style>
  <w:style w:type="character" w:styleId="Emphasis">
    <w:name w:val="Emphasis"/>
    <w:basedOn w:val="DefaultParagraphFont"/>
    <w:uiPriority w:val="20"/>
    <w:qFormat/>
    <w:rsid w:val="002E37C8"/>
    <w:rPr>
      <w:i/>
      <w:iCs/>
    </w:rPr>
  </w:style>
  <w:style w:type="paragraph" w:styleId="FootnoteText">
    <w:name w:val="footnote text"/>
    <w:basedOn w:val="Normal"/>
    <w:link w:val="FootnoteTextChar"/>
    <w:uiPriority w:val="99"/>
    <w:semiHidden/>
    <w:unhideWhenUsed/>
    <w:rsid w:val="002E37C8"/>
    <w:pPr>
      <w:spacing w:after="0"/>
    </w:pPr>
    <w:rPr>
      <w:sz w:val="20"/>
      <w:szCs w:val="20"/>
    </w:rPr>
  </w:style>
  <w:style w:type="character" w:customStyle="1" w:styleId="FootnoteTextChar">
    <w:name w:val="Footnote Text Char"/>
    <w:basedOn w:val="DefaultParagraphFont"/>
    <w:link w:val="FootnoteText"/>
    <w:uiPriority w:val="99"/>
    <w:semiHidden/>
    <w:rsid w:val="002E37C8"/>
    <w:rPr>
      <w:sz w:val="20"/>
      <w:szCs w:val="20"/>
    </w:rPr>
  </w:style>
  <w:style w:type="character" w:styleId="FootnoteReference">
    <w:name w:val="footnote reference"/>
    <w:basedOn w:val="DefaultParagraphFont"/>
    <w:uiPriority w:val="99"/>
    <w:semiHidden/>
    <w:unhideWhenUsed/>
    <w:rsid w:val="002E37C8"/>
    <w:rPr>
      <w:vertAlign w:val="superscript"/>
    </w:rPr>
  </w:style>
  <w:style w:type="character" w:styleId="Hyperlink">
    <w:name w:val="Hyperlink"/>
    <w:basedOn w:val="DefaultParagraphFont"/>
    <w:uiPriority w:val="99"/>
    <w:unhideWhenUsed/>
    <w:rsid w:val="005249A6"/>
    <w:rPr>
      <w:color w:val="0000FF" w:themeColor="hyperlink"/>
      <w:u w:val="single"/>
    </w:rPr>
  </w:style>
  <w:style w:type="character" w:customStyle="1" w:styleId="mw-page-title-main">
    <w:name w:val="mw-page-title-main"/>
    <w:basedOn w:val="DefaultParagraphFont"/>
    <w:rsid w:val="00AE1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9843">
      <w:bodyDiv w:val="1"/>
      <w:marLeft w:val="0"/>
      <w:marRight w:val="0"/>
      <w:marTop w:val="0"/>
      <w:marBottom w:val="0"/>
      <w:divBdr>
        <w:top w:val="none" w:sz="0" w:space="0" w:color="auto"/>
        <w:left w:val="none" w:sz="0" w:space="0" w:color="auto"/>
        <w:bottom w:val="none" w:sz="0" w:space="0" w:color="auto"/>
        <w:right w:val="none" w:sz="0" w:space="0" w:color="auto"/>
      </w:divBdr>
    </w:div>
    <w:div w:id="200367866">
      <w:bodyDiv w:val="1"/>
      <w:marLeft w:val="0"/>
      <w:marRight w:val="0"/>
      <w:marTop w:val="0"/>
      <w:marBottom w:val="0"/>
      <w:divBdr>
        <w:top w:val="none" w:sz="0" w:space="0" w:color="auto"/>
        <w:left w:val="none" w:sz="0" w:space="0" w:color="auto"/>
        <w:bottom w:val="none" w:sz="0" w:space="0" w:color="auto"/>
        <w:right w:val="none" w:sz="0" w:space="0" w:color="auto"/>
      </w:divBdr>
    </w:div>
    <w:div w:id="567108437">
      <w:bodyDiv w:val="1"/>
      <w:marLeft w:val="0"/>
      <w:marRight w:val="0"/>
      <w:marTop w:val="0"/>
      <w:marBottom w:val="0"/>
      <w:divBdr>
        <w:top w:val="none" w:sz="0" w:space="0" w:color="auto"/>
        <w:left w:val="none" w:sz="0" w:space="0" w:color="auto"/>
        <w:bottom w:val="none" w:sz="0" w:space="0" w:color="auto"/>
        <w:right w:val="none" w:sz="0" w:space="0" w:color="auto"/>
      </w:divBdr>
      <w:divsChild>
        <w:div w:id="892277152">
          <w:marLeft w:val="0"/>
          <w:marRight w:val="0"/>
          <w:marTop w:val="0"/>
          <w:marBottom w:val="0"/>
          <w:divBdr>
            <w:top w:val="none" w:sz="0" w:space="0" w:color="auto"/>
            <w:left w:val="none" w:sz="0" w:space="0" w:color="auto"/>
            <w:bottom w:val="none" w:sz="0" w:space="0" w:color="auto"/>
            <w:right w:val="none" w:sz="0" w:space="0" w:color="auto"/>
          </w:divBdr>
          <w:divsChild>
            <w:div w:id="515122787">
              <w:marLeft w:val="0"/>
              <w:marRight w:val="0"/>
              <w:marTop w:val="0"/>
              <w:marBottom w:val="0"/>
              <w:divBdr>
                <w:top w:val="none" w:sz="0" w:space="0" w:color="auto"/>
                <w:left w:val="none" w:sz="0" w:space="0" w:color="auto"/>
                <w:bottom w:val="none" w:sz="0" w:space="0" w:color="auto"/>
                <w:right w:val="none" w:sz="0" w:space="0" w:color="auto"/>
              </w:divBdr>
              <w:divsChild>
                <w:div w:id="13886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694847">
      <w:bodyDiv w:val="1"/>
      <w:marLeft w:val="0"/>
      <w:marRight w:val="0"/>
      <w:marTop w:val="0"/>
      <w:marBottom w:val="0"/>
      <w:divBdr>
        <w:top w:val="none" w:sz="0" w:space="0" w:color="auto"/>
        <w:left w:val="none" w:sz="0" w:space="0" w:color="auto"/>
        <w:bottom w:val="none" w:sz="0" w:space="0" w:color="auto"/>
        <w:right w:val="none" w:sz="0" w:space="0" w:color="auto"/>
      </w:divBdr>
    </w:div>
    <w:div w:id="1072317781">
      <w:bodyDiv w:val="1"/>
      <w:marLeft w:val="0"/>
      <w:marRight w:val="0"/>
      <w:marTop w:val="0"/>
      <w:marBottom w:val="0"/>
      <w:divBdr>
        <w:top w:val="none" w:sz="0" w:space="0" w:color="auto"/>
        <w:left w:val="none" w:sz="0" w:space="0" w:color="auto"/>
        <w:bottom w:val="none" w:sz="0" w:space="0" w:color="auto"/>
        <w:right w:val="none" w:sz="0" w:space="0" w:color="auto"/>
      </w:divBdr>
      <w:divsChild>
        <w:div w:id="2126348185">
          <w:marLeft w:val="0"/>
          <w:marRight w:val="0"/>
          <w:marTop w:val="0"/>
          <w:marBottom w:val="0"/>
          <w:divBdr>
            <w:top w:val="none" w:sz="0" w:space="0" w:color="auto"/>
            <w:left w:val="none" w:sz="0" w:space="0" w:color="auto"/>
            <w:bottom w:val="none" w:sz="0" w:space="0" w:color="auto"/>
            <w:right w:val="none" w:sz="0" w:space="0" w:color="auto"/>
          </w:divBdr>
          <w:divsChild>
            <w:div w:id="2073308266">
              <w:marLeft w:val="0"/>
              <w:marRight w:val="0"/>
              <w:marTop w:val="0"/>
              <w:marBottom w:val="0"/>
              <w:divBdr>
                <w:top w:val="none" w:sz="0" w:space="0" w:color="auto"/>
                <w:left w:val="none" w:sz="0" w:space="0" w:color="auto"/>
                <w:bottom w:val="none" w:sz="0" w:space="0" w:color="auto"/>
                <w:right w:val="none" w:sz="0" w:space="0" w:color="auto"/>
              </w:divBdr>
              <w:divsChild>
                <w:div w:id="25521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948917">
      <w:bodyDiv w:val="1"/>
      <w:marLeft w:val="0"/>
      <w:marRight w:val="0"/>
      <w:marTop w:val="0"/>
      <w:marBottom w:val="0"/>
      <w:divBdr>
        <w:top w:val="none" w:sz="0" w:space="0" w:color="auto"/>
        <w:left w:val="none" w:sz="0" w:space="0" w:color="auto"/>
        <w:bottom w:val="none" w:sz="0" w:space="0" w:color="auto"/>
        <w:right w:val="none" w:sz="0" w:space="0" w:color="auto"/>
      </w:divBdr>
    </w:div>
    <w:div w:id="1162240004">
      <w:bodyDiv w:val="1"/>
      <w:marLeft w:val="0"/>
      <w:marRight w:val="0"/>
      <w:marTop w:val="0"/>
      <w:marBottom w:val="0"/>
      <w:divBdr>
        <w:top w:val="none" w:sz="0" w:space="0" w:color="auto"/>
        <w:left w:val="none" w:sz="0" w:space="0" w:color="auto"/>
        <w:bottom w:val="none" w:sz="0" w:space="0" w:color="auto"/>
        <w:right w:val="none" w:sz="0" w:space="0" w:color="auto"/>
      </w:divBdr>
    </w:div>
    <w:div w:id="1267738964">
      <w:bodyDiv w:val="1"/>
      <w:marLeft w:val="0"/>
      <w:marRight w:val="0"/>
      <w:marTop w:val="0"/>
      <w:marBottom w:val="0"/>
      <w:divBdr>
        <w:top w:val="none" w:sz="0" w:space="0" w:color="auto"/>
        <w:left w:val="none" w:sz="0" w:space="0" w:color="auto"/>
        <w:bottom w:val="none" w:sz="0" w:space="0" w:color="auto"/>
        <w:right w:val="none" w:sz="0" w:space="0" w:color="auto"/>
      </w:divBdr>
    </w:div>
    <w:div w:id="1351763057">
      <w:bodyDiv w:val="1"/>
      <w:marLeft w:val="0"/>
      <w:marRight w:val="0"/>
      <w:marTop w:val="0"/>
      <w:marBottom w:val="0"/>
      <w:divBdr>
        <w:top w:val="none" w:sz="0" w:space="0" w:color="auto"/>
        <w:left w:val="none" w:sz="0" w:space="0" w:color="auto"/>
        <w:bottom w:val="none" w:sz="0" w:space="0" w:color="auto"/>
        <w:right w:val="none" w:sz="0" w:space="0" w:color="auto"/>
      </w:divBdr>
    </w:div>
    <w:div w:id="1882547061">
      <w:bodyDiv w:val="1"/>
      <w:marLeft w:val="0"/>
      <w:marRight w:val="0"/>
      <w:marTop w:val="0"/>
      <w:marBottom w:val="0"/>
      <w:divBdr>
        <w:top w:val="none" w:sz="0" w:space="0" w:color="auto"/>
        <w:left w:val="none" w:sz="0" w:space="0" w:color="auto"/>
        <w:bottom w:val="none" w:sz="0" w:space="0" w:color="auto"/>
        <w:right w:val="none" w:sz="0" w:space="0" w:color="auto"/>
      </w:divBdr>
      <w:divsChild>
        <w:div w:id="1437602353">
          <w:marLeft w:val="0"/>
          <w:marRight w:val="0"/>
          <w:marTop w:val="0"/>
          <w:marBottom w:val="0"/>
          <w:divBdr>
            <w:top w:val="none" w:sz="0" w:space="0" w:color="auto"/>
            <w:left w:val="none" w:sz="0" w:space="0" w:color="auto"/>
            <w:bottom w:val="none" w:sz="0" w:space="0" w:color="auto"/>
            <w:right w:val="none" w:sz="0" w:space="0" w:color="auto"/>
          </w:divBdr>
          <w:divsChild>
            <w:div w:id="727146328">
              <w:marLeft w:val="0"/>
              <w:marRight w:val="0"/>
              <w:marTop w:val="0"/>
              <w:marBottom w:val="0"/>
              <w:divBdr>
                <w:top w:val="none" w:sz="0" w:space="0" w:color="auto"/>
                <w:left w:val="none" w:sz="0" w:space="0" w:color="auto"/>
                <w:bottom w:val="none" w:sz="0" w:space="0" w:color="auto"/>
                <w:right w:val="none" w:sz="0" w:space="0" w:color="auto"/>
              </w:divBdr>
              <w:divsChild>
                <w:div w:id="63468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hiachat.com/forum/topic/235000786-difference-between-akhlaq-and-irf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42716-C1FF-4ACB-8BC1-9BB902901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6</Pages>
  <Words>1385</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Andrus Tormi</dc:creator>
  <cp:lastModifiedBy>Andrus Tormi</cp:lastModifiedBy>
  <cp:revision>19</cp:revision>
  <cp:lastPrinted>2024-04-06T12:21:00Z</cp:lastPrinted>
  <dcterms:created xsi:type="dcterms:W3CDTF">2024-05-17T05:40:00Z</dcterms:created>
  <dcterms:modified xsi:type="dcterms:W3CDTF">2024-05-17T12:49:00Z</dcterms:modified>
</cp:coreProperties>
</file>